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40"/>
        <w:spacing w:after="0"/>
        <w:rPr>
          <w:sz w:val="20"/>
          <w:szCs w:val="20"/>
          <w:color w:val="auto"/>
        </w:rPr>
      </w:pPr>
      <w:r>
        <w:rPr>
          <w:rFonts w:ascii="Arial" w:cs="Arial" w:eastAsia="Arial" w:hAnsi="Arial"/>
          <w:sz w:val="17"/>
          <w:szCs w:val="17"/>
          <w:b w:val="1"/>
          <w:bCs w:val="1"/>
          <w:color w:val="auto"/>
        </w:rPr>
        <w:t>UNITED STATES 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77" w:lineRule="exact"/>
        <w:rPr>
          <w:sz w:val="24"/>
          <w:szCs w:val="24"/>
          <w:color w:val="auto"/>
        </w:rPr>
      </w:pPr>
    </w:p>
    <w:p>
      <w:pPr>
        <w:ind w:left="4260" w:right="2160" w:hanging="2093"/>
        <w:spacing w:after="0" w:line="258" w:lineRule="auto"/>
        <w:tabs>
          <w:tab w:leader="none" w:pos="2391" w:val="left"/>
        </w:tabs>
        <w:numPr>
          <w:ilvl w:val="1"/>
          <w:numId w:val="1"/>
        </w:numPr>
        <w:rPr>
          <w:rFonts w:ascii="MS PGothic" w:cs="MS PGothic" w:eastAsia="MS PGothic" w:hAnsi="MS PGothic"/>
          <w:sz w:val="14"/>
          <w:szCs w:val="14"/>
          <w:color w:val="auto"/>
          <w:highlight w:val="black"/>
        </w:rPr>
      </w:pPr>
      <w:r>
        <w:rPr>
          <w:rFonts w:ascii="Arial" w:cs="Arial" w:eastAsia="Arial" w:hAnsi="Arial"/>
          <w:sz w:val="14"/>
          <w:szCs w:val="14"/>
          <w:color w:val="auto"/>
        </w:rPr>
        <w:t>ANNUAL REPORT PURSUANT TO SECTION 13 OR 15(d) OF THE SECURITIES EXCHANGE ACT OF 1934 For the fiscal year ended December 31, 2021 or</w:t>
      </w:r>
    </w:p>
    <w:p>
      <w:pPr>
        <w:spacing w:after="0" w:line="44" w:lineRule="exact"/>
        <w:rPr>
          <w:rFonts w:ascii="MS PGothic" w:cs="MS PGothic" w:eastAsia="MS PGothic" w:hAnsi="MS PGothic"/>
          <w:sz w:val="14"/>
          <w:szCs w:val="14"/>
          <w:color w:val="auto"/>
          <w:highlight w:val="black"/>
        </w:rPr>
      </w:pPr>
    </w:p>
    <w:p>
      <w:pPr>
        <w:ind w:left="4200" w:right="2020" w:hanging="2164"/>
        <w:spacing w:after="0" w:line="258" w:lineRule="auto"/>
        <w:tabs>
          <w:tab w:leader="none" w:pos="2266"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color w:val="auto"/>
        </w:rPr>
        <w:t>TRANSITION REPORT PURSUANT TO SECTION 13 OR 15(d) OF THE SECURITIES EXCHANGE ACT OF 1934 For the transition period from _______ to ______</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Commission File No. 1-8625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3053715</wp:posOffset>
            </wp:positionH>
            <wp:positionV relativeFrom="paragraph">
              <wp:posOffset>55880</wp:posOffset>
            </wp:positionV>
            <wp:extent cx="1060450"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0450" cy="454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READING INTERNATIONAL, INC.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200" w:lineRule="exact"/>
        <w:rPr>
          <w:sz w:val="24"/>
          <w:szCs w:val="24"/>
          <w:color w:val="auto"/>
        </w:rPr>
      </w:pP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jc w:val="center"/>
              <w:ind w:left="1013"/>
              <w:spacing w:after="0"/>
              <w:rPr>
                <w:sz w:val="20"/>
                <w:szCs w:val="20"/>
                <w:color w:val="auto"/>
              </w:rPr>
            </w:pPr>
            <w:r>
              <w:rPr>
                <w:rFonts w:ascii="Arial" w:cs="Arial" w:eastAsia="Arial" w:hAnsi="Arial"/>
                <w:sz w:val="14"/>
                <w:szCs w:val="14"/>
                <w:b w:val="1"/>
                <w:bCs w:val="1"/>
                <w:color w:val="auto"/>
                <w:w w:val="92"/>
              </w:rPr>
              <w:t>Nevada</w:t>
            </w:r>
          </w:p>
        </w:tc>
        <w:tc>
          <w:tcPr>
            <w:tcW w:w="2420" w:type="dxa"/>
            <w:vAlign w:val="bottom"/>
          </w:tcPr>
          <w:p>
            <w:pPr>
              <w:spacing w:after="0"/>
              <w:rPr>
                <w:sz w:val="14"/>
                <w:szCs w:val="14"/>
                <w:color w:val="auto"/>
              </w:rPr>
            </w:pPr>
          </w:p>
        </w:tc>
        <w:tc>
          <w:tcPr>
            <w:tcW w:w="3920" w:type="dxa"/>
            <w:vAlign w:val="bottom"/>
          </w:tcPr>
          <w:p>
            <w:pPr>
              <w:jc w:val="right"/>
              <w:ind w:right="2215"/>
              <w:spacing w:after="0"/>
              <w:rPr>
                <w:sz w:val="20"/>
                <w:szCs w:val="20"/>
                <w:color w:val="auto"/>
              </w:rPr>
            </w:pPr>
            <w:r>
              <w:rPr>
                <w:rFonts w:ascii="Arial" w:cs="Arial" w:eastAsia="Arial" w:hAnsi="Arial"/>
                <w:sz w:val="14"/>
                <w:szCs w:val="14"/>
                <w:b w:val="1"/>
                <w:bCs w:val="1"/>
                <w:color w:val="auto"/>
              </w:rPr>
              <w:t>95-3885184</w:t>
            </w:r>
          </w:p>
        </w:tc>
      </w:tr>
      <w:tr>
        <w:trPr>
          <w:trHeight w:val="147"/>
        </w:trPr>
        <w:tc>
          <w:tcPr>
            <w:tcW w:w="4940" w:type="dxa"/>
            <w:vAlign w:val="bottom"/>
          </w:tcPr>
          <w:p>
            <w:pPr>
              <w:jc w:val="center"/>
              <w:ind w:left="993"/>
              <w:spacing w:after="0"/>
              <w:rPr>
                <w:sz w:val="20"/>
                <w:szCs w:val="20"/>
                <w:color w:val="auto"/>
              </w:rPr>
            </w:pPr>
            <w:r>
              <w:rPr>
                <w:rFonts w:ascii="Arial" w:cs="Arial" w:eastAsia="Arial" w:hAnsi="Arial"/>
                <w:sz w:val="12"/>
                <w:szCs w:val="12"/>
                <w:color w:val="auto"/>
                <w:w w:val="89"/>
              </w:rPr>
              <w:t>(State or other jurisdiction of incorporation or organization)</w:t>
            </w:r>
          </w:p>
        </w:tc>
        <w:tc>
          <w:tcPr>
            <w:tcW w:w="2420" w:type="dxa"/>
            <w:vAlign w:val="bottom"/>
          </w:tcPr>
          <w:p>
            <w:pPr>
              <w:spacing w:after="0"/>
              <w:rPr>
                <w:sz w:val="12"/>
                <w:szCs w:val="12"/>
                <w:color w:val="auto"/>
              </w:rPr>
            </w:pPr>
          </w:p>
        </w:tc>
        <w:tc>
          <w:tcPr>
            <w:tcW w:w="3920" w:type="dxa"/>
            <w:vAlign w:val="bottom"/>
          </w:tcPr>
          <w:p>
            <w:pPr>
              <w:jc w:val="center"/>
              <w:ind w:right="1295"/>
              <w:spacing w:after="0"/>
              <w:rPr>
                <w:sz w:val="20"/>
                <w:szCs w:val="20"/>
                <w:color w:val="auto"/>
              </w:rPr>
            </w:pPr>
            <w:r>
              <w:rPr>
                <w:rFonts w:ascii="Arial" w:cs="Arial" w:eastAsia="Arial" w:hAnsi="Arial"/>
                <w:sz w:val="12"/>
                <w:szCs w:val="12"/>
                <w:color w:val="auto"/>
                <w:w w:val="90"/>
              </w:rPr>
              <w:t>(I.R.S. Employer Identification Number)</w:t>
            </w:r>
          </w:p>
        </w:tc>
      </w:tr>
      <w:tr>
        <w:trPr>
          <w:trHeight w:val="249"/>
        </w:trPr>
        <w:tc>
          <w:tcPr>
            <w:tcW w:w="4940" w:type="dxa"/>
            <w:vAlign w:val="bottom"/>
          </w:tcPr>
          <w:p>
            <w:pPr>
              <w:jc w:val="center"/>
              <w:ind w:left="993"/>
              <w:spacing w:after="0"/>
              <w:rPr>
                <w:sz w:val="20"/>
                <w:szCs w:val="20"/>
                <w:color w:val="auto"/>
              </w:rPr>
            </w:pPr>
            <w:r>
              <w:rPr>
                <w:rFonts w:ascii="Arial" w:cs="Arial" w:eastAsia="Arial" w:hAnsi="Arial"/>
                <w:sz w:val="14"/>
                <w:szCs w:val="14"/>
                <w:b w:val="1"/>
                <w:bCs w:val="1"/>
                <w:color w:val="auto"/>
                <w:w w:val="90"/>
              </w:rPr>
              <w:t>189 Second Avenue, Suite 2S</w:t>
            </w:r>
          </w:p>
        </w:tc>
        <w:tc>
          <w:tcPr>
            <w:tcW w:w="2420" w:type="dxa"/>
            <w:vAlign w:val="bottom"/>
          </w:tcPr>
          <w:p>
            <w:pPr>
              <w:spacing w:after="0"/>
              <w:rPr>
                <w:sz w:val="21"/>
                <w:szCs w:val="21"/>
                <w:color w:val="auto"/>
              </w:rPr>
            </w:pPr>
          </w:p>
        </w:tc>
        <w:tc>
          <w:tcPr>
            <w:tcW w:w="3920" w:type="dxa"/>
            <w:vAlign w:val="bottom"/>
          </w:tcPr>
          <w:p>
            <w:pPr>
              <w:jc w:val="right"/>
              <w:ind w:right="2395"/>
              <w:spacing w:after="0"/>
              <w:rPr>
                <w:sz w:val="20"/>
                <w:szCs w:val="20"/>
                <w:color w:val="auto"/>
              </w:rPr>
            </w:pPr>
            <w:r>
              <w:rPr>
                <w:rFonts w:ascii="Arial" w:cs="Arial" w:eastAsia="Arial" w:hAnsi="Arial"/>
                <w:sz w:val="14"/>
                <w:szCs w:val="14"/>
                <w:b w:val="1"/>
                <w:bCs w:val="1"/>
                <w:color w:val="auto"/>
              </w:rPr>
              <w:t>10003</w:t>
            </w:r>
          </w:p>
        </w:tc>
      </w:tr>
      <w:tr>
        <w:trPr>
          <w:trHeight w:val="146"/>
        </w:trPr>
        <w:tc>
          <w:tcPr>
            <w:tcW w:w="4940" w:type="dxa"/>
            <w:vAlign w:val="bottom"/>
          </w:tcPr>
          <w:p>
            <w:pPr>
              <w:jc w:val="center"/>
              <w:ind w:left="1013"/>
              <w:spacing w:after="0" w:line="146" w:lineRule="exact"/>
              <w:rPr>
                <w:sz w:val="20"/>
                <w:szCs w:val="20"/>
                <w:color w:val="auto"/>
              </w:rPr>
            </w:pPr>
            <w:r>
              <w:rPr>
                <w:rFonts w:ascii="Arial" w:cs="Arial" w:eastAsia="Arial" w:hAnsi="Arial"/>
                <w:sz w:val="14"/>
                <w:szCs w:val="14"/>
                <w:b w:val="1"/>
                <w:bCs w:val="1"/>
                <w:color w:val="auto"/>
                <w:w w:val="95"/>
              </w:rPr>
              <w:t>New York New York</w:t>
            </w:r>
          </w:p>
        </w:tc>
        <w:tc>
          <w:tcPr>
            <w:tcW w:w="2420" w:type="dxa"/>
            <w:vAlign w:val="bottom"/>
          </w:tcPr>
          <w:p>
            <w:pPr>
              <w:spacing w:after="0"/>
              <w:rPr>
                <w:sz w:val="12"/>
                <w:szCs w:val="12"/>
                <w:color w:val="auto"/>
              </w:rPr>
            </w:pPr>
          </w:p>
        </w:tc>
        <w:tc>
          <w:tcPr>
            <w:tcW w:w="3920" w:type="dxa"/>
            <w:vAlign w:val="bottom"/>
          </w:tcPr>
          <w:p>
            <w:pPr>
              <w:jc w:val="center"/>
              <w:ind w:right="1295"/>
              <w:spacing w:after="0"/>
              <w:rPr>
                <w:sz w:val="20"/>
                <w:szCs w:val="20"/>
                <w:color w:val="auto"/>
              </w:rPr>
            </w:pPr>
            <w:r>
              <w:rPr>
                <w:rFonts w:ascii="Arial" w:cs="Arial" w:eastAsia="Arial" w:hAnsi="Arial"/>
                <w:sz w:val="12"/>
                <w:szCs w:val="12"/>
                <w:color w:val="auto"/>
                <w:w w:val="91"/>
              </w:rPr>
              <w:t>(Zip Code)</w:t>
            </w:r>
          </w:p>
        </w:tc>
      </w:tr>
      <w:tr>
        <w:trPr>
          <w:trHeight w:val="147"/>
        </w:trPr>
        <w:tc>
          <w:tcPr>
            <w:tcW w:w="4940" w:type="dxa"/>
            <w:vAlign w:val="bottom"/>
          </w:tcPr>
          <w:p>
            <w:pPr>
              <w:jc w:val="center"/>
              <w:ind w:left="993"/>
              <w:spacing w:after="0"/>
              <w:rPr>
                <w:sz w:val="20"/>
                <w:szCs w:val="20"/>
                <w:color w:val="auto"/>
              </w:rPr>
            </w:pPr>
            <w:r>
              <w:rPr>
                <w:rFonts w:ascii="Arial" w:cs="Arial" w:eastAsia="Arial" w:hAnsi="Arial"/>
                <w:sz w:val="12"/>
                <w:szCs w:val="12"/>
                <w:color w:val="auto"/>
                <w:w w:val="89"/>
              </w:rPr>
              <w:t>(Address of principal executive offices)</w:t>
            </w:r>
          </w:p>
        </w:tc>
        <w:tc>
          <w:tcPr>
            <w:tcW w:w="242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225"/>
        </w:trPr>
        <w:tc>
          <w:tcPr>
            <w:tcW w:w="11280" w:type="dxa"/>
            <w:vAlign w:val="bottom"/>
            <w:gridSpan w:val="3"/>
          </w:tcPr>
          <w:p>
            <w:pPr>
              <w:jc w:val="center"/>
              <w:spacing w:after="0"/>
              <w:rPr>
                <w:sz w:val="20"/>
                <w:szCs w:val="20"/>
                <w:color w:val="auto"/>
              </w:rPr>
            </w:pPr>
            <w:r>
              <w:rPr>
                <w:rFonts w:ascii="Arial" w:cs="Arial" w:eastAsia="Arial" w:hAnsi="Arial"/>
                <w:sz w:val="14"/>
                <w:szCs w:val="14"/>
                <w:color w:val="auto"/>
                <w:w w:val="93"/>
              </w:rPr>
              <w:t>Registrant’s telephone number, including Area Code: (213) 235-2240</w:t>
            </w:r>
          </w:p>
        </w:tc>
      </w:tr>
      <w:tr>
        <w:trPr>
          <w:trHeight w:val="214"/>
        </w:trPr>
        <w:tc>
          <w:tcPr>
            <w:tcW w:w="7360" w:type="dxa"/>
            <w:vAlign w:val="bottom"/>
            <w:gridSpan w:val="2"/>
          </w:tcPr>
          <w:p>
            <w:pPr>
              <w:jc w:val="center"/>
              <w:ind w:left="3873"/>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920" w:type="dxa"/>
            <w:vAlign w:val="bottom"/>
          </w:tcPr>
          <w:p>
            <w:pPr>
              <w:spacing w:after="0"/>
              <w:rPr>
                <w:sz w:val="18"/>
                <w:szCs w:val="18"/>
                <w:color w:val="auto"/>
              </w:rPr>
            </w:pPr>
          </w:p>
        </w:tc>
      </w:tr>
      <w:tr>
        <w:trPr>
          <w:trHeight w:val="135"/>
        </w:trPr>
        <w:tc>
          <w:tcPr>
            <w:tcW w:w="4940" w:type="dxa"/>
            <w:vAlign w:val="bottom"/>
            <w:tcBorders>
              <w:bottom w:val="single" w:sz="8" w:color="auto"/>
            </w:tcBorders>
          </w:tcPr>
          <w:p>
            <w:pPr>
              <w:jc w:val="center"/>
              <w:ind w:right="53"/>
              <w:spacing w:after="0" w:line="135" w:lineRule="exact"/>
              <w:rPr>
                <w:sz w:val="20"/>
                <w:szCs w:val="20"/>
                <w:color w:val="auto"/>
              </w:rPr>
            </w:pPr>
            <w:r>
              <w:rPr>
                <w:rFonts w:ascii="Arial" w:cs="Arial" w:eastAsia="Arial" w:hAnsi="Arial"/>
                <w:sz w:val="12"/>
                <w:szCs w:val="12"/>
                <w:color w:val="auto"/>
                <w:w w:val="85"/>
              </w:rPr>
              <w:t>Title of each class</w:t>
            </w:r>
          </w:p>
        </w:tc>
        <w:tc>
          <w:tcPr>
            <w:tcW w:w="2420" w:type="dxa"/>
            <w:vAlign w:val="bottom"/>
            <w:tcBorders>
              <w:bottom w:val="single" w:sz="8" w:color="auto"/>
            </w:tcBorders>
          </w:tcPr>
          <w:p>
            <w:pPr>
              <w:jc w:val="center"/>
              <w:ind w:right="454"/>
              <w:spacing w:after="0" w:line="135" w:lineRule="exact"/>
              <w:rPr>
                <w:sz w:val="20"/>
                <w:szCs w:val="20"/>
                <w:color w:val="auto"/>
              </w:rPr>
            </w:pPr>
            <w:r>
              <w:rPr>
                <w:rFonts w:ascii="Arial" w:cs="Arial" w:eastAsia="Arial" w:hAnsi="Arial"/>
                <w:sz w:val="12"/>
                <w:szCs w:val="12"/>
                <w:color w:val="auto"/>
                <w:w w:val="88"/>
              </w:rPr>
              <w:t>Trading Symbol</w:t>
            </w:r>
          </w:p>
        </w:tc>
        <w:tc>
          <w:tcPr>
            <w:tcW w:w="3920" w:type="dxa"/>
            <w:vAlign w:val="bottom"/>
            <w:tcBorders>
              <w:bottom w:val="single" w:sz="8" w:color="auto"/>
            </w:tcBorders>
          </w:tcPr>
          <w:p>
            <w:pPr>
              <w:jc w:val="center"/>
              <w:ind w:right="335"/>
              <w:spacing w:after="0" w:line="135" w:lineRule="exact"/>
              <w:rPr>
                <w:sz w:val="20"/>
                <w:szCs w:val="20"/>
                <w:color w:val="auto"/>
              </w:rPr>
            </w:pPr>
            <w:r>
              <w:rPr>
                <w:rFonts w:ascii="Arial" w:cs="Arial" w:eastAsia="Arial" w:hAnsi="Arial"/>
                <w:sz w:val="12"/>
                <w:szCs w:val="12"/>
                <w:color w:val="auto"/>
                <w:w w:val="85"/>
              </w:rPr>
              <w:t>Name of each exchange on which registered</w:t>
            </w:r>
          </w:p>
        </w:tc>
      </w:tr>
      <w:tr>
        <w:trPr>
          <w:trHeight w:val="117"/>
        </w:trPr>
        <w:tc>
          <w:tcPr>
            <w:tcW w:w="4940" w:type="dxa"/>
            <w:vAlign w:val="bottom"/>
          </w:tcPr>
          <w:p>
            <w:pPr>
              <w:jc w:val="center"/>
              <w:ind w:right="53"/>
              <w:spacing w:after="0" w:line="118" w:lineRule="exact"/>
              <w:rPr>
                <w:sz w:val="20"/>
                <w:szCs w:val="20"/>
                <w:color w:val="auto"/>
              </w:rPr>
            </w:pPr>
            <w:r>
              <w:rPr>
                <w:rFonts w:ascii="Arial" w:cs="Arial" w:eastAsia="Arial" w:hAnsi="Arial"/>
                <w:sz w:val="13"/>
                <w:szCs w:val="13"/>
                <w:b w:val="1"/>
                <w:bCs w:val="1"/>
                <w:color w:val="auto"/>
                <w:w w:val="99"/>
              </w:rPr>
              <w:t>Class A Nonvoting Common Stock, $0.01 par value</w:t>
            </w:r>
          </w:p>
        </w:tc>
        <w:tc>
          <w:tcPr>
            <w:tcW w:w="2420" w:type="dxa"/>
            <w:vAlign w:val="bottom"/>
          </w:tcPr>
          <w:p>
            <w:pPr>
              <w:jc w:val="center"/>
              <w:ind w:right="454"/>
              <w:spacing w:after="0" w:line="118" w:lineRule="exact"/>
              <w:rPr>
                <w:sz w:val="20"/>
                <w:szCs w:val="20"/>
                <w:color w:val="auto"/>
              </w:rPr>
            </w:pPr>
            <w:r>
              <w:rPr>
                <w:rFonts w:ascii="Arial" w:cs="Arial" w:eastAsia="Arial" w:hAnsi="Arial"/>
                <w:sz w:val="13"/>
                <w:szCs w:val="13"/>
                <w:b w:val="1"/>
                <w:bCs w:val="1"/>
                <w:color w:val="auto"/>
              </w:rPr>
              <w:t>RDI</w:t>
            </w:r>
          </w:p>
        </w:tc>
        <w:tc>
          <w:tcPr>
            <w:tcW w:w="3920" w:type="dxa"/>
            <w:vAlign w:val="bottom"/>
          </w:tcPr>
          <w:p>
            <w:pPr>
              <w:jc w:val="center"/>
              <w:ind w:right="335"/>
              <w:spacing w:after="0" w:line="118" w:lineRule="exact"/>
              <w:rPr>
                <w:sz w:val="20"/>
                <w:szCs w:val="20"/>
                <w:color w:val="auto"/>
              </w:rPr>
            </w:pPr>
            <w:r>
              <w:rPr>
                <w:rFonts w:ascii="Arial" w:cs="Arial" w:eastAsia="Arial" w:hAnsi="Arial"/>
                <w:sz w:val="13"/>
                <w:szCs w:val="13"/>
                <w:b w:val="1"/>
                <w:bCs w:val="1"/>
                <w:color w:val="auto"/>
              </w:rPr>
              <w:t>NASDAQ</w:t>
            </w:r>
          </w:p>
        </w:tc>
      </w:tr>
      <w:tr>
        <w:trPr>
          <w:trHeight w:val="187"/>
        </w:trPr>
        <w:tc>
          <w:tcPr>
            <w:tcW w:w="4940" w:type="dxa"/>
            <w:vAlign w:val="bottom"/>
          </w:tcPr>
          <w:p>
            <w:pPr>
              <w:jc w:val="center"/>
              <w:ind w:right="53"/>
              <w:spacing w:after="0"/>
              <w:rPr>
                <w:sz w:val="20"/>
                <w:szCs w:val="20"/>
                <w:color w:val="auto"/>
              </w:rPr>
            </w:pPr>
            <w:r>
              <w:rPr>
                <w:rFonts w:ascii="Arial" w:cs="Arial" w:eastAsia="Arial" w:hAnsi="Arial"/>
                <w:sz w:val="14"/>
                <w:szCs w:val="14"/>
                <w:b w:val="1"/>
                <w:bCs w:val="1"/>
                <w:color w:val="auto"/>
                <w:w w:val="92"/>
              </w:rPr>
              <w:t>Class B Voting Common Stock, $0.01 par value</w:t>
            </w:r>
          </w:p>
        </w:tc>
        <w:tc>
          <w:tcPr>
            <w:tcW w:w="2420" w:type="dxa"/>
            <w:vAlign w:val="bottom"/>
          </w:tcPr>
          <w:p>
            <w:pPr>
              <w:jc w:val="center"/>
              <w:ind w:right="474"/>
              <w:spacing w:after="0"/>
              <w:rPr>
                <w:sz w:val="20"/>
                <w:szCs w:val="20"/>
                <w:color w:val="auto"/>
              </w:rPr>
            </w:pPr>
            <w:r>
              <w:rPr>
                <w:rFonts w:ascii="Arial" w:cs="Arial" w:eastAsia="Arial" w:hAnsi="Arial"/>
                <w:sz w:val="14"/>
                <w:szCs w:val="14"/>
                <w:b w:val="1"/>
                <w:bCs w:val="1"/>
                <w:color w:val="auto"/>
              </w:rPr>
              <w:t>RDIB</w:t>
            </w:r>
          </w:p>
        </w:tc>
        <w:tc>
          <w:tcPr>
            <w:tcW w:w="3920" w:type="dxa"/>
            <w:vAlign w:val="bottom"/>
          </w:tcPr>
          <w:p>
            <w:pPr>
              <w:jc w:val="center"/>
              <w:ind w:right="335"/>
              <w:spacing w:after="0"/>
              <w:rPr>
                <w:sz w:val="20"/>
                <w:szCs w:val="20"/>
                <w:color w:val="auto"/>
              </w:rPr>
            </w:pPr>
            <w:r>
              <w:rPr>
                <w:rFonts w:ascii="Arial" w:cs="Arial" w:eastAsia="Arial" w:hAnsi="Arial"/>
                <w:sz w:val="14"/>
                <w:szCs w:val="14"/>
                <w:b w:val="1"/>
                <w:bCs w:val="1"/>
                <w:color w:val="auto"/>
                <w:w w:val="98"/>
              </w:rPr>
              <w:t>NASDAQ</w:t>
            </w:r>
          </w:p>
        </w:tc>
      </w:tr>
      <w:tr>
        <w:trPr>
          <w:trHeight w:val="238"/>
        </w:trPr>
        <w:tc>
          <w:tcPr>
            <w:tcW w:w="1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Securities registered pursuant to Section 12(g) of the Act: None</w:t>
            </w:r>
          </w:p>
        </w:tc>
      </w:tr>
      <w:tr>
        <w:trPr>
          <w:trHeight w:val="238"/>
        </w:trPr>
        <w:tc>
          <w:tcPr>
            <w:tcW w:w="7360" w:type="dxa"/>
            <w:vAlign w:val="bottom"/>
            <w:gridSpan w:val="2"/>
          </w:tcPr>
          <w:p>
            <w:pPr>
              <w:spacing w:after="0" w:line="150" w:lineRule="exact"/>
              <w:rPr>
                <w:sz w:val="20"/>
                <w:szCs w:val="20"/>
                <w:color w:val="auto"/>
              </w:rPr>
            </w:pPr>
            <w:r>
              <w:rPr>
                <w:rFonts w:ascii="Arial" w:cs="Arial" w:eastAsia="Arial" w:hAnsi="Arial"/>
                <w:sz w:val="13"/>
                <w:szCs w:val="13"/>
                <w:color w:val="auto"/>
                <w:w w:val="97"/>
              </w:rPr>
              <w:t xml:space="preserve">Indicate by check mark if the registrant is a well-known seasoned issuer, as defined in Rule 405 of the Securities Act. Yes </w:t>
            </w:r>
            <w:r>
              <w:rPr>
                <w:rFonts w:ascii="MS PGothic" w:cs="MS PGothic" w:eastAsia="MS PGothic" w:hAnsi="MS PGothic"/>
                <w:sz w:val="13"/>
                <w:szCs w:val="13"/>
                <w:color w:val="auto"/>
                <w:highlight w:val="black"/>
                <w:w w:val="97"/>
              </w:rPr>
              <w:t>☐</w:t>
            </w:r>
            <w:r>
              <w:rPr>
                <w:rFonts w:ascii="Arial" w:cs="Arial" w:eastAsia="Arial" w:hAnsi="Arial"/>
                <w:sz w:val="13"/>
                <w:szCs w:val="13"/>
                <w:color w:val="auto"/>
                <w:w w:val="97"/>
              </w:rPr>
              <w:t xml:space="preserve"> No </w:t>
            </w:r>
            <w:r>
              <w:rPr>
                <w:rFonts w:ascii="MS PGothic" w:cs="MS PGothic" w:eastAsia="MS PGothic" w:hAnsi="MS PGothic"/>
                <w:sz w:val="13"/>
                <w:szCs w:val="13"/>
                <w:color w:val="auto"/>
                <w:highlight w:val="black"/>
                <w:w w:val="97"/>
              </w:rPr>
              <w:t>☑</w:t>
            </w:r>
          </w:p>
        </w:tc>
        <w:tc>
          <w:tcPr>
            <w:tcW w:w="3920" w:type="dxa"/>
            <w:vAlign w:val="bottom"/>
          </w:tcPr>
          <w:p>
            <w:pPr>
              <w:spacing w:after="0"/>
              <w:rPr>
                <w:sz w:val="20"/>
                <w:szCs w:val="20"/>
                <w:color w:val="auto"/>
              </w:rPr>
            </w:pPr>
          </w:p>
        </w:tc>
      </w:tr>
      <w:tr>
        <w:trPr>
          <w:trHeight w:val="206"/>
        </w:trPr>
        <w:tc>
          <w:tcPr>
            <w:tcW w:w="7360" w:type="dxa"/>
            <w:vAlign w:val="bottom"/>
            <w:gridSpan w:val="2"/>
          </w:tcPr>
          <w:p>
            <w:pPr>
              <w:spacing w:after="0"/>
              <w:rPr>
                <w:sz w:val="20"/>
                <w:szCs w:val="20"/>
                <w:color w:val="auto"/>
              </w:rPr>
            </w:pPr>
            <w:r>
              <w:rPr>
                <w:rFonts w:ascii="Arial" w:cs="Arial" w:eastAsia="Arial" w:hAnsi="Arial"/>
                <w:sz w:val="13"/>
                <w:szCs w:val="13"/>
                <w:color w:val="auto"/>
                <w:w w:val="91"/>
              </w:rPr>
              <w:t>Indicate by check mark if the registrant is not required to file reports pursuant to Section 13 or 15(d) of the Securities Exchange Act of 1934.</w:t>
            </w:r>
          </w:p>
        </w:tc>
        <w:tc>
          <w:tcPr>
            <w:tcW w:w="3920" w:type="dxa"/>
            <w:vAlign w:val="bottom"/>
          </w:tcPr>
          <w:p>
            <w:pPr>
              <w:ind w:left="4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p>
        </w:tc>
      </w:tr>
    </w:tbl>
    <w:p>
      <w:pPr>
        <w:spacing w:after="0" w:line="17" w:lineRule="exact"/>
        <w:rPr>
          <w:sz w:val="24"/>
          <w:szCs w:val="24"/>
          <w:color w:val="auto"/>
        </w:rPr>
      </w:pPr>
    </w:p>
    <w:p>
      <w:pPr>
        <w:ind w:right="40"/>
        <w:spacing w:after="0" w:line="154" w:lineRule="exact"/>
        <w:rPr>
          <w:sz w:val="20"/>
          <w:szCs w:val="20"/>
          <w:color w:val="auto"/>
        </w:rPr>
      </w:pPr>
      <w:r>
        <w:rPr>
          <w:rFonts w:ascii="Arial" w:cs="Arial" w:eastAsia="Arial" w:hAnsi="Arial"/>
          <w:sz w:val="13"/>
          <w:szCs w:val="13"/>
          <w:color w:val="auto"/>
        </w:rPr>
        <w:t xml:space="preserve">Indicate by check mark whether registrant (1) has filed all reports required to be filed by Section 13 or 15(d) of the Exchange Act of 1934 during the preceding 12 months (or for shorter period than the Registrant was required to file such reports), and (2) has been subject to such filing requirements for the past 90 days. Yes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p>
    <w:p>
      <w:pPr>
        <w:spacing w:after="0" w:line="28" w:lineRule="exact"/>
        <w:rPr>
          <w:sz w:val="24"/>
          <w:szCs w:val="24"/>
          <w:color w:val="auto"/>
        </w:rPr>
      </w:pPr>
    </w:p>
    <w:p>
      <w:pPr>
        <w:spacing w:after="0" w:line="15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post such files). Yes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p>
    <w:p>
      <w:pPr>
        <w:spacing w:after="0" w:line="28" w:lineRule="exact"/>
        <w:rPr>
          <w:sz w:val="24"/>
          <w:szCs w:val="24"/>
          <w:color w:val="auto"/>
        </w:rPr>
      </w:pPr>
    </w:p>
    <w:p>
      <w:pPr>
        <w:ind w:right="520"/>
        <w:spacing w:after="0" w:line="23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p>
      <w:pPr>
        <w:spacing w:after="0" w:line="150" w:lineRule="exact"/>
        <w:tabs>
          <w:tab w:leader="none" w:pos="568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Accelerated Filer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Non-Accelerated Filer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Smaller Reporting Company </w:t>
      </w:r>
      <w:r>
        <w:rPr>
          <w:rFonts w:ascii="MS PGothic" w:cs="MS PGothic" w:eastAsia="MS PGothic" w:hAnsi="MS PGothic"/>
          <w:sz w:val="13"/>
          <w:szCs w:val="13"/>
          <w:color w:val="auto"/>
          <w:highlight w:val="black"/>
        </w:rPr>
        <w:t>☐</w:t>
      </w:r>
      <w:r>
        <w:rPr>
          <w:sz w:val="20"/>
          <w:szCs w:val="20"/>
          <w:color w:val="auto"/>
        </w:rPr>
        <w:tab/>
      </w: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highlight w:val="black"/>
        </w:rPr>
        <w:t>☐</w:t>
      </w:r>
    </w:p>
    <w:p>
      <w:pPr>
        <w:spacing w:after="0" w:line="92" w:lineRule="exact"/>
        <w:rPr>
          <w:sz w:val="24"/>
          <w:szCs w:val="24"/>
          <w:color w:val="auto"/>
        </w:rPr>
      </w:pPr>
    </w:p>
    <w:p>
      <w:pPr>
        <w:spacing w:after="0" w:line="253"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4"/>
          <w:szCs w:val="14"/>
          <w:color w:val="auto"/>
        </w:rPr>
        <w:t>.</w:t>
      </w:r>
    </w:p>
    <w:p>
      <w:pPr>
        <w:spacing w:after="0" w:line="41" w:lineRule="exact"/>
        <w:rPr>
          <w:sz w:val="24"/>
          <w:szCs w:val="24"/>
          <w:color w:val="auto"/>
        </w:rPr>
      </w:pPr>
    </w:p>
    <w:p>
      <w:pPr>
        <w:ind w:right="460"/>
        <w:spacing w:after="0" w:line="154"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highlight w:val="black"/>
        </w:rPr>
        <w:t>☑</w:t>
      </w: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p>
    <w:p>
      <w:pPr>
        <w:spacing w:after="0" w:line="74" w:lineRule="exact"/>
        <w:rPr>
          <w:sz w:val="24"/>
          <w:szCs w:val="24"/>
          <w:color w:val="auto"/>
        </w:rPr>
      </w:pPr>
    </w:p>
    <w:p>
      <w:pPr>
        <w:ind w:right="180"/>
        <w:spacing w:after="0" w:line="222" w:lineRule="auto"/>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 As of June 30, 2021 (the last business day of the registrant’s most recently completed second fiscal quarter), the aggregate market value of the registrant's voting and non-voting common equity held by non-affiliates based on the closing price on that date as reported by the Nasdaq Stock Market was $124,342,409. As of March 15, 2022, there were 20,314,372 shares of class A non-voting common stock, par value $0.01 per share and 1,680,590 shares of class B voting common stock, par value $0.01 per share, outstanding.</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3"/>
          <w:szCs w:val="13"/>
          <w:u w:val="single" w:color="auto"/>
          <w:color w:val="auto"/>
        </w:rPr>
        <w:t>Documents Incorporated by Reference</w:t>
      </w:r>
    </w:p>
    <w:p>
      <w:pPr>
        <w:spacing w:after="0" w:line="67" w:lineRule="exact"/>
        <w:rPr>
          <w:sz w:val="24"/>
          <w:szCs w:val="24"/>
          <w:color w:val="auto"/>
        </w:rPr>
      </w:pPr>
    </w:p>
    <w:p>
      <w:pPr>
        <w:ind w:right="80"/>
        <w:spacing w:after="0" w:line="235" w:lineRule="auto"/>
        <w:rPr>
          <w:sz w:val="20"/>
          <w:szCs w:val="20"/>
          <w:color w:val="auto"/>
        </w:rPr>
      </w:pPr>
      <w:r>
        <w:rPr>
          <w:rFonts w:ascii="Arial" w:cs="Arial" w:eastAsia="Arial" w:hAnsi="Arial"/>
          <w:sz w:val="13"/>
          <w:szCs w:val="13"/>
          <w:color w:val="auto"/>
        </w:rPr>
        <w:t>Certain portions of the registrant’s definitive Proxy Statement for the 2022 annual meeting of the stockholders to be filed with the Securities and Exchange Commission within 120 days after the end of the fiscal year ended December 31, 2021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85025"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40" w:type="dxa"/>
            <w:vAlign w:val="bottom"/>
            <w:gridSpan w:val="13"/>
          </w:tcPr>
          <w:p>
            <w:pPr>
              <w:jc w:val="center"/>
              <w:ind w:left="52"/>
              <w:spacing w:after="0"/>
              <w:rPr>
                <w:sz w:val="20"/>
                <w:szCs w:val="20"/>
                <w:color w:val="auto"/>
              </w:rPr>
            </w:pPr>
            <w:r>
              <w:rPr>
                <w:rFonts w:ascii="Arial" w:cs="Arial" w:eastAsia="Arial" w:hAnsi="Arial"/>
                <w:sz w:val="22"/>
                <w:szCs w:val="22"/>
                <w:b w:val="1"/>
                <w:bCs w:val="1"/>
                <w:color w:val="auto"/>
              </w:rPr>
              <w:t>READING INTERNATIONAL, INC.</w:t>
            </w:r>
          </w:p>
        </w:tc>
        <w:tc>
          <w:tcPr>
            <w:tcW w:w="3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340" w:type="dxa"/>
            <w:vAlign w:val="bottom"/>
            <w:tcBorders>
              <w:top w:val="single" w:sz="8" w:color="auto"/>
            </w:tcBorders>
            <w:gridSpan w:val="11"/>
          </w:tcPr>
          <w:p>
            <w:pPr>
              <w:jc w:val="center"/>
              <w:ind w:right="140"/>
              <w:spacing w:after="0" w:line="137" w:lineRule="exact"/>
              <w:rPr>
                <w:sz w:val="20"/>
                <w:szCs w:val="20"/>
                <w:color w:val="auto"/>
              </w:rPr>
            </w:pPr>
            <w:r>
              <w:rPr>
                <w:rFonts w:ascii="Arial" w:cs="Arial" w:eastAsia="Arial" w:hAnsi="Arial"/>
                <w:sz w:val="14"/>
                <w:szCs w:val="14"/>
                <w:b w:val="1"/>
                <w:bCs w:val="1"/>
                <w:color w:val="auto"/>
              </w:rPr>
              <w:t>ANNUAL REPORT ON FORM 10-K</w:t>
            </w:r>
          </w:p>
        </w:tc>
        <w:tc>
          <w:tcPr>
            <w:tcW w:w="3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40" w:type="dxa"/>
            <w:vAlign w:val="bottom"/>
            <w:gridSpan w:val="11"/>
          </w:tcPr>
          <w:p>
            <w:pPr>
              <w:jc w:val="center"/>
              <w:ind w:right="140"/>
              <w:spacing w:after="0" w:line="156" w:lineRule="exact"/>
              <w:rPr>
                <w:sz w:val="20"/>
                <w:szCs w:val="20"/>
                <w:color w:val="auto"/>
              </w:rPr>
            </w:pPr>
            <w:r>
              <w:rPr>
                <w:rFonts w:ascii="Arial" w:cs="Arial" w:eastAsia="Arial" w:hAnsi="Arial"/>
                <w:sz w:val="14"/>
                <w:szCs w:val="14"/>
                <w:b w:val="1"/>
                <w:bCs w:val="1"/>
                <w:color w:val="auto"/>
              </w:rPr>
              <w:t>YEAR ENDED DECEMBER 31, 2021</w:t>
            </w:r>
          </w:p>
        </w:tc>
        <w:tc>
          <w:tcPr>
            <w:tcW w:w="3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40" w:type="dxa"/>
            <w:vAlign w:val="bottom"/>
            <w:gridSpan w:val="9"/>
          </w:tcPr>
          <w:p>
            <w:pPr>
              <w:jc w:val="center"/>
              <w:ind w:right="1140"/>
              <w:spacing w:after="0" w:line="151" w:lineRule="exact"/>
              <w:rPr>
                <w:sz w:val="20"/>
                <w:szCs w:val="20"/>
                <w:color w:val="auto"/>
              </w:rPr>
            </w:pPr>
            <w:r>
              <w:rPr>
                <w:rFonts w:ascii="Arial" w:cs="Arial" w:eastAsia="Arial" w:hAnsi="Arial"/>
                <w:sz w:val="14"/>
                <w:szCs w:val="14"/>
                <w:color w:val="auto"/>
              </w:rPr>
              <w:t>INDEX</w:t>
            </w:r>
          </w:p>
        </w:tc>
        <w:tc>
          <w:tcPr>
            <w:tcW w:w="3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73"/>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3"/>
              </w:rPr>
              <w:t>Page</w:t>
            </w:r>
          </w:p>
        </w:tc>
        <w:tc>
          <w:tcPr>
            <w:tcW w:w="180" w:type="dxa"/>
            <w:vAlign w:val="bottom"/>
          </w:tcPr>
          <w:p>
            <w:pPr>
              <w:spacing w:after="0"/>
              <w:rPr>
                <w:sz w:val="23"/>
                <w:szCs w:val="23"/>
                <w:color w:val="auto"/>
              </w:rPr>
            </w:pPr>
          </w:p>
        </w:tc>
      </w:tr>
      <w:tr>
        <w:trPr>
          <w:trHeight w:val="121"/>
        </w:trPr>
        <w:tc>
          <w:tcPr>
            <w:tcW w:w="20" w:type="dxa"/>
            <w:vAlign w:val="bottom"/>
            <w:shd w:val="clear" w:color="auto" w:fill="CCEEFF"/>
          </w:tcPr>
          <w:p>
            <w:pPr>
              <w:spacing w:after="0"/>
              <w:rPr>
                <w:sz w:val="10"/>
                <w:szCs w:val="10"/>
                <w:color w:val="auto"/>
              </w:rPr>
            </w:pPr>
          </w:p>
        </w:tc>
        <w:tc>
          <w:tcPr>
            <w:tcW w:w="7360" w:type="dxa"/>
            <w:vAlign w:val="bottom"/>
            <w:gridSpan w:val="27"/>
            <w:shd w:val="clear" w:color="auto" w:fill="CCEEFF"/>
          </w:tcPr>
          <w:p>
            <w:pPr>
              <w:spacing w:after="0" w:line="121" w:lineRule="exact"/>
              <w:rPr>
                <w:rFonts w:ascii="Arial" w:cs="Arial" w:eastAsia="Arial" w:hAnsi="Arial"/>
                <w:sz w:val="14"/>
                <w:szCs w:val="14"/>
                <w:b w:val="1"/>
                <w:bCs w:val="1"/>
                <w:color w:val="0000FF"/>
              </w:rPr>
            </w:pPr>
            <w:hyperlink w:anchor="page3">
              <w:r>
                <w:rPr>
                  <w:rFonts w:ascii="Arial" w:cs="Arial" w:eastAsia="Arial" w:hAnsi="Arial"/>
                  <w:sz w:val="14"/>
                  <w:szCs w:val="14"/>
                  <w:b w:val="1"/>
                  <w:bCs w:val="1"/>
                  <w:color w:val="0000FF"/>
                </w:rPr>
                <w:t>PART I</w:t>
              </w:r>
            </w:hyperlink>
          </w:p>
        </w:tc>
        <w:tc>
          <w:tcPr>
            <w:tcW w:w="3720" w:type="dxa"/>
            <w:vAlign w:val="bottom"/>
            <w:gridSpan w:val="2"/>
            <w:shd w:val="clear" w:color="auto" w:fill="CCEEFF"/>
          </w:tcPr>
          <w:p>
            <w:pPr>
              <w:jc w:val="center"/>
              <w:ind w:left="3368"/>
              <w:spacing w:after="0" w:line="121" w:lineRule="exact"/>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0"/>
                <w:szCs w:val="10"/>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FF"/>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360" w:type="dxa"/>
            <w:vAlign w:val="bottom"/>
            <w:gridSpan w:val="27"/>
          </w:tcPr>
          <w:p>
            <w:pPr>
              <w:spacing w:after="0" w:line="130" w:lineRule="exact"/>
              <w:rPr>
                <w:rFonts w:ascii="Arial" w:cs="Arial" w:eastAsia="Arial" w:hAnsi="Arial"/>
                <w:sz w:val="14"/>
                <w:szCs w:val="14"/>
                <w:color w:val="0000FF"/>
              </w:rPr>
            </w:pPr>
            <w:hyperlink w:anchor="page3">
              <w:r>
                <w:rPr>
                  <w:rFonts w:ascii="Arial" w:cs="Arial" w:eastAsia="Arial" w:hAnsi="Arial"/>
                  <w:sz w:val="14"/>
                  <w:szCs w:val="14"/>
                  <w:color w:val="0000FF"/>
                </w:rPr>
                <w:t>Item 1 – Our Business</w:t>
              </w:r>
            </w:hyperlink>
          </w:p>
        </w:tc>
        <w:tc>
          <w:tcPr>
            <w:tcW w:w="3720" w:type="dxa"/>
            <w:vAlign w:val="bottom"/>
            <w:gridSpan w:val="2"/>
          </w:tcPr>
          <w:p>
            <w:pPr>
              <w:jc w:val="center"/>
              <w:ind w:left="3368"/>
              <w:spacing w:after="0" w:line="130"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30"/>
        </w:trPr>
        <w:tc>
          <w:tcPr>
            <w:tcW w:w="20" w:type="dxa"/>
            <w:vAlign w:val="bottom"/>
            <w:shd w:val="clear" w:color="auto" w:fill="CCEEFF"/>
          </w:tcPr>
          <w:p>
            <w:pPr>
              <w:spacing w:after="0"/>
              <w:rPr>
                <w:sz w:val="11"/>
                <w:szCs w:val="11"/>
                <w:color w:val="auto"/>
              </w:rPr>
            </w:pPr>
          </w:p>
        </w:tc>
        <w:tc>
          <w:tcPr>
            <w:tcW w:w="7360" w:type="dxa"/>
            <w:vAlign w:val="bottom"/>
            <w:gridSpan w:val="27"/>
            <w:shd w:val="clear" w:color="auto" w:fill="CCEEFF"/>
          </w:tcPr>
          <w:p>
            <w:pPr>
              <w:spacing w:after="0" w:line="130" w:lineRule="exact"/>
              <w:rPr>
                <w:rFonts w:ascii="Arial" w:cs="Arial" w:eastAsia="Arial" w:hAnsi="Arial"/>
                <w:sz w:val="14"/>
                <w:szCs w:val="14"/>
                <w:color w:val="0000FF"/>
              </w:rPr>
            </w:pPr>
            <w:hyperlink w:anchor="page20">
              <w:r>
                <w:rPr>
                  <w:rFonts w:ascii="Arial" w:cs="Arial" w:eastAsia="Arial" w:hAnsi="Arial"/>
                  <w:sz w:val="14"/>
                  <w:szCs w:val="14"/>
                  <w:color w:val="0000FF"/>
                </w:rPr>
                <w:t>Item 1A – Risk Factors</w:t>
              </w:r>
            </w:hyperlink>
          </w:p>
        </w:tc>
        <w:tc>
          <w:tcPr>
            <w:tcW w:w="3720" w:type="dxa"/>
            <w:vAlign w:val="bottom"/>
            <w:gridSpan w:val="2"/>
            <w:shd w:val="clear" w:color="auto" w:fill="CCEEFF"/>
          </w:tcPr>
          <w:p>
            <w:pPr>
              <w:jc w:val="center"/>
              <w:ind w:left="3368"/>
              <w:spacing w:after="0" w:line="130" w:lineRule="exact"/>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1"/>
                <w:szCs w:val="1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260" w:type="dxa"/>
            <w:vAlign w:val="bottom"/>
            <w:tcBorders>
              <w:bottom w:val="single" w:sz="8" w:color="0000FF"/>
            </w:tcBorders>
            <w:gridSpan w:val="9"/>
          </w:tcPr>
          <w:p>
            <w:pPr>
              <w:spacing w:after="0" w:line="130" w:lineRule="exact"/>
              <w:rPr>
                <w:rFonts w:ascii="Arial" w:cs="Arial" w:eastAsia="Arial" w:hAnsi="Arial"/>
                <w:sz w:val="14"/>
                <w:szCs w:val="14"/>
                <w:color w:val="0000FF"/>
                <w:w w:val="93"/>
              </w:rPr>
            </w:pPr>
            <w:hyperlink w:anchor="page29">
              <w:r>
                <w:rPr>
                  <w:rFonts w:ascii="Arial" w:cs="Arial" w:eastAsia="Arial" w:hAnsi="Arial"/>
                  <w:sz w:val="14"/>
                  <w:szCs w:val="14"/>
                  <w:color w:val="0000FF"/>
                  <w:w w:val="93"/>
                </w:rPr>
                <w:t>Item 1B – Unresolved Staff Comments</w:t>
              </w:r>
            </w:hyperlink>
          </w:p>
        </w:tc>
        <w:tc>
          <w:tcPr>
            <w:tcW w:w="5100" w:type="dxa"/>
            <w:vAlign w:val="bottom"/>
            <w:gridSpan w:val="18"/>
          </w:tcPr>
          <w:p>
            <w:pPr>
              <w:spacing w:after="0"/>
              <w:rPr>
                <w:sz w:val="11"/>
                <w:szCs w:val="11"/>
                <w:color w:val="auto"/>
              </w:rPr>
            </w:pPr>
          </w:p>
        </w:tc>
        <w:tc>
          <w:tcPr>
            <w:tcW w:w="3720" w:type="dxa"/>
            <w:vAlign w:val="bottom"/>
            <w:gridSpan w:val="2"/>
          </w:tcPr>
          <w:p>
            <w:pPr>
              <w:jc w:val="center"/>
              <w:ind w:left="3368"/>
              <w:spacing w:after="0" w:line="130" w:lineRule="exact"/>
              <w:rPr>
                <w:sz w:val="20"/>
                <w:szCs w:val="20"/>
                <w:color w:val="auto"/>
              </w:rPr>
            </w:pPr>
            <w:r>
              <w:rPr>
                <w:rFonts w:ascii="Arial" w:cs="Arial" w:eastAsia="Arial" w:hAnsi="Arial"/>
                <w:sz w:val="14"/>
                <w:szCs w:val="14"/>
                <w:color w:val="auto"/>
              </w:rPr>
              <w:t>29</w:t>
            </w:r>
          </w:p>
        </w:tc>
        <w:tc>
          <w:tcPr>
            <w:tcW w:w="180" w:type="dxa"/>
            <w:vAlign w:val="bottom"/>
          </w:tcPr>
          <w:p>
            <w:pPr>
              <w:spacing w:after="0"/>
              <w:rPr>
                <w:sz w:val="11"/>
                <w:szCs w:val="11"/>
                <w:color w:val="auto"/>
              </w:rPr>
            </w:pPr>
          </w:p>
        </w:tc>
      </w:tr>
      <w:tr>
        <w:trPr>
          <w:trHeight w:val="130"/>
        </w:trPr>
        <w:tc>
          <w:tcPr>
            <w:tcW w:w="20" w:type="dxa"/>
            <w:vAlign w:val="bottom"/>
            <w:shd w:val="clear" w:color="auto" w:fill="CCEEFF"/>
          </w:tcPr>
          <w:p>
            <w:pPr>
              <w:spacing w:after="0"/>
              <w:rPr>
                <w:sz w:val="11"/>
                <w:szCs w:val="11"/>
                <w:color w:val="auto"/>
              </w:rPr>
            </w:pPr>
          </w:p>
        </w:tc>
        <w:tc>
          <w:tcPr>
            <w:tcW w:w="7360" w:type="dxa"/>
            <w:vAlign w:val="bottom"/>
            <w:gridSpan w:val="27"/>
            <w:shd w:val="clear" w:color="auto" w:fill="CCEEFF"/>
          </w:tcPr>
          <w:p>
            <w:pPr>
              <w:spacing w:after="0" w:line="130" w:lineRule="exact"/>
              <w:rPr>
                <w:rFonts w:ascii="Arial" w:cs="Arial" w:eastAsia="Arial" w:hAnsi="Arial"/>
                <w:sz w:val="14"/>
                <w:szCs w:val="14"/>
                <w:color w:val="0000FF"/>
              </w:rPr>
            </w:pPr>
            <w:hyperlink w:anchor="page30">
              <w:r>
                <w:rPr>
                  <w:rFonts w:ascii="Arial" w:cs="Arial" w:eastAsia="Arial" w:hAnsi="Arial"/>
                  <w:sz w:val="14"/>
                  <w:szCs w:val="14"/>
                  <w:color w:val="0000FF"/>
                </w:rPr>
                <w:t>Item 2 – Properties</w:t>
              </w:r>
            </w:hyperlink>
          </w:p>
        </w:tc>
        <w:tc>
          <w:tcPr>
            <w:tcW w:w="3720" w:type="dxa"/>
            <w:vAlign w:val="bottom"/>
            <w:gridSpan w:val="2"/>
            <w:shd w:val="clear" w:color="auto" w:fill="CCEEFF"/>
          </w:tcPr>
          <w:p>
            <w:pPr>
              <w:jc w:val="center"/>
              <w:ind w:left="3368"/>
              <w:spacing w:after="0" w:line="130" w:lineRule="exact"/>
              <w:rPr>
                <w:sz w:val="20"/>
                <w:szCs w:val="20"/>
                <w:color w:val="auto"/>
              </w:rPr>
            </w:pPr>
            <w:r>
              <w:rPr>
                <w:rFonts w:ascii="Arial" w:cs="Arial" w:eastAsia="Arial" w:hAnsi="Arial"/>
                <w:sz w:val="14"/>
                <w:szCs w:val="14"/>
                <w:color w:val="auto"/>
              </w:rPr>
              <w:t>30</w:t>
            </w:r>
          </w:p>
        </w:tc>
        <w:tc>
          <w:tcPr>
            <w:tcW w:w="180" w:type="dxa"/>
            <w:vAlign w:val="bottom"/>
            <w:shd w:val="clear" w:color="auto" w:fill="CCEEFF"/>
          </w:tcPr>
          <w:p>
            <w:pPr>
              <w:spacing w:after="0"/>
              <w:rPr>
                <w:sz w:val="11"/>
                <w:szCs w:val="1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360" w:type="dxa"/>
            <w:vAlign w:val="bottom"/>
            <w:gridSpan w:val="27"/>
          </w:tcPr>
          <w:p>
            <w:pPr>
              <w:spacing w:after="0" w:line="130" w:lineRule="exact"/>
              <w:rPr>
                <w:rFonts w:ascii="Arial" w:cs="Arial" w:eastAsia="Arial" w:hAnsi="Arial"/>
                <w:sz w:val="14"/>
                <w:szCs w:val="14"/>
                <w:color w:val="0000FF"/>
              </w:rPr>
            </w:pPr>
            <w:hyperlink w:anchor="page32">
              <w:r>
                <w:rPr>
                  <w:rFonts w:ascii="Arial" w:cs="Arial" w:eastAsia="Arial" w:hAnsi="Arial"/>
                  <w:sz w:val="14"/>
                  <w:szCs w:val="14"/>
                  <w:color w:val="0000FF"/>
                </w:rPr>
                <w:t>Item 3 – Legal Proceedings</w:t>
              </w:r>
            </w:hyperlink>
          </w:p>
        </w:tc>
        <w:tc>
          <w:tcPr>
            <w:tcW w:w="3720" w:type="dxa"/>
            <w:vAlign w:val="bottom"/>
            <w:gridSpan w:val="2"/>
          </w:tcPr>
          <w:p>
            <w:pPr>
              <w:jc w:val="center"/>
              <w:ind w:left="3368"/>
              <w:spacing w:after="0" w:line="130" w:lineRule="exact"/>
              <w:rPr>
                <w:sz w:val="20"/>
                <w:szCs w:val="20"/>
                <w:color w:val="auto"/>
              </w:rPr>
            </w:pPr>
            <w:r>
              <w:rPr>
                <w:rFonts w:ascii="Arial" w:cs="Arial" w:eastAsia="Arial" w:hAnsi="Arial"/>
                <w:sz w:val="14"/>
                <w:szCs w:val="14"/>
                <w:color w:val="auto"/>
              </w:rPr>
              <w:t>32</w:t>
            </w:r>
          </w:p>
        </w:tc>
        <w:tc>
          <w:tcPr>
            <w:tcW w:w="18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32"/>
        </w:trPr>
        <w:tc>
          <w:tcPr>
            <w:tcW w:w="20" w:type="dxa"/>
            <w:vAlign w:val="bottom"/>
            <w:tcBorders>
              <w:bottom w:val="single" w:sz="8" w:color="CCEEFF"/>
            </w:tcBorders>
            <w:shd w:val="clear" w:color="auto" w:fill="CCEEFF"/>
          </w:tcPr>
          <w:p>
            <w:pPr>
              <w:spacing w:after="0"/>
              <w:rPr>
                <w:sz w:val="11"/>
                <w:szCs w:val="11"/>
                <w:color w:val="auto"/>
              </w:rPr>
            </w:pPr>
          </w:p>
        </w:tc>
        <w:tc>
          <w:tcPr>
            <w:tcW w:w="1940" w:type="dxa"/>
            <w:vAlign w:val="bottom"/>
            <w:tcBorders>
              <w:bottom w:val="single" w:sz="8" w:color="0000FF"/>
            </w:tcBorders>
            <w:gridSpan w:val="7"/>
            <w:shd w:val="clear" w:color="auto" w:fill="CCEEFF"/>
          </w:tcPr>
          <w:p>
            <w:pPr>
              <w:spacing w:after="0" w:line="130" w:lineRule="exact"/>
              <w:rPr>
                <w:rFonts w:ascii="Arial" w:cs="Arial" w:eastAsia="Arial" w:hAnsi="Arial"/>
                <w:sz w:val="14"/>
                <w:szCs w:val="14"/>
                <w:color w:val="0000FF"/>
                <w:w w:val="93"/>
              </w:rPr>
            </w:pPr>
            <w:hyperlink w:anchor="page32">
              <w:r>
                <w:rPr>
                  <w:rFonts w:ascii="Arial" w:cs="Arial" w:eastAsia="Arial" w:hAnsi="Arial"/>
                  <w:sz w:val="14"/>
                  <w:szCs w:val="14"/>
                  <w:color w:val="0000FF"/>
                  <w:w w:val="93"/>
                </w:rPr>
                <w:t>Item 4 – Mine Safety Disclosures</w:t>
              </w:r>
            </w:hyperlink>
          </w:p>
        </w:tc>
        <w:tc>
          <w:tcPr>
            <w:tcW w:w="5420" w:type="dxa"/>
            <w:vAlign w:val="bottom"/>
            <w:tcBorders>
              <w:bottom w:val="single" w:sz="8" w:color="CCEEFF"/>
            </w:tcBorders>
            <w:gridSpan w:val="20"/>
            <w:shd w:val="clear" w:color="auto" w:fill="CCEEFF"/>
          </w:tcPr>
          <w:p>
            <w:pPr>
              <w:spacing w:after="0"/>
              <w:rPr>
                <w:sz w:val="11"/>
                <w:szCs w:val="11"/>
                <w:color w:val="auto"/>
              </w:rPr>
            </w:pPr>
          </w:p>
        </w:tc>
        <w:tc>
          <w:tcPr>
            <w:tcW w:w="3720" w:type="dxa"/>
            <w:vAlign w:val="bottom"/>
            <w:tcBorders>
              <w:bottom w:val="single" w:sz="8" w:color="CCEEFF"/>
            </w:tcBorders>
            <w:gridSpan w:val="2"/>
            <w:shd w:val="clear" w:color="auto" w:fill="CCEEFF"/>
          </w:tcPr>
          <w:p>
            <w:pPr>
              <w:jc w:val="center"/>
              <w:ind w:left="3368"/>
              <w:spacing w:after="0" w:line="130" w:lineRule="exact"/>
              <w:rPr>
                <w:sz w:val="20"/>
                <w:szCs w:val="20"/>
                <w:color w:val="auto"/>
              </w:rPr>
            </w:pPr>
            <w:r>
              <w:rPr>
                <w:rFonts w:ascii="Arial" w:cs="Arial" w:eastAsia="Arial" w:hAnsi="Arial"/>
                <w:sz w:val="14"/>
                <w:szCs w:val="14"/>
                <w:color w:val="auto"/>
              </w:rPr>
              <w:t>32</w:t>
            </w:r>
          </w:p>
        </w:tc>
        <w:tc>
          <w:tcPr>
            <w:tcW w:w="180" w:type="dxa"/>
            <w:vAlign w:val="bottom"/>
            <w:tcBorders>
              <w:bottom w:val="single" w:sz="8" w:color="CCEEFF"/>
            </w:tcBorders>
            <w:shd w:val="clear" w:color="auto" w:fill="CCEEFF"/>
          </w:tcPr>
          <w:p>
            <w:pPr>
              <w:spacing w:after="0"/>
              <w:rPr>
                <w:sz w:val="11"/>
                <w:szCs w:val="11"/>
                <w:color w:val="auto"/>
              </w:rPr>
            </w:pPr>
          </w:p>
        </w:tc>
      </w:tr>
      <w:tr>
        <w:trPr>
          <w:trHeight w:val="130"/>
        </w:trPr>
        <w:tc>
          <w:tcPr>
            <w:tcW w:w="20" w:type="dxa"/>
            <w:vAlign w:val="bottom"/>
          </w:tcPr>
          <w:p>
            <w:pPr>
              <w:spacing w:after="0"/>
              <w:rPr>
                <w:sz w:val="11"/>
                <w:szCs w:val="11"/>
                <w:color w:val="auto"/>
              </w:rPr>
            </w:pPr>
          </w:p>
        </w:tc>
        <w:tc>
          <w:tcPr>
            <w:tcW w:w="7360" w:type="dxa"/>
            <w:vAlign w:val="bottom"/>
            <w:gridSpan w:val="27"/>
          </w:tcPr>
          <w:p>
            <w:pPr>
              <w:spacing w:after="0" w:line="130" w:lineRule="exact"/>
              <w:rPr>
                <w:rFonts w:ascii="Arial" w:cs="Arial" w:eastAsia="Arial" w:hAnsi="Arial"/>
                <w:sz w:val="14"/>
                <w:szCs w:val="14"/>
                <w:b w:val="1"/>
                <w:bCs w:val="1"/>
                <w:color w:val="0000FF"/>
              </w:rPr>
            </w:pPr>
            <w:hyperlink w:anchor="page32">
              <w:r>
                <w:rPr>
                  <w:rFonts w:ascii="Arial" w:cs="Arial" w:eastAsia="Arial" w:hAnsi="Arial"/>
                  <w:sz w:val="14"/>
                  <w:szCs w:val="14"/>
                  <w:b w:val="1"/>
                  <w:bCs w:val="1"/>
                  <w:color w:val="0000FF"/>
                </w:rPr>
                <w:t>PART II</w:t>
              </w:r>
            </w:hyperlink>
          </w:p>
        </w:tc>
        <w:tc>
          <w:tcPr>
            <w:tcW w:w="3720" w:type="dxa"/>
            <w:vAlign w:val="bottom"/>
            <w:gridSpan w:val="2"/>
          </w:tcPr>
          <w:p>
            <w:pPr>
              <w:jc w:val="center"/>
              <w:ind w:left="3368"/>
              <w:spacing w:after="0" w:line="130" w:lineRule="exact"/>
              <w:rPr>
                <w:sz w:val="20"/>
                <w:szCs w:val="20"/>
                <w:color w:val="auto"/>
              </w:rPr>
            </w:pPr>
            <w:r>
              <w:rPr>
                <w:rFonts w:ascii="Arial" w:cs="Arial" w:eastAsia="Arial" w:hAnsi="Arial"/>
                <w:sz w:val="14"/>
                <w:szCs w:val="14"/>
                <w:color w:val="auto"/>
              </w:rPr>
              <w:t>32</w:t>
            </w:r>
          </w:p>
        </w:tc>
        <w:tc>
          <w:tcPr>
            <w:tcW w:w="18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32"/>
        </w:trPr>
        <w:tc>
          <w:tcPr>
            <w:tcW w:w="20" w:type="dxa"/>
            <w:vAlign w:val="bottom"/>
            <w:tcBorders>
              <w:bottom w:val="single" w:sz="8" w:color="CCEEFF"/>
            </w:tcBorders>
            <w:shd w:val="clear" w:color="auto" w:fill="CCEEFF"/>
          </w:tcPr>
          <w:p>
            <w:pPr>
              <w:spacing w:after="0"/>
              <w:rPr>
                <w:sz w:val="11"/>
                <w:szCs w:val="11"/>
                <w:color w:val="auto"/>
              </w:rPr>
            </w:pPr>
          </w:p>
        </w:tc>
        <w:tc>
          <w:tcPr>
            <w:tcW w:w="7000" w:type="dxa"/>
            <w:vAlign w:val="bottom"/>
            <w:tcBorders>
              <w:bottom w:val="single" w:sz="8" w:color="0000FF"/>
            </w:tcBorders>
            <w:gridSpan w:val="26"/>
            <w:shd w:val="clear" w:color="auto" w:fill="CCEEFF"/>
          </w:tcPr>
          <w:p>
            <w:pPr>
              <w:spacing w:after="0" w:line="130" w:lineRule="exact"/>
              <w:rPr>
                <w:rFonts w:ascii="Arial" w:cs="Arial" w:eastAsia="Arial" w:hAnsi="Arial"/>
                <w:sz w:val="14"/>
                <w:szCs w:val="14"/>
                <w:color w:val="0000FF"/>
                <w:w w:val="93"/>
              </w:rPr>
            </w:pPr>
            <w:hyperlink w:anchor="page32">
              <w:r>
                <w:rPr>
                  <w:rFonts w:ascii="Arial" w:cs="Arial" w:eastAsia="Arial" w:hAnsi="Arial"/>
                  <w:sz w:val="14"/>
                  <w:szCs w:val="14"/>
                  <w:color w:val="0000FF"/>
                  <w:w w:val="93"/>
                </w:rPr>
                <w:t>Item 5 – Market for Registrant’s Common Equity, Related Stockholder Matters and Issuer Purchases of Equity Securities</w:t>
              </w:r>
            </w:hyperlink>
          </w:p>
        </w:tc>
        <w:tc>
          <w:tcPr>
            <w:tcW w:w="360" w:type="dxa"/>
            <w:vAlign w:val="bottom"/>
            <w:tcBorders>
              <w:bottom w:val="single" w:sz="8" w:color="CCEEFF"/>
            </w:tcBorders>
            <w:shd w:val="clear" w:color="auto" w:fill="CCEEFF"/>
          </w:tcPr>
          <w:p>
            <w:pPr>
              <w:spacing w:after="0"/>
              <w:rPr>
                <w:sz w:val="11"/>
                <w:szCs w:val="11"/>
                <w:color w:val="auto"/>
              </w:rPr>
            </w:pPr>
          </w:p>
        </w:tc>
        <w:tc>
          <w:tcPr>
            <w:tcW w:w="3720" w:type="dxa"/>
            <w:vAlign w:val="bottom"/>
            <w:tcBorders>
              <w:bottom w:val="single" w:sz="8" w:color="CCEEFF"/>
            </w:tcBorders>
            <w:gridSpan w:val="2"/>
            <w:shd w:val="clear" w:color="auto" w:fill="CCEEFF"/>
          </w:tcPr>
          <w:p>
            <w:pPr>
              <w:jc w:val="center"/>
              <w:ind w:left="3368"/>
              <w:spacing w:after="0" w:line="130" w:lineRule="exact"/>
              <w:rPr>
                <w:sz w:val="20"/>
                <w:szCs w:val="20"/>
                <w:color w:val="auto"/>
              </w:rPr>
            </w:pPr>
            <w:r>
              <w:rPr>
                <w:rFonts w:ascii="Arial" w:cs="Arial" w:eastAsia="Arial" w:hAnsi="Arial"/>
                <w:sz w:val="14"/>
                <w:szCs w:val="14"/>
                <w:color w:val="auto"/>
              </w:rPr>
              <w:t>32</w:t>
            </w:r>
          </w:p>
        </w:tc>
        <w:tc>
          <w:tcPr>
            <w:tcW w:w="180" w:type="dxa"/>
            <w:vAlign w:val="bottom"/>
            <w:tcBorders>
              <w:bottom w:val="single" w:sz="8" w:color="CCEEFF"/>
            </w:tcBorders>
            <w:shd w:val="clear" w:color="auto" w:fill="CCEEFF"/>
          </w:tcPr>
          <w:p>
            <w:pPr>
              <w:spacing w:after="0"/>
              <w:rPr>
                <w:sz w:val="11"/>
                <w:szCs w:val="11"/>
                <w:color w:val="auto"/>
              </w:rPr>
            </w:pPr>
          </w:p>
        </w:tc>
      </w:tr>
      <w:tr>
        <w:trPr>
          <w:trHeight w:val="130"/>
        </w:trPr>
        <w:tc>
          <w:tcPr>
            <w:tcW w:w="20" w:type="dxa"/>
            <w:vAlign w:val="bottom"/>
          </w:tcPr>
          <w:p>
            <w:pPr>
              <w:spacing w:after="0"/>
              <w:rPr>
                <w:sz w:val="11"/>
                <w:szCs w:val="11"/>
                <w:color w:val="auto"/>
              </w:rPr>
            </w:pPr>
          </w:p>
        </w:tc>
        <w:tc>
          <w:tcPr>
            <w:tcW w:w="7360" w:type="dxa"/>
            <w:vAlign w:val="bottom"/>
            <w:gridSpan w:val="27"/>
          </w:tcPr>
          <w:p>
            <w:pPr>
              <w:spacing w:after="0" w:line="130" w:lineRule="exact"/>
              <w:rPr>
                <w:rFonts w:ascii="Arial" w:cs="Arial" w:eastAsia="Arial" w:hAnsi="Arial"/>
                <w:sz w:val="14"/>
                <w:szCs w:val="14"/>
                <w:color w:val="0000FF"/>
              </w:rPr>
            </w:pPr>
            <w:hyperlink w:anchor="page34">
              <w:r>
                <w:rPr>
                  <w:rFonts w:ascii="Arial" w:cs="Arial" w:eastAsia="Arial" w:hAnsi="Arial"/>
                  <w:sz w:val="14"/>
                  <w:szCs w:val="14"/>
                  <w:color w:val="0000FF"/>
                </w:rPr>
                <w:t>Item 6 – Selected Financial Data</w:t>
              </w:r>
            </w:hyperlink>
          </w:p>
        </w:tc>
        <w:tc>
          <w:tcPr>
            <w:tcW w:w="3720" w:type="dxa"/>
            <w:vAlign w:val="bottom"/>
            <w:gridSpan w:val="2"/>
          </w:tcPr>
          <w:p>
            <w:pPr>
              <w:jc w:val="center"/>
              <w:ind w:left="3368"/>
              <w:spacing w:after="0" w:line="130" w:lineRule="exact"/>
              <w:rPr>
                <w:sz w:val="20"/>
                <w:szCs w:val="20"/>
                <w:color w:val="auto"/>
              </w:rPr>
            </w:pPr>
            <w:r>
              <w:rPr>
                <w:rFonts w:ascii="Arial" w:cs="Arial" w:eastAsia="Arial" w:hAnsi="Arial"/>
                <w:sz w:val="14"/>
                <w:szCs w:val="14"/>
                <w:color w:val="auto"/>
              </w:rPr>
              <w:t>34</w:t>
            </w:r>
          </w:p>
        </w:tc>
        <w:tc>
          <w:tcPr>
            <w:tcW w:w="18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32"/>
        </w:trPr>
        <w:tc>
          <w:tcPr>
            <w:tcW w:w="20" w:type="dxa"/>
            <w:vAlign w:val="bottom"/>
            <w:tcBorders>
              <w:bottom w:val="single" w:sz="8" w:color="CCEEFF"/>
            </w:tcBorders>
            <w:shd w:val="clear" w:color="auto" w:fill="CCEEFF"/>
          </w:tcPr>
          <w:p>
            <w:pPr>
              <w:spacing w:after="0"/>
              <w:rPr>
                <w:sz w:val="11"/>
                <w:szCs w:val="11"/>
                <w:color w:val="auto"/>
              </w:rPr>
            </w:pPr>
          </w:p>
        </w:tc>
        <w:tc>
          <w:tcPr>
            <w:tcW w:w="5700" w:type="dxa"/>
            <w:vAlign w:val="bottom"/>
            <w:tcBorders>
              <w:bottom w:val="single" w:sz="8" w:color="0000FF"/>
            </w:tcBorders>
            <w:gridSpan w:val="22"/>
            <w:shd w:val="clear" w:color="auto" w:fill="CCEEFF"/>
          </w:tcPr>
          <w:p>
            <w:pPr>
              <w:spacing w:after="0" w:line="130" w:lineRule="exact"/>
              <w:rPr>
                <w:rFonts w:ascii="Arial" w:cs="Arial" w:eastAsia="Arial" w:hAnsi="Arial"/>
                <w:sz w:val="14"/>
                <w:szCs w:val="14"/>
                <w:color w:val="0000FF"/>
                <w:w w:val="93"/>
              </w:rPr>
            </w:pPr>
            <w:hyperlink w:anchor="page35">
              <w:r>
                <w:rPr>
                  <w:rFonts w:ascii="Arial" w:cs="Arial" w:eastAsia="Arial" w:hAnsi="Arial"/>
                  <w:sz w:val="14"/>
                  <w:szCs w:val="14"/>
                  <w:color w:val="0000FF"/>
                  <w:w w:val="93"/>
                </w:rPr>
                <w:t>Item 7 – Management’s Discussion and Analysis of Financial Condition and Results of Operations</w:t>
              </w:r>
            </w:hyperlink>
          </w:p>
        </w:tc>
        <w:tc>
          <w:tcPr>
            <w:tcW w:w="1660" w:type="dxa"/>
            <w:vAlign w:val="bottom"/>
            <w:tcBorders>
              <w:bottom w:val="single" w:sz="8" w:color="CCEEFF"/>
            </w:tcBorders>
            <w:gridSpan w:val="5"/>
            <w:shd w:val="clear" w:color="auto" w:fill="CCEEFF"/>
          </w:tcPr>
          <w:p>
            <w:pPr>
              <w:spacing w:after="0"/>
              <w:rPr>
                <w:sz w:val="11"/>
                <w:szCs w:val="11"/>
                <w:color w:val="auto"/>
              </w:rPr>
            </w:pPr>
          </w:p>
        </w:tc>
        <w:tc>
          <w:tcPr>
            <w:tcW w:w="3720" w:type="dxa"/>
            <w:vAlign w:val="bottom"/>
            <w:tcBorders>
              <w:bottom w:val="single" w:sz="8" w:color="CCEEFF"/>
            </w:tcBorders>
            <w:gridSpan w:val="2"/>
            <w:shd w:val="clear" w:color="auto" w:fill="CCEEFF"/>
          </w:tcPr>
          <w:p>
            <w:pPr>
              <w:jc w:val="center"/>
              <w:ind w:left="3368"/>
              <w:spacing w:after="0" w:line="130" w:lineRule="exact"/>
              <w:rPr>
                <w:sz w:val="20"/>
                <w:szCs w:val="20"/>
                <w:color w:val="auto"/>
              </w:rPr>
            </w:pPr>
            <w:r>
              <w:rPr>
                <w:rFonts w:ascii="Arial" w:cs="Arial" w:eastAsia="Arial" w:hAnsi="Arial"/>
                <w:sz w:val="14"/>
                <w:szCs w:val="14"/>
                <w:color w:val="auto"/>
              </w:rPr>
              <w:t>35</w:t>
            </w:r>
          </w:p>
        </w:tc>
        <w:tc>
          <w:tcPr>
            <w:tcW w:w="180" w:type="dxa"/>
            <w:vAlign w:val="bottom"/>
            <w:tcBorders>
              <w:bottom w:val="single" w:sz="8" w:color="CCEEFF"/>
            </w:tcBorders>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7360" w:type="dxa"/>
            <w:vAlign w:val="bottom"/>
            <w:gridSpan w:val="27"/>
          </w:tcPr>
          <w:p>
            <w:pPr>
              <w:spacing w:after="0" w:line="130" w:lineRule="exact"/>
              <w:rPr>
                <w:rFonts w:ascii="Arial" w:cs="Arial" w:eastAsia="Arial" w:hAnsi="Arial"/>
                <w:sz w:val="14"/>
                <w:szCs w:val="14"/>
                <w:color w:val="0000FF"/>
              </w:rPr>
            </w:pPr>
            <w:hyperlink w:anchor="page54">
              <w:r>
                <w:rPr>
                  <w:rFonts w:ascii="Arial" w:cs="Arial" w:eastAsia="Arial" w:hAnsi="Arial"/>
                  <w:sz w:val="14"/>
                  <w:szCs w:val="14"/>
                  <w:color w:val="0000FF"/>
                </w:rPr>
                <w:t>Item 7A – Quantitative and Qualitative Disclosure about Market Risk</w:t>
              </w:r>
            </w:hyperlink>
          </w:p>
        </w:tc>
        <w:tc>
          <w:tcPr>
            <w:tcW w:w="3720" w:type="dxa"/>
            <w:vAlign w:val="bottom"/>
            <w:gridSpan w:val="2"/>
          </w:tcPr>
          <w:p>
            <w:pPr>
              <w:jc w:val="center"/>
              <w:ind w:left="3368"/>
              <w:spacing w:after="0" w:line="130" w:lineRule="exact"/>
              <w:rPr>
                <w:sz w:val="20"/>
                <w:szCs w:val="20"/>
                <w:color w:val="auto"/>
              </w:rPr>
            </w:pPr>
            <w:r>
              <w:rPr>
                <w:rFonts w:ascii="Arial" w:cs="Arial" w:eastAsia="Arial" w:hAnsi="Arial"/>
                <w:sz w:val="14"/>
                <w:szCs w:val="14"/>
                <w:color w:val="auto"/>
              </w:rPr>
              <w:t>54</w:t>
            </w:r>
          </w:p>
        </w:tc>
        <w:tc>
          <w:tcPr>
            <w:tcW w:w="180" w:type="dxa"/>
            <w:vAlign w:val="bottom"/>
          </w:tcPr>
          <w:p>
            <w:pPr>
              <w:spacing w:after="0"/>
              <w:rPr>
                <w:sz w:val="11"/>
                <w:szCs w:val="11"/>
                <w:color w:val="auto"/>
              </w:rPr>
            </w:pPr>
          </w:p>
        </w:tc>
      </w:tr>
      <w:tr>
        <w:trPr>
          <w:trHeight w:val="130"/>
        </w:trPr>
        <w:tc>
          <w:tcPr>
            <w:tcW w:w="20" w:type="dxa"/>
            <w:vAlign w:val="bottom"/>
            <w:shd w:val="clear" w:color="auto" w:fill="CCEEFF"/>
          </w:tcPr>
          <w:p>
            <w:pPr>
              <w:spacing w:after="0"/>
              <w:rPr>
                <w:sz w:val="11"/>
                <w:szCs w:val="11"/>
                <w:color w:val="auto"/>
              </w:rPr>
            </w:pPr>
          </w:p>
        </w:tc>
        <w:tc>
          <w:tcPr>
            <w:tcW w:w="4020" w:type="dxa"/>
            <w:vAlign w:val="bottom"/>
            <w:tcBorders>
              <w:top w:val="single" w:sz="8" w:color="0000FF"/>
            </w:tcBorders>
            <w:gridSpan w:val="16"/>
            <w:shd w:val="clear" w:color="auto" w:fill="CCEEFF"/>
          </w:tcPr>
          <w:p>
            <w:pPr>
              <w:spacing w:after="0" w:line="130" w:lineRule="exact"/>
              <w:rPr>
                <w:rFonts w:ascii="Arial" w:cs="Arial" w:eastAsia="Arial" w:hAnsi="Arial"/>
                <w:sz w:val="14"/>
                <w:szCs w:val="14"/>
                <w:color w:val="0000FF"/>
              </w:rPr>
            </w:pPr>
            <w:hyperlink w:anchor="page55">
              <w:r>
                <w:rPr>
                  <w:rFonts w:ascii="Arial" w:cs="Arial" w:eastAsia="Arial" w:hAnsi="Arial"/>
                  <w:sz w:val="14"/>
                  <w:szCs w:val="14"/>
                  <w:color w:val="0000FF"/>
                </w:rPr>
                <w:t>Item 8 – Financial Statements and Supplementary Data</w:t>
              </w:r>
            </w:hyperlink>
          </w:p>
        </w:tc>
        <w:tc>
          <w:tcPr>
            <w:tcW w:w="3340" w:type="dxa"/>
            <w:vAlign w:val="bottom"/>
            <w:gridSpan w:val="11"/>
            <w:shd w:val="clear" w:color="auto" w:fill="CCEEFF"/>
          </w:tcPr>
          <w:p>
            <w:pPr>
              <w:spacing w:after="0"/>
              <w:rPr>
                <w:sz w:val="11"/>
                <w:szCs w:val="11"/>
                <w:color w:val="auto"/>
              </w:rPr>
            </w:pPr>
          </w:p>
        </w:tc>
        <w:tc>
          <w:tcPr>
            <w:tcW w:w="3720" w:type="dxa"/>
            <w:vAlign w:val="bottom"/>
            <w:gridSpan w:val="2"/>
            <w:shd w:val="clear" w:color="auto" w:fill="CCEEFF"/>
          </w:tcPr>
          <w:p>
            <w:pPr>
              <w:jc w:val="center"/>
              <w:ind w:left="3368"/>
              <w:spacing w:after="0" w:line="130" w:lineRule="exact"/>
              <w:rPr>
                <w:sz w:val="20"/>
                <w:szCs w:val="20"/>
                <w:color w:val="auto"/>
              </w:rPr>
            </w:pPr>
            <w:r>
              <w:rPr>
                <w:rFonts w:ascii="Arial" w:cs="Arial" w:eastAsia="Arial" w:hAnsi="Arial"/>
                <w:sz w:val="14"/>
                <w:szCs w:val="14"/>
                <w:color w:val="auto"/>
              </w:rPr>
              <w:t>55</w:t>
            </w:r>
          </w:p>
        </w:tc>
        <w:tc>
          <w:tcPr>
            <w:tcW w:w="180" w:type="dxa"/>
            <w:vAlign w:val="bottom"/>
            <w:shd w:val="clear" w:color="auto" w:fill="CCEEFF"/>
          </w:tcPr>
          <w:p>
            <w:pPr>
              <w:spacing w:after="0"/>
              <w:rPr>
                <w:sz w:val="11"/>
                <w:szCs w:val="1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360" w:type="dxa"/>
            <w:vAlign w:val="bottom"/>
            <w:gridSpan w:val="27"/>
          </w:tcPr>
          <w:p>
            <w:pPr>
              <w:spacing w:after="0" w:line="130" w:lineRule="exact"/>
              <w:rPr>
                <w:rFonts w:ascii="Arial" w:cs="Arial" w:eastAsia="Arial" w:hAnsi="Arial"/>
                <w:sz w:val="14"/>
                <w:szCs w:val="14"/>
                <w:color w:val="0000FF"/>
              </w:rPr>
            </w:pPr>
            <w:hyperlink w:anchor="page56">
              <w:r>
                <w:rPr>
                  <w:rFonts w:ascii="Arial" w:cs="Arial" w:eastAsia="Arial" w:hAnsi="Arial"/>
                  <w:sz w:val="14"/>
                  <w:szCs w:val="14"/>
                  <w:color w:val="0000FF"/>
                </w:rPr>
                <w:t>Management’s Report on Internal Control over Financial Reporting</w:t>
              </w:r>
            </w:hyperlink>
          </w:p>
        </w:tc>
        <w:tc>
          <w:tcPr>
            <w:tcW w:w="3720" w:type="dxa"/>
            <w:vAlign w:val="bottom"/>
            <w:gridSpan w:val="2"/>
          </w:tcPr>
          <w:p>
            <w:pPr>
              <w:jc w:val="center"/>
              <w:ind w:left="3368"/>
              <w:spacing w:after="0" w:line="130" w:lineRule="exact"/>
              <w:rPr>
                <w:sz w:val="20"/>
                <w:szCs w:val="20"/>
                <w:color w:val="auto"/>
              </w:rPr>
            </w:pPr>
            <w:r>
              <w:rPr>
                <w:rFonts w:ascii="Arial" w:cs="Arial" w:eastAsia="Arial" w:hAnsi="Arial"/>
                <w:sz w:val="14"/>
                <w:szCs w:val="14"/>
                <w:color w:val="auto"/>
              </w:rPr>
              <w:t>56</w:t>
            </w:r>
          </w:p>
        </w:tc>
        <w:tc>
          <w:tcPr>
            <w:tcW w:w="18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30"/>
        </w:trPr>
        <w:tc>
          <w:tcPr>
            <w:tcW w:w="20" w:type="dxa"/>
            <w:vAlign w:val="bottom"/>
            <w:shd w:val="clear" w:color="auto" w:fill="CCEEFF"/>
          </w:tcPr>
          <w:p>
            <w:pPr>
              <w:spacing w:after="0"/>
              <w:rPr>
                <w:sz w:val="11"/>
                <w:szCs w:val="11"/>
                <w:color w:val="auto"/>
              </w:rPr>
            </w:pPr>
          </w:p>
        </w:tc>
        <w:tc>
          <w:tcPr>
            <w:tcW w:w="7360" w:type="dxa"/>
            <w:vAlign w:val="bottom"/>
            <w:gridSpan w:val="27"/>
            <w:shd w:val="clear" w:color="auto" w:fill="CCEEFF"/>
          </w:tcPr>
          <w:p>
            <w:pPr>
              <w:spacing w:after="0" w:line="130" w:lineRule="exact"/>
              <w:rPr>
                <w:rFonts w:ascii="Arial" w:cs="Arial" w:eastAsia="Arial" w:hAnsi="Arial"/>
                <w:sz w:val="14"/>
                <w:szCs w:val="14"/>
                <w:color w:val="0000FF"/>
              </w:rPr>
            </w:pPr>
            <w:hyperlink w:anchor="page56">
              <w:r>
                <w:rPr>
                  <w:rFonts w:ascii="Arial" w:cs="Arial" w:eastAsia="Arial" w:hAnsi="Arial"/>
                  <w:sz w:val="14"/>
                  <w:szCs w:val="14"/>
                  <w:color w:val="0000FF"/>
                </w:rPr>
                <w:t>Report of Independent Registered Public Accounting Firm (Consolidated Financial Statements)</w:t>
              </w:r>
            </w:hyperlink>
          </w:p>
        </w:tc>
        <w:tc>
          <w:tcPr>
            <w:tcW w:w="3720" w:type="dxa"/>
            <w:vAlign w:val="bottom"/>
            <w:gridSpan w:val="2"/>
            <w:shd w:val="clear" w:color="auto" w:fill="CCEEFF"/>
          </w:tcPr>
          <w:p>
            <w:pPr>
              <w:jc w:val="center"/>
              <w:ind w:left="3368"/>
              <w:spacing w:after="0" w:line="130" w:lineRule="exact"/>
              <w:rPr>
                <w:sz w:val="20"/>
                <w:szCs w:val="20"/>
                <w:color w:val="auto"/>
              </w:rPr>
            </w:pPr>
            <w:r>
              <w:rPr>
                <w:rFonts w:ascii="Arial" w:cs="Arial" w:eastAsia="Arial" w:hAnsi="Arial"/>
                <w:sz w:val="14"/>
                <w:szCs w:val="14"/>
                <w:color w:val="auto"/>
              </w:rPr>
              <w:t>57</w:t>
            </w:r>
          </w:p>
        </w:tc>
        <w:tc>
          <w:tcPr>
            <w:tcW w:w="180" w:type="dxa"/>
            <w:vAlign w:val="bottom"/>
            <w:shd w:val="clear" w:color="auto" w:fill="CCEEFF"/>
          </w:tcPr>
          <w:p>
            <w:pPr>
              <w:spacing w:after="0"/>
              <w:rPr>
                <w:sz w:val="11"/>
                <w:szCs w:val="1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right w:val="single" w:sz="8" w:color="CCEE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360" w:type="dxa"/>
            <w:vAlign w:val="bottom"/>
            <w:gridSpan w:val="27"/>
          </w:tcPr>
          <w:p>
            <w:pPr>
              <w:spacing w:after="0" w:line="130" w:lineRule="exact"/>
              <w:rPr>
                <w:rFonts w:ascii="Arial" w:cs="Arial" w:eastAsia="Arial" w:hAnsi="Arial"/>
                <w:sz w:val="14"/>
                <w:szCs w:val="14"/>
                <w:color w:val="0000FF"/>
              </w:rPr>
            </w:pPr>
            <w:hyperlink w:anchor="page58">
              <w:r>
                <w:rPr>
                  <w:rFonts w:ascii="Arial" w:cs="Arial" w:eastAsia="Arial" w:hAnsi="Arial"/>
                  <w:sz w:val="14"/>
                  <w:szCs w:val="14"/>
                  <w:color w:val="0000FF"/>
                </w:rPr>
                <w:t>Report of Independent Registered Public Accounting Firm (Internal Control over Financial Reporting)</w:t>
              </w:r>
            </w:hyperlink>
          </w:p>
        </w:tc>
        <w:tc>
          <w:tcPr>
            <w:tcW w:w="3720" w:type="dxa"/>
            <w:vAlign w:val="bottom"/>
            <w:gridSpan w:val="2"/>
          </w:tcPr>
          <w:p>
            <w:pPr>
              <w:jc w:val="center"/>
              <w:ind w:left="3368"/>
              <w:spacing w:after="0" w:line="130" w:lineRule="exact"/>
              <w:rPr>
                <w:sz w:val="20"/>
                <w:szCs w:val="20"/>
                <w:color w:val="auto"/>
              </w:rPr>
            </w:pPr>
            <w:r>
              <w:rPr>
                <w:rFonts w:ascii="Arial" w:cs="Arial" w:eastAsia="Arial" w:hAnsi="Arial"/>
                <w:sz w:val="14"/>
                <w:szCs w:val="14"/>
                <w:color w:val="auto"/>
              </w:rPr>
              <w:t>59</w:t>
            </w:r>
          </w:p>
        </w:tc>
        <w:tc>
          <w:tcPr>
            <w:tcW w:w="180" w:type="dxa"/>
            <w:vAlign w:val="bottom"/>
          </w:tcPr>
          <w:p>
            <w:pPr>
              <w:spacing w:after="0"/>
              <w:rPr>
                <w:sz w:val="11"/>
                <w:szCs w:val="11"/>
                <w:color w:val="auto"/>
              </w:rPr>
            </w:pPr>
          </w:p>
        </w:tc>
      </w:tr>
      <w:tr>
        <w:trPr>
          <w:trHeight w:val="130"/>
        </w:trPr>
        <w:tc>
          <w:tcPr>
            <w:tcW w:w="20" w:type="dxa"/>
            <w:vAlign w:val="bottom"/>
            <w:shd w:val="clear" w:color="auto" w:fill="CCEEFF"/>
          </w:tcPr>
          <w:p>
            <w:pPr>
              <w:spacing w:after="0"/>
              <w:rPr>
                <w:sz w:val="11"/>
                <w:szCs w:val="11"/>
                <w:color w:val="auto"/>
              </w:rPr>
            </w:pPr>
          </w:p>
        </w:tc>
        <w:tc>
          <w:tcPr>
            <w:tcW w:w="5920" w:type="dxa"/>
            <w:vAlign w:val="bottom"/>
            <w:tcBorders>
              <w:top w:val="single" w:sz="8" w:color="0000FF"/>
            </w:tcBorders>
            <w:gridSpan w:val="25"/>
            <w:shd w:val="clear" w:color="auto" w:fill="CCEEFF"/>
          </w:tcPr>
          <w:p>
            <w:pPr>
              <w:spacing w:after="0" w:line="130" w:lineRule="exact"/>
              <w:rPr>
                <w:rFonts w:ascii="Arial" w:cs="Arial" w:eastAsia="Arial" w:hAnsi="Arial"/>
                <w:sz w:val="14"/>
                <w:szCs w:val="14"/>
                <w:color w:val="0000FF"/>
              </w:rPr>
            </w:pPr>
            <w:hyperlink w:anchor="page60">
              <w:r>
                <w:rPr>
                  <w:rFonts w:ascii="Arial" w:cs="Arial" w:eastAsia="Arial" w:hAnsi="Arial"/>
                  <w:sz w:val="14"/>
                  <w:szCs w:val="14"/>
                  <w:color w:val="0000FF"/>
                </w:rPr>
                <w:t>Consolidated Balance Sheets as of December 31, 2021 and 2020</w:t>
              </w:r>
            </w:hyperlink>
          </w:p>
        </w:tc>
        <w:tc>
          <w:tcPr>
            <w:tcW w:w="1440" w:type="dxa"/>
            <w:vAlign w:val="bottom"/>
            <w:gridSpan w:val="2"/>
            <w:shd w:val="clear" w:color="auto" w:fill="CCEEFF"/>
          </w:tcPr>
          <w:p>
            <w:pPr>
              <w:spacing w:after="0"/>
              <w:rPr>
                <w:sz w:val="11"/>
                <w:szCs w:val="11"/>
                <w:color w:val="auto"/>
              </w:rPr>
            </w:pPr>
          </w:p>
        </w:tc>
        <w:tc>
          <w:tcPr>
            <w:tcW w:w="3720" w:type="dxa"/>
            <w:vAlign w:val="bottom"/>
            <w:gridSpan w:val="2"/>
            <w:shd w:val="clear" w:color="auto" w:fill="CCEEFF"/>
          </w:tcPr>
          <w:p>
            <w:pPr>
              <w:jc w:val="center"/>
              <w:ind w:left="3368"/>
              <w:spacing w:after="0" w:line="130" w:lineRule="exact"/>
              <w:rPr>
                <w:sz w:val="20"/>
                <w:szCs w:val="20"/>
                <w:color w:val="auto"/>
              </w:rPr>
            </w:pPr>
            <w:r>
              <w:rPr>
                <w:rFonts w:ascii="Arial" w:cs="Arial" w:eastAsia="Arial" w:hAnsi="Arial"/>
                <w:sz w:val="14"/>
                <w:szCs w:val="14"/>
                <w:color w:val="auto"/>
              </w:rPr>
              <w:t>60</w:t>
            </w:r>
          </w:p>
        </w:tc>
        <w:tc>
          <w:tcPr>
            <w:tcW w:w="180" w:type="dxa"/>
            <w:vAlign w:val="bottom"/>
            <w:shd w:val="clear" w:color="auto" w:fill="CCEEFF"/>
          </w:tcPr>
          <w:p>
            <w:pPr>
              <w:spacing w:after="0"/>
              <w:rPr>
                <w:sz w:val="11"/>
                <w:szCs w:val="1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360" w:type="dxa"/>
            <w:vAlign w:val="bottom"/>
            <w:gridSpan w:val="27"/>
          </w:tcPr>
          <w:p>
            <w:pPr>
              <w:spacing w:after="0" w:line="130" w:lineRule="exact"/>
              <w:rPr>
                <w:rFonts w:ascii="Arial" w:cs="Arial" w:eastAsia="Arial" w:hAnsi="Arial"/>
                <w:sz w:val="14"/>
                <w:szCs w:val="14"/>
                <w:color w:val="0000FF"/>
              </w:rPr>
            </w:pPr>
            <w:hyperlink w:anchor="page62">
              <w:r>
                <w:rPr>
                  <w:rFonts w:ascii="Arial" w:cs="Arial" w:eastAsia="Arial" w:hAnsi="Arial"/>
                  <w:sz w:val="14"/>
                  <w:szCs w:val="14"/>
                  <w:color w:val="0000FF"/>
                </w:rPr>
                <w:t>Consolidated Statements of Operations for the Three Years Ended December 31, 2021</w:t>
              </w:r>
            </w:hyperlink>
          </w:p>
        </w:tc>
        <w:tc>
          <w:tcPr>
            <w:tcW w:w="3720" w:type="dxa"/>
            <w:vAlign w:val="bottom"/>
            <w:gridSpan w:val="2"/>
          </w:tcPr>
          <w:p>
            <w:pPr>
              <w:jc w:val="center"/>
              <w:ind w:left="3368"/>
              <w:spacing w:after="0" w:line="130" w:lineRule="exact"/>
              <w:rPr>
                <w:sz w:val="20"/>
                <w:szCs w:val="20"/>
                <w:color w:val="auto"/>
              </w:rPr>
            </w:pPr>
            <w:r>
              <w:rPr>
                <w:rFonts w:ascii="Arial" w:cs="Arial" w:eastAsia="Arial" w:hAnsi="Arial"/>
                <w:sz w:val="14"/>
                <w:szCs w:val="14"/>
                <w:color w:val="auto"/>
              </w:rPr>
              <w:t>62</w:t>
            </w:r>
          </w:p>
        </w:tc>
        <w:tc>
          <w:tcPr>
            <w:tcW w:w="18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32"/>
        </w:trPr>
        <w:tc>
          <w:tcPr>
            <w:tcW w:w="20" w:type="dxa"/>
            <w:vAlign w:val="bottom"/>
            <w:shd w:val="clear" w:color="auto" w:fill="CCEEFF"/>
          </w:tcPr>
          <w:p>
            <w:pPr>
              <w:spacing w:after="0"/>
              <w:rPr>
                <w:sz w:val="11"/>
                <w:szCs w:val="11"/>
                <w:color w:val="auto"/>
              </w:rPr>
            </w:pPr>
          </w:p>
        </w:tc>
        <w:tc>
          <w:tcPr>
            <w:tcW w:w="7360" w:type="dxa"/>
            <w:vAlign w:val="bottom"/>
            <w:gridSpan w:val="27"/>
            <w:shd w:val="clear" w:color="auto" w:fill="CCEEFF"/>
          </w:tcPr>
          <w:p>
            <w:pPr>
              <w:spacing w:after="0" w:line="130" w:lineRule="exact"/>
              <w:rPr>
                <w:rFonts w:ascii="Arial" w:cs="Arial" w:eastAsia="Arial" w:hAnsi="Arial"/>
                <w:sz w:val="14"/>
                <w:szCs w:val="14"/>
                <w:color w:val="0000FF"/>
              </w:rPr>
            </w:pPr>
            <w:hyperlink w:anchor="page63">
              <w:r>
                <w:rPr>
                  <w:rFonts w:ascii="Arial" w:cs="Arial" w:eastAsia="Arial" w:hAnsi="Arial"/>
                  <w:sz w:val="14"/>
                  <w:szCs w:val="14"/>
                  <w:color w:val="0000FF"/>
                </w:rPr>
                <w:t>Consolidated Statements of Comprehensive Income for the Three Years Ended December 31, 2021</w:t>
              </w:r>
            </w:hyperlink>
          </w:p>
        </w:tc>
        <w:tc>
          <w:tcPr>
            <w:tcW w:w="3720" w:type="dxa"/>
            <w:vAlign w:val="bottom"/>
            <w:gridSpan w:val="2"/>
            <w:shd w:val="clear" w:color="auto" w:fill="CCEEFF"/>
          </w:tcPr>
          <w:p>
            <w:pPr>
              <w:jc w:val="center"/>
              <w:ind w:left="3368"/>
              <w:spacing w:after="0" w:line="130" w:lineRule="exact"/>
              <w:rPr>
                <w:sz w:val="20"/>
                <w:szCs w:val="20"/>
                <w:color w:val="auto"/>
              </w:rPr>
            </w:pPr>
            <w:r>
              <w:rPr>
                <w:rFonts w:ascii="Arial" w:cs="Arial" w:eastAsia="Arial" w:hAnsi="Arial"/>
                <w:sz w:val="14"/>
                <w:szCs w:val="14"/>
                <w:color w:val="auto"/>
              </w:rPr>
              <w:t>63</w:t>
            </w:r>
          </w:p>
        </w:tc>
        <w:tc>
          <w:tcPr>
            <w:tcW w:w="180" w:type="dxa"/>
            <w:vAlign w:val="bottom"/>
            <w:shd w:val="clear" w:color="auto" w:fill="CCEEFF"/>
          </w:tcPr>
          <w:p>
            <w:pPr>
              <w:spacing w:after="0"/>
              <w:rPr>
                <w:sz w:val="11"/>
                <w:szCs w:val="11"/>
                <w:color w:val="auto"/>
              </w:rPr>
            </w:pPr>
          </w:p>
        </w:tc>
      </w:tr>
      <w:tr>
        <w:trPr>
          <w:trHeight w:val="132"/>
        </w:trPr>
        <w:tc>
          <w:tcPr>
            <w:tcW w:w="20" w:type="dxa"/>
            <w:vAlign w:val="bottom"/>
            <w:tcBorders>
              <w:top w:val="single" w:sz="8" w:color="CCEEFF"/>
            </w:tcBorders>
          </w:tcPr>
          <w:p>
            <w:pPr>
              <w:spacing w:after="0"/>
              <w:rPr>
                <w:sz w:val="11"/>
                <w:szCs w:val="11"/>
                <w:color w:val="auto"/>
              </w:rPr>
            </w:pPr>
          </w:p>
        </w:tc>
        <w:tc>
          <w:tcPr>
            <w:tcW w:w="5580" w:type="dxa"/>
            <w:vAlign w:val="bottom"/>
            <w:tcBorders>
              <w:top w:val="single" w:sz="8" w:color="0000FF"/>
              <w:bottom w:val="single" w:sz="8" w:color="0000FF"/>
            </w:tcBorders>
            <w:gridSpan w:val="20"/>
          </w:tcPr>
          <w:p>
            <w:pPr>
              <w:spacing w:after="0" w:line="130" w:lineRule="exact"/>
              <w:rPr>
                <w:rFonts w:ascii="Arial" w:cs="Arial" w:eastAsia="Arial" w:hAnsi="Arial"/>
                <w:sz w:val="14"/>
                <w:szCs w:val="14"/>
                <w:color w:val="0000FF"/>
                <w:w w:val="92"/>
              </w:rPr>
            </w:pPr>
            <w:hyperlink w:anchor="page64">
              <w:r>
                <w:rPr>
                  <w:rFonts w:ascii="Arial" w:cs="Arial" w:eastAsia="Arial" w:hAnsi="Arial"/>
                  <w:sz w:val="14"/>
                  <w:szCs w:val="14"/>
                  <w:color w:val="0000FF"/>
                  <w:w w:val="92"/>
                </w:rPr>
                <w:t>Consolidated Statements of Stockholders’ Equity for the Three Years Ended December 31, 2021</w:t>
              </w:r>
            </w:hyperlink>
          </w:p>
        </w:tc>
        <w:tc>
          <w:tcPr>
            <w:tcW w:w="140" w:type="dxa"/>
            <w:vAlign w:val="bottom"/>
            <w:tcBorders>
              <w:top w:val="single" w:sz="8" w:color="0000FF"/>
            </w:tcBorders>
            <w:gridSpan w:val="3"/>
          </w:tcPr>
          <w:p>
            <w:pPr>
              <w:spacing w:after="0"/>
              <w:rPr>
                <w:sz w:val="11"/>
                <w:szCs w:val="11"/>
                <w:color w:val="auto"/>
              </w:rPr>
            </w:pPr>
          </w:p>
        </w:tc>
        <w:tc>
          <w:tcPr>
            <w:tcW w:w="1640" w:type="dxa"/>
            <w:vAlign w:val="bottom"/>
            <w:tcBorders>
              <w:top w:val="single" w:sz="8" w:color="CCEEFF"/>
            </w:tcBorders>
            <w:gridSpan w:val="4"/>
          </w:tcPr>
          <w:p>
            <w:pPr>
              <w:spacing w:after="0"/>
              <w:rPr>
                <w:sz w:val="11"/>
                <w:szCs w:val="11"/>
                <w:color w:val="auto"/>
              </w:rPr>
            </w:pPr>
          </w:p>
        </w:tc>
        <w:tc>
          <w:tcPr>
            <w:tcW w:w="3720" w:type="dxa"/>
            <w:vAlign w:val="bottom"/>
            <w:tcBorders>
              <w:top w:val="single" w:sz="8" w:color="CCEEFF"/>
            </w:tcBorders>
            <w:gridSpan w:val="2"/>
          </w:tcPr>
          <w:p>
            <w:pPr>
              <w:jc w:val="center"/>
              <w:ind w:left="3368"/>
              <w:spacing w:after="0" w:line="130" w:lineRule="exact"/>
              <w:rPr>
                <w:sz w:val="20"/>
                <w:szCs w:val="20"/>
                <w:color w:val="auto"/>
              </w:rPr>
            </w:pPr>
            <w:r>
              <w:rPr>
                <w:rFonts w:ascii="Arial" w:cs="Arial" w:eastAsia="Arial" w:hAnsi="Arial"/>
                <w:sz w:val="14"/>
                <w:szCs w:val="14"/>
                <w:color w:val="auto"/>
              </w:rPr>
              <w:t>64</w:t>
            </w:r>
          </w:p>
        </w:tc>
        <w:tc>
          <w:tcPr>
            <w:tcW w:w="180" w:type="dxa"/>
            <w:vAlign w:val="bottom"/>
            <w:tcBorders>
              <w:top w:val="single" w:sz="8" w:color="CCEEFF"/>
            </w:tcBorders>
          </w:tcPr>
          <w:p>
            <w:pPr>
              <w:spacing w:after="0"/>
              <w:rPr>
                <w:sz w:val="11"/>
                <w:szCs w:val="11"/>
                <w:color w:val="auto"/>
              </w:rPr>
            </w:pPr>
          </w:p>
        </w:tc>
      </w:tr>
      <w:tr>
        <w:trPr>
          <w:trHeight w:val="132"/>
        </w:trPr>
        <w:tc>
          <w:tcPr>
            <w:tcW w:w="20" w:type="dxa"/>
            <w:vAlign w:val="bottom"/>
            <w:shd w:val="clear" w:color="auto" w:fill="CCEEFF"/>
          </w:tcPr>
          <w:p>
            <w:pPr>
              <w:spacing w:after="0"/>
              <w:rPr>
                <w:sz w:val="11"/>
                <w:szCs w:val="11"/>
                <w:color w:val="auto"/>
              </w:rPr>
            </w:pPr>
          </w:p>
        </w:tc>
        <w:tc>
          <w:tcPr>
            <w:tcW w:w="7360" w:type="dxa"/>
            <w:vAlign w:val="bottom"/>
            <w:gridSpan w:val="27"/>
            <w:shd w:val="clear" w:color="auto" w:fill="CCEEFF"/>
          </w:tcPr>
          <w:p>
            <w:pPr>
              <w:spacing w:after="0" w:line="130" w:lineRule="exact"/>
              <w:rPr>
                <w:rFonts w:ascii="Arial" w:cs="Arial" w:eastAsia="Arial" w:hAnsi="Arial"/>
                <w:sz w:val="14"/>
                <w:szCs w:val="14"/>
                <w:color w:val="0000FF"/>
              </w:rPr>
            </w:pPr>
            <w:hyperlink w:anchor="page65">
              <w:r>
                <w:rPr>
                  <w:rFonts w:ascii="Arial" w:cs="Arial" w:eastAsia="Arial" w:hAnsi="Arial"/>
                  <w:sz w:val="14"/>
                  <w:szCs w:val="14"/>
                  <w:color w:val="0000FF"/>
                </w:rPr>
                <w:t>Consolidated Statements of Cash Flows for the Three Years Ended December 31, 2021</w:t>
              </w:r>
            </w:hyperlink>
          </w:p>
        </w:tc>
        <w:tc>
          <w:tcPr>
            <w:tcW w:w="3720" w:type="dxa"/>
            <w:vAlign w:val="bottom"/>
            <w:gridSpan w:val="2"/>
            <w:shd w:val="clear" w:color="auto" w:fill="CCEEFF"/>
          </w:tcPr>
          <w:p>
            <w:pPr>
              <w:jc w:val="center"/>
              <w:ind w:left="3368"/>
              <w:spacing w:after="0" w:line="130" w:lineRule="exact"/>
              <w:rPr>
                <w:sz w:val="20"/>
                <w:szCs w:val="20"/>
                <w:color w:val="auto"/>
              </w:rPr>
            </w:pPr>
            <w:r>
              <w:rPr>
                <w:rFonts w:ascii="Arial" w:cs="Arial" w:eastAsia="Arial" w:hAnsi="Arial"/>
                <w:sz w:val="14"/>
                <w:szCs w:val="14"/>
                <w:color w:val="auto"/>
              </w:rPr>
              <w:t>65</w:t>
            </w:r>
          </w:p>
        </w:tc>
        <w:tc>
          <w:tcPr>
            <w:tcW w:w="180" w:type="dxa"/>
            <w:vAlign w:val="bottom"/>
            <w:shd w:val="clear" w:color="auto" w:fill="CCEEFF"/>
          </w:tcPr>
          <w:p>
            <w:pPr>
              <w:spacing w:after="0"/>
              <w:rPr>
                <w:sz w:val="11"/>
                <w:szCs w:val="11"/>
                <w:color w:val="auto"/>
              </w:rPr>
            </w:pPr>
          </w:p>
        </w:tc>
      </w:tr>
      <w:tr>
        <w:trPr>
          <w:trHeight w:val="130"/>
        </w:trPr>
        <w:tc>
          <w:tcPr>
            <w:tcW w:w="20" w:type="dxa"/>
            <w:vAlign w:val="bottom"/>
            <w:tcBorders>
              <w:top w:val="single" w:sz="8" w:color="CCEEFF"/>
            </w:tcBorders>
          </w:tcPr>
          <w:p>
            <w:pPr>
              <w:spacing w:after="0"/>
              <w:rPr>
                <w:sz w:val="11"/>
                <w:szCs w:val="11"/>
                <w:color w:val="auto"/>
              </w:rPr>
            </w:pPr>
          </w:p>
        </w:tc>
        <w:tc>
          <w:tcPr>
            <w:tcW w:w="5020" w:type="dxa"/>
            <w:vAlign w:val="bottom"/>
            <w:tcBorders>
              <w:top w:val="single" w:sz="8" w:color="0000FF"/>
            </w:tcBorders>
            <w:gridSpan w:val="18"/>
          </w:tcPr>
          <w:p>
            <w:pPr>
              <w:spacing w:after="0" w:line="130" w:lineRule="exact"/>
              <w:rPr>
                <w:rFonts w:ascii="Arial" w:cs="Arial" w:eastAsia="Arial" w:hAnsi="Arial"/>
                <w:sz w:val="14"/>
                <w:szCs w:val="14"/>
                <w:color w:val="0000FF"/>
              </w:rPr>
            </w:pPr>
            <w:hyperlink w:anchor="page67">
              <w:r>
                <w:rPr>
                  <w:rFonts w:ascii="Arial" w:cs="Arial" w:eastAsia="Arial" w:hAnsi="Arial"/>
                  <w:sz w:val="14"/>
                  <w:szCs w:val="14"/>
                  <w:color w:val="0000FF"/>
                </w:rPr>
                <w:t>Notes to Consolidated Financial Statements</w:t>
              </w:r>
            </w:hyperlink>
          </w:p>
        </w:tc>
        <w:tc>
          <w:tcPr>
            <w:tcW w:w="2340" w:type="dxa"/>
            <w:vAlign w:val="bottom"/>
            <w:tcBorders>
              <w:top w:val="single" w:sz="8" w:color="CCEEFF"/>
            </w:tcBorders>
            <w:gridSpan w:val="9"/>
          </w:tcPr>
          <w:p>
            <w:pPr>
              <w:spacing w:after="0"/>
              <w:rPr>
                <w:sz w:val="11"/>
                <w:szCs w:val="11"/>
                <w:color w:val="auto"/>
              </w:rPr>
            </w:pPr>
          </w:p>
        </w:tc>
        <w:tc>
          <w:tcPr>
            <w:tcW w:w="3720" w:type="dxa"/>
            <w:vAlign w:val="bottom"/>
            <w:tcBorders>
              <w:top w:val="single" w:sz="8" w:color="CCEEFF"/>
            </w:tcBorders>
            <w:gridSpan w:val="2"/>
          </w:tcPr>
          <w:p>
            <w:pPr>
              <w:jc w:val="center"/>
              <w:ind w:left="3368"/>
              <w:spacing w:after="0" w:line="130" w:lineRule="exact"/>
              <w:rPr>
                <w:sz w:val="20"/>
                <w:szCs w:val="20"/>
                <w:color w:val="auto"/>
              </w:rPr>
            </w:pPr>
            <w:r>
              <w:rPr>
                <w:rFonts w:ascii="Arial" w:cs="Arial" w:eastAsia="Arial" w:hAnsi="Arial"/>
                <w:sz w:val="14"/>
                <w:szCs w:val="14"/>
                <w:color w:val="auto"/>
              </w:rPr>
              <w:t>67</w:t>
            </w:r>
          </w:p>
        </w:tc>
        <w:tc>
          <w:tcPr>
            <w:tcW w:w="180" w:type="dxa"/>
            <w:vAlign w:val="bottom"/>
            <w:tcBorders>
              <w:top w:val="single" w:sz="8" w:color="CCEEFF"/>
            </w:tcBorders>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30"/>
        </w:trPr>
        <w:tc>
          <w:tcPr>
            <w:tcW w:w="20" w:type="dxa"/>
            <w:vAlign w:val="bottom"/>
            <w:shd w:val="clear" w:color="auto" w:fill="CCEEFF"/>
          </w:tcPr>
          <w:p>
            <w:pPr>
              <w:spacing w:after="0"/>
              <w:rPr>
                <w:sz w:val="11"/>
                <w:szCs w:val="11"/>
                <w:color w:val="auto"/>
              </w:rPr>
            </w:pPr>
          </w:p>
        </w:tc>
        <w:tc>
          <w:tcPr>
            <w:tcW w:w="7360" w:type="dxa"/>
            <w:vAlign w:val="bottom"/>
            <w:gridSpan w:val="27"/>
            <w:shd w:val="clear" w:color="auto" w:fill="CCEEFF"/>
          </w:tcPr>
          <w:p>
            <w:pPr>
              <w:spacing w:after="0" w:line="130" w:lineRule="exact"/>
              <w:rPr>
                <w:rFonts w:ascii="Arial" w:cs="Arial" w:eastAsia="Arial" w:hAnsi="Arial"/>
                <w:sz w:val="14"/>
                <w:szCs w:val="14"/>
                <w:color w:val="0000FF"/>
              </w:rPr>
            </w:pPr>
            <w:hyperlink w:anchor="page110">
              <w:r>
                <w:rPr>
                  <w:rFonts w:ascii="Arial" w:cs="Arial" w:eastAsia="Arial" w:hAnsi="Arial"/>
                  <w:sz w:val="14"/>
                  <w:szCs w:val="14"/>
                  <w:color w:val="0000FF"/>
                </w:rPr>
                <w:t>Schedule II – Valuation and Qualifying Accounts</w:t>
              </w:r>
            </w:hyperlink>
          </w:p>
        </w:tc>
        <w:tc>
          <w:tcPr>
            <w:tcW w:w="3720" w:type="dxa"/>
            <w:vAlign w:val="bottom"/>
            <w:gridSpan w:val="2"/>
            <w:shd w:val="clear" w:color="auto" w:fill="CCEEFF"/>
          </w:tcPr>
          <w:p>
            <w:pPr>
              <w:jc w:val="center"/>
              <w:ind w:left="3368"/>
              <w:spacing w:after="0" w:line="130" w:lineRule="exact"/>
              <w:rPr>
                <w:sz w:val="20"/>
                <w:szCs w:val="20"/>
                <w:color w:val="auto"/>
              </w:rPr>
            </w:pPr>
            <w:r>
              <w:rPr>
                <w:rFonts w:ascii="Arial" w:cs="Arial" w:eastAsia="Arial" w:hAnsi="Arial"/>
                <w:sz w:val="14"/>
                <w:szCs w:val="14"/>
                <w:color w:val="auto"/>
                <w:w w:val="85"/>
              </w:rPr>
              <w:t>110</w:t>
            </w:r>
          </w:p>
        </w:tc>
        <w:tc>
          <w:tcPr>
            <w:tcW w:w="180" w:type="dxa"/>
            <w:vAlign w:val="bottom"/>
            <w:shd w:val="clear" w:color="auto" w:fill="CCEEFF"/>
          </w:tcPr>
          <w:p>
            <w:pPr>
              <w:spacing w:after="0"/>
              <w:rPr>
                <w:sz w:val="11"/>
                <w:szCs w:val="1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5660" w:type="dxa"/>
            <w:vAlign w:val="bottom"/>
            <w:tcBorders>
              <w:bottom w:val="single" w:sz="8" w:color="0000FF"/>
            </w:tcBorders>
            <w:gridSpan w:val="21"/>
          </w:tcPr>
          <w:p>
            <w:pPr>
              <w:spacing w:after="0" w:line="130" w:lineRule="exact"/>
              <w:rPr>
                <w:rFonts w:ascii="Arial" w:cs="Arial" w:eastAsia="Arial" w:hAnsi="Arial"/>
                <w:sz w:val="14"/>
                <w:szCs w:val="14"/>
                <w:color w:val="0000FF"/>
                <w:w w:val="93"/>
              </w:rPr>
            </w:pPr>
            <w:hyperlink w:anchor="page111">
              <w:r>
                <w:rPr>
                  <w:rFonts w:ascii="Arial" w:cs="Arial" w:eastAsia="Arial" w:hAnsi="Arial"/>
                  <w:sz w:val="14"/>
                  <w:szCs w:val="14"/>
                  <w:color w:val="0000FF"/>
                  <w:w w:val="93"/>
                </w:rPr>
                <w:t>Item 9 – Change in and Disagreements with Accountants on Accounting and Financial Disclosure</w:t>
              </w:r>
            </w:hyperlink>
          </w:p>
        </w:tc>
        <w:tc>
          <w:tcPr>
            <w:tcW w:w="1700" w:type="dxa"/>
            <w:vAlign w:val="bottom"/>
            <w:gridSpan w:val="6"/>
          </w:tcPr>
          <w:p>
            <w:pPr>
              <w:spacing w:after="0"/>
              <w:rPr>
                <w:sz w:val="11"/>
                <w:szCs w:val="11"/>
                <w:color w:val="auto"/>
              </w:rPr>
            </w:pPr>
          </w:p>
        </w:tc>
        <w:tc>
          <w:tcPr>
            <w:tcW w:w="3720" w:type="dxa"/>
            <w:vAlign w:val="bottom"/>
            <w:gridSpan w:val="2"/>
          </w:tcPr>
          <w:p>
            <w:pPr>
              <w:jc w:val="center"/>
              <w:ind w:left="3368"/>
              <w:spacing w:after="0" w:line="130" w:lineRule="exact"/>
              <w:rPr>
                <w:sz w:val="20"/>
                <w:szCs w:val="20"/>
                <w:color w:val="auto"/>
              </w:rPr>
            </w:pPr>
            <w:r>
              <w:rPr>
                <w:rFonts w:ascii="Arial" w:cs="Arial" w:eastAsia="Arial" w:hAnsi="Arial"/>
                <w:sz w:val="14"/>
                <w:szCs w:val="14"/>
                <w:color w:val="auto"/>
                <w:w w:val="85"/>
              </w:rPr>
              <w:t>111</w:t>
            </w:r>
          </w:p>
        </w:tc>
        <w:tc>
          <w:tcPr>
            <w:tcW w:w="180" w:type="dxa"/>
            <w:vAlign w:val="bottom"/>
          </w:tcPr>
          <w:p>
            <w:pPr>
              <w:spacing w:after="0"/>
              <w:rPr>
                <w:sz w:val="11"/>
                <w:szCs w:val="11"/>
                <w:color w:val="auto"/>
              </w:rPr>
            </w:pPr>
          </w:p>
        </w:tc>
      </w:tr>
      <w:tr>
        <w:trPr>
          <w:trHeight w:val="132"/>
        </w:trPr>
        <w:tc>
          <w:tcPr>
            <w:tcW w:w="20" w:type="dxa"/>
            <w:vAlign w:val="bottom"/>
            <w:tcBorders>
              <w:bottom w:val="single" w:sz="8" w:color="CCEEFF"/>
            </w:tcBorders>
            <w:shd w:val="clear" w:color="auto" w:fill="CCEEFF"/>
          </w:tcPr>
          <w:p>
            <w:pPr>
              <w:spacing w:after="0"/>
              <w:rPr>
                <w:sz w:val="11"/>
                <w:szCs w:val="11"/>
                <w:color w:val="auto"/>
              </w:rPr>
            </w:pPr>
          </w:p>
        </w:tc>
        <w:tc>
          <w:tcPr>
            <w:tcW w:w="2040" w:type="dxa"/>
            <w:vAlign w:val="bottom"/>
            <w:tcBorders>
              <w:bottom w:val="single" w:sz="8" w:color="0000FF"/>
            </w:tcBorders>
            <w:gridSpan w:val="8"/>
            <w:shd w:val="clear" w:color="auto" w:fill="CCEEFF"/>
          </w:tcPr>
          <w:p>
            <w:pPr>
              <w:spacing w:after="0" w:line="130" w:lineRule="exact"/>
              <w:rPr>
                <w:rFonts w:ascii="Arial" w:cs="Arial" w:eastAsia="Arial" w:hAnsi="Arial"/>
                <w:sz w:val="14"/>
                <w:szCs w:val="14"/>
                <w:color w:val="0000FF"/>
                <w:w w:val="92"/>
              </w:rPr>
            </w:pPr>
            <w:hyperlink w:anchor="page111">
              <w:r>
                <w:rPr>
                  <w:rFonts w:ascii="Arial" w:cs="Arial" w:eastAsia="Arial" w:hAnsi="Arial"/>
                  <w:sz w:val="14"/>
                  <w:szCs w:val="14"/>
                  <w:color w:val="0000FF"/>
                  <w:w w:val="92"/>
                </w:rPr>
                <w:t>Item 9A – Controls and Procedures</w:t>
              </w:r>
            </w:hyperlink>
          </w:p>
        </w:tc>
        <w:tc>
          <w:tcPr>
            <w:tcW w:w="5320" w:type="dxa"/>
            <w:vAlign w:val="bottom"/>
            <w:tcBorders>
              <w:bottom w:val="single" w:sz="8" w:color="CCEEFF"/>
            </w:tcBorders>
            <w:gridSpan w:val="19"/>
            <w:shd w:val="clear" w:color="auto" w:fill="CCEEFF"/>
          </w:tcPr>
          <w:p>
            <w:pPr>
              <w:spacing w:after="0"/>
              <w:rPr>
                <w:sz w:val="11"/>
                <w:szCs w:val="11"/>
                <w:color w:val="auto"/>
              </w:rPr>
            </w:pPr>
          </w:p>
        </w:tc>
        <w:tc>
          <w:tcPr>
            <w:tcW w:w="3720" w:type="dxa"/>
            <w:vAlign w:val="bottom"/>
            <w:tcBorders>
              <w:bottom w:val="single" w:sz="8" w:color="CCEEFF"/>
            </w:tcBorders>
            <w:gridSpan w:val="2"/>
            <w:shd w:val="clear" w:color="auto" w:fill="CCEEFF"/>
          </w:tcPr>
          <w:p>
            <w:pPr>
              <w:jc w:val="center"/>
              <w:ind w:left="3368"/>
              <w:spacing w:after="0" w:line="130" w:lineRule="exact"/>
              <w:rPr>
                <w:sz w:val="20"/>
                <w:szCs w:val="20"/>
                <w:color w:val="auto"/>
              </w:rPr>
            </w:pPr>
            <w:r>
              <w:rPr>
                <w:rFonts w:ascii="Arial" w:cs="Arial" w:eastAsia="Arial" w:hAnsi="Arial"/>
                <w:sz w:val="14"/>
                <w:szCs w:val="14"/>
                <w:color w:val="auto"/>
                <w:w w:val="85"/>
              </w:rPr>
              <w:t>111</w:t>
            </w:r>
          </w:p>
        </w:tc>
        <w:tc>
          <w:tcPr>
            <w:tcW w:w="180" w:type="dxa"/>
            <w:vAlign w:val="bottom"/>
            <w:tcBorders>
              <w:bottom w:val="single" w:sz="8" w:color="CCEEFF"/>
            </w:tcBorders>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520" w:type="dxa"/>
            <w:vAlign w:val="bottom"/>
            <w:tcBorders>
              <w:bottom w:val="single" w:sz="8" w:color="0000FF"/>
            </w:tcBorders>
          </w:tcPr>
          <w:p>
            <w:pPr>
              <w:spacing w:after="0" w:line="130" w:lineRule="exact"/>
              <w:rPr>
                <w:rFonts w:ascii="Arial" w:cs="Arial" w:eastAsia="Arial" w:hAnsi="Arial"/>
                <w:sz w:val="14"/>
                <w:szCs w:val="14"/>
                <w:b w:val="1"/>
                <w:bCs w:val="1"/>
                <w:color w:val="0000FF"/>
                <w:w w:val="89"/>
              </w:rPr>
            </w:pPr>
            <w:hyperlink w:anchor="page112">
              <w:r>
                <w:rPr>
                  <w:rFonts w:ascii="Arial" w:cs="Arial" w:eastAsia="Arial" w:hAnsi="Arial"/>
                  <w:sz w:val="14"/>
                  <w:szCs w:val="14"/>
                  <w:b w:val="1"/>
                  <w:bCs w:val="1"/>
                  <w:color w:val="0000FF"/>
                  <w:w w:val="89"/>
                </w:rPr>
                <w:t>PART III</w:t>
              </w:r>
            </w:hyperlink>
          </w:p>
        </w:tc>
        <w:tc>
          <w:tcPr>
            <w:tcW w:w="6840" w:type="dxa"/>
            <w:vAlign w:val="bottom"/>
            <w:gridSpan w:val="26"/>
          </w:tcPr>
          <w:p>
            <w:pPr>
              <w:spacing w:after="0"/>
              <w:rPr>
                <w:sz w:val="11"/>
                <w:szCs w:val="11"/>
                <w:color w:val="auto"/>
              </w:rPr>
            </w:pPr>
          </w:p>
        </w:tc>
        <w:tc>
          <w:tcPr>
            <w:tcW w:w="3720" w:type="dxa"/>
            <w:vAlign w:val="bottom"/>
            <w:gridSpan w:val="2"/>
          </w:tcPr>
          <w:p>
            <w:pPr>
              <w:jc w:val="center"/>
              <w:ind w:left="3368"/>
              <w:spacing w:after="0" w:line="130" w:lineRule="exact"/>
              <w:rPr>
                <w:sz w:val="20"/>
                <w:szCs w:val="20"/>
                <w:color w:val="auto"/>
              </w:rPr>
            </w:pPr>
            <w:r>
              <w:rPr>
                <w:rFonts w:ascii="Arial" w:cs="Arial" w:eastAsia="Arial" w:hAnsi="Arial"/>
                <w:sz w:val="14"/>
                <w:szCs w:val="14"/>
                <w:color w:val="auto"/>
                <w:w w:val="85"/>
              </w:rPr>
              <w:t>112</w:t>
            </w:r>
          </w:p>
        </w:tc>
        <w:tc>
          <w:tcPr>
            <w:tcW w:w="180" w:type="dxa"/>
            <w:vAlign w:val="bottom"/>
          </w:tcPr>
          <w:p>
            <w:pPr>
              <w:spacing w:after="0"/>
              <w:rPr>
                <w:sz w:val="11"/>
                <w:szCs w:val="11"/>
                <w:color w:val="auto"/>
              </w:rPr>
            </w:pPr>
          </w:p>
        </w:tc>
      </w:tr>
      <w:tr>
        <w:trPr>
          <w:trHeight w:val="132"/>
        </w:trPr>
        <w:tc>
          <w:tcPr>
            <w:tcW w:w="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0000FF"/>
              <w:right w:val="single" w:sz="8" w:color="CCEEFF"/>
            </w:tcBorders>
            <w:shd w:val="clear" w:color="auto" w:fill="CCEEFF"/>
          </w:tcPr>
          <w:p>
            <w:pPr>
              <w:spacing w:after="0" w:line="130" w:lineRule="exact"/>
              <w:rPr>
                <w:rFonts w:ascii="Arial" w:cs="Arial" w:eastAsia="Arial" w:hAnsi="Arial"/>
                <w:sz w:val="14"/>
                <w:szCs w:val="14"/>
                <w:b w:val="1"/>
                <w:bCs w:val="1"/>
                <w:color w:val="0000FF"/>
                <w:w w:val="86"/>
              </w:rPr>
            </w:pPr>
            <w:hyperlink w:anchor="page113">
              <w:r>
                <w:rPr>
                  <w:rFonts w:ascii="Arial" w:cs="Arial" w:eastAsia="Arial" w:hAnsi="Arial"/>
                  <w:sz w:val="14"/>
                  <w:szCs w:val="14"/>
                  <w:b w:val="1"/>
                  <w:bCs w:val="1"/>
                  <w:color w:val="0000FF"/>
                  <w:w w:val="86"/>
                </w:rPr>
                <w:t>PART IV</w:t>
              </w:r>
            </w:hyperlink>
          </w:p>
        </w:tc>
        <w:tc>
          <w:tcPr>
            <w:tcW w:w="6840" w:type="dxa"/>
            <w:vAlign w:val="bottom"/>
            <w:tcBorders>
              <w:left w:val="single" w:sz="8" w:color="CCEEFF"/>
              <w:bottom w:val="single" w:sz="8" w:color="CCEEFF"/>
            </w:tcBorders>
            <w:gridSpan w:val="26"/>
            <w:shd w:val="clear" w:color="auto" w:fill="CCEEFF"/>
          </w:tcPr>
          <w:p>
            <w:pPr>
              <w:spacing w:after="0"/>
              <w:rPr>
                <w:sz w:val="11"/>
                <w:szCs w:val="11"/>
                <w:color w:val="auto"/>
              </w:rPr>
            </w:pPr>
          </w:p>
        </w:tc>
        <w:tc>
          <w:tcPr>
            <w:tcW w:w="3720" w:type="dxa"/>
            <w:vAlign w:val="bottom"/>
            <w:tcBorders>
              <w:bottom w:val="single" w:sz="8" w:color="CCEEFF"/>
            </w:tcBorders>
            <w:gridSpan w:val="2"/>
            <w:shd w:val="clear" w:color="auto" w:fill="CCEEFF"/>
          </w:tcPr>
          <w:p>
            <w:pPr>
              <w:jc w:val="center"/>
              <w:ind w:left="3368"/>
              <w:spacing w:after="0" w:line="130" w:lineRule="exact"/>
              <w:rPr>
                <w:sz w:val="20"/>
                <w:szCs w:val="20"/>
                <w:color w:val="auto"/>
              </w:rPr>
            </w:pPr>
            <w:r>
              <w:rPr>
                <w:rFonts w:ascii="Arial" w:cs="Arial" w:eastAsia="Arial" w:hAnsi="Arial"/>
                <w:sz w:val="14"/>
                <w:szCs w:val="14"/>
                <w:color w:val="auto"/>
                <w:w w:val="85"/>
              </w:rPr>
              <w:t>113</w:t>
            </w:r>
          </w:p>
        </w:tc>
        <w:tc>
          <w:tcPr>
            <w:tcW w:w="180" w:type="dxa"/>
            <w:vAlign w:val="bottom"/>
            <w:tcBorders>
              <w:bottom w:val="single" w:sz="8" w:color="CCEEFF"/>
            </w:tcBorders>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2920" w:type="dxa"/>
            <w:vAlign w:val="bottom"/>
            <w:tcBorders>
              <w:bottom w:val="single" w:sz="8" w:color="0000FF"/>
            </w:tcBorders>
            <w:gridSpan w:val="12"/>
          </w:tcPr>
          <w:p>
            <w:pPr>
              <w:spacing w:after="0" w:line="130" w:lineRule="exact"/>
              <w:rPr>
                <w:rFonts w:ascii="Arial" w:cs="Arial" w:eastAsia="Arial" w:hAnsi="Arial"/>
                <w:sz w:val="14"/>
                <w:szCs w:val="14"/>
                <w:color w:val="0000FF"/>
                <w:w w:val="92"/>
              </w:rPr>
            </w:pPr>
            <w:hyperlink w:anchor="page113">
              <w:r>
                <w:rPr>
                  <w:rFonts w:ascii="Arial" w:cs="Arial" w:eastAsia="Arial" w:hAnsi="Arial"/>
                  <w:sz w:val="14"/>
                  <w:szCs w:val="14"/>
                  <w:color w:val="0000FF"/>
                  <w:w w:val="92"/>
                </w:rPr>
                <w:t>Item 15 – Exhibits, Financial Statement Schedules</w:t>
              </w:r>
            </w:hyperlink>
          </w:p>
        </w:tc>
        <w:tc>
          <w:tcPr>
            <w:tcW w:w="4440" w:type="dxa"/>
            <w:vAlign w:val="bottom"/>
            <w:gridSpan w:val="15"/>
          </w:tcPr>
          <w:p>
            <w:pPr>
              <w:spacing w:after="0"/>
              <w:rPr>
                <w:sz w:val="11"/>
                <w:szCs w:val="11"/>
                <w:color w:val="auto"/>
              </w:rPr>
            </w:pPr>
          </w:p>
        </w:tc>
        <w:tc>
          <w:tcPr>
            <w:tcW w:w="3720" w:type="dxa"/>
            <w:vAlign w:val="bottom"/>
            <w:gridSpan w:val="2"/>
          </w:tcPr>
          <w:p>
            <w:pPr>
              <w:jc w:val="center"/>
              <w:ind w:left="3368"/>
              <w:spacing w:after="0" w:line="130" w:lineRule="exact"/>
              <w:rPr>
                <w:sz w:val="20"/>
                <w:szCs w:val="20"/>
                <w:color w:val="auto"/>
              </w:rPr>
            </w:pPr>
            <w:r>
              <w:rPr>
                <w:rFonts w:ascii="Arial" w:cs="Arial" w:eastAsia="Arial" w:hAnsi="Arial"/>
                <w:sz w:val="14"/>
                <w:szCs w:val="14"/>
                <w:color w:val="auto"/>
                <w:w w:val="85"/>
              </w:rPr>
              <w:t>113</w:t>
            </w:r>
          </w:p>
        </w:tc>
        <w:tc>
          <w:tcPr>
            <w:tcW w:w="180" w:type="dxa"/>
            <w:vAlign w:val="bottom"/>
          </w:tcPr>
          <w:p>
            <w:pPr>
              <w:spacing w:after="0"/>
              <w:rPr>
                <w:sz w:val="11"/>
                <w:szCs w:val="11"/>
                <w:color w:val="auto"/>
              </w:rPr>
            </w:pPr>
          </w:p>
        </w:tc>
      </w:tr>
      <w:tr>
        <w:trPr>
          <w:trHeight w:val="132"/>
        </w:trPr>
        <w:tc>
          <w:tcPr>
            <w:tcW w:w="20" w:type="dxa"/>
            <w:vAlign w:val="bottom"/>
            <w:shd w:val="clear" w:color="auto" w:fill="CCEEFF"/>
          </w:tcPr>
          <w:p>
            <w:pPr>
              <w:spacing w:after="0"/>
              <w:rPr>
                <w:sz w:val="11"/>
                <w:szCs w:val="11"/>
                <w:color w:val="auto"/>
              </w:rPr>
            </w:pPr>
          </w:p>
        </w:tc>
        <w:tc>
          <w:tcPr>
            <w:tcW w:w="7360" w:type="dxa"/>
            <w:vAlign w:val="bottom"/>
            <w:gridSpan w:val="27"/>
            <w:shd w:val="clear" w:color="auto" w:fill="CCEEFF"/>
          </w:tcPr>
          <w:p>
            <w:pPr>
              <w:spacing w:after="0" w:line="130" w:lineRule="exact"/>
              <w:rPr>
                <w:rFonts w:ascii="Arial" w:cs="Arial" w:eastAsia="Arial" w:hAnsi="Arial"/>
                <w:sz w:val="14"/>
                <w:szCs w:val="14"/>
                <w:b w:val="1"/>
                <w:bCs w:val="1"/>
                <w:color w:val="0000FF"/>
              </w:rPr>
            </w:pPr>
            <w:hyperlink w:anchor="page118">
              <w:r>
                <w:rPr>
                  <w:rFonts w:ascii="Arial" w:cs="Arial" w:eastAsia="Arial" w:hAnsi="Arial"/>
                  <w:sz w:val="14"/>
                  <w:szCs w:val="14"/>
                  <w:b w:val="1"/>
                  <w:bCs w:val="1"/>
                  <w:color w:val="0000FF"/>
                </w:rPr>
                <w:t>SIGNATURES</w:t>
              </w:r>
            </w:hyperlink>
          </w:p>
        </w:tc>
        <w:tc>
          <w:tcPr>
            <w:tcW w:w="3720" w:type="dxa"/>
            <w:vAlign w:val="bottom"/>
            <w:gridSpan w:val="2"/>
            <w:shd w:val="clear" w:color="auto" w:fill="CCEEFF"/>
          </w:tcPr>
          <w:p>
            <w:pPr>
              <w:jc w:val="center"/>
              <w:ind w:left="3368"/>
              <w:spacing w:after="0" w:line="130" w:lineRule="exact"/>
              <w:rPr>
                <w:sz w:val="20"/>
                <w:szCs w:val="20"/>
                <w:color w:val="auto"/>
              </w:rPr>
            </w:pPr>
            <w:r>
              <w:rPr>
                <w:rFonts w:ascii="Arial" w:cs="Arial" w:eastAsia="Arial" w:hAnsi="Arial"/>
                <w:sz w:val="14"/>
                <w:szCs w:val="14"/>
                <w:color w:val="auto"/>
                <w:w w:val="85"/>
              </w:rPr>
              <w:t>118</w:t>
            </w:r>
          </w:p>
        </w:tc>
        <w:tc>
          <w:tcPr>
            <w:tcW w:w="180" w:type="dxa"/>
            <w:vAlign w:val="bottom"/>
            <w:shd w:val="clear" w:color="auto" w:fill="CCEEFF"/>
          </w:tcPr>
          <w:p>
            <w:pPr>
              <w:spacing w:after="0"/>
              <w:rPr>
                <w:sz w:val="11"/>
                <w:szCs w:val="11"/>
                <w:color w:val="auto"/>
              </w:rPr>
            </w:pPr>
          </w:p>
        </w:tc>
      </w:tr>
      <w:tr>
        <w:trPr>
          <w:trHeight w:val="617"/>
        </w:trPr>
        <w:tc>
          <w:tcPr>
            <w:tcW w:w="20" w:type="dxa"/>
            <w:vAlign w:val="bottom"/>
            <w:tcBorders>
              <w:top w:val="single" w:sz="8" w:color="CCEEFF"/>
            </w:tcBorders>
          </w:tcPr>
          <w:p>
            <w:pPr>
              <w:spacing w:after="0"/>
              <w:rPr>
                <w:sz w:val="24"/>
                <w:szCs w:val="24"/>
                <w:color w:val="auto"/>
              </w:rPr>
            </w:pPr>
          </w:p>
        </w:tc>
        <w:tc>
          <w:tcPr>
            <w:tcW w:w="920" w:type="dxa"/>
            <w:vAlign w:val="bottom"/>
            <w:tcBorders>
              <w:top w:val="single" w:sz="8" w:color="0000FF"/>
            </w:tcBorders>
            <w:gridSpan w:val="2"/>
          </w:tcPr>
          <w:p>
            <w:pPr>
              <w:spacing w:after="0"/>
              <w:rPr>
                <w:sz w:val="24"/>
                <w:szCs w:val="24"/>
                <w:color w:val="auto"/>
              </w:rPr>
            </w:pPr>
          </w:p>
        </w:tc>
        <w:tc>
          <w:tcPr>
            <w:tcW w:w="4920" w:type="dxa"/>
            <w:vAlign w:val="bottom"/>
            <w:tcBorders>
              <w:top w:val="single" w:sz="8" w:color="CCEEFF"/>
            </w:tcBorders>
            <w:gridSpan w:val="22"/>
          </w:tcPr>
          <w:p>
            <w:pPr>
              <w:jc w:val="center"/>
              <w:ind w:left="4408"/>
              <w:spacing w:after="0"/>
              <w:rPr>
                <w:sz w:val="20"/>
                <w:szCs w:val="20"/>
                <w:color w:val="auto"/>
              </w:rPr>
            </w:pPr>
            <w:r>
              <w:rPr>
                <w:rFonts w:ascii="Arial" w:cs="Arial" w:eastAsia="Arial" w:hAnsi="Arial"/>
                <w:sz w:val="14"/>
                <w:szCs w:val="14"/>
                <w:color w:val="auto"/>
                <w:w w:val="96"/>
              </w:rPr>
              <w:t>- 2 -</w:t>
            </w:r>
          </w:p>
        </w:tc>
        <w:tc>
          <w:tcPr>
            <w:tcW w:w="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34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r>
      <w:tr>
        <w:trPr>
          <w:trHeight w:val="252"/>
        </w:trPr>
        <w:tc>
          <w:tcPr>
            <w:tcW w:w="20" w:type="dxa"/>
            <w:vAlign w:val="bottom"/>
            <w:tcBorders>
              <w:bottom w:val="single" w:sz="8" w:color="9A9A9A"/>
            </w:tcBorders>
          </w:tcPr>
          <w:p>
            <w:pPr>
              <w:spacing w:after="0"/>
              <w:rPr>
                <w:sz w:val="21"/>
                <w:szCs w:val="21"/>
                <w:color w:val="auto"/>
              </w:rPr>
            </w:pPr>
          </w:p>
        </w:tc>
        <w:tc>
          <w:tcPr>
            <w:tcW w:w="520" w:type="dxa"/>
            <w:vAlign w:val="bottom"/>
            <w:tcBorders>
              <w:bottom w:val="single" w:sz="8" w:color="9A9A9A"/>
            </w:tcBorders>
          </w:tcPr>
          <w:p>
            <w:pPr>
              <w:spacing w:after="0"/>
              <w:rPr>
                <w:sz w:val="21"/>
                <w:szCs w:val="21"/>
                <w:color w:val="auto"/>
              </w:rPr>
            </w:pPr>
          </w:p>
        </w:tc>
        <w:tc>
          <w:tcPr>
            <w:tcW w:w="400" w:type="dxa"/>
            <w:vAlign w:val="bottom"/>
            <w:tcBorders>
              <w:bottom w:val="single" w:sz="8" w:color="9A9A9A"/>
            </w:tcBorders>
          </w:tcPr>
          <w:p>
            <w:pPr>
              <w:spacing w:after="0"/>
              <w:rPr>
                <w:sz w:val="21"/>
                <w:szCs w:val="21"/>
                <w:color w:val="auto"/>
              </w:rPr>
            </w:pPr>
          </w:p>
        </w:tc>
        <w:tc>
          <w:tcPr>
            <w:tcW w:w="180" w:type="dxa"/>
            <w:vAlign w:val="bottom"/>
            <w:tcBorders>
              <w:bottom w:val="single" w:sz="8" w:color="9A9A9A"/>
            </w:tcBorders>
          </w:tcPr>
          <w:p>
            <w:pPr>
              <w:spacing w:after="0"/>
              <w:rPr>
                <w:sz w:val="21"/>
                <w:szCs w:val="21"/>
                <w:color w:val="auto"/>
              </w:rPr>
            </w:pPr>
          </w:p>
        </w:tc>
        <w:tc>
          <w:tcPr>
            <w:tcW w:w="180" w:type="dxa"/>
            <w:vAlign w:val="bottom"/>
            <w:tcBorders>
              <w:bottom w:val="single" w:sz="8" w:color="9A9A9A"/>
            </w:tcBorders>
          </w:tcPr>
          <w:p>
            <w:pPr>
              <w:spacing w:after="0"/>
              <w:rPr>
                <w:sz w:val="21"/>
                <w:szCs w:val="21"/>
                <w:color w:val="auto"/>
              </w:rPr>
            </w:pPr>
          </w:p>
        </w:tc>
        <w:tc>
          <w:tcPr>
            <w:tcW w:w="300" w:type="dxa"/>
            <w:vAlign w:val="bottom"/>
            <w:tcBorders>
              <w:bottom w:val="single" w:sz="8" w:color="9A9A9A"/>
            </w:tcBorders>
          </w:tcPr>
          <w:p>
            <w:pPr>
              <w:spacing w:after="0"/>
              <w:rPr>
                <w:sz w:val="21"/>
                <w:szCs w:val="21"/>
                <w:color w:val="auto"/>
              </w:rPr>
            </w:pPr>
          </w:p>
        </w:tc>
        <w:tc>
          <w:tcPr>
            <w:tcW w:w="30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32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540" w:type="dxa"/>
            <w:vAlign w:val="bottom"/>
            <w:tcBorders>
              <w:bottom w:val="single" w:sz="8" w:color="9A9A9A"/>
            </w:tcBorders>
          </w:tcPr>
          <w:p>
            <w:pPr>
              <w:spacing w:after="0"/>
              <w:rPr>
                <w:sz w:val="21"/>
                <w:szCs w:val="21"/>
                <w:color w:val="auto"/>
              </w:rPr>
            </w:pPr>
          </w:p>
        </w:tc>
        <w:tc>
          <w:tcPr>
            <w:tcW w:w="18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96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380" w:type="dxa"/>
            <w:vAlign w:val="bottom"/>
            <w:tcBorders>
              <w:bottom w:val="single" w:sz="8" w:color="9A9A9A"/>
            </w:tcBorders>
          </w:tcPr>
          <w:p>
            <w:pPr>
              <w:spacing w:after="0"/>
              <w:rPr>
                <w:sz w:val="21"/>
                <w:szCs w:val="21"/>
                <w:color w:val="auto"/>
              </w:rPr>
            </w:pPr>
          </w:p>
        </w:tc>
        <w:tc>
          <w:tcPr>
            <w:tcW w:w="18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1080" w:type="dxa"/>
            <w:vAlign w:val="bottom"/>
            <w:tcBorders>
              <w:bottom w:val="single" w:sz="8" w:color="9A9A9A"/>
            </w:tcBorders>
          </w:tcPr>
          <w:p>
            <w:pPr>
              <w:spacing w:after="0"/>
              <w:rPr>
                <w:sz w:val="21"/>
                <w:szCs w:val="21"/>
                <w:color w:val="auto"/>
              </w:rPr>
            </w:pPr>
          </w:p>
        </w:tc>
        <w:tc>
          <w:tcPr>
            <w:tcW w:w="360" w:type="dxa"/>
            <w:vAlign w:val="bottom"/>
            <w:tcBorders>
              <w:bottom w:val="single" w:sz="8" w:color="9A9A9A"/>
            </w:tcBorders>
          </w:tcPr>
          <w:p>
            <w:pPr>
              <w:spacing w:after="0"/>
              <w:rPr>
                <w:sz w:val="21"/>
                <w:szCs w:val="21"/>
                <w:color w:val="auto"/>
              </w:rPr>
            </w:pPr>
          </w:p>
        </w:tc>
        <w:tc>
          <w:tcPr>
            <w:tcW w:w="3440" w:type="dxa"/>
            <w:vAlign w:val="bottom"/>
            <w:tcBorders>
              <w:bottom w:val="single" w:sz="8" w:color="9A9A9A"/>
            </w:tcBorders>
          </w:tcPr>
          <w:p>
            <w:pPr>
              <w:spacing w:after="0"/>
              <w:rPr>
                <w:sz w:val="21"/>
                <w:szCs w:val="21"/>
                <w:color w:val="auto"/>
              </w:rPr>
            </w:pPr>
          </w:p>
        </w:tc>
        <w:tc>
          <w:tcPr>
            <w:tcW w:w="280" w:type="dxa"/>
            <w:vAlign w:val="bottom"/>
            <w:tcBorders>
              <w:bottom w:val="single" w:sz="8" w:color="9A9A9A"/>
            </w:tcBorders>
          </w:tcPr>
          <w:p>
            <w:pPr>
              <w:spacing w:after="0"/>
              <w:rPr>
                <w:sz w:val="21"/>
                <w:szCs w:val="21"/>
                <w:color w:val="auto"/>
              </w:rPr>
            </w:pPr>
          </w:p>
        </w:tc>
        <w:tc>
          <w:tcPr>
            <w:tcW w:w="18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233" w:right="319" w:bottom="1440" w:gutter="0" w:footer="0" w:header="0"/>
        </w:sectPr>
      </w:pPr>
    </w:p>
    <w:bookmarkStart w:id="2" w:name="page3"/>
    <w:bookmarkEnd w:id="2"/>
    <w:p>
      <w:pPr>
        <w:ind w:left="100" w:right="220"/>
        <w:spacing w:after="0" w:line="239" w:lineRule="auto"/>
        <w:rPr>
          <w:sz w:val="20"/>
          <w:szCs w:val="20"/>
          <w:color w:val="auto"/>
        </w:rPr>
      </w:pPr>
      <w:r>
        <w:rPr>
          <w:rFonts w:ascii="Arial" w:cs="Arial" w:eastAsia="Arial" w:hAnsi="Arial"/>
          <w:sz w:val="10"/>
          <w:szCs w:val="10"/>
          <w:i w:val="1"/>
          <w:iCs w:val="1"/>
          <w:color w:val="auto"/>
        </w:rPr>
        <w:drawing>
          <wp:anchor simplePos="0" relativeHeight="251657728" behindDoc="1" locked="0" layoutInCell="0" allowOverlap="1">
            <wp:simplePos x="0" y="0"/>
            <wp:positionH relativeFrom="page">
              <wp:posOffset>194945</wp:posOffset>
            </wp:positionH>
            <wp:positionV relativeFrom="page">
              <wp:posOffset>281940</wp:posOffset>
            </wp:positionV>
            <wp:extent cx="7159625" cy="35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351155"/>
                    </a:xfrm>
                    <a:prstGeom prst="rect">
                      <a:avLst/>
                    </a:prstGeom>
                    <a:noFill/>
                  </pic:spPr>
                </pic:pic>
              </a:graphicData>
            </a:graphic>
          </wp:anchor>
        </w:drawing>
        <w:t>The information in this Annual Report on Form 10-K for the year ended December 31, 2021 ("2021 Form 10-K" or “2021 Annual Report”) contains certain forward-looking statements, including statements related to trends in the Company's business. The Company's actual results may differ materially from the results discussed in the “Cautionary Statement Regarding Forward-Looking Statements”. Factors that might cause such a difference include those discussed in "Item 1 – Our Business," "Item 1A – Risk Factors," and "Item 7 – Management's Discussion and Analysis of Financial Condition and Results of Operations" as well as those discussed elsewhere in this 2021 Form 10-K.</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PART I</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 –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147" w:lineRule="exact"/>
        <w:rPr>
          <w:sz w:val="20"/>
          <w:szCs w:val="20"/>
          <w:color w:val="auto"/>
        </w:rPr>
      </w:pPr>
    </w:p>
    <w:p>
      <w:pPr>
        <w:ind w:right="140"/>
        <w:spacing w:after="0" w:line="270" w:lineRule="auto"/>
        <w:rPr>
          <w:sz w:val="20"/>
          <w:szCs w:val="20"/>
          <w:color w:val="auto"/>
        </w:rPr>
      </w:pPr>
      <w:r>
        <w:rPr>
          <w:rFonts w:ascii="Arial" w:cs="Arial" w:eastAsia="Arial" w:hAnsi="Arial"/>
          <w:sz w:val="13"/>
          <w:szCs w:val="13"/>
          <w:color w:val="auto"/>
        </w:rPr>
        <w:t>Reading International, Inc. (“RDI” and collectively with our consolidated subsidiaries and corporate predecessors, our “Company,” “Reading,” “we,” “us,” or “our”) was incorporated in 1999 incident to our reincorporation in the State of Nevada. Our class A non-voting common stock (“Class A Stock”) and class B voting common stock (“Class B Stock”) are listed for trading on the NASDAQ Capital Market (Nasdaq-CM) under the symbols RDI and RDIB, respectively. Our Corporate Headquarters is at 189 Second Avenue, Suite 2S, New York, New York, 10003.</w:t>
      </w:r>
    </w:p>
    <w:p>
      <w:pPr>
        <w:spacing w:after="0" w:line="99" w:lineRule="exact"/>
        <w:rPr>
          <w:sz w:val="20"/>
          <w:szCs w:val="20"/>
          <w:color w:val="auto"/>
        </w:rPr>
      </w:pPr>
    </w:p>
    <w:p>
      <w:pPr>
        <w:ind w:right="60"/>
        <w:spacing w:after="0" w:line="263" w:lineRule="auto"/>
        <w:rPr>
          <w:sz w:val="20"/>
          <w:szCs w:val="20"/>
          <w:color w:val="auto"/>
        </w:rPr>
      </w:pPr>
      <w:r>
        <w:rPr>
          <w:rFonts w:ascii="Arial" w:cs="Arial" w:eastAsia="Arial" w:hAnsi="Arial"/>
          <w:sz w:val="13"/>
          <w:szCs w:val="13"/>
          <w:color w:val="auto"/>
        </w:rPr>
        <w:t xml:space="preserve">Our corporate website address is </w:t>
      </w:r>
      <w:r>
        <w:rPr>
          <w:rFonts w:ascii="Arial" w:cs="Arial" w:eastAsia="Arial" w:hAnsi="Arial"/>
          <w:sz w:val="13"/>
          <w:szCs w:val="13"/>
          <w:b w:val="1"/>
          <w:bCs w:val="1"/>
          <w:u w:val="single" w:color="auto"/>
          <w:color w:val="auto"/>
        </w:rPr>
        <w:t>www.ReadingRDI.com</w:t>
      </w:r>
      <w:r>
        <w:rPr>
          <w:rFonts w:ascii="Arial" w:cs="Arial" w:eastAsia="Arial" w:hAnsi="Arial"/>
          <w:sz w:val="13"/>
          <w:szCs w:val="13"/>
          <w:color w:val="auto"/>
        </w:rPr>
        <w:t>. We provide, free of charge on our website, our annual report on Form 10-K, quarterly reports on Form 10-Q, current reports on Form 8-K, and amendments to those reports filed or furnished pursuant to Sections 13(a) or 15(d) of the Exchange Act as soon as reasonably practicable after we have electronically filed such material with, or furnished it to, the Securities and Exchange Commission (the “SEC”) (</w:t>
      </w:r>
      <w:r>
        <w:rPr>
          <w:rFonts w:ascii="Arial" w:cs="Arial" w:eastAsia="Arial" w:hAnsi="Arial"/>
          <w:sz w:val="13"/>
          <w:szCs w:val="13"/>
          <w:u w:val="single" w:color="auto"/>
          <w:color w:val="auto"/>
        </w:rPr>
        <w:t>www.sec.gov</w:t>
      </w:r>
      <w:r>
        <w:rPr>
          <w:rFonts w:ascii="Arial" w:cs="Arial" w:eastAsia="Arial" w:hAnsi="Arial"/>
          <w:sz w:val="13"/>
          <w:szCs w:val="13"/>
          <w:color w:val="auto"/>
        </w:rPr>
        <w:t>). The contents of our Company website are not incorporated into this report. Our corporate governance charters for our Audit and Conflicts Committee and Compensation and Stock Options Committee are available on our website.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DESCRIPTION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Synergistic Diversification and Branding</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We are an internationally diversified company focused on the development, ownership and operation of entertainment and real property assets in three jurisdictions: (i) United States (“U.S.”), (ii)</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Australia, and (iii) New Zealand. We group our businesses in two operating segments, which are owned and operated through various operating subsidiaries: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 xml:space="preserve">Theatrical Motion Picture Exhibition </w:t>
      </w:r>
      <w:r>
        <w:rPr>
          <w:rFonts w:ascii="Arial" w:cs="Arial" w:eastAsia="Arial" w:hAnsi="Arial"/>
          <w:sz w:val="14"/>
          <w:szCs w:val="14"/>
          <w:color w:val="auto"/>
        </w:rPr>
        <w:t>(“Cinema Exhibition”), through our 63 cinemas.</w:t>
      </w:r>
    </w:p>
    <w:p>
      <w:pPr>
        <w:spacing w:after="0" w:line="67" w:lineRule="exact"/>
        <w:rPr>
          <w:sz w:val="20"/>
          <w:szCs w:val="20"/>
          <w:color w:val="auto"/>
        </w:rPr>
      </w:pPr>
    </w:p>
    <w:p>
      <w:pPr>
        <w:ind w:left="520" w:right="680"/>
        <w:spacing w:after="0" w:line="274" w:lineRule="auto"/>
        <w:rPr>
          <w:sz w:val="20"/>
          <w:szCs w:val="20"/>
          <w:color w:val="auto"/>
        </w:rPr>
      </w:pPr>
      <w:r>
        <w:rPr>
          <w:rFonts w:ascii="Arial" w:cs="Arial" w:eastAsia="Arial" w:hAnsi="Arial"/>
          <w:sz w:val="14"/>
          <w:szCs w:val="14"/>
          <w:b w:val="1"/>
          <w:bCs w:val="1"/>
          <w:i w:val="1"/>
          <w:iCs w:val="1"/>
          <w:color w:val="auto"/>
        </w:rPr>
        <w:t>Real Estate</w:t>
      </w:r>
      <w:r>
        <w:rPr>
          <w:rFonts w:ascii="Arial" w:cs="Arial" w:eastAsia="Arial" w:hAnsi="Arial"/>
          <w:sz w:val="14"/>
          <w:szCs w:val="14"/>
          <w:color w:val="auto"/>
        </w:rPr>
        <w:t>, including real estate development and the rental or licensing of retail, commercial and live theatre assets comprised, as of the date of this 2021 Annual Report,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approximately 9,730,000 square feet of land and approximately 713,000 square feet of net rentable area.</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COVID-19 Impact and Company Response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Impact on our Cinema Business</w:t>
      </w:r>
    </w:p>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In March 2020, as a result of the COVID-19 pandemic, all of our cinemas in the United States, Australia, and New Zealand were forced to temporarily close by government mandate, ultimately causing an immediate halt to our cinema income. Since the onset of the pandemic, a majority of our cinemas have reopened (some with occupancy restrictions in place). As of the date of this 2021 Annual Report, all our cinemas are open other than one cinema in the U.S. and one cinema in New Zealand which remain closed due to reasons unrelated to the pandemic.</w:t>
      </w:r>
    </w:p>
    <w:p>
      <w:pPr>
        <w:spacing w:after="0" w:line="103" w:lineRule="exact"/>
        <w:rPr>
          <w:sz w:val="20"/>
          <w:szCs w:val="20"/>
          <w:color w:val="auto"/>
        </w:rPr>
      </w:pPr>
    </w:p>
    <w:p>
      <w:pPr>
        <w:ind w:right="40"/>
        <w:spacing w:after="0" w:line="233" w:lineRule="auto"/>
        <w:rPr>
          <w:sz w:val="20"/>
          <w:szCs w:val="20"/>
          <w:color w:val="auto"/>
        </w:rPr>
      </w:pPr>
      <w:r>
        <w:rPr>
          <w:rFonts w:ascii="Arial" w:cs="Arial" w:eastAsia="Arial" w:hAnsi="Arial"/>
          <w:sz w:val="14"/>
          <w:szCs w:val="14"/>
          <w:color w:val="auto"/>
        </w:rPr>
        <w:t xml:space="preserve">These pandemic related closures have had a material negative impact on our box office results, cinema attendances and the wider cinema industry in general. In 2021, cinemas have reopened as the pandemic has abated and recent variants have not required widespread cinema closures, but attendance is still below pre-pandemic levels due to a variety of factors, including continuing social distancing requirements, public reticence to participate in group activities, competition from streaming services and until relatively recently, the lack of strong film product. Patrons who have returned are responding well to our expanded food and beverage offerings, as spend per patron continue to strengthen. The industry has, in recent months, experienced a positive shift in box office results with the releases of more traditional blockbuster movies to cinemas, such as </w:t>
      </w:r>
      <w:r>
        <w:rPr>
          <w:rFonts w:ascii="Arial" w:cs="Arial" w:eastAsia="Arial" w:hAnsi="Arial"/>
          <w:sz w:val="14"/>
          <w:szCs w:val="14"/>
          <w:i w:val="1"/>
          <w:iCs w:val="1"/>
          <w:color w:val="auto"/>
        </w:rPr>
        <w:t>Spider-Man: No Way Home, Shang-Chi and the Legend of the Ten Rings,</w:t>
      </w:r>
      <w:r>
        <w:rPr>
          <w:rFonts w:ascii="Arial" w:cs="Arial" w:eastAsia="Arial" w:hAnsi="Arial"/>
          <w:sz w:val="14"/>
          <w:szCs w:val="14"/>
          <w:color w:val="auto"/>
        </w:rPr>
        <w:t xml:space="preserve"> and </w:t>
      </w:r>
      <w:r>
        <w:rPr>
          <w:rFonts w:ascii="Arial" w:cs="Arial" w:eastAsia="Arial" w:hAnsi="Arial"/>
          <w:sz w:val="14"/>
          <w:szCs w:val="14"/>
          <w:i w:val="1"/>
          <w:iCs w:val="1"/>
          <w:color w:val="auto"/>
        </w:rPr>
        <w:t>Eternals</w:t>
      </w:r>
      <w:r>
        <w:rPr>
          <w:rFonts w:ascii="Arial" w:cs="Arial" w:eastAsia="Arial" w:hAnsi="Arial"/>
          <w:sz w:val="14"/>
          <w:szCs w:val="14"/>
          <w:color w:val="auto"/>
        </w:rPr>
        <w:t>. We believe that the performance of these films has provided optimism for the cinema industry.</w:t>
      </w:r>
    </w:p>
    <w:p>
      <w:pPr>
        <w:spacing w:after="0" w:line="125"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Notwithstanding the impact of COVID-19, we have expanded our global cinema portfolio. We (i) opened five new cinemas in Australia since the third quarter of 2019, (ii) completed two top-to-bottom renovations in the U.S in 2021, and (iii) have two more cinemas in the pipeline to open in 2022.</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i w:val="1"/>
          <w:iCs w:val="1"/>
          <w:color w:val="auto"/>
        </w:rPr>
        <w:t>COVID-19 Impact on our Real Estate Business</w:t>
      </w:r>
    </w:p>
    <w:p>
      <w:pPr>
        <w:spacing w:after="0" w:line="143"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Our real estate business has been less impacted, and virtually all of our tenants are currently paying full rents. As of the date of this 2021 Annual Report, 97% of our tenants in our Australian and New Zealand real estate businesses are currently open for trading (some with trading restrictions in place). STOMP reopened at our Orpheum Theater in New York on July 20, 2021, and Audible, an Amazon company, continues to license our Minetta Lane Theater in New York, and resumed public performances on October 8, 2021. We began receiving rental income from our new Culver City office tenant in October 2020.</w:t>
      </w:r>
    </w:p>
    <w:p>
      <w:pPr>
        <w:spacing w:after="0" w:line="123"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With regard to our architectural award winning 44 Union Square redevelopment project, while COVID-19 has severely constrained leasing activity in Manhattan, in January 2022 we secured a long-term lease with a strong credit retailer for the cellar, ground floor, and second floor of the building. Our real estate team continues to work to secure office tenants for the remaining space. Our progress regarding this property is discussed in our Real Estate overview below.</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As for our other real estate holdings, subject to capital availability and assuming a return to normalcy, we will once again put emphasis on developing and enhancing the following properties: our Courtenay Central, Cannon Park, and Newmarket Village Entertainment Themed Centers, and our Cinemas 1,2,3 and Philadelphia Viaduct properties.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Management’s Response to the Challenges of COVID-19</w:t>
      </w:r>
    </w:p>
    <w:p>
      <w:pPr>
        <w:spacing w:after="0" w:line="143" w:lineRule="exact"/>
        <w:rPr>
          <w:sz w:val="20"/>
          <w:szCs w:val="20"/>
          <w:color w:val="auto"/>
        </w:rPr>
      </w:pPr>
    </w:p>
    <w:p>
      <w:pPr>
        <w:spacing w:after="0" w:line="235" w:lineRule="auto"/>
        <w:rPr>
          <w:sz w:val="20"/>
          <w:szCs w:val="20"/>
          <w:color w:val="auto"/>
        </w:rPr>
      </w:pPr>
      <w:r>
        <w:rPr>
          <w:rFonts w:ascii="Arial" w:cs="Arial" w:eastAsia="Arial" w:hAnsi="Arial"/>
          <w:sz w:val="14"/>
          <w:szCs w:val="14"/>
          <w:color w:val="auto"/>
        </w:rPr>
        <w:t xml:space="preserve">In response to lower cash inflows from our cinema businesses, we reviewed our real estate portfolio to identify assets that had not been adversely impacted by the pandemic and which would require material capital investment to generate any material increase in value. These asset monetizations are detailed at </w:t>
      </w:r>
      <w:r>
        <w:rPr>
          <w:rFonts w:ascii="Arial" w:cs="Arial" w:eastAsia="Arial" w:hAnsi="Arial"/>
          <w:sz w:val="14"/>
          <w:szCs w:val="14"/>
          <w:i w:val="1"/>
          <w:iCs w:val="1"/>
          <w:color w:val="auto"/>
        </w:rPr>
        <w:t>Note 5 - Real Estate Transactions</w:t>
      </w:r>
      <w:r>
        <w:rPr>
          <w:rFonts w:ascii="Arial" w:cs="Arial" w:eastAsia="Arial" w:hAnsi="Arial"/>
          <w:sz w:val="14"/>
          <w:szCs w:val="14"/>
          <w:color w:val="auto"/>
        </w:rPr>
        <w:t xml:space="preserve"> to the financial statements. We have used the proceeds from the sale of these properties to pay down debt, to cover operating expenses, to fund limited capital improvements, and to strengthen our liquidity. At December 31, 2021, we had cash and cash equivalents totaling $83.3 million, compared to $26.8 million at December 31, 2020. During 2021, we have reduced our net debt from $285.0 million as of December 31, 2020, to $236.9 million as of December 31, 2021.</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In addition to the monetization of certain real estate assets, we implemented a number of measures to reduce our day-to-day cost of operations while improving the safety of our cinemas in the light of the COVID-19 pandemic. These measures include, but are not limited to, terminating U.S. cinema and live theater staff for the period of cinema closures, reducing our utilities and essential operating expenditures to the minimum levels necessary, terminating or deferring non-essential capital expenditure, and reducing corporate-level employment costs. We have enhanced our cleaning protocols and installed partitions and air filtration systems to improve the safety aspects of our cinemas and upgraded our mobile platforms to increase social distancing. Furthermore, we were able to keep our Australia and New Zealand cinema level staff due to government assistance provided in those countries.</w:t>
      </w:r>
    </w:p>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have been able to maintain most of our assets and keep our key personnel in place as we reopen our cinemas. Generally speaking, our lenders and landlords continue to work with us, and we continue in occupancy all of our cinemas and have not lost any cinema assets as a result of the COVID-19 pandemic. We negotiated rent abatements and/or deferrals with our landlords throughout 2020 and 2021, and we continue to discuss further concessions with our landlords. We have a variety of landlords, and these discussions are being progressed on a location-by-location basis. Further, we believe our relationships with our film suppliers continue to be strong.</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Conclusion</w:t>
      </w:r>
    </w:p>
    <w:p>
      <w:pPr>
        <w:spacing w:after="0" w:line="147"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In 2021, we have taken a number of significant steps to preserve our liquidity, and we will continue to evaluate our operations as the pandemic continues. We modified our business strategy in order to ensure our long-term viability in a way that would not have a dilutive impact on our stockholders, overleverage our Company, or require that we fire sale assets. In arriving at the determination to rely upon the monetization of certain real estate assets to bridge this gap in cinema cashflow (which has in 2021 produced net proceeds to our Company of $139.4 million) and to reduce our need to make capital expenditures, we considered a variety of alternatives, including the issuance of additional common stock and the issuance of high interest rate “junk” debt. We determined that it would be in the best interests of our Company and our stockholders to not dilute equity by issuing stock in the middle of an unprecedented pandemic and to not mortgage our future with high interest rate debt.</w:t>
      </w:r>
    </w:p>
    <w:p>
      <w:pPr>
        <w:spacing w:after="0" w:line="125" w:lineRule="exact"/>
        <w:rPr>
          <w:sz w:val="20"/>
          <w:szCs w:val="20"/>
          <w:color w:val="auto"/>
        </w:rPr>
      </w:pPr>
    </w:p>
    <w:p>
      <w:pPr>
        <w:jc w:val="both"/>
        <w:spacing w:after="0" w:line="235" w:lineRule="auto"/>
        <w:rPr>
          <w:sz w:val="20"/>
          <w:szCs w:val="20"/>
          <w:color w:val="auto"/>
        </w:rPr>
      </w:pPr>
      <w:r>
        <w:rPr>
          <w:rFonts w:ascii="Arial" w:cs="Arial" w:eastAsia="Arial" w:hAnsi="Arial"/>
          <w:sz w:val="14"/>
          <w:szCs w:val="14"/>
          <w:color w:val="auto"/>
        </w:rPr>
        <w:t>With the development and distribution of a variety of vaccines, and a government focus on reducing or eliminating certain pandemic-related restrictions, we anticipate that the impact of the COVID-19 pandemic on our results of operation will be a passing event in the long-term, and we believe that we will ultimately return to results that resemble those of the pre-pandemic era in the future. However, no assurance can be given that we will achieve these results and, unfortunately, there is still a risk of future global outbreaks of COVID-19 and its associated variants, such as the Delta and Omicron variants. In addition, we may be adversely impacted by long-term social trends and movie release patterns, which are placing greater emphasis on streaming in periods prior to the COVID-19 pandemic.</w:t>
      </w:r>
    </w:p>
    <w:p>
      <w:pPr>
        <w:spacing w:after="0" w:line="12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short, we have preserved our core business and, while we have monetized on favorable terms certain real estate assets earlier than we had intended, we still hold quality real estate assets in which to invest our time and resources.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70"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t>OUR COMMERCIAL BRANDS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Set forth below is a brief description of the various brands under which we organize our business operations: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118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w w:val="82"/>
              </w:rPr>
              <w:t>Business Segment /</w:t>
            </w:r>
          </w:p>
        </w:tc>
        <w:tc>
          <w:tcPr>
            <w:tcW w:w="2720" w:type="dxa"/>
            <w:vAlign w:val="bottom"/>
            <w:tcBorders>
              <w:top w:val="single" w:sz="8" w:color="auto"/>
            </w:tcBorders>
            <w:vMerge w:val="restart"/>
          </w:tcPr>
          <w:p>
            <w:pPr>
              <w:ind w:left="980"/>
              <w:spacing w:after="0"/>
              <w:rPr>
                <w:sz w:val="20"/>
                <w:szCs w:val="20"/>
                <w:color w:val="auto"/>
              </w:rPr>
            </w:pPr>
            <w:r>
              <w:rPr>
                <w:rFonts w:ascii="Arial" w:cs="Arial" w:eastAsia="Arial" w:hAnsi="Arial"/>
                <w:sz w:val="12"/>
                <w:szCs w:val="12"/>
                <w:b w:val="1"/>
                <w:bCs w:val="1"/>
                <w:color w:val="auto"/>
              </w:rPr>
              <w:t>Our Commercial Brands</w:t>
            </w:r>
          </w:p>
        </w:tc>
        <w:tc>
          <w:tcPr>
            <w:tcW w:w="1620" w:type="dxa"/>
            <w:vAlign w:val="bottom"/>
            <w:tcBorders>
              <w:top w:val="single" w:sz="8" w:color="auto"/>
            </w:tcBorders>
            <w:vMerge w:val="restart"/>
          </w:tcPr>
          <w:p>
            <w:pPr>
              <w:jc w:val="center"/>
              <w:ind w:left="425"/>
              <w:spacing w:after="0"/>
              <w:rPr>
                <w:sz w:val="20"/>
                <w:szCs w:val="20"/>
                <w:color w:val="auto"/>
              </w:rPr>
            </w:pPr>
            <w:r>
              <w:rPr>
                <w:rFonts w:ascii="Arial" w:cs="Arial" w:eastAsia="Arial" w:hAnsi="Arial"/>
                <w:sz w:val="12"/>
                <w:szCs w:val="12"/>
                <w:b w:val="1"/>
                <w:bCs w:val="1"/>
                <w:color w:val="auto"/>
                <w:w w:val="91"/>
              </w:rPr>
              <w:t>Country</w:t>
            </w:r>
          </w:p>
        </w:tc>
        <w:tc>
          <w:tcPr>
            <w:tcW w:w="4360" w:type="dxa"/>
            <w:vAlign w:val="bottom"/>
            <w:tcBorders>
              <w:top w:val="single" w:sz="8" w:color="auto"/>
            </w:tcBorders>
            <w:vMerge w:val="restart"/>
          </w:tcPr>
          <w:p>
            <w:pPr>
              <w:ind w:left="1720"/>
              <w:spacing w:after="0"/>
              <w:rPr>
                <w:sz w:val="20"/>
                <w:szCs w:val="20"/>
                <w:color w:val="auto"/>
              </w:rPr>
            </w:pPr>
            <w:r>
              <w:rPr>
                <w:rFonts w:ascii="Arial" w:cs="Arial" w:eastAsia="Arial" w:hAnsi="Arial"/>
                <w:sz w:val="12"/>
                <w:szCs w:val="12"/>
                <w:b w:val="1"/>
                <w:bCs w:val="1"/>
                <w:color w:val="auto"/>
              </w:rPr>
              <w:t>Description</w:t>
            </w:r>
          </w:p>
        </w:tc>
        <w:tc>
          <w:tcPr>
            <w:tcW w:w="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8"/>
            <w:vMerge w:val="restart"/>
          </w:tcPr>
          <w:p>
            <w:pPr>
              <w:jc w:val="center"/>
              <w:ind w:right="400"/>
              <w:spacing w:after="0"/>
              <w:rPr>
                <w:sz w:val="20"/>
                <w:szCs w:val="20"/>
                <w:color w:val="auto"/>
              </w:rPr>
            </w:pPr>
            <w:r>
              <w:rPr>
                <w:rFonts w:ascii="Arial" w:cs="Arial" w:eastAsia="Arial" w:hAnsi="Arial"/>
                <w:sz w:val="12"/>
                <w:szCs w:val="12"/>
                <w:b w:val="1"/>
                <w:bCs w:val="1"/>
                <w:color w:val="auto"/>
                <w:w w:val="89"/>
              </w:rPr>
              <w:t>Website Link</w:t>
            </w:r>
          </w:p>
        </w:tc>
        <w:tc>
          <w:tcPr>
            <w:tcW w:w="0" w:type="dxa"/>
            <w:vAlign w:val="bottom"/>
          </w:tcPr>
          <w:p>
            <w:pPr>
              <w:spacing w:after="0"/>
              <w:rPr>
                <w:sz w:val="1"/>
                <w:szCs w:val="1"/>
                <w:color w:val="auto"/>
              </w:rPr>
            </w:pPr>
          </w:p>
        </w:tc>
      </w:tr>
      <w:tr>
        <w:trPr>
          <w:trHeight w:val="84"/>
        </w:trPr>
        <w:tc>
          <w:tcPr>
            <w:tcW w:w="1180" w:type="dxa"/>
            <w:vAlign w:val="bottom"/>
            <w:vMerge w:val="restart"/>
          </w:tcPr>
          <w:p>
            <w:pPr>
              <w:jc w:val="center"/>
              <w:spacing w:after="0" w:line="120" w:lineRule="exact"/>
              <w:rPr>
                <w:sz w:val="20"/>
                <w:szCs w:val="20"/>
                <w:color w:val="auto"/>
              </w:rPr>
            </w:pPr>
            <w:r>
              <w:rPr>
                <w:rFonts w:ascii="Arial" w:cs="Arial" w:eastAsia="Arial" w:hAnsi="Arial"/>
                <w:sz w:val="12"/>
                <w:szCs w:val="12"/>
                <w:b w:val="1"/>
                <w:bCs w:val="1"/>
                <w:color w:val="auto"/>
                <w:w w:val="94"/>
              </w:rPr>
              <w:t>Unit</w:t>
            </w:r>
          </w:p>
        </w:tc>
        <w:tc>
          <w:tcPr>
            <w:tcW w:w="272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43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1180" w:type="dxa"/>
            <w:vAlign w:val="bottom"/>
            <w:vMerge w:val="continue"/>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4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1180" w:type="dxa"/>
            <w:vAlign w:val="bottom"/>
          </w:tcPr>
          <w:p>
            <w:pPr>
              <w:ind w:left="20"/>
              <w:spacing w:after="0" w:line="98" w:lineRule="exact"/>
              <w:rPr>
                <w:sz w:val="20"/>
                <w:szCs w:val="20"/>
                <w:color w:val="auto"/>
              </w:rPr>
            </w:pPr>
            <w:r>
              <w:rPr>
                <w:rFonts w:ascii="Arial" w:cs="Arial" w:eastAsia="Arial" w:hAnsi="Arial"/>
                <w:sz w:val="10"/>
                <w:szCs w:val="10"/>
                <w:b w:val="1"/>
                <w:bCs w:val="1"/>
                <w:color w:val="auto"/>
              </w:rPr>
              <w:t xml:space="preserve">Cinema Exhibition </w:t>
            </w:r>
            <w:r>
              <w:rPr>
                <w:rFonts w:ascii="Arial" w:cs="Arial" w:eastAsia="Arial" w:hAnsi="Arial"/>
                <w:sz w:val="10"/>
                <w:szCs w:val="10"/>
                <w:color w:val="auto"/>
              </w:rPr>
              <w:t>/</w:t>
            </w:r>
          </w:p>
        </w:tc>
        <w:tc>
          <w:tcPr>
            <w:tcW w:w="2720" w:type="dxa"/>
            <w:vAlign w:val="bottom"/>
          </w:tcPr>
          <w:p>
            <w:pPr>
              <w:spacing w:after="0"/>
              <w:rPr>
                <w:sz w:val="8"/>
                <w:szCs w:val="8"/>
                <w:color w:val="auto"/>
              </w:rPr>
            </w:pPr>
          </w:p>
        </w:tc>
        <w:tc>
          <w:tcPr>
            <w:tcW w:w="1620" w:type="dxa"/>
            <w:vAlign w:val="bottom"/>
          </w:tcPr>
          <w:p>
            <w:pPr>
              <w:jc w:val="center"/>
              <w:ind w:left="405"/>
              <w:spacing w:after="0" w:line="98" w:lineRule="exact"/>
              <w:rPr>
                <w:sz w:val="20"/>
                <w:szCs w:val="20"/>
                <w:color w:val="auto"/>
              </w:rPr>
            </w:pPr>
            <w:r>
              <w:rPr>
                <w:rFonts w:ascii="Arial" w:cs="Arial" w:eastAsia="Arial" w:hAnsi="Arial"/>
                <w:sz w:val="10"/>
                <w:szCs w:val="10"/>
                <w:color w:val="auto"/>
              </w:rPr>
              <w:t>United States Australia</w:t>
            </w:r>
          </w:p>
        </w:tc>
        <w:tc>
          <w:tcPr>
            <w:tcW w:w="4360" w:type="dxa"/>
            <w:vAlign w:val="bottom"/>
          </w:tcPr>
          <w:p>
            <w:pPr>
              <w:ind w:left="40"/>
              <w:spacing w:after="0" w:line="98" w:lineRule="exact"/>
              <w:rPr>
                <w:sz w:val="20"/>
                <w:szCs w:val="20"/>
                <w:color w:val="auto"/>
              </w:rPr>
            </w:pPr>
            <w:r>
              <w:rPr>
                <w:rFonts w:ascii="Arial" w:cs="Arial" w:eastAsia="Arial" w:hAnsi="Arial"/>
                <w:sz w:val="10"/>
                <w:szCs w:val="10"/>
                <w:color w:val="auto"/>
              </w:rPr>
              <w:t xml:space="preserve">Our </w:t>
            </w:r>
            <w:r>
              <w:rPr>
                <w:rFonts w:ascii="Arial" w:cs="Arial" w:eastAsia="Arial" w:hAnsi="Arial"/>
                <w:sz w:val="10"/>
                <w:szCs w:val="10"/>
                <w:b w:val="1"/>
                <w:bCs w:val="1"/>
                <w:color w:val="auto"/>
              </w:rPr>
              <w:t>Reading Cinemas</w:t>
            </w:r>
            <w:r>
              <w:rPr>
                <w:rFonts w:ascii="Arial" w:cs="Arial" w:eastAsia="Arial" w:hAnsi="Arial"/>
                <w:sz w:val="10"/>
                <w:szCs w:val="10"/>
                <w:color w:val="auto"/>
              </w:rPr>
              <w:t xml:space="preserve"> tradename is derived from our over 185-year history as the</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180" w:type="dxa"/>
            <w:vAlign w:val="bottom"/>
          </w:tcPr>
          <w:p>
            <w:pPr>
              <w:ind w:left="20"/>
              <w:spacing w:after="0" w:line="130" w:lineRule="exact"/>
              <w:rPr>
                <w:sz w:val="20"/>
                <w:szCs w:val="20"/>
                <w:color w:val="auto"/>
              </w:rPr>
            </w:pPr>
            <w:r>
              <w:rPr>
                <w:rFonts w:ascii="Arial" w:cs="Arial" w:eastAsia="Arial" w:hAnsi="Arial"/>
                <w:sz w:val="12"/>
                <w:szCs w:val="12"/>
                <w:color w:val="auto"/>
              </w:rPr>
              <w:t>All Countries</w:t>
            </w:r>
          </w:p>
        </w:tc>
        <w:tc>
          <w:tcPr>
            <w:tcW w:w="2720" w:type="dxa"/>
            <w:vAlign w:val="bottom"/>
          </w:tcPr>
          <w:p>
            <w:pPr>
              <w:spacing w:after="0"/>
              <w:rPr>
                <w:sz w:val="11"/>
                <w:szCs w:val="11"/>
                <w:color w:val="auto"/>
              </w:rPr>
            </w:pPr>
          </w:p>
        </w:tc>
        <w:tc>
          <w:tcPr>
            <w:tcW w:w="1620" w:type="dxa"/>
            <w:vAlign w:val="bottom"/>
          </w:tcPr>
          <w:p>
            <w:pPr>
              <w:jc w:val="center"/>
              <w:ind w:left="425"/>
              <w:spacing w:after="0" w:line="130" w:lineRule="exact"/>
              <w:rPr>
                <w:sz w:val="20"/>
                <w:szCs w:val="20"/>
                <w:color w:val="auto"/>
              </w:rPr>
            </w:pPr>
            <w:r>
              <w:rPr>
                <w:rFonts w:ascii="Arial" w:cs="Arial" w:eastAsia="Arial" w:hAnsi="Arial"/>
                <w:sz w:val="12"/>
                <w:szCs w:val="12"/>
                <w:color w:val="auto"/>
                <w:w w:val="87"/>
              </w:rPr>
              <w:t>New Zealand</w:t>
            </w:r>
          </w:p>
        </w:tc>
        <w:tc>
          <w:tcPr>
            <w:tcW w:w="4360" w:type="dxa"/>
            <w:vAlign w:val="bottom"/>
          </w:tcPr>
          <w:p>
            <w:pPr>
              <w:ind w:left="40"/>
              <w:spacing w:after="0" w:line="131" w:lineRule="exact"/>
              <w:rPr>
                <w:sz w:val="20"/>
                <w:szCs w:val="20"/>
                <w:color w:val="auto"/>
              </w:rPr>
            </w:pPr>
            <w:r>
              <w:rPr>
                <w:rFonts w:ascii="Arial" w:cs="Arial" w:eastAsia="Arial" w:hAnsi="Arial"/>
                <w:sz w:val="10"/>
                <w:szCs w:val="10"/>
                <w:color w:val="auto"/>
              </w:rPr>
              <w:t xml:space="preserve">“Reading Railroad” featured on the </w:t>
            </w:r>
            <w:r>
              <w:rPr>
                <w:rFonts w:ascii="Arial" w:cs="Arial" w:eastAsia="Arial" w:hAnsi="Arial"/>
                <w:sz w:val="10"/>
                <w:szCs w:val="10"/>
                <w:i w:val="1"/>
                <w:iCs w:val="1"/>
                <w:color w:val="auto"/>
              </w:rPr>
              <w:t>Monopoly</w:t>
            </w:r>
            <w:r>
              <w:rPr>
                <w:rFonts w:ascii="Arial" w:cs="Arial" w:eastAsia="Arial" w:hAnsi="Arial"/>
                <w:sz w:val="15"/>
                <w:szCs w:val="15"/>
                <w:color w:val="auto"/>
                <w:vertAlign w:val="superscript"/>
              </w:rPr>
              <w:t>®</w:t>
            </w:r>
            <w:r>
              <w:rPr>
                <w:rFonts w:ascii="Arial" w:cs="Arial" w:eastAsia="Arial" w:hAnsi="Arial"/>
                <w:sz w:val="10"/>
                <w:szCs w:val="10"/>
                <w:color w:val="auto"/>
              </w:rPr>
              <w:t xml:space="preserve"> game board. Under this brand, we</w:t>
            </w:r>
          </w:p>
        </w:tc>
        <w:tc>
          <w:tcPr>
            <w:tcW w:w="20" w:type="dxa"/>
            <w:vAlign w:val="bottom"/>
          </w:tcPr>
          <w:p>
            <w:pPr>
              <w:spacing w:after="0"/>
              <w:rPr>
                <w:sz w:val="11"/>
                <w:szCs w:val="11"/>
                <w:color w:val="auto"/>
              </w:rPr>
            </w:pPr>
          </w:p>
        </w:tc>
        <w:tc>
          <w:tcPr>
            <w:tcW w:w="980" w:type="dxa"/>
            <w:vAlign w:val="bottom"/>
            <w:tcBorders>
              <w:bottom w:val="single" w:sz="8" w:color="0000FF"/>
            </w:tcBorders>
            <w:gridSpan w:val="3"/>
          </w:tcPr>
          <w:p>
            <w:pPr>
              <w:jc w:val="center"/>
              <w:spacing w:after="0" w:line="110" w:lineRule="exact"/>
              <w:rPr>
                <w:sz w:val="20"/>
                <w:szCs w:val="20"/>
                <w:color w:val="auto"/>
              </w:rPr>
            </w:pPr>
            <w:r>
              <w:rPr>
                <w:rFonts w:ascii="Arial" w:cs="Arial" w:eastAsia="Arial" w:hAnsi="Arial"/>
                <w:sz w:val="12"/>
                <w:szCs w:val="12"/>
                <w:color w:val="0000FF"/>
                <w:w w:val="84"/>
              </w:rPr>
              <w:t>Reading Cinemas US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1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360" w:type="dxa"/>
            <w:vAlign w:val="bottom"/>
          </w:tcPr>
          <w:p>
            <w:pPr>
              <w:ind w:left="40"/>
              <w:spacing w:after="0" w:line="100" w:lineRule="exact"/>
              <w:rPr>
                <w:sz w:val="20"/>
                <w:szCs w:val="20"/>
                <w:color w:val="auto"/>
              </w:rPr>
            </w:pPr>
            <w:r>
              <w:rPr>
                <w:rFonts w:ascii="Arial" w:cs="Arial" w:eastAsia="Arial" w:hAnsi="Arial"/>
                <w:sz w:val="10"/>
                <w:szCs w:val="10"/>
                <w:color w:val="auto"/>
              </w:rPr>
              <w:t>deliver  beyond-the-home  entertainment  (principally  mainstream  movies  and</w:t>
            </w:r>
          </w:p>
        </w:tc>
        <w:tc>
          <w:tcPr>
            <w:tcW w:w="1060" w:type="dxa"/>
            <w:vAlign w:val="bottom"/>
            <w:tcBorders>
              <w:bottom w:val="single" w:sz="8" w:color="0000FF"/>
            </w:tcBorders>
            <w:gridSpan w:val="7"/>
          </w:tcPr>
          <w:p>
            <w:pPr>
              <w:jc w:val="center"/>
              <w:ind w:right="40"/>
              <w:spacing w:after="0" w:line="89" w:lineRule="exact"/>
              <w:rPr>
                <w:sz w:val="20"/>
                <w:szCs w:val="20"/>
                <w:color w:val="auto"/>
              </w:rPr>
            </w:pPr>
            <w:r>
              <w:rPr>
                <w:rFonts w:ascii="Arial" w:cs="Arial" w:eastAsia="Arial" w:hAnsi="Arial"/>
                <w:sz w:val="10"/>
                <w:szCs w:val="10"/>
                <w:color w:val="0000FF"/>
              </w:rPr>
              <w:t>Reading Cinemas AU</w:t>
            </w: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1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360" w:type="dxa"/>
            <w:vAlign w:val="bottom"/>
          </w:tcPr>
          <w:p>
            <w:pPr>
              <w:ind w:left="40"/>
              <w:spacing w:after="0" w:line="107" w:lineRule="exact"/>
              <w:rPr>
                <w:sz w:val="20"/>
                <w:szCs w:val="20"/>
                <w:color w:val="auto"/>
              </w:rPr>
            </w:pPr>
            <w:r>
              <w:rPr>
                <w:rFonts w:ascii="Arial" w:cs="Arial" w:eastAsia="Arial" w:hAnsi="Arial"/>
                <w:sz w:val="12"/>
                <w:szCs w:val="12"/>
                <w:color w:val="auto"/>
                <w:w w:val="97"/>
              </w:rPr>
              <w:t>alternative content and food and beverage) across our three operating jurisdictions.</w:t>
            </w:r>
          </w:p>
        </w:tc>
        <w:tc>
          <w:tcPr>
            <w:tcW w:w="20" w:type="dxa"/>
            <w:vAlign w:val="bottom"/>
          </w:tcPr>
          <w:p>
            <w:pPr>
              <w:spacing w:after="0"/>
              <w:rPr>
                <w:sz w:val="9"/>
                <w:szCs w:val="9"/>
                <w:color w:val="auto"/>
              </w:rPr>
            </w:pPr>
          </w:p>
        </w:tc>
        <w:tc>
          <w:tcPr>
            <w:tcW w:w="1000" w:type="dxa"/>
            <w:vAlign w:val="bottom"/>
            <w:tcBorders>
              <w:bottom w:val="single" w:sz="8" w:color="0000FF"/>
            </w:tcBorders>
            <w:gridSpan w:val="4"/>
          </w:tcPr>
          <w:p>
            <w:pPr>
              <w:jc w:val="center"/>
              <w:spacing w:after="0" w:line="89" w:lineRule="exact"/>
              <w:rPr>
                <w:sz w:val="20"/>
                <w:szCs w:val="20"/>
                <w:color w:val="auto"/>
              </w:rPr>
            </w:pPr>
            <w:r>
              <w:rPr>
                <w:rFonts w:ascii="Arial" w:cs="Arial" w:eastAsia="Arial" w:hAnsi="Arial"/>
                <w:sz w:val="10"/>
                <w:szCs w:val="10"/>
                <w:color w:val="0000FF"/>
              </w:rPr>
              <w:t>Reading Cinemas NZ</w:t>
            </w: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1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360" w:type="dxa"/>
            <w:vAlign w:val="bottom"/>
          </w:tcPr>
          <w:p>
            <w:pPr>
              <w:ind w:left="40"/>
              <w:spacing w:after="0" w:line="120" w:lineRule="exact"/>
              <w:rPr>
                <w:sz w:val="20"/>
                <w:szCs w:val="20"/>
                <w:color w:val="auto"/>
              </w:rPr>
            </w:pPr>
            <w:r>
              <w:rPr>
                <w:rFonts w:ascii="Arial" w:cs="Arial" w:eastAsia="Arial" w:hAnsi="Arial"/>
                <w:sz w:val="12"/>
                <w:szCs w:val="12"/>
                <w:color w:val="auto"/>
              </w:rPr>
              <w:t>All our cinemas are equipped with the latest, state-of-the-art digital screens, 33</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360" w:type="dxa"/>
            <w:vAlign w:val="bottom"/>
          </w:tcPr>
          <w:p>
            <w:pPr>
              <w:ind w:left="40"/>
              <w:spacing w:after="0" w:line="120" w:lineRule="exact"/>
              <w:rPr>
                <w:sz w:val="20"/>
                <w:szCs w:val="20"/>
                <w:color w:val="auto"/>
              </w:rPr>
            </w:pPr>
            <w:r>
              <w:rPr>
                <w:rFonts w:ascii="Arial" w:cs="Arial" w:eastAsia="Arial" w:hAnsi="Arial"/>
                <w:sz w:val="12"/>
                <w:szCs w:val="12"/>
                <w:color w:val="auto"/>
                <w:w w:val="99"/>
              </w:rPr>
              <w:t>Reading Cinemas feature at least one TITAN LUXE, TITAN XC or IMAX premium</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360" w:type="dxa"/>
            <w:vAlign w:val="bottom"/>
          </w:tcPr>
          <w:p>
            <w:pPr>
              <w:ind w:left="40"/>
              <w:spacing w:after="0" w:line="120" w:lineRule="exact"/>
              <w:rPr>
                <w:sz w:val="20"/>
                <w:szCs w:val="20"/>
                <w:color w:val="auto"/>
              </w:rPr>
            </w:pPr>
            <w:r>
              <w:rPr>
                <w:rFonts w:ascii="Arial" w:cs="Arial" w:eastAsia="Arial" w:hAnsi="Arial"/>
                <w:sz w:val="12"/>
                <w:szCs w:val="12"/>
                <w:color w:val="auto"/>
                <w:w w:val="96"/>
              </w:rPr>
              <w:t>auditorium, and 178 of our Reading Cinemas screens feature luxury recliner seating</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360" w:type="dxa"/>
            <w:vAlign w:val="bottom"/>
          </w:tcPr>
          <w:p>
            <w:pPr>
              <w:ind w:left="40"/>
              <w:spacing w:after="0"/>
              <w:rPr>
                <w:sz w:val="20"/>
                <w:szCs w:val="20"/>
                <w:color w:val="auto"/>
              </w:rPr>
            </w:pPr>
            <w:r>
              <w:rPr>
                <w:rFonts w:ascii="Arial" w:cs="Arial" w:eastAsia="Arial" w:hAnsi="Arial"/>
                <w:sz w:val="12"/>
                <w:szCs w:val="12"/>
                <w:color w:val="auto"/>
              </w:rPr>
              <w:t>as of December 31, 2021.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1180" w:type="dxa"/>
            <w:vAlign w:val="bottom"/>
          </w:tcPr>
          <w:p>
            <w:pPr>
              <w:spacing w:after="0"/>
              <w:rPr>
                <w:sz w:val="22"/>
                <w:szCs w:val="22"/>
                <w:color w:val="auto"/>
              </w:rPr>
            </w:pPr>
          </w:p>
        </w:tc>
        <w:tc>
          <w:tcPr>
            <w:tcW w:w="27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620" w:type="dxa"/>
            <w:vAlign w:val="bottom"/>
          </w:tcPr>
          <w:p>
            <w:pPr>
              <w:jc w:val="center"/>
              <w:ind w:left="425"/>
              <w:spacing w:after="0" w:line="95" w:lineRule="exact"/>
              <w:rPr>
                <w:sz w:val="20"/>
                <w:szCs w:val="20"/>
                <w:color w:val="auto"/>
              </w:rPr>
            </w:pPr>
            <w:r>
              <w:rPr>
                <w:rFonts w:ascii="Arial" w:cs="Arial" w:eastAsia="Arial" w:hAnsi="Arial"/>
                <w:sz w:val="10"/>
                <w:szCs w:val="10"/>
                <w:color w:val="auto"/>
              </w:rPr>
              <w:t>United States</w:t>
            </w:r>
          </w:p>
        </w:tc>
        <w:tc>
          <w:tcPr>
            <w:tcW w:w="4360" w:type="dxa"/>
            <w:vAlign w:val="bottom"/>
          </w:tcPr>
          <w:p>
            <w:pPr>
              <w:ind w:left="40"/>
              <w:spacing w:after="0" w:line="95" w:lineRule="exact"/>
              <w:rPr>
                <w:sz w:val="20"/>
                <w:szCs w:val="20"/>
                <w:color w:val="auto"/>
              </w:rPr>
            </w:pPr>
            <w:r>
              <w:rPr>
                <w:rFonts w:ascii="Arial" w:cs="Arial" w:eastAsia="Arial" w:hAnsi="Arial"/>
                <w:sz w:val="10"/>
                <w:szCs w:val="10"/>
                <w:color w:val="auto"/>
              </w:rPr>
              <w:t xml:space="preserve">In 2021, our </w:t>
            </w:r>
            <w:r>
              <w:rPr>
                <w:rFonts w:ascii="Arial" w:cs="Arial" w:eastAsia="Arial" w:hAnsi="Arial"/>
                <w:sz w:val="10"/>
                <w:szCs w:val="10"/>
                <w:b w:val="1"/>
                <w:bCs w:val="1"/>
                <w:color w:val="auto"/>
              </w:rPr>
              <w:t>Consolidated Theatres</w:t>
            </w:r>
            <w:r>
              <w:rPr>
                <w:rFonts w:ascii="Arial" w:cs="Arial" w:eastAsia="Arial" w:hAnsi="Arial"/>
                <w:sz w:val="10"/>
                <w:szCs w:val="10"/>
                <w:color w:val="auto"/>
              </w:rPr>
              <w:t xml:space="preserve"> celebrated 104 years of providing cinematic</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1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360" w:type="dxa"/>
            <w:vAlign w:val="bottom"/>
          </w:tcPr>
          <w:p>
            <w:pPr>
              <w:ind w:left="40"/>
              <w:spacing w:after="0" w:line="124" w:lineRule="exact"/>
              <w:rPr>
                <w:sz w:val="20"/>
                <w:szCs w:val="20"/>
                <w:color w:val="auto"/>
              </w:rPr>
            </w:pPr>
            <w:r>
              <w:rPr>
                <w:rFonts w:ascii="Arial" w:cs="Arial" w:eastAsia="Arial" w:hAnsi="Arial"/>
                <w:sz w:val="12"/>
                <w:szCs w:val="12"/>
                <w:color w:val="auto"/>
                <w:w w:val="98"/>
              </w:rPr>
              <w:t>entertainment in the state of Hawaii. We are the oldest and largest circuit in Hawaii</w:t>
            </w:r>
          </w:p>
        </w:tc>
        <w:tc>
          <w:tcPr>
            <w:tcW w:w="1400" w:type="dxa"/>
            <w:vAlign w:val="bottom"/>
            <w:gridSpan w:val="9"/>
          </w:tcPr>
          <w:p>
            <w:pPr>
              <w:jc w:val="center"/>
              <w:ind w:right="360"/>
              <w:spacing w:after="0" w:line="124" w:lineRule="exact"/>
              <w:rPr>
                <w:sz w:val="20"/>
                <w:szCs w:val="20"/>
                <w:color w:val="auto"/>
              </w:rPr>
            </w:pPr>
            <w:r>
              <w:rPr>
                <w:rFonts w:ascii="Arial" w:cs="Arial" w:eastAsia="Arial" w:hAnsi="Arial"/>
                <w:sz w:val="12"/>
                <w:szCs w:val="12"/>
                <w:color w:val="0000FF"/>
                <w:w w:val="86"/>
              </w:rPr>
              <w:t>Consolidated Theatres</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360" w:type="dxa"/>
            <w:vAlign w:val="bottom"/>
          </w:tcPr>
          <w:p>
            <w:pPr>
              <w:ind w:left="40"/>
              <w:spacing w:after="0" w:line="95" w:lineRule="exact"/>
              <w:rPr>
                <w:sz w:val="20"/>
                <w:szCs w:val="20"/>
                <w:color w:val="auto"/>
              </w:rPr>
            </w:pPr>
            <w:r>
              <w:rPr>
                <w:rFonts w:ascii="Arial" w:cs="Arial" w:eastAsia="Arial" w:hAnsi="Arial"/>
                <w:sz w:val="10"/>
                <w:szCs w:val="10"/>
                <w:color w:val="auto"/>
              </w:rPr>
              <w:t>with nine cinemas on the islands of Oahu and Maui. In 2019, we completed the</w:t>
            </w:r>
          </w:p>
        </w:tc>
        <w:tc>
          <w:tcPr>
            <w:tcW w:w="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1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360" w:type="dxa"/>
            <w:vAlign w:val="bottom"/>
          </w:tcPr>
          <w:p>
            <w:pPr>
              <w:ind w:left="40"/>
              <w:spacing w:after="0" w:line="120" w:lineRule="exact"/>
              <w:rPr>
                <w:sz w:val="20"/>
                <w:szCs w:val="20"/>
                <w:color w:val="auto"/>
              </w:rPr>
            </w:pPr>
            <w:r>
              <w:rPr>
                <w:rFonts w:ascii="Arial" w:cs="Arial" w:eastAsia="Arial" w:hAnsi="Arial"/>
                <w:sz w:val="12"/>
                <w:szCs w:val="12"/>
                <w:color w:val="auto"/>
                <w:w w:val="99"/>
              </w:rPr>
              <w:t>“Top-To-Bottom” renovation of our Consolidated Theatre in Mililani on Oahu, now</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360" w:type="dxa"/>
            <w:vAlign w:val="bottom"/>
          </w:tcPr>
          <w:p>
            <w:pPr>
              <w:ind w:left="40"/>
              <w:spacing w:after="0" w:line="120" w:lineRule="exact"/>
              <w:rPr>
                <w:sz w:val="20"/>
                <w:szCs w:val="20"/>
                <w:color w:val="auto"/>
              </w:rPr>
            </w:pPr>
            <w:r>
              <w:rPr>
                <w:rFonts w:ascii="Arial" w:cs="Arial" w:eastAsia="Arial" w:hAnsi="Arial"/>
                <w:sz w:val="12"/>
                <w:szCs w:val="12"/>
                <w:color w:val="auto"/>
              </w:rPr>
              <w:t>featuring 14-screens with recliner seating and a TITAN LUXE screen, a full F&amp;B</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360" w:type="dxa"/>
            <w:vAlign w:val="bottom"/>
          </w:tcPr>
          <w:p>
            <w:pPr>
              <w:ind w:left="40"/>
              <w:spacing w:after="0"/>
              <w:rPr>
                <w:sz w:val="20"/>
                <w:szCs w:val="20"/>
                <w:color w:val="auto"/>
              </w:rPr>
            </w:pPr>
            <w:r>
              <w:rPr>
                <w:rFonts w:ascii="Arial" w:cs="Arial" w:eastAsia="Arial" w:hAnsi="Arial"/>
                <w:sz w:val="12"/>
                <w:szCs w:val="12"/>
                <w:color w:val="auto"/>
              </w:rPr>
              <w:t>upgrade, including the sale of beer, wine &amp; spirits, and a lobby re-design.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360" w:type="dxa"/>
            <w:vAlign w:val="bottom"/>
          </w:tcPr>
          <w:p>
            <w:pPr>
              <w:ind w:left="40"/>
              <w:spacing w:after="0"/>
              <w:rPr>
                <w:sz w:val="20"/>
                <w:szCs w:val="20"/>
                <w:color w:val="auto"/>
              </w:rPr>
            </w:pPr>
            <w:r>
              <w:rPr>
                <w:rFonts w:ascii="Arial" w:cs="Arial" w:eastAsia="Arial" w:hAnsi="Arial"/>
                <w:sz w:val="12"/>
                <w:szCs w:val="12"/>
                <w:color w:val="auto"/>
              </w:rPr>
              <w:t>Our  Consolidated  Theatre  at  the  Kahala  Mall  underwent  a  “Top-to-Bottom”</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1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360" w:type="dxa"/>
            <w:vAlign w:val="bottom"/>
          </w:tcPr>
          <w:p>
            <w:pPr>
              <w:ind w:left="40"/>
              <w:spacing w:after="0" w:line="120" w:lineRule="exact"/>
              <w:rPr>
                <w:sz w:val="20"/>
                <w:szCs w:val="20"/>
                <w:color w:val="auto"/>
              </w:rPr>
            </w:pPr>
            <w:r>
              <w:rPr>
                <w:rFonts w:ascii="Arial" w:cs="Arial" w:eastAsia="Arial" w:hAnsi="Arial"/>
                <w:sz w:val="12"/>
                <w:szCs w:val="12"/>
                <w:color w:val="auto"/>
              </w:rPr>
              <w:t>renovation and reopened on November 5, 2021, with recliner seating throughout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360" w:type="dxa"/>
            <w:vAlign w:val="bottom"/>
          </w:tcPr>
          <w:p>
            <w:pPr>
              <w:ind w:left="40"/>
              <w:spacing w:after="0"/>
              <w:rPr>
                <w:sz w:val="20"/>
                <w:szCs w:val="20"/>
                <w:color w:val="auto"/>
              </w:rPr>
            </w:pPr>
            <w:r>
              <w:rPr>
                <w:rFonts w:ascii="Arial" w:cs="Arial" w:eastAsia="Arial" w:hAnsi="Arial"/>
                <w:sz w:val="12"/>
                <w:szCs w:val="12"/>
                <w:color w:val="auto"/>
              </w:rPr>
              <w:t>along with a state-of-the-art kitchen and an elevated F&amp;B menu.</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360" w:type="dxa"/>
            <w:vAlign w:val="bottom"/>
          </w:tcPr>
          <w:p>
            <w:pPr>
              <w:ind w:left="40"/>
              <w:spacing w:after="0"/>
              <w:rPr>
                <w:sz w:val="20"/>
                <w:szCs w:val="20"/>
                <w:color w:val="auto"/>
              </w:rPr>
            </w:pPr>
            <w:r>
              <w:rPr>
                <w:rFonts w:ascii="Arial" w:cs="Arial" w:eastAsia="Arial" w:hAnsi="Arial"/>
                <w:sz w:val="12"/>
                <w:szCs w:val="12"/>
                <w:color w:val="auto"/>
              </w:rPr>
              <w:t>Our Consolidated Theatre at Kapolei commenced renovation during the second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1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360" w:type="dxa"/>
            <w:vAlign w:val="bottom"/>
          </w:tcPr>
          <w:p>
            <w:pPr>
              <w:ind w:left="40"/>
              <w:spacing w:after="0" w:line="120" w:lineRule="exact"/>
              <w:rPr>
                <w:sz w:val="20"/>
                <w:szCs w:val="20"/>
                <w:color w:val="auto"/>
              </w:rPr>
            </w:pPr>
            <w:r>
              <w:rPr>
                <w:rFonts w:ascii="Arial" w:cs="Arial" w:eastAsia="Arial" w:hAnsi="Arial"/>
                <w:sz w:val="12"/>
                <w:szCs w:val="12"/>
                <w:color w:val="auto"/>
              </w:rPr>
              <w:t>quarter of 2021 and reopened March 3, 2022, with recliner seating in half of the</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27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4360" w:type="dxa"/>
            <w:vAlign w:val="bottom"/>
            <w:tcBorders>
              <w:bottom w:val="single" w:sz="8" w:color="auto"/>
            </w:tcBorders>
          </w:tcPr>
          <w:p>
            <w:pPr>
              <w:ind w:left="40"/>
              <w:spacing w:after="0" w:line="135" w:lineRule="exact"/>
              <w:rPr>
                <w:sz w:val="20"/>
                <w:szCs w:val="20"/>
                <w:color w:val="auto"/>
              </w:rPr>
            </w:pPr>
            <w:r>
              <w:rPr>
                <w:rFonts w:ascii="Arial" w:cs="Arial" w:eastAsia="Arial" w:hAnsi="Arial"/>
                <w:sz w:val="12"/>
                <w:szCs w:val="12"/>
                <w:color w:val="auto"/>
              </w:rPr>
              <w:t>auditoriums and an elevated F&amp;B menu.</w:t>
            </w: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11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20" w:type="dxa"/>
            <w:vAlign w:val="bottom"/>
          </w:tcPr>
          <w:p>
            <w:pPr>
              <w:jc w:val="center"/>
              <w:ind w:left="425"/>
              <w:spacing w:after="0"/>
              <w:rPr>
                <w:sz w:val="20"/>
                <w:szCs w:val="20"/>
                <w:color w:val="auto"/>
              </w:rPr>
            </w:pPr>
            <w:r>
              <w:rPr>
                <w:rFonts w:ascii="Arial" w:cs="Arial" w:eastAsia="Arial" w:hAnsi="Arial"/>
                <w:sz w:val="12"/>
                <w:szCs w:val="12"/>
                <w:color w:val="auto"/>
                <w:w w:val="85"/>
              </w:rPr>
              <w:t>United States</w:t>
            </w:r>
          </w:p>
        </w:tc>
        <w:tc>
          <w:tcPr>
            <w:tcW w:w="4360" w:type="dxa"/>
            <w:vAlign w:val="bottom"/>
          </w:tcPr>
          <w:p>
            <w:pPr>
              <w:ind w:left="40"/>
              <w:spacing w:after="0"/>
              <w:rPr>
                <w:sz w:val="20"/>
                <w:szCs w:val="20"/>
                <w:color w:val="auto"/>
              </w:rPr>
            </w:pPr>
            <w:r>
              <w:rPr>
                <w:rFonts w:ascii="Arial" w:cs="Arial" w:eastAsia="Arial" w:hAnsi="Arial"/>
                <w:sz w:val="12"/>
                <w:szCs w:val="12"/>
                <w:color w:val="auto"/>
              </w:rPr>
              <w:t>Several of our cinemas are arthouses or specialty theaters operating under our</w:t>
            </w:r>
          </w:p>
        </w:tc>
        <w:tc>
          <w:tcPr>
            <w:tcW w:w="1400" w:type="dxa"/>
            <w:vAlign w:val="bottom"/>
            <w:gridSpan w:val="9"/>
          </w:tcPr>
          <w:p>
            <w:pPr>
              <w:jc w:val="center"/>
              <w:ind w:right="380"/>
              <w:spacing w:after="0"/>
              <w:rPr>
                <w:sz w:val="20"/>
                <w:szCs w:val="20"/>
                <w:color w:val="auto"/>
              </w:rPr>
            </w:pPr>
            <w:r>
              <w:rPr>
                <w:rFonts w:ascii="Arial" w:cs="Arial" w:eastAsia="Arial" w:hAnsi="Arial"/>
                <w:sz w:val="12"/>
                <w:szCs w:val="12"/>
                <w:color w:val="0000FF"/>
                <w:w w:val="91"/>
              </w:rPr>
              <w:t>Angelika Film Center</w:t>
            </w:r>
          </w:p>
        </w:tc>
        <w:tc>
          <w:tcPr>
            <w:tcW w:w="0" w:type="dxa"/>
            <w:vAlign w:val="bottom"/>
          </w:tcPr>
          <w:p>
            <w:pPr>
              <w:spacing w:after="0"/>
              <w:rPr>
                <w:sz w:val="1"/>
                <w:szCs w:val="1"/>
                <w:color w:val="auto"/>
              </w:rPr>
            </w:pPr>
          </w:p>
        </w:tc>
      </w:tr>
      <w:tr>
        <w:trPr>
          <w:trHeight w:val="99"/>
        </w:trPr>
        <w:tc>
          <w:tcPr>
            <w:tcW w:w="11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620" w:type="dxa"/>
            <w:vAlign w:val="bottom"/>
          </w:tcPr>
          <w:p>
            <w:pPr>
              <w:jc w:val="center"/>
              <w:ind w:left="425"/>
              <w:spacing w:after="0" w:line="100" w:lineRule="exact"/>
              <w:rPr>
                <w:sz w:val="20"/>
                <w:szCs w:val="20"/>
                <w:color w:val="auto"/>
              </w:rPr>
            </w:pPr>
            <w:r>
              <w:rPr>
                <w:rFonts w:ascii="Arial" w:cs="Arial" w:eastAsia="Arial" w:hAnsi="Arial"/>
                <w:sz w:val="10"/>
                <w:szCs w:val="10"/>
                <w:color w:val="auto"/>
              </w:rPr>
              <w:t>Australia</w:t>
            </w:r>
          </w:p>
        </w:tc>
        <w:tc>
          <w:tcPr>
            <w:tcW w:w="4360" w:type="dxa"/>
            <w:vAlign w:val="bottom"/>
          </w:tcPr>
          <w:p>
            <w:pPr>
              <w:ind w:left="40"/>
              <w:spacing w:after="0" w:line="100" w:lineRule="exact"/>
              <w:rPr>
                <w:sz w:val="20"/>
                <w:szCs w:val="20"/>
                <w:color w:val="auto"/>
              </w:rPr>
            </w:pPr>
            <w:r>
              <w:rPr>
                <w:rFonts w:ascii="Arial" w:cs="Arial" w:eastAsia="Arial" w:hAnsi="Arial"/>
                <w:sz w:val="10"/>
                <w:szCs w:val="10"/>
                <w:color w:val="auto"/>
              </w:rPr>
              <w:t>Angelika brand. These cinemas feature specialty films, such as independent films,</w:t>
            </w:r>
          </w:p>
        </w:tc>
        <w:tc>
          <w:tcPr>
            <w:tcW w:w="20" w:type="dxa"/>
            <w:vAlign w:val="bottom"/>
            <w:tcBorders>
              <w:top w:val="single" w:sz="8" w:color="0000FF"/>
            </w:tcBorders>
          </w:tcPr>
          <w:p>
            <w:pPr>
              <w:spacing w:after="0"/>
              <w:rPr>
                <w:sz w:val="8"/>
                <w:szCs w:val="8"/>
                <w:color w:val="auto"/>
              </w:rPr>
            </w:pPr>
          </w:p>
        </w:tc>
        <w:tc>
          <w:tcPr>
            <w:tcW w:w="1020" w:type="dxa"/>
            <w:vAlign w:val="bottom"/>
            <w:tcBorders>
              <w:top w:val="single" w:sz="8" w:color="0000FF"/>
            </w:tcBorders>
            <w:gridSpan w:val="5"/>
          </w:tcPr>
          <w:p>
            <w:pPr>
              <w:jc w:val="center"/>
              <w:ind w:right="40"/>
              <w:spacing w:after="0" w:line="100" w:lineRule="exact"/>
              <w:rPr>
                <w:sz w:val="20"/>
                <w:szCs w:val="20"/>
                <w:color w:val="auto"/>
              </w:rPr>
            </w:pPr>
            <w:r>
              <w:rPr>
                <w:rFonts w:ascii="Arial" w:cs="Arial" w:eastAsia="Arial" w:hAnsi="Arial"/>
                <w:sz w:val="10"/>
                <w:szCs w:val="10"/>
                <w:color w:val="0000FF"/>
              </w:rPr>
              <w:t>State Cinema</w:t>
            </w:r>
          </w:p>
        </w:tc>
        <w:tc>
          <w:tcPr>
            <w:tcW w:w="36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1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360" w:type="dxa"/>
            <w:vAlign w:val="bottom"/>
          </w:tcPr>
          <w:p>
            <w:pPr>
              <w:ind w:left="40"/>
              <w:spacing w:after="0" w:line="127" w:lineRule="exact"/>
              <w:rPr>
                <w:sz w:val="20"/>
                <w:szCs w:val="20"/>
                <w:color w:val="auto"/>
              </w:rPr>
            </w:pPr>
            <w:r>
              <w:rPr>
                <w:rFonts w:ascii="Arial" w:cs="Arial" w:eastAsia="Arial" w:hAnsi="Arial"/>
                <w:sz w:val="12"/>
                <w:szCs w:val="12"/>
                <w:color w:val="auto"/>
              </w:rPr>
              <w:t>international films, and documentaries.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Borders>
              <w:top w:val="single" w:sz="8" w:color="0000FF"/>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1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360" w:type="dxa"/>
            <w:vAlign w:val="bottom"/>
          </w:tcPr>
          <w:p>
            <w:pPr>
              <w:ind w:left="40"/>
              <w:spacing w:after="0"/>
              <w:rPr>
                <w:sz w:val="20"/>
                <w:szCs w:val="20"/>
                <w:color w:val="auto"/>
              </w:rPr>
            </w:pPr>
            <w:r>
              <w:rPr>
                <w:rFonts w:ascii="Arial" w:cs="Arial" w:eastAsia="Arial" w:hAnsi="Arial"/>
                <w:sz w:val="12"/>
                <w:szCs w:val="12"/>
                <w:color w:val="auto"/>
                <w:w w:val="98"/>
              </w:rPr>
              <w:t xml:space="preserve">Since its opening in 1989, our New York City </w:t>
            </w:r>
            <w:r>
              <w:rPr>
                <w:rFonts w:ascii="Arial" w:cs="Arial" w:eastAsia="Arial" w:hAnsi="Arial"/>
                <w:sz w:val="12"/>
                <w:szCs w:val="12"/>
                <w:b w:val="1"/>
                <w:bCs w:val="1"/>
                <w:color w:val="auto"/>
                <w:w w:val="98"/>
              </w:rPr>
              <w:t>Angelika Film Center</w:t>
            </w:r>
            <w:r>
              <w:rPr>
                <w:rFonts w:ascii="Arial" w:cs="Arial" w:eastAsia="Arial" w:hAnsi="Arial"/>
                <w:sz w:val="12"/>
                <w:szCs w:val="12"/>
                <w:color w:val="auto"/>
                <w:w w:val="98"/>
              </w:rPr>
              <w:t xml:space="preserve"> has been and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1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360" w:type="dxa"/>
            <w:vAlign w:val="bottom"/>
          </w:tcPr>
          <w:p>
            <w:pPr>
              <w:ind w:left="40"/>
              <w:spacing w:after="0" w:line="120" w:lineRule="exact"/>
              <w:rPr>
                <w:sz w:val="20"/>
                <w:szCs w:val="20"/>
                <w:color w:val="auto"/>
              </w:rPr>
            </w:pPr>
            <w:r>
              <w:rPr>
                <w:rFonts w:ascii="Arial" w:cs="Arial" w:eastAsia="Arial" w:hAnsi="Arial"/>
                <w:sz w:val="12"/>
                <w:szCs w:val="12"/>
                <w:color w:val="auto"/>
                <w:w w:val="95"/>
              </w:rPr>
              <w:t>consistently continues to be one of the most popular and influential arthouse cinemas</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360" w:type="dxa"/>
            <w:vAlign w:val="bottom"/>
          </w:tcPr>
          <w:p>
            <w:pPr>
              <w:ind w:left="40"/>
              <w:spacing w:after="0" w:line="120" w:lineRule="exact"/>
              <w:rPr>
                <w:sz w:val="20"/>
                <w:szCs w:val="20"/>
                <w:color w:val="auto"/>
              </w:rPr>
            </w:pPr>
            <w:r>
              <w:rPr>
                <w:rFonts w:ascii="Arial" w:cs="Arial" w:eastAsia="Arial" w:hAnsi="Arial"/>
                <w:sz w:val="12"/>
                <w:szCs w:val="12"/>
                <w:color w:val="auto"/>
                <w:w w:val="99"/>
              </w:rPr>
              <w:t>in the U.S., featuring principally independent and foreign films.   To date, we have</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360" w:type="dxa"/>
            <w:vAlign w:val="bottom"/>
          </w:tcPr>
          <w:p>
            <w:pPr>
              <w:ind w:left="40"/>
              <w:spacing w:after="0" w:line="120" w:lineRule="exact"/>
              <w:rPr>
                <w:sz w:val="20"/>
                <w:szCs w:val="20"/>
                <w:color w:val="auto"/>
              </w:rPr>
            </w:pPr>
            <w:r>
              <w:rPr>
                <w:rFonts w:ascii="Arial" w:cs="Arial" w:eastAsia="Arial" w:hAnsi="Arial"/>
                <w:sz w:val="12"/>
                <w:szCs w:val="12"/>
                <w:color w:val="auto"/>
              </w:rPr>
              <w:t>expanded our Angelika Film Center Group to include nine other Angelika Film</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360" w:type="dxa"/>
            <w:vAlign w:val="bottom"/>
          </w:tcPr>
          <w:p>
            <w:pPr>
              <w:ind w:left="40"/>
              <w:spacing w:after="0" w:line="120" w:lineRule="exact"/>
              <w:rPr>
                <w:sz w:val="20"/>
                <w:szCs w:val="20"/>
                <w:color w:val="auto"/>
              </w:rPr>
            </w:pPr>
            <w:r>
              <w:rPr>
                <w:rFonts w:ascii="Arial" w:cs="Arial" w:eastAsia="Arial" w:hAnsi="Arial"/>
                <w:sz w:val="12"/>
                <w:szCs w:val="12"/>
                <w:color w:val="auto"/>
                <w:w w:val="97"/>
              </w:rPr>
              <w:t>Centers: two in Dallas, TX, two in the Washington DC area, three in New York, NY,</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360" w:type="dxa"/>
            <w:vAlign w:val="bottom"/>
          </w:tcPr>
          <w:p>
            <w:pPr>
              <w:ind w:left="40"/>
              <w:spacing w:after="0" w:line="120" w:lineRule="exact"/>
              <w:rPr>
                <w:sz w:val="20"/>
                <w:szCs w:val="20"/>
                <w:color w:val="auto"/>
              </w:rPr>
            </w:pPr>
            <w:r>
              <w:rPr>
                <w:rFonts w:ascii="Arial" w:cs="Arial" w:eastAsia="Arial" w:hAnsi="Arial"/>
                <w:sz w:val="12"/>
                <w:szCs w:val="12"/>
                <w:color w:val="auto"/>
              </w:rPr>
              <w:t>one in Sacramenta, CA and one in San Diego, CA. Each of our Angelika Film</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360" w:type="dxa"/>
            <w:vAlign w:val="bottom"/>
          </w:tcPr>
          <w:p>
            <w:pPr>
              <w:ind w:left="40"/>
              <w:spacing w:after="0"/>
              <w:rPr>
                <w:sz w:val="20"/>
                <w:szCs w:val="20"/>
                <w:color w:val="auto"/>
              </w:rPr>
            </w:pPr>
            <w:r>
              <w:rPr>
                <w:rFonts w:ascii="Arial" w:cs="Arial" w:eastAsia="Arial" w:hAnsi="Arial"/>
                <w:sz w:val="12"/>
                <w:szCs w:val="12"/>
                <w:color w:val="auto"/>
              </w:rPr>
              <w:t>Centers also offers a curated food and beverage experience.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360" w:type="dxa"/>
            <w:vAlign w:val="bottom"/>
          </w:tcPr>
          <w:p>
            <w:pPr>
              <w:ind w:left="40"/>
              <w:spacing w:after="0"/>
              <w:rPr>
                <w:sz w:val="20"/>
                <w:szCs w:val="20"/>
                <w:color w:val="auto"/>
              </w:rPr>
            </w:pPr>
            <w:r>
              <w:rPr>
                <w:rFonts w:ascii="Arial" w:cs="Arial" w:eastAsia="Arial" w:hAnsi="Arial"/>
                <w:sz w:val="12"/>
                <w:szCs w:val="12"/>
                <w:color w:val="auto"/>
                <w:w w:val="94"/>
              </w:rPr>
              <w:t>In early 2021, we announced that our Cinemas 1,2,3, Village East and Tower Theatre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1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360" w:type="dxa"/>
            <w:vAlign w:val="bottom"/>
          </w:tcPr>
          <w:p>
            <w:pPr>
              <w:ind w:left="40"/>
              <w:spacing w:after="0" w:line="120" w:lineRule="exact"/>
              <w:rPr>
                <w:sz w:val="20"/>
                <w:szCs w:val="20"/>
                <w:color w:val="auto"/>
              </w:rPr>
            </w:pPr>
            <w:r>
              <w:rPr>
                <w:rFonts w:ascii="Arial" w:cs="Arial" w:eastAsia="Arial" w:hAnsi="Arial"/>
                <w:sz w:val="12"/>
                <w:szCs w:val="12"/>
                <w:color w:val="auto"/>
              </w:rPr>
              <w:t>cinemas would be operated as Angelika brand cinemas: (i) the Cinemas 1,2,3 by</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360" w:type="dxa"/>
            <w:vAlign w:val="bottom"/>
          </w:tcPr>
          <w:p>
            <w:pPr>
              <w:ind w:left="40"/>
              <w:spacing w:after="0"/>
              <w:rPr>
                <w:sz w:val="20"/>
                <w:szCs w:val="20"/>
                <w:color w:val="auto"/>
              </w:rPr>
            </w:pPr>
            <w:r>
              <w:rPr>
                <w:rFonts w:ascii="Arial" w:cs="Arial" w:eastAsia="Arial" w:hAnsi="Arial"/>
                <w:sz w:val="12"/>
                <w:szCs w:val="12"/>
                <w:color w:val="auto"/>
                <w:w w:val="99"/>
              </w:rPr>
              <w:t>Angelika, (ii) the Village East by Angelika and (iii) the Tower Theatre by Angelika.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360" w:type="dxa"/>
            <w:vAlign w:val="bottom"/>
          </w:tcPr>
          <w:p>
            <w:pPr>
              <w:ind w:left="40"/>
              <w:spacing w:after="0"/>
              <w:rPr>
                <w:sz w:val="20"/>
                <w:szCs w:val="20"/>
                <w:color w:val="auto"/>
              </w:rPr>
            </w:pPr>
            <w:r>
              <w:rPr>
                <w:rFonts w:ascii="Arial" w:cs="Arial" w:eastAsia="Arial" w:hAnsi="Arial"/>
                <w:sz w:val="12"/>
                <w:szCs w:val="12"/>
                <w:color w:val="auto"/>
              </w:rPr>
              <w:t xml:space="preserve">In December 2019, we acquired the iconic 100-year-old </w:t>
            </w:r>
            <w:r>
              <w:rPr>
                <w:rFonts w:ascii="Arial" w:cs="Arial" w:eastAsia="Arial" w:hAnsi="Arial"/>
                <w:sz w:val="12"/>
                <w:szCs w:val="12"/>
                <w:b w:val="1"/>
                <w:bCs w:val="1"/>
                <w:color w:val="auto"/>
              </w:rPr>
              <w:t>State Cinema</w:t>
            </w:r>
            <w:r>
              <w:rPr>
                <w:rFonts w:ascii="Arial" w:cs="Arial" w:eastAsia="Arial" w:hAnsi="Arial"/>
                <w:sz w:val="12"/>
                <w:szCs w:val="12"/>
                <w:color w:val="auto"/>
              </w:rPr>
              <w:t xml:space="preserve"> in Hobart,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1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360" w:type="dxa"/>
            <w:vAlign w:val="bottom"/>
          </w:tcPr>
          <w:p>
            <w:pPr>
              <w:ind w:left="40"/>
              <w:spacing w:after="0" w:line="120" w:lineRule="exact"/>
              <w:rPr>
                <w:sz w:val="20"/>
                <w:szCs w:val="20"/>
                <w:color w:val="auto"/>
              </w:rPr>
            </w:pPr>
            <w:r>
              <w:rPr>
                <w:rFonts w:ascii="Arial" w:cs="Arial" w:eastAsia="Arial" w:hAnsi="Arial"/>
                <w:sz w:val="12"/>
                <w:szCs w:val="12"/>
                <w:color w:val="auto"/>
                <w:w w:val="99"/>
              </w:rPr>
              <w:t>Tasmania, Australia, which has been ranked the fifth highest grossing arthouse in</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360" w:type="dxa"/>
            <w:vAlign w:val="bottom"/>
          </w:tcPr>
          <w:p>
            <w:pPr>
              <w:ind w:left="40"/>
              <w:spacing w:after="0" w:line="120" w:lineRule="exact"/>
              <w:rPr>
                <w:sz w:val="20"/>
                <w:szCs w:val="20"/>
                <w:color w:val="auto"/>
              </w:rPr>
            </w:pPr>
            <w:r>
              <w:rPr>
                <w:rFonts w:ascii="Arial" w:cs="Arial" w:eastAsia="Arial" w:hAnsi="Arial"/>
                <w:sz w:val="12"/>
                <w:szCs w:val="12"/>
                <w:color w:val="auto"/>
              </w:rPr>
              <w:t>Australia for the last decade.  The cinema, which features 10 screens, a rooftop</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360" w:type="dxa"/>
            <w:vAlign w:val="bottom"/>
          </w:tcPr>
          <w:p>
            <w:pPr>
              <w:ind w:left="40"/>
              <w:spacing w:after="0" w:line="120" w:lineRule="exact"/>
              <w:rPr>
                <w:sz w:val="20"/>
                <w:szCs w:val="20"/>
                <w:color w:val="auto"/>
              </w:rPr>
            </w:pPr>
            <w:r>
              <w:rPr>
                <w:rFonts w:ascii="Arial" w:cs="Arial" w:eastAsia="Arial" w:hAnsi="Arial"/>
                <w:sz w:val="12"/>
                <w:szCs w:val="12"/>
                <w:color w:val="auto"/>
                <w:w w:val="95"/>
              </w:rPr>
              <w:t>cinema and bar, a large café and an independent bookstore, is and has been a major</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360" w:type="dxa"/>
            <w:vAlign w:val="bottom"/>
          </w:tcPr>
          <w:p>
            <w:pPr>
              <w:ind w:left="40"/>
              <w:spacing w:after="0" w:line="120" w:lineRule="exact"/>
              <w:rPr>
                <w:sz w:val="20"/>
                <w:szCs w:val="20"/>
                <w:color w:val="auto"/>
              </w:rPr>
            </w:pPr>
            <w:r>
              <w:rPr>
                <w:rFonts w:ascii="Arial" w:cs="Arial" w:eastAsia="Arial" w:hAnsi="Arial"/>
                <w:sz w:val="12"/>
                <w:szCs w:val="12"/>
                <w:color w:val="auto"/>
                <w:w w:val="97"/>
              </w:rPr>
              <w:t>cultural destination in North Hobart for decades. In early 2021, the cinema was also</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360" w:type="dxa"/>
            <w:vAlign w:val="bottom"/>
          </w:tcPr>
          <w:p>
            <w:pPr>
              <w:ind w:left="40"/>
              <w:spacing w:after="0"/>
              <w:rPr>
                <w:sz w:val="20"/>
                <w:szCs w:val="20"/>
                <w:color w:val="auto"/>
              </w:rPr>
            </w:pPr>
            <w:r>
              <w:rPr>
                <w:rFonts w:ascii="Arial" w:cs="Arial" w:eastAsia="Arial" w:hAnsi="Arial"/>
                <w:sz w:val="12"/>
                <w:szCs w:val="12"/>
                <w:color w:val="auto"/>
              </w:rPr>
              <w:t>rebranded as State Cinema by Angelika.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360" w:type="dxa"/>
            <w:vAlign w:val="bottom"/>
          </w:tcPr>
          <w:p>
            <w:pPr>
              <w:ind w:left="40"/>
              <w:spacing w:after="0"/>
              <w:rPr>
                <w:sz w:val="20"/>
                <w:szCs w:val="20"/>
                <w:color w:val="auto"/>
              </w:rPr>
            </w:pPr>
            <w:r>
              <w:rPr>
                <w:rFonts w:ascii="Arial" w:cs="Arial" w:eastAsia="Arial" w:hAnsi="Arial"/>
                <w:sz w:val="12"/>
                <w:szCs w:val="12"/>
                <w:color w:val="auto"/>
                <w:w w:val="96"/>
              </w:rPr>
              <w:t>The State Cinema Bar which serves a range of wines and spirits was rebranded the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11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360" w:type="dxa"/>
            <w:vAlign w:val="bottom"/>
          </w:tcPr>
          <w:p>
            <w:pPr>
              <w:ind w:left="40"/>
              <w:spacing w:after="0"/>
              <w:rPr>
                <w:sz w:val="20"/>
                <w:szCs w:val="20"/>
                <w:color w:val="auto"/>
              </w:rPr>
            </w:pPr>
            <w:r>
              <w:rPr>
                <w:rFonts w:ascii="Arial" w:cs="Arial" w:eastAsia="Arial" w:hAnsi="Arial"/>
                <w:sz w:val="12"/>
                <w:szCs w:val="12"/>
                <w:color w:val="auto"/>
              </w:rPr>
              <w:t>Angelika Bar in 2020.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360" w:type="dxa"/>
            <w:vAlign w:val="bottom"/>
          </w:tcPr>
          <w:p>
            <w:pPr>
              <w:ind w:left="40"/>
              <w:spacing w:after="0"/>
              <w:rPr>
                <w:sz w:val="20"/>
                <w:szCs w:val="20"/>
                <w:color w:val="auto"/>
              </w:rPr>
            </w:pPr>
            <w:r>
              <w:rPr>
                <w:rFonts w:ascii="Arial" w:cs="Arial" w:eastAsia="Arial" w:hAnsi="Arial"/>
                <w:sz w:val="12"/>
                <w:szCs w:val="12"/>
                <w:color w:val="auto"/>
              </w:rPr>
              <w:t>We continue to look to expand our specialty theater portfolio by looking for more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11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360" w:type="dxa"/>
            <w:vAlign w:val="bottom"/>
          </w:tcPr>
          <w:p>
            <w:pPr>
              <w:ind w:left="40"/>
              <w:spacing w:after="0"/>
              <w:rPr>
                <w:sz w:val="20"/>
                <w:szCs w:val="20"/>
                <w:color w:val="auto"/>
              </w:rPr>
            </w:pPr>
            <w:r>
              <w:rPr>
                <w:rFonts w:ascii="Arial" w:cs="Arial" w:eastAsia="Arial" w:hAnsi="Arial"/>
                <w:sz w:val="12"/>
                <w:szCs w:val="12"/>
                <w:color w:val="auto"/>
              </w:rPr>
              <w:t>specialty theater sites in the U.S., Australia, and New Zealand.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570230</wp:posOffset>
            </wp:positionV>
            <wp:extent cx="640905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09055" cy="698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-4075430</wp:posOffset>
            </wp:positionV>
            <wp:extent cx="654050" cy="798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050" cy="79883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-3042920</wp:posOffset>
            </wp:positionV>
            <wp:extent cx="1204595" cy="288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4595" cy="288925"/>
                    </a:xfrm>
                    <a:prstGeom prst="rect">
                      <a:avLst/>
                    </a:prstGeom>
                    <a:noFill/>
                  </pic:spPr>
                </pic:pic>
              </a:graphicData>
            </a:graphic>
          </wp:anchor>
        </w:drawing>
        <w:drawing>
          <wp:anchor simplePos="0" relativeHeight="251657728" behindDoc="1" locked="0" layoutInCell="0" allowOverlap="1">
            <wp:simplePos x="0" y="0"/>
            <wp:positionH relativeFrom="column">
              <wp:posOffset>1243330</wp:posOffset>
            </wp:positionH>
            <wp:positionV relativeFrom="paragraph">
              <wp:posOffset>-2051685</wp:posOffset>
            </wp:positionV>
            <wp:extent cx="1025525" cy="6057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5525" cy="60579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-386080</wp:posOffset>
            </wp:positionV>
            <wp:extent cx="1342390" cy="853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42390" cy="853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66"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4"/>
        </w:trPr>
        <w:tc>
          <w:tcPr>
            <w:tcW w:w="1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b w:val="1"/>
                <w:bCs w:val="1"/>
                <w:color w:val="auto"/>
                <w:w w:val="83"/>
              </w:rPr>
              <w:t>Business Segment / Unit</w:t>
            </w:r>
          </w:p>
        </w:tc>
        <w:tc>
          <w:tcPr>
            <w:tcW w:w="268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2"/>
                <w:szCs w:val="12"/>
                <w:b w:val="1"/>
                <w:bCs w:val="1"/>
                <w:color w:val="auto"/>
              </w:rPr>
              <w:t>Our Commercial Brands</w:t>
            </w:r>
          </w:p>
        </w:tc>
        <w:tc>
          <w:tcPr>
            <w:tcW w:w="1380" w:type="dxa"/>
            <w:vAlign w:val="bottom"/>
            <w:tcBorders>
              <w:top w:val="single" w:sz="8" w:color="auto"/>
              <w:bottom w:val="single" w:sz="8" w:color="auto"/>
            </w:tcBorders>
          </w:tcPr>
          <w:p>
            <w:pPr>
              <w:jc w:val="center"/>
              <w:ind w:left="386"/>
              <w:spacing w:after="0"/>
              <w:rPr>
                <w:sz w:val="20"/>
                <w:szCs w:val="20"/>
                <w:color w:val="auto"/>
              </w:rPr>
            </w:pPr>
            <w:r>
              <w:rPr>
                <w:rFonts w:ascii="Arial" w:cs="Arial" w:eastAsia="Arial" w:hAnsi="Arial"/>
                <w:sz w:val="12"/>
                <w:szCs w:val="12"/>
                <w:b w:val="1"/>
                <w:bCs w:val="1"/>
                <w:color w:val="auto"/>
                <w:w w:val="91"/>
              </w:rPr>
              <w:t>Country</w:t>
            </w:r>
          </w:p>
        </w:tc>
        <w:tc>
          <w:tcPr>
            <w:tcW w:w="4520" w:type="dxa"/>
            <w:vAlign w:val="bottom"/>
            <w:tcBorders>
              <w:top w:val="single" w:sz="8" w:color="auto"/>
              <w:bottom w:val="single" w:sz="8" w:color="auto"/>
            </w:tcBorders>
          </w:tcPr>
          <w:p>
            <w:pPr>
              <w:ind w:left="1880"/>
              <w:spacing w:after="0"/>
              <w:rPr>
                <w:sz w:val="20"/>
                <w:szCs w:val="20"/>
                <w:color w:val="auto"/>
              </w:rPr>
            </w:pPr>
            <w:r>
              <w:rPr>
                <w:rFonts w:ascii="Arial" w:cs="Arial" w:eastAsia="Arial" w:hAnsi="Arial"/>
                <w:sz w:val="12"/>
                <w:szCs w:val="12"/>
                <w:b w:val="1"/>
                <w:bCs w:val="1"/>
                <w:color w:val="auto"/>
              </w:rPr>
              <w:t>Description</w:t>
            </w: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gridSpan w:val="6"/>
          </w:tcPr>
          <w:p>
            <w:pPr>
              <w:jc w:val="center"/>
              <w:ind w:right="520"/>
              <w:spacing w:after="0"/>
              <w:rPr>
                <w:sz w:val="20"/>
                <w:szCs w:val="20"/>
                <w:color w:val="auto"/>
              </w:rPr>
            </w:pPr>
            <w:r>
              <w:rPr>
                <w:rFonts w:ascii="Arial" w:cs="Arial" w:eastAsia="Arial" w:hAnsi="Arial"/>
                <w:sz w:val="12"/>
                <w:szCs w:val="12"/>
                <w:b w:val="1"/>
                <w:bCs w:val="1"/>
                <w:color w:val="auto"/>
                <w:w w:val="89"/>
              </w:rPr>
              <w:t>Website Link</w:t>
            </w:r>
          </w:p>
        </w:tc>
      </w:tr>
      <w:tr>
        <w:trPr>
          <w:trHeight w:val="108"/>
        </w:trPr>
        <w:tc>
          <w:tcPr>
            <w:tcW w:w="12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380" w:type="dxa"/>
            <w:vAlign w:val="bottom"/>
          </w:tcPr>
          <w:p>
            <w:pPr>
              <w:jc w:val="center"/>
              <w:ind w:left="386"/>
              <w:spacing w:after="0" w:line="109" w:lineRule="exact"/>
              <w:rPr>
                <w:sz w:val="20"/>
                <w:szCs w:val="20"/>
                <w:color w:val="auto"/>
              </w:rPr>
            </w:pPr>
            <w:r>
              <w:rPr>
                <w:rFonts w:ascii="Arial" w:cs="Arial" w:eastAsia="Arial" w:hAnsi="Arial"/>
                <w:sz w:val="12"/>
                <w:szCs w:val="12"/>
                <w:color w:val="auto"/>
                <w:w w:val="85"/>
              </w:rPr>
              <w:t>United States</w:t>
            </w:r>
          </w:p>
        </w:tc>
        <w:tc>
          <w:tcPr>
            <w:tcW w:w="4520" w:type="dxa"/>
            <w:vAlign w:val="bottom"/>
          </w:tcPr>
          <w:p>
            <w:pPr>
              <w:ind w:left="160"/>
              <w:spacing w:after="0" w:line="109" w:lineRule="exact"/>
              <w:rPr>
                <w:sz w:val="20"/>
                <w:szCs w:val="20"/>
                <w:color w:val="auto"/>
              </w:rPr>
            </w:pPr>
            <w:r>
              <w:rPr>
                <w:rFonts w:ascii="Arial" w:cs="Arial" w:eastAsia="Arial" w:hAnsi="Arial"/>
                <w:sz w:val="12"/>
                <w:szCs w:val="12"/>
                <w:color w:val="auto"/>
              </w:rPr>
              <w:t xml:space="preserve">Launched in December 2020, </w:t>
            </w:r>
            <w:r>
              <w:rPr>
                <w:rFonts w:ascii="Arial" w:cs="Arial" w:eastAsia="Arial" w:hAnsi="Arial"/>
                <w:sz w:val="12"/>
                <w:szCs w:val="12"/>
                <w:b w:val="1"/>
                <w:bCs w:val="1"/>
                <w:color w:val="auto"/>
              </w:rPr>
              <w:t>Angelika Anywhere</w:t>
            </w:r>
            <w:r>
              <w:rPr>
                <w:rFonts w:ascii="Arial" w:cs="Arial" w:eastAsia="Arial" w:hAnsi="Arial"/>
                <w:sz w:val="12"/>
                <w:szCs w:val="12"/>
                <w:color w:val="auto"/>
              </w:rPr>
              <w:t>, is an art focused streaming</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80" w:type="dxa"/>
            <w:vAlign w:val="bottom"/>
            <w:gridSpan w:val="8"/>
          </w:tcPr>
          <w:p>
            <w:pPr>
              <w:jc w:val="center"/>
              <w:ind w:right="440"/>
              <w:spacing w:after="0" w:line="109" w:lineRule="exact"/>
              <w:rPr>
                <w:sz w:val="20"/>
                <w:szCs w:val="20"/>
                <w:color w:val="auto"/>
              </w:rPr>
            </w:pPr>
            <w:r>
              <w:rPr>
                <w:rFonts w:ascii="Arial" w:cs="Arial" w:eastAsia="Arial" w:hAnsi="Arial"/>
                <w:sz w:val="12"/>
                <w:szCs w:val="12"/>
                <w:color w:val="0000FF"/>
                <w:w w:val="91"/>
              </w:rPr>
              <w:t>Angelika Anywhere</w:t>
            </w:r>
          </w:p>
        </w:tc>
      </w:tr>
      <w:tr>
        <w:trPr>
          <w:trHeight w:val="95"/>
        </w:trPr>
        <w:tc>
          <w:tcPr>
            <w:tcW w:w="12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520" w:type="dxa"/>
            <w:vAlign w:val="bottom"/>
          </w:tcPr>
          <w:p>
            <w:pPr>
              <w:ind w:left="160"/>
              <w:spacing w:after="0" w:line="95" w:lineRule="exact"/>
              <w:rPr>
                <w:sz w:val="20"/>
                <w:szCs w:val="20"/>
                <w:color w:val="auto"/>
              </w:rPr>
            </w:pPr>
            <w:r>
              <w:rPr>
                <w:rFonts w:ascii="Arial" w:cs="Arial" w:eastAsia="Arial" w:hAnsi="Arial"/>
                <w:sz w:val="10"/>
                <w:szCs w:val="10"/>
                <w:color w:val="auto"/>
              </w:rPr>
              <w:t>platform available in the U.S. and more recently, in Australia. We created Angelika</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119"/>
        </w:trPr>
        <w:tc>
          <w:tcPr>
            <w:tcW w:w="1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520" w:type="dxa"/>
            <w:vAlign w:val="bottom"/>
          </w:tcPr>
          <w:p>
            <w:pPr>
              <w:ind w:left="160"/>
              <w:spacing w:after="0" w:line="120" w:lineRule="exact"/>
              <w:rPr>
                <w:sz w:val="20"/>
                <w:szCs w:val="20"/>
                <w:color w:val="auto"/>
              </w:rPr>
            </w:pPr>
            <w:r>
              <w:rPr>
                <w:rFonts w:ascii="Arial" w:cs="Arial" w:eastAsia="Arial" w:hAnsi="Arial"/>
                <w:sz w:val="12"/>
                <w:szCs w:val="12"/>
                <w:color w:val="auto"/>
                <w:w w:val="95"/>
              </w:rPr>
              <w:t>Anywhere to allow us to expand the reach of our “Angelika” based cinema experience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19"/>
        </w:trPr>
        <w:tc>
          <w:tcPr>
            <w:tcW w:w="1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520" w:type="dxa"/>
            <w:vAlign w:val="bottom"/>
          </w:tcPr>
          <w:p>
            <w:pPr>
              <w:ind w:left="160"/>
              <w:spacing w:after="0" w:line="120" w:lineRule="exact"/>
              <w:rPr>
                <w:sz w:val="20"/>
                <w:szCs w:val="20"/>
                <w:color w:val="auto"/>
              </w:rPr>
            </w:pPr>
            <w:r>
              <w:rPr>
                <w:rFonts w:ascii="Arial" w:cs="Arial" w:eastAsia="Arial" w:hAnsi="Arial"/>
                <w:sz w:val="12"/>
                <w:szCs w:val="12"/>
                <w:color w:val="auto"/>
                <w:w w:val="97"/>
              </w:rPr>
              <w:t>beyond the four walls of a conventional brick-and-mortar cinema. Our goal is to offer</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19"/>
        </w:trPr>
        <w:tc>
          <w:tcPr>
            <w:tcW w:w="1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520" w:type="dxa"/>
            <w:vAlign w:val="bottom"/>
          </w:tcPr>
          <w:p>
            <w:pPr>
              <w:ind w:left="160"/>
              <w:spacing w:after="0" w:line="120" w:lineRule="exact"/>
              <w:rPr>
                <w:sz w:val="20"/>
                <w:szCs w:val="20"/>
                <w:color w:val="auto"/>
              </w:rPr>
            </w:pPr>
            <w:r>
              <w:rPr>
                <w:rFonts w:ascii="Arial" w:cs="Arial" w:eastAsia="Arial" w:hAnsi="Arial"/>
                <w:sz w:val="12"/>
                <w:szCs w:val="12"/>
                <w:color w:val="auto"/>
                <w:w w:val="95"/>
              </w:rPr>
              <w:t>cinephiles easy and curated access to the type of product that has made our Angelika</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45"/>
        </w:trPr>
        <w:tc>
          <w:tcPr>
            <w:tcW w:w="122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452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rPr>
              <w:t>Film Center the most recognized, dedicated arthouse in North America.</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r>
      <w:tr>
        <w:trPr>
          <w:trHeight w:val="99"/>
        </w:trPr>
        <w:tc>
          <w:tcPr>
            <w:tcW w:w="1220" w:type="dxa"/>
            <w:vAlign w:val="bottom"/>
          </w:tcPr>
          <w:p>
            <w:pPr>
              <w:ind w:left="20"/>
              <w:spacing w:after="0" w:line="100" w:lineRule="exact"/>
              <w:rPr>
                <w:sz w:val="20"/>
                <w:szCs w:val="20"/>
                <w:color w:val="auto"/>
              </w:rPr>
            </w:pPr>
            <w:r>
              <w:rPr>
                <w:rFonts w:ascii="Arial" w:cs="Arial" w:eastAsia="Arial" w:hAnsi="Arial"/>
                <w:sz w:val="10"/>
                <w:szCs w:val="10"/>
                <w:b w:val="1"/>
                <w:bCs w:val="1"/>
                <w:color w:val="auto"/>
              </w:rPr>
              <w:t xml:space="preserve">Real Estate </w:t>
            </w:r>
            <w:r>
              <w:rPr>
                <w:rFonts w:ascii="Arial" w:cs="Arial" w:eastAsia="Arial" w:hAnsi="Arial"/>
                <w:sz w:val="10"/>
                <w:szCs w:val="10"/>
                <w:color w:val="auto"/>
              </w:rPr>
              <w:t>/ Leasing</w:t>
            </w:r>
          </w:p>
        </w:tc>
        <w:tc>
          <w:tcPr>
            <w:tcW w:w="2680" w:type="dxa"/>
            <w:vAlign w:val="bottom"/>
          </w:tcPr>
          <w:p>
            <w:pPr>
              <w:spacing w:after="0"/>
              <w:rPr>
                <w:sz w:val="8"/>
                <w:szCs w:val="8"/>
                <w:color w:val="auto"/>
              </w:rPr>
            </w:pPr>
          </w:p>
        </w:tc>
        <w:tc>
          <w:tcPr>
            <w:tcW w:w="1380" w:type="dxa"/>
            <w:vAlign w:val="bottom"/>
          </w:tcPr>
          <w:p>
            <w:pPr>
              <w:jc w:val="center"/>
              <w:ind w:left="386"/>
              <w:spacing w:after="0" w:line="100" w:lineRule="exact"/>
              <w:rPr>
                <w:sz w:val="20"/>
                <w:szCs w:val="20"/>
                <w:color w:val="auto"/>
              </w:rPr>
            </w:pPr>
            <w:r>
              <w:rPr>
                <w:rFonts w:ascii="Arial" w:cs="Arial" w:eastAsia="Arial" w:hAnsi="Arial"/>
                <w:sz w:val="10"/>
                <w:szCs w:val="10"/>
                <w:color w:val="auto"/>
              </w:rPr>
              <w:t>United States</w:t>
            </w:r>
          </w:p>
        </w:tc>
        <w:tc>
          <w:tcPr>
            <w:tcW w:w="4520" w:type="dxa"/>
            <w:vAlign w:val="bottom"/>
          </w:tcPr>
          <w:p>
            <w:pPr>
              <w:ind w:left="160"/>
              <w:spacing w:after="0" w:line="100" w:lineRule="exact"/>
              <w:rPr>
                <w:sz w:val="20"/>
                <w:szCs w:val="20"/>
                <w:color w:val="auto"/>
              </w:rPr>
            </w:pPr>
            <w:r>
              <w:rPr>
                <w:rFonts w:ascii="Arial" w:cs="Arial" w:eastAsia="Arial" w:hAnsi="Arial"/>
                <w:sz w:val="10"/>
                <w:szCs w:val="10"/>
                <w:color w:val="auto"/>
              </w:rPr>
              <w:t>Historically known as Tammany Hall, this approximately 73,000 square foot building</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6"/>
          </w:tcPr>
          <w:p>
            <w:pPr>
              <w:jc w:val="center"/>
              <w:ind w:right="520"/>
              <w:spacing w:after="0" w:line="100" w:lineRule="exact"/>
              <w:rPr>
                <w:sz w:val="20"/>
                <w:szCs w:val="20"/>
                <w:color w:val="auto"/>
              </w:rPr>
            </w:pPr>
            <w:r>
              <w:rPr>
                <w:rFonts w:ascii="Arial" w:cs="Arial" w:eastAsia="Arial" w:hAnsi="Arial"/>
                <w:sz w:val="10"/>
                <w:szCs w:val="10"/>
                <w:color w:val="0000FF"/>
              </w:rPr>
              <w:t>44 Union Square</w:t>
            </w:r>
          </w:p>
        </w:tc>
      </w:tr>
      <w:tr>
        <w:trPr>
          <w:trHeight w:val="95"/>
        </w:trPr>
        <w:tc>
          <w:tcPr>
            <w:tcW w:w="12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520" w:type="dxa"/>
            <w:vAlign w:val="bottom"/>
          </w:tcPr>
          <w:p>
            <w:pPr>
              <w:ind w:left="160"/>
              <w:spacing w:after="0" w:line="95" w:lineRule="exact"/>
              <w:rPr>
                <w:sz w:val="20"/>
                <w:szCs w:val="20"/>
                <w:color w:val="auto"/>
              </w:rPr>
            </w:pPr>
            <w:r>
              <w:rPr>
                <w:rFonts w:ascii="Arial" w:cs="Arial" w:eastAsia="Arial" w:hAnsi="Arial"/>
                <w:sz w:val="10"/>
                <w:szCs w:val="10"/>
                <w:color w:val="auto"/>
              </w:rPr>
              <w:t xml:space="preserve">overlooking Manhattan’s </w:t>
            </w:r>
            <w:r>
              <w:rPr>
                <w:rFonts w:ascii="Arial" w:cs="Arial" w:eastAsia="Arial" w:hAnsi="Arial"/>
                <w:sz w:val="10"/>
                <w:szCs w:val="10"/>
                <w:b w:val="1"/>
                <w:bCs w:val="1"/>
                <w:color w:val="auto"/>
              </w:rPr>
              <w:t>Union Square</w:t>
            </w:r>
            <w:r>
              <w:rPr>
                <w:rFonts w:ascii="Arial" w:cs="Arial" w:eastAsia="Arial" w:hAnsi="Arial"/>
                <w:sz w:val="10"/>
                <w:szCs w:val="10"/>
                <w:color w:val="auto"/>
              </w:rPr>
              <w:t>, has now signed its first tenant who will</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119"/>
        </w:trPr>
        <w:tc>
          <w:tcPr>
            <w:tcW w:w="1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520" w:type="dxa"/>
            <w:vAlign w:val="bottom"/>
          </w:tcPr>
          <w:p>
            <w:pPr>
              <w:ind w:left="160"/>
              <w:spacing w:after="0" w:line="120" w:lineRule="exact"/>
              <w:rPr>
                <w:sz w:val="20"/>
                <w:szCs w:val="20"/>
                <w:color w:val="auto"/>
              </w:rPr>
            </w:pPr>
            <w:r>
              <w:rPr>
                <w:rFonts w:ascii="Arial" w:cs="Arial" w:eastAsia="Arial" w:hAnsi="Arial"/>
                <w:sz w:val="12"/>
                <w:szCs w:val="12"/>
                <w:color w:val="auto"/>
                <w:w w:val="96"/>
              </w:rPr>
              <w:t>occupy most of the ground floor, the cellar and the second floor. Hailed as a dramatic</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19"/>
        </w:trPr>
        <w:tc>
          <w:tcPr>
            <w:tcW w:w="1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520" w:type="dxa"/>
            <w:vAlign w:val="bottom"/>
          </w:tcPr>
          <w:p>
            <w:pPr>
              <w:ind w:left="160"/>
              <w:spacing w:after="0" w:line="120" w:lineRule="exact"/>
              <w:rPr>
                <w:sz w:val="20"/>
                <w:szCs w:val="20"/>
                <w:color w:val="auto"/>
              </w:rPr>
            </w:pPr>
            <w:r>
              <w:rPr>
                <w:rFonts w:ascii="Arial" w:cs="Arial" w:eastAsia="Arial" w:hAnsi="Arial"/>
                <w:sz w:val="12"/>
                <w:szCs w:val="12"/>
                <w:i w:val="1"/>
                <w:iCs w:val="1"/>
                <w:color w:val="auto"/>
                <w:w w:val="97"/>
              </w:rPr>
              <w:t xml:space="preserve">pièce de résistance </w:t>
            </w:r>
            <w:r>
              <w:rPr>
                <w:rFonts w:ascii="Arial" w:cs="Arial" w:eastAsia="Arial" w:hAnsi="Arial"/>
                <w:sz w:val="12"/>
                <w:szCs w:val="12"/>
                <w:color w:val="auto"/>
                <w:w w:val="97"/>
              </w:rPr>
              <w:t>with its first in the city, over 800-piece, glass dome, this building</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19"/>
        </w:trPr>
        <w:tc>
          <w:tcPr>
            <w:tcW w:w="1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520" w:type="dxa"/>
            <w:vAlign w:val="bottom"/>
          </w:tcPr>
          <w:p>
            <w:pPr>
              <w:ind w:left="160"/>
              <w:spacing w:after="0" w:line="120" w:lineRule="exact"/>
              <w:rPr>
                <w:sz w:val="20"/>
                <w:szCs w:val="20"/>
                <w:color w:val="auto"/>
              </w:rPr>
            </w:pPr>
            <w:r>
              <w:rPr>
                <w:rFonts w:ascii="Arial" w:cs="Arial" w:eastAsia="Arial" w:hAnsi="Arial"/>
                <w:sz w:val="12"/>
                <w:szCs w:val="12"/>
                <w:color w:val="auto"/>
                <w:w w:val="96"/>
              </w:rPr>
              <w:t>brings the future to New York’s fabled past. In 2021, the building was selected for the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19"/>
        </w:trPr>
        <w:tc>
          <w:tcPr>
            <w:tcW w:w="1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520" w:type="dxa"/>
            <w:vAlign w:val="bottom"/>
          </w:tcPr>
          <w:p>
            <w:pPr>
              <w:ind w:left="160"/>
              <w:spacing w:after="0" w:line="120" w:lineRule="exact"/>
              <w:rPr>
                <w:sz w:val="20"/>
                <w:szCs w:val="20"/>
                <w:color w:val="auto"/>
              </w:rPr>
            </w:pPr>
            <w:r>
              <w:rPr>
                <w:rFonts w:ascii="Arial" w:cs="Arial" w:eastAsia="Arial" w:hAnsi="Arial"/>
                <w:sz w:val="12"/>
                <w:szCs w:val="12"/>
                <w:color w:val="auto"/>
              </w:rPr>
              <w:t>following awards: (i) Design Award of Honor in the Renovation, Restoration and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19"/>
        </w:trPr>
        <w:tc>
          <w:tcPr>
            <w:tcW w:w="1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520" w:type="dxa"/>
            <w:vAlign w:val="bottom"/>
          </w:tcPr>
          <w:p>
            <w:pPr>
              <w:ind w:left="160"/>
              <w:spacing w:after="0" w:line="120" w:lineRule="exact"/>
              <w:rPr>
                <w:sz w:val="20"/>
                <w:szCs w:val="20"/>
                <w:color w:val="auto"/>
              </w:rPr>
            </w:pPr>
            <w:r>
              <w:rPr>
                <w:rFonts w:ascii="Arial" w:cs="Arial" w:eastAsia="Arial" w:hAnsi="Arial"/>
                <w:sz w:val="12"/>
                <w:szCs w:val="12"/>
                <w:color w:val="auto"/>
                <w:w w:val="98"/>
              </w:rPr>
              <w:t>Adaptive Re-use category by the Society of American Registered Architects, (ii) 1st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19"/>
        </w:trPr>
        <w:tc>
          <w:tcPr>
            <w:tcW w:w="1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520" w:type="dxa"/>
            <w:vAlign w:val="bottom"/>
          </w:tcPr>
          <w:p>
            <w:pPr>
              <w:ind w:left="160"/>
              <w:spacing w:after="0" w:line="120" w:lineRule="exact"/>
              <w:rPr>
                <w:sz w:val="20"/>
                <w:szCs w:val="20"/>
                <w:color w:val="auto"/>
              </w:rPr>
            </w:pPr>
            <w:r>
              <w:rPr>
                <w:rFonts w:ascii="Arial" w:cs="Arial" w:eastAsia="Arial" w:hAnsi="Arial"/>
                <w:sz w:val="12"/>
                <w:szCs w:val="12"/>
                <w:color w:val="auto"/>
              </w:rPr>
              <w:t>Place Addition Award by Retrofit Magazine, (iii) the Architecture + Collaboration</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19"/>
        </w:trPr>
        <w:tc>
          <w:tcPr>
            <w:tcW w:w="1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520" w:type="dxa"/>
            <w:vAlign w:val="bottom"/>
          </w:tcPr>
          <w:p>
            <w:pPr>
              <w:ind w:left="160"/>
              <w:spacing w:after="0" w:line="120" w:lineRule="exact"/>
              <w:rPr>
                <w:sz w:val="20"/>
                <w:szCs w:val="20"/>
                <w:color w:val="auto"/>
              </w:rPr>
            </w:pPr>
            <w:r>
              <w:rPr>
                <w:rFonts w:ascii="Arial" w:cs="Arial" w:eastAsia="Arial" w:hAnsi="Arial"/>
                <w:sz w:val="12"/>
                <w:szCs w:val="12"/>
                <w:color w:val="auto"/>
              </w:rPr>
              <w:t>Popular Choice Winner by the Architizer A+ Awards and (iv) the Architecture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47"/>
        </w:trPr>
        <w:tc>
          <w:tcPr>
            <w:tcW w:w="12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520" w:type="dxa"/>
            <w:vAlign w:val="bottom"/>
          </w:tcPr>
          <w:p>
            <w:pPr>
              <w:ind w:left="160"/>
              <w:spacing w:after="0"/>
              <w:rPr>
                <w:sz w:val="20"/>
                <w:szCs w:val="20"/>
                <w:color w:val="auto"/>
              </w:rPr>
            </w:pPr>
            <w:r>
              <w:rPr>
                <w:rFonts w:ascii="Arial" w:cs="Arial" w:eastAsia="Arial" w:hAnsi="Arial"/>
                <w:sz w:val="12"/>
                <w:szCs w:val="12"/>
                <w:color w:val="auto"/>
              </w:rPr>
              <w:t>Collaboration Jury Winner by the Architizer A+ Awards.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11"/>
        </w:trPr>
        <w:tc>
          <w:tcPr>
            <w:tcW w:w="1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2"/>
                <w:szCs w:val="12"/>
                <w:color w:val="auto"/>
                <w:w w:val="99"/>
              </w:rPr>
              <w:t>44 Union Square is one of a very limited number of locations in Manhattan that will</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119"/>
        </w:trPr>
        <w:tc>
          <w:tcPr>
            <w:tcW w:w="1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520" w:type="dxa"/>
            <w:vAlign w:val="bottom"/>
          </w:tcPr>
          <w:p>
            <w:pPr>
              <w:ind w:left="160"/>
              <w:spacing w:after="0" w:line="120" w:lineRule="exact"/>
              <w:rPr>
                <w:sz w:val="20"/>
                <w:szCs w:val="20"/>
                <w:color w:val="auto"/>
              </w:rPr>
            </w:pPr>
            <w:r>
              <w:rPr>
                <w:rFonts w:ascii="Arial" w:cs="Arial" w:eastAsia="Arial" w:hAnsi="Arial"/>
                <w:sz w:val="12"/>
                <w:szCs w:val="12"/>
                <w:color w:val="auto"/>
                <w:w w:val="98"/>
              </w:rPr>
              <w:t>provide major office tenant(s) with a “brandable” site, and the only such location on</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47"/>
        </w:trPr>
        <w:tc>
          <w:tcPr>
            <w:tcW w:w="12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520" w:type="dxa"/>
            <w:vAlign w:val="bottom"/>
          </w:tcPr>
          <w:p>
            <w:pPr>
              <w:ind w:left="160"/>
              <w:spacing w:after="0"/>
              <w:rPr>
                <w:sz w:val="20"/>
                <w:szCs w:val="20"/>
                <w:color w:val="auto"/>
              </w:rPr>
            </w:pPr>
            <w:r>
              <w:rPr>
                <w:rFonts w:ascii="Arial" w:cs="Arial" w:eastAsia="Arial" w:hAnsi="Arial"/>
                <w:sz w:val="12"/>
                <w:szCs w:val="12"/>
                <w:color w:val="auto"/>
              </w:rPr>
              <w:t>Union Square.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42"/>
        </w:trPr>
        <w:tc>
          <w:tcPr>
            <w:tcW w:w="1220" w:type="dxa"/>
            <w:vAlign w:val="bottom"/>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99"/>
        </w:trPr>
        <w:tc>
          <w:tcPr>
            <w:tcW w:w="12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380" w:type="dxa"/>
            <w:vAlign w:val="bottom"/>
          </w:tcPr>
          <w:p>
            <w:pPr>
              <w:jc w:val="center"/>
              <w:ind w:left="386"/>
              <w:spacing w:after="0" w:line="89" w:lineRule="exact"/>
              <w:rPr>
                <w:sz w:val="20"/>
                <w:szCs w:val="20"/>
                <w:color w:val="auto"/>
              </w:rPr>
            </w:pPr>
            <w:r>
              <w:rPr>
                <w:rFonts w:ascii="Arial" w:cs="Arial" w:eastAsia="Arial" w:hAnsi="Arial"/>
                <w:sz w:val="10"/>
                <w:szCs w:val="10"/>
                <w:color w:val="auto"/>
              </w:rPr>
              <w:t>Australia</w:t>
            </w:r>
          </w:p>
        </w:tc>
        <w:tc>
          <w:tcPr>
            <w:tcW w:w="4520" w:type="dxa"/>
            <w:vAlign w:val="bottom"/>
          </w:tcPr>
          <w:p>
            <w:pPr>
              <w:ind w:left="160"/>
              <w:spacing w:after="0" w:line="89" w:lineRule="exact"/>
              <w:rPr>
                <w:sz w:val="20"/>
                <w:szCs w:val="20"/>
                <w:color w:val="auto"/>
              </w:rPr>
            </w:pPr>
            <w:r>
              <w:rPr>
                <w:rFonts w:ascii="Arial" w:cs="Arial" w:eastAsia="Arial" w:hAnsi="Arial"/>
                <w:sz w:val="10"/>
                <w:szCs w:val="10"/>
                <w:color w:val="auto"/>
              </w:rPr>
              <w:t xml:space="preserve">Located on 203,000 square feet of land in suburban Brisbane, </w:t>
            </w:r>
            <w:r>
              <w:rPr>
                <w:rFonts w:ascii="Arial" w:cs="Arial" w:eastAsia="Arial" w:hAnsi="Arial"/>
                <w:sz w:val="10"/>
                <w:szCs w:val="10"/>
                <w:b w:val="1"/>
                <w:bCs w:val="1"/>
                <w:color w:val="auto"/>
              </w:rPr>
              <w:t>Newmarket Village</w:t>
            </w:r>
            <w:r>
              <w:rPr>
                <w:rFonts w:ascii="Arial" w:cs="Arial" w:eastAsia="Arial" w:hAnsi="Arial"/>
                <w:sz w:val="10"/>
                <w:szCs w:val="10"/>
                <w:color w:val="auto"/>
              </w:rPr>
              <w:t xml:space="preserve"> is</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gridSpan w:val="8"/>
          </w:tcPr>
          <w:p>
            <w:pPr>
              <w:jc w:val="center"/>
              <w:ind w:right="440"/>
              <w:spacing w:after="0" w:line="89" w:lineRule="exact"/>
              <w:rPr>
                <w:sz w:val="20"/>
                <w:szCs w:val="20"/>
                <w:color w:val="auto"/>
              </w:rPr>
            </w:pPr>
            <w:r>
              <w:rPr>
                <w:rFonts w:ascii="Arial" w:cs="Arial" w:eastAsia="Arial" w:hAnsi="Arial"/>
                <w:sz w:val="10"/>
                <w:szCs w:val="10"/>
                <w:color w:val="0000FF"/>
              </w:rPr>
              <w:t>Newmarket Village</w:t>
            </w:r>
          </w:p>
        </w:tc>
      </w:tr>
      <w:tr>
        <w:trPr>
          <w:trHeight w:val="177"/>
        </w:trPr>
        <w:tc>
          <w:tcPr>
            <w:tcW w:w="12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520" w:type="dxa"/>
            <w:vAlign w:val="bottom"/>
          </w:tcPr>
          <w:p>
            <w:pPr>
              <w:ind w:left="160"/>
              <w:spacing w:after="0"/>
              <w:rPr>
                <w:sz w:val="20"/>
                <w:szCs w:val="20"/>
                <w:color w:val="auto"/>
              </w:rPr>
            </w:pPr>
            <w:r>
              <w:rPr>
                <w:rFonts w:ascii="Arial" w:cs="Arial" w:eastAsia="Arial" w:hAnsi="Arial"/>
                <w:sz w:val="12"/>
                <w:szCs w:val="12"/>
                <w:color w:val="auto"/>
              </w:rPr>
              <w:t>currently comprised of approximately 102,000 square feet of net rentable area,</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52"/>
        </w:trPr>
        <w:tc>
          <w:tcPr>
            <w:tcW w:w="12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520" w:type="dxa"/>
            <w:vAlign w:val="bottom"/>
          </w:tcPr>
          <w:p>
            <w:pPr>
              <w:ind w:left="160"/>
              <w:spacing w:after="0"/>
              <w:rPr>
                <w:sz w:val="20"/>
                <w:szCs w:val="20"/>
                <w:color w:val="auto"/>
              </w:rPr>
            </w:pPr>
            <w:r>
              <w:rPr>
                <w:rFonts w:ascii="Arial" w:cs="Arial" w:eastAsia="Arial" w:hAnsi="Arial"/>
                <w:sz w:val="12"/>
                <w:szCs w:val="12"/>
                <w:color w:val="auto"/>
                <w:w w:val="98"/>
              </w:rPr>
              <w:t>including a Coles Supermarket and 43 other third-party tenants, offering community</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52"/>
        </w:trPr>
        <w:tc>
          <w:tcPr>
            <w:tcW w:w="12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520" w:type="dxa"/>
            <w:vAlign w:val="bottom"/>
          </w:tcPr>
          <w:p>
            <w:pPr>
              <w:ind w:left="160"/>
              <w:spacing w:after="0"/>
              <w:rPr>
                <w:sz w:val="20"/>
                <w:szCs w:val="20"/>
                <w:color w:val="auto"/>
              </w:rPr>
            </w:pPr>
            <w:r>
              <w:rPr>
                <w:rFonts w:ascii="Arial" w:cs="Arial" w:eastAsia="Arial" w:hAnsi="Arial"/>
                <w:sz w:val="12"/>
                <w:szCs w:val="12"/>
                <w:color w:val="auto"/>
              </w:rPr>
              <w:t>level F&amp;B, retail, and professional services.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232"/>
        </w:trPr>
        <w:tc>
          <w:tcPr>
            <w:tcW w:w="1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520" w:type="dxa"/>
            <w:vAlign w:val="bottom"/>
          </w:tcPr>
          <w:p>
            <w:pPr>
              <w:ind w:left="160"/>
              <w:spacing w:after="0"/>
              <w:rPr>
                <w:sz w:val="20"/>
                <w:szCs w:val="20"/>
                <w:color w:val="auto"/>
              </w:rPr>
            </w:pPr>
            <w:r>
              <w:rPr>
                <w:rFonts w:ascii="Arial" w:cs="Arial" w:eastAsia="Arial" w:hAnsi="Arial"/>
                <w:sz w:val="12"/>
                <w:szCs w:val="12"/>
                <w:color w:val="auto"/>
                <w:w w:val="97"/>
              </w:rPr>
              <w:t>At the end of 2017, we completed a major expansion that added a new eight-screen</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119"/>
        </w:trPr>
        <w:tc>
          <w:tcPr>
            <w:tcW w:w="1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520" w:type="dxa"/>
            <w:vAlign w:val="bottom"/>
          </w:tcPr>
          <w:p>
            <w:pPr>
              <w:ind w:left="160"/>
              <w:spacing w:after="0" w:line="120" w:lineRule="exact"/>
              <w:rPr>
                <w:sz w:val="20"/>
                <w:szCs w:val="20"/>
                <w:color w:val="auto"/>
              </w:rPr>
            </w:pPr>
            <w:r>
              <w:rPr>
                <w:rFonts w:ascii="Arial" w:cs="Arial" w:eastAsia="Arial" w:hAnsi="Arial"/>
                <w:sz w:val="12"/>
                <w:szCs w:val="12"/>
                <w:color w:val="auto"/>
                <w:w w:val="98"/>
              </w:rPr>
              <w:t>Reading Cinemas with TITAN LUXE, an additional 10,000 square feet of restaurant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47"/>
        </w:trPr>
        <w:tc>
          <w:tcPr>
            <w:tcW w:w="12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520" w:type="dxa"/>
            <w:vAlign w:val="bottom"/>
          </w:tcPr>
          <w:p>
            <w:pPr>
              <w:ind w:left="160"/>
              <w:spacing w:after="0"/>
              <w:rPr>
                <w:sz w:val="20"/>
                <w:szCs w:val="20"/>
                <w:color w:val="auto"/>
              </w:rPr>
            </w:pPr>
            <w:r>
              <w:rPr>
                <w:rFonts w:ascii="Arial" w:cs="Arial" w:eastAsia="Arial" w:hAnsi="Arial"/>
                <w:sz w:val="12"/>
                <w:szCs w:val="12"/>
                <w:color w:val="auto"/>
              </w:rPr>
              <w:t>tenant space and 124 parking spaces.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11"/>
        </w:trPr>
        <w:tc>
          <w:tcPr>
            <w:tcW w:w="1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2"/>
                <w:szCs w:val="12"/>
                <w:color w:val="auto"/>
                <w:w w:val="98"/>
              </w:rPr>
              <w:t>Adjacent to our Newmarket Village, we own a three-level, 22,000 square foot office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119"/>
        </w:trPr>
        <w:tc>
          <w:tcPr>
            <w:tcW w:w="1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520" w:type="dxa"/>
            <w:vAlign w:val="bottom"/>
          </w:tcPr>
          <w:p>
            <w:pPr>
              <w:ind w:left="160"/>
              <w:spacing w:after="0" w:line="120" w:lineRule="exact"/>
              <w:rPr>
                <w:sz w:val="20"/>
                <w:szCs w:val="20"/>
                <w:color w:val="auto"/>
              </w:rPr>
            </w:pPr>
            <w:r>
              <w:rPr>
                <w:rFonts w:ascii="Arial" w:cs="Arial" w:eastAsia="Arial" w:hAnsi="Arial"/>
                <w:sz w:val="12"/>
                <w:szCs w:val="12"/>
                <w:color w:val="auto"/>
                <w:w w:val="98"/>
              </w:rPr>
              <w:t>building. Taken together with the retail components, the center is 92% leased as of</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47"/>
        </w:trPr>
        <w:tc>
          <w:tcPr>
            <w:tcW w:w="12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520" w:type="dxa"/>
            <w:vAlign w:val="bottom"/>
          </w:tcPr>
          <w:p>
            <w:pPr>
              <w:ind w:left="160"/>
              <w:spacing w:after="0"/>
              <w:rPr>
                <w:sz w:val="20"/>
                <w:szCs w:val="20"/>
                <w:color w:val="auto"/>
              </w:rPr>
            </w:pPr>
            <w:r>
              <w:rPr>
                <w:rFonts w:ascii="Arial" w:cs="Arial" w:eastAsia="Arial" w:hAnsi="Arial"/>
                <w:sz w:val="12"/>
                <w:szCs w:val="12"/>
                <w:color w:val="auto"/>
              </w:rPr>
              <w:t>December 31, 2021.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42"/>
        </w:trPr>
        <w:tc>
          <w:tcPr>
            <w:tcW w:w="1220" w:type="dxa"/>
            <w:vAlign w:val="bottom"/>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99"/>
        </w:trPr>
        <w:tc>
          <w:tcPr>
            <w:tcW w:w="12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380" w:type="dxa"/>
            <w:vAlign w:val="bottom"/>
          </w:tcPr>
          <w:p>
            <w:pPr>
              <w:jc w:val="center"/>
              <w:ind w:left="386"/>
              <w:spacing w:after="0" w:line="100" w:lineRule="exact"/>
              <w:rPr>
                <w:sz w:val="20"/>
                <w:szCs w:val="20"/>
                <w:color w:val="auto"/>
              </w:rPr>
            </w:pPr>
            <w:r>
              <w:rPr>
                <w:rFonts w:ascii="Arial" w:cs="Arial" w:eastAsia="Arial" w:hAnsi="Arial"/>
                <w:sz w:val="10"/>
                <w:szCs w:val="10"/>
                <w:color w:val="auto"/>
              </w:rPr>
              <w:t>Australia</w:t>
            </w:r>
          </w:p>
        </w:tc>
        <w:tc>
          <w:tcPr>
            <w:tcW w:w="4520" w:type="dxa"/>
            <w:vAlign w:val="bottom"/>
          </w:tcPr>
          <w:p>
            <w:pPr>
              <w:ind w:left="160"/>
              <w:spacing w:after="0" w:line="100" w:lineRule="exact"/>
              <w:rPr>
                <w:sz w:val="20"/>
                <w:szCs w:val="20"/>
                <w:color w:val="auto"/>
              </w:rPr>
            </w:pPr>
            <w:r>
              <w:rPr>
                <w:rFonts w:ascii="Arial" w:cs="Arial" w:eastAsia="Arial" w:hAnsi="Arial"/>
                <w:sz w:val="10"/>
                <w:szCs w:val="10"/>
                <w:color w:val="auto"/>
              </w:rPr>
              <w:t>Anchored by our six-screen Reading Cinemas, and 13 other third party tenants</w:t>
            </w:r>
          </w:p>
        </w:tc>
        <w:tc>
          <w:tcPr>
            <w:tcW w:w="1480" w:type="dxa"/>
            <w:vAlign w:val="bottom"/>
            <w:gridSpan w:val="10"/>
          </w:tcPr>
          <w:p>
            <w:pPr>
              <w:jc w:val="center"/>
              <w:ind w:right="340"/>
              <w:spacing w:after="0" w:line="100" w:lineRule="exact"/>
              <w:rPr>
                <w:sz w:val="20"/>
                <w:szCs w:val="20"/>
                <w:color w:val="auto"/>
              </w:rPr>
            </w:pPr>
            <w:r>
              <w:rPr>
                <w:rFonts w:ascii="Arial" w:cs="Arial" w:eastAsia="Arial" w:hAnsi="Arial"/>
                <w:sz w:val="10"/>
                <w:szCs w:val="10"/>
                <w:color w:val="0000FF"/>
              </w:rPr>
              <w:t>Cannon Park Townsville</w:t>
            </w:r>
          </w:p>
        </w:tc>
      </w:tr>
      <w:tr>
        <w:trPr>
          <w:trHeight w:val="95"/>
        </w:trPr>
        <w:tc>
          <w:tcPr>
            <w:tcW w:w="12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520" w:type="dxa"/>
            <w:vAlign w:val="bottom"/>
          </w:tcPr>
          <w:p>
            <w:pPr>
              <w:ind w:left="160"/>
              <w:spacing w:after="0" w:line="95" w:lineRule="exact"/>
              <w:rPr>
                <w:sz w:val="20"/>
                <w:szCs w:val="20"/>
                <w:color w:val="auto"/>
              </w:rPr>
            </w:pPr>
            <w:r>
              <w:rPr>
                <w:rFonts w:ascii="Arial" w:cs="Arial" w:eastAsia="Arial" w:hAnsi="Arial"/>
                <w:sz w:val="10"/>
                <w:szCs w:val="10"/>
                <w:color w:val="auto"/>
              </w:rPr>
              <w:t xml:space="preserve">offering F&amp;B or other retail offers, </w:t>
            </w:r>
            <w:r>
              <w:rPr>
                <w:rFonts w:ascii="Arial" w:cs="Arial" w:eastAsia="Arial" w:hAnsi="Arial"/>
                <w:sz w:val="10"/>
                <w:szCs w:val="10"/>
                <w:b w:val="1"/>
                <w:bCs w:val="1"/>
                <w:color w:val="auto"/>
              </w:rPr>
              <w:t>Cannon Park</w:t>
            </w:r>
            <w:r>
              <w:rPr>
                <w:rFonts w:ascii="Arial" w:cs="Arial" w:eastAsia="Arial" w:hAnsi="Arial"/>
                <w:sz w:val="10"/>
                <w:szCs w:val="10"/>
                <w:color w:val="auto"/>
              </w:rPr>
              <w:t xml:space="preserve"> is located in Townsville, Australia,</w:t>
            </w:r>
          </w:p>
        </w:tc>
        <w:tc>
          <w:tcPr>
            <w:tcW w:w="4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40" w:type="dxa"/>
            <w:vAlign w:val="bottom"/>
          </w:tcPr>
          <w:p>
            <w:pPr>
              <w:spacing w:after="0"/>
              <w:rPr>
                <w:sz w:val="8"/>
                <w:szCs w:val="8"/>
                <w:color w:val="auto"/>
              </w:rPr>
            </w:pPr>
          </w:p>
        </w:tc>
      </w:tr>
      <w:tr>
        <w:trPr>
          <w:trHeight w:val="119"/>
        </w:trPr>
        <w:tc>
          <w:tcPr>
            <w:tcW w:w="1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520" w:type="dxa"/>
            <w:vAlign w:val="bottom"/>
          </w:tcPr>
          <w:p>
            <w:pPr>
              <w:ind w:left="160"/>
              <w:spacing w:after="0" w:line="120" w:lineRule="exact"/>
              <w:rPr>
                <w:sz w:val="20"/>
                <w:szCs w:val="20"/>
                <w:color w:val="auto"/>
              </w:rPr>
            </w:pPr>
            <w:r>
              <w:rPr>
                <w:rFonts w:ascii="Arial" w:cs="Arial" w:eastAsia="Arial" w:hAnsi="Arial"/>
                <w:sz w:val="12"/>
                <w:szCs w:val="12"/>
                <w:color w:val="auto"/>
                <w:w w:val="96"/>
              </w:rPr>
              <w:t>and is currently comprised of 408,000 square feet of land and 105,000 square feet of</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47"/>
        </w:trPr>
        <w:tc>
          <w:tcPr>
            <w:tcW w:w="12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520" w:type="dxa"/>
            <w:vAlign w:val="bottom"/>
          </w:tcPr>
          <w:p>
            <w:pPr>
              <w:ind w:left="160"/>
              <w:spacing w:after="0"/>
              <w:rPr>
                <w:sz w:val="20"/>
                <w:szCs w:val="20"/>
                <w:color w:val="auto"/>
              </w:rPr>
            </w:pPr>
            <w:r>
              <w:rPr>
                <w:rFonts w:ascii="Arial" w:cs="Arial" w:eastAsia="Arial" w:hAnsi="Arial"/>
                <w:sz w:val="12"/>
                <w:szCs w:val="12"/>
                <w:color w:val="auto"/>
              </w:rPr>
              <w:t>net rentable area.</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38"/>
        </w:trPr>
        <w:tc>
          <w:tcPr>
            <w:tcW w:w="1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520" w:type="dxa"/>
            <w:vAlign w:val="bottom"/>
          </w:tcPr>
          <w:p>
            <w:pPr>
              <w:ind w:left="160"/>
              <w:spacing w:after="0"/>
              <w:rPr>
                <w:sz w:val="20"/>
                <w:szCs w:val="20"/>
                <w:color w:val="auto"/>
              </w:rPr>
            </w:pPr>
            <w:r>
              <w:rPr>
                <w:rFonts w:ascii="Arial" w:cs="Arial" w:eastAsia="Arial" w:hAnsi="Arial"/>
                <w:sz w:val="12"/>
                <w:szCs w:val="12"/>
                <w:color w:val="auto"/>
              </w:rPr>
              <w:t>As of December 31, 2021, this property was 87% leased.</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2"/>
        </w:trPr>
        <w:tc>
          <w:tcPr>
            <w:tcW w:w="1220" w:type="dxa"/>
            <w:vAlign w:val="bottom"/>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99"/>
        </w:trPr>
        <w:tc>
          <w:tcPr>
            <w:tcW w:w="12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380" w:type="dxa"/>
            <w:vAlign w:val="bottom"/>
          </w:tcPr>
          <w:p>
            <w:pPr>
              <w:jc w:val="center"/>
              <w:ind w:left="386"/>
              <w:spacing w:after="0" w:line="100" w:lineRule="exact"/>
              <w:rPr>
                <w:sz w:val="20"/>
                <w:szCs w:val="20"/>
                <w:color w:val="auto"/>
              </w:rPr>
            </w:pPr>
            <w:r>
              <w:rPr>
                <w:rFonts w:ascii="Arial" w:cs="Arial" w:eastAsia="Arial" w:hAnsi="Arial"/>
                <w:sz w:val="10"/>
                <w:szCs w:val="10"/>
                <w:color w:val="auto"/>
              </w:rPr>
              <w:t>Australia</w:t>
            </w:r>
          </w:p>
        </w:tc>
        <w:tc>
          <w:tcPr>
            <w:tcW w:w="4520" w:type="dxa"/>
            <w:vAlign w:val="bottom"/>
          </w:tcPr>
          <w:p>
            <w:pPr>
              <w:ind w:left="160"/>
              <w:spacing w:after="0" w:line="100" w:lineRule="exact"/>
              <w:rPr>
                <w:sz w:val="20"/>
                <w:szCs w:val="20"/>
                <w:color w:val="auto"/>
              </w:rPr>
            </w:pPr>
            <w:r>
              <w:rPr>
                <w:rFonts w:ascii="Arial" w:cs="Arial" w:eastAsia="Arial" w:hAnsi="Arial"/>
                <w:sz w:val="10"/>
                <w:szCs w:val="10"/>
                <w:color w:val="auto"/>
              </w:rPr>
              <w:t>Anchored by our 10-screen Reading Cinemas and five F&amp;B or third-party tenants,</w:t>
            </w:r>
          </w:p>
        </w:tc>
        <w:tc>
          <w:tcPr>
            <w:tcW w:w="40" w:type="dxa"/>
            <w:vAlign w:val="bottom"/>
          </w:tcPr>
          <w:p>
            <w:pPr>
              <w:spacing w:after="0"/>
              <w:rPr>
                <w:sz w:val="8"/>
                <w:szCs w:val="8"/>
                <w:color w:val="auto"/>
              </w:rPr>
            </w:pPr>
          </w:p>
        </w:tc>
        <w:tc>
          <w:tcPr>
            <w:tcW w:w="1440" w:type="dxa"/>
            <w:vAlign w:val="bottom"/>
            <w:gridSpan w:val="9"/>
          </w:tcPr>
          <w:p>
            <w:pPr>
              <w:jc w:val="center"/>
              <w:ind w:right="380"/>
              <w:spacing w:after="0" w:line="100" w:lineRule="exact"/>
              <w:rPr>
                <w:sz w:val="20"/>
                <w:szCs w:val="20"/>
                <w:color w:val="auto"/>
              </w:rPr>
            </w:pPr>
            <w:r>
              <w:rPr>
                <w:rFonts w:ascii="Arial" w:cs="Arial" w:eastAsia="Arial" w:hAnsi="Arial"/>
                <w:sz w:val="10"/>
                <w:szCs w:val="10"/>
                <w:color w:val="0000FF"/>
              </w:rPr>
              <w:t>The Belmont Common</w:t>
            </w:r>
          </w:p>
        </w:tc>
      </w:tr>
      <w:tr>
        <w:trPr>
          <w:trHeight w:val="95"/>
        </w:trPr>
        <w:tc>
          <w:tcPr>
            <w:tcW w:w="12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520" w:type="dxa"/>
            <w:vAlign w:val="bottom"/>
          </w:tcPr>
          <w:p>
            <w:pPr>
              <w:ind w:left="160"/>
              <w:spacing w:after="0" w:line="95" w:lineRule="exact"/>
              <w:rPr>
                <w:sz w:val="20"/>
                <w:szCs w:val="20"/>
                <w:color w:val="auto"/>
              </w:rPr>
            </w:pPr>
            <w:r>
              <w:rPr>
                <w:rFonts w:ascii="Arial" w:cs="Arial" w:eastAsia="Arial" w:hAnsi="Arial"/>
                <w:sz w:val="10"/>
                <w:szCs w:val="10"/>
                <w:b w:val="1"/>
                <w:bCs w:val="1"/>
                <w:color w:val="auto"/>
              </w:rPr>
              <w:t xml:space="preserve">The Belmont Common </w:t>
            </w:r>
            <w:r>
              <w:rPr>
                <w:rFonts w:ascii="Arial" w:cs="Arial" w:eastAsia="Arial" w:hAnsi="Arial"/>
                <w:sz w:val="10"/>
                <w:szCs w:val="10"/>
                <w:color w:val="auto"/>
              </w:rPr>
              <w:t>is located in Perth, Australia, and is currently comprised of</w:t>
            </w:r>
          </w:p>
        </w:tc>
        <w:tc>
          <w:tcPr>
            <w:tcW w:w="40" w:type="dxa"/>
            <w:vAlign w:val="bottom"/>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147"/>
        </w:trPr>
        <w:tc>
          <w:tcPr>
            <w:tcW w:w="12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520" w:type="dxa"/>
            <w:vAlign w:val="bottom"/>
          </w:tcPr>
          <w:p>
            <w:pPr>
              <w:ind w:left="160"/>
              <w:spacing w:after="0"/>
              <w:rPr>
                <w:sz w:val="20"/>
                <w:szCs w:val="20"/>
                <w:color w:val="auto"/>
              </w:rPr>
            </w:pPr>
            <w:r>
              <w:rPr>
                <w:rFonts w:ascii="Arial" w:cs="Arial" w:eastAsia="Arial" w:hAnsi="Arial"/>
                <w:sz w:val="12"/>
                <w:szCs w:val="12"/>
                <w:color w:val="auto"/>
              </w:rPr>
              <w:t>103,000 square feet of land and 15,000 square feet of net rentable area.</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38"/>
        </w:trPr>
        <w:tc>
          <w:tcPr>
            <w:tcW w:w="1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520" w:type="dxa"/>
            <w:vAlign w:val="bottom"/>
          </w:tcPr>
          <w:p>
            <w:pPr>
              <w:ind w:left="160"/>
              <w:spacing w:after="0"/>
              <w:rPr>
                <w:sz w:val="20"/>
                <w:szCs w:val="20"/>
                <w:color w:val="auto"/>
              </w:rPr>
            </w:pPr>
            <w:r>
              <w:rPr>
                <w:rFonts w:ascii="Arial" w:cs="Arial" w:eastAsia="Arial" w:hAnsi="Arial"/>
                <w:sz w:val="12"/>
                <w:szCs w:val="12"/>
                <w:color w:val="auto"/>
              </w:rPr>
              <w:t>As of December 31, 2021, the lease occupancy rate for this property was 94%.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02"/>
        </w:trPr>
        <w:tc>
          <w:tcPr>
            <w:tcW w:w="12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1209040</wp:posOffset>
            </wp:positionH>
            <wp:positionV relativeFrom="paragraph">
              <wp:posOffset>-3613150</wp:posOffset>
            </wp:positionV>
            <wp:extent cx="1012190" cy="309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2190" cy="309880"/>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-3028315</wp:posOffset>
            </wp:positionV>
            <wp:extent cx="750570" cy="7092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50570" cy="709295"/>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-1802765</wp:posOffset>
            </wp:positionV>
            <wp:extent cx="1177290" cy="392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77290" cy="392430"/>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-983615</wp:posOffset>
            </wp:positionV>
            <wp:extent cx="1136015" cy="295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36015" cy="29591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-508635</wp:posOffset>
            </wp:positionV>
            <wp:extent cx="887730" cy="426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7730" cy="42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4"/>
        </w:trPr>
        <w:tc>
          <w:tcPr>
            <w:tcW w:w="1640" w:type="dxa"/>
            <w:vAlign w:val="bottom"/>
            <w:tcBorders>
              <w:top w:val="single" w:sz="8" w:color="auto"/>
              <w:bottom w:val="single" w:sz="8" w:color="auto"/>
            </w:tcBorders>
          </w:tcPr>
          <w:p>
            <w:pPr>
              <w:jc w:val="center"/>
              <w:ind w:right="362"/>
              <w:spacing w:after="0"/>
              <w:rPr>
                <w:sz w:val="20"/>
                <w:szCs w:val="20"/>
                <w:color w:val="auto"/>
              </w:rPr>
            </w:pPr>
            <w:r>
              <w:rPr>
                <w:rFonts w:ascii="Arial" w:cs="Arial" w:eastAsia="Arial" w:hAnsi="Arial"/>
                <w:sz w:val="12"/>
                <w:szCs w:val="12"/>
                <w:b w:val="1"/>
                <w:bCs w:val="1"/>
                <w:color w:val="auto"/>
                <w:w w:val="83"/>
              </w:rPr>
              <w:t>Business Segment / Unit</w:t>
            </w:r>
          </w:p>
        </w:tc>
        <w:tc>
          <w:tcPr>
            <w:tcW w:w="22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2"/>
                <w:szCs w:val="12"/>
                <w:b w:val="1"/>
                <w:bCs w:val="1"/>
                <w:color w:val="auto"/>
              </w:rPr>
              <w:t>Our Commercial Brands</w:t>
            </w:r>
          </w:p>
        </w:tc>
        <w:tc>
          <w:tcPr>
            <w:tcW w:w="1380" w:type="dxa"/>
            <w:vAlign w:val="bottom"/>
            <w:tcBorders>
              <w:top w:val="single" w:sz="8" w:color="auto"/>
              <w:bottom w:val="single" w:sz="8" w:color="auto"/>
            </w:tcBorders>
          </w:tcPr>
          <w:p>
            <w:pPr>
              <w:jc w:val="center"/>
              <w:ind w:left="384"/>
              <w:spacing w:after="0"/>
              <w:rPr>
                <w:sz w:val="20"/>
                <w:szCs w:val="20"/>
                <w:color w:val="auto"/>
              </w:rPr>
            </w:pPr>
            <w:r>
              <w:rPr>
                <w:rFonts w:ascii="Arial" w:cs="Arial" w:eastAsia="Arial" w:hAnsi="Arial"/>
                <w:sz w:val="12"/>
                <w:szCs w:val="12"/>
                <w:b w:val="1"/>
                <w:bCs w:val="1"/>
                <w:color w:val="auto"/>
                <w:w w:val="91"/>
              </w:rPr>
              <w:t>Country</w:t>
            </w:r>
          </w:p>
        </w:tc>
        <w:tc>
          <w:tcPr>
            <w:tcW w:w="4400" w:type="dxa"/>
            <w:vAlign w:val="bottom"/>
            <w:tcBorders>
              <w:top w:val="single" w:sz="8" w:color="auto"/>
              <w:bottom w:val="single" w:sz="8" w:color="auto"/>
            </w:tcBorders>
          </w:tcPr>
          <w:p>
            <w:pPr>
              <w:ind w:left="1880"/>
              <w:spacing w:after="0"/>
              <w:rPr>
                <w:sz w:val="20"/>
                <w:szCs w:val="20"/>
                <w:color w:val="auto"/>
              </w:rPr>
            </w:pPr>
            <w:r>
              <w:rPr>
                <w:rFonts w:ascii="Arial" w:cs="Arial" w:eastAsia="Arial" w:hAnsi="Arial"/>
                <w:sz w:val="12"/>
                <w:szCs w:val="12"/>
                <w:b w:val="1"/>
                <w:bCs w:val="1"/>
                <w:color w:val="auto"/>
              </w:rPr>
              <w:t>Description</w:t>
            </w:r>
          </w:p>
        </w:tc>
        <w:tc>
          <w:tcPr>
            <w:tcW w:w="2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gridSpan w:val="3"/>
          </w:tcPr>
          <w:p>
            <w:pPr>
              <w:jc w:val="center"/>
              <w:ind w:right="520"/>
              <w:spacing w:after="0"/>
              <w:rPr>
                <w:sz w:val="20"/>
                <w:szCs w:val="20"/>
                <w:color w:val="auto"/>
              </w:rPr>
            </w:pPr>
            <w:r>
              <w:rPr>
                <w:rFonts w:ascii="Arial" w:cs="Arial" w:eastAsia="Arial" w:hAnsi="Arial"/>
                <w:sz w:val="12"/>
                <w:szCs w:val="12"/>
                <w:b w:val="1"/>
                <w:bCs w:val="1"/>
                <w:color w:val="auto"/>
                <w:w w:val="89"/>
              </w:rPr>
              <w:t>Website Link</w:t>
            </w: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380" w:type="dxa"/>
            <w:vAlign w:val="bottom"/>
          </w:tcPr>
          <w:p>
            <w:pPr>
              <w:jc w:val="center"/>
              <w:ind w:left="384"/>
              <w:spacing w:after="0" w:line="109" w:lineRule="exact"/>
              <w:rPr>
                <w:sz w:val="20"/>
                <w:szCs w:val="20"/>
                <w:color w:val="auto"/>
              </w:rPr>
            </w:pPr>
            <w:r>
              <w:rPr>
                <w:rFonts w:ascii="Arial" w:cs="Arial" w:eastAsia="Arial" w:hAnsi="Arial"/>
                <w:sz w:val="12"/>
                <w:szCs w:val="12"/>
                <w:color w:val="auto"/>
                <w:w w:val="87"/>
              </w:rPr>
              <w:t>New Zealand</w:t>
            </w:r>
          </w:p>
        </w:tc>
        <w:tc>
          <w:tcPr>
            <w:tcW w:w="4400" w:type="dxa"/>
            <w:vAlign w:val="bottom"/>
          </w:tcPr>
          <w:p>
            <w:pPr>
              <w:ind w:left="160"/>
              <w:spacing w:after="0" w:line="109" w:lineRule="exact"/>
              <w:rPr>
                <w:sz w:val="20"/>
                <w:szCs w:val="20"/>
                <w:color w:val="auto"/>
              </w:rPr>
            </w:pPr>
            <w:r>
              <w:rPr>
                <w:rFonts w:ascii="Arial" w:cs="Arial" w:eastAsia="Arial" w:hAnsi="Arial"/>
                <w:sz w:val="12"/>
                <w:szCs w:val="12"/>
                <w:color w:val="auto"/>
              </w:rPr>
              <w:t>Located in the heart of Wellington – New Zealand’s capital city – this center is</w:t>
            </w:r>
          </w:p>
        </w:tc>
        <w:tc>
          <w:tcPr>
            <w:tcW w:w="1600" w:type="dxa"/>
            <w:vAlign w:val="bottom"/>
            <w:gridSpan w:val="5"/>
          </w:tcPr>
          <w:p>
            <w:pPr>
              <w:jc w:val="center"/>
              <w:ind w:right="220"/>
              <w:spacing w:after="0" w:line="109" w:lineRule="exact"/>
              <w:rPr>
                <w:sz w:val="20"/>
                <w:szCs w:val="20"/>
                <w:color w:val="auto"/>
              </w:rPr>
            </w:pPr>
            <w:r>
              <w:rPr>
                <w:rFonts w:ascii="Arial" w:cs="Arial" w:eastAsia="Arial" w:hAnsi="Arial"/>
                <w:sz w:val="12"/>
                <w:szCs w:val="12"/>
                <w:color w:val="0000FF"/>
                <w:w w:val="88"/>
              </w:rPr>
              <w:t>Courtenay Central</w:t>
            </w:r>
          </w:p>
        </w:tc>
        <w:tc>
          <w:tcPr>
            <w:tcW w:w="0" w:type="dxa"/>
            <w:vAlign w:val="bottom"/>
          </w:tcPr>
          <w:p>
            <w:pPr>
              <w:spacing w:after="0"/>
              <w:rPr>
                <w:sz w:val="1"/>
                <w:szCs w:val="1"/>
                <w:color w:val="auto"/>
              </w:rPr>
            </w:pPr>
          </w:p>
        </w:tc>
      </w:tr>
      <w:tr>
        <w:trPr>
          <w:trHeight w:val="95"/>
        </w:trPr>
        <w:tc>
          <w:tcPr>
            <w:tcW w:w="16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400" w:type="dxa"/>
            <w:vAlign w:val="bottom"/>
          </w:tcPr>
          <w:p>
            <w:pPr>
              <w:ind w:left="160"/>
              <w:spacing w:after="0" w:line="95" w:lineRule="exact"/>
              <w:rPr>
                <w:sz w:val="20"/>
                <w:szCs w:val="20"/>
                <w:color w:val="auto"/>
              </w:rPr>
            </w:pPr>
            <w:r>
              <w:rPr>
                <w:rFonts w:ascii="Arial" w:cs="Arial" w:eastAsia="Arial" w:hAnsi="Arial"/>
                <w:sz w:val="10"/>
                <w:szCs w:val="10"/>
                <w:color w:val="auto"/>
              </w:rPr>
              <w:t>comprised, on a consolidated basis through various subsidiaries, of 161,000 square</w:t>
            </w:r>
          </w:p>
        </w:tc>
        <w:tc>
          <w:tcPr>
            <w:tcW w:w="260" w:type="dxa"/>
            <w:vAlign w:val="bottom"/>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0" w:type="dxa"/>
            <w:vAlign w:val="bottom"/>
          </w:tcPr>
          <w:p>
            <w:pPr>
              <w:ind w:left="160"/>
              <w:spacing w:after="0" w:line="120" w:lineRule="exact"/>
              <w:rPr>
                <w:sz w:val="20"/>
                <w:szCs w:val="20"/>
                <w:color w:val="auto"/>
              </w:rPr>
            </w:pPr>
            <w:r>
              <w:rPr>
                <w:rFonts w:ascii="Arial" w:cs="Arial" w:eastAsia="Arial" w:hAnsi="Arial"/>
                <w:sz w:val="12"/>
                <w:szCs w:val="12"/>
                <w:color w:val="auto"/>
                <w:w w:val="95"/>
              </w:rPr>
              <w:t>feet of land, including two parking lot parcels totaling 84,184 square feet. Courtenay</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0" w:type="dxa"/>
            <w:vAlign w:val="bottom"/>
          </w:tcPr>
          <w:p>
            <w:pPr>
              <w:ind w:left="160"/>
              <w:spacing w:after="0" w:line="120" w:lineRule="exact"/>
              <w:rPr>
                <w:sz w:val="20"/>
                <w:szCs w:val="20"/>
                <w:color w:val="auto"/>
              </w:rPr>
            </w:pPr>
            <w:r>
              <w:rPr>
                <w:rFonts w:ascii="Arial" w:cs="Arial" w:eastAsia="Arial" w:hAnsi="Arial"/>
                <w:sz w:val="12"/>
                <w:szCs w:val="12"/>
                <w:color w:val="auto"/>
                <w:w w:val="93"/>
              </w:rPr>
              <w:t>Central is situated proximate to the Te Papa Tongarewa Museum (attracting over 1.5</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0" w:type="dxa"/>
            <w:vAlign w:val="bottom"/>
          </w:tcPr>
          <w:p>
            <w:pPr>
              <w:ind w:left="160"/>
              <w:spacing w:after="0" w:line="120" w:lineRule="exact"/>
              <w:rPr>
                <w:sz w:val="20"/>
                <w:szCs w:val="20"/>
                <w:color w:val="auto"/>
              </w:rPr>
            </w:pPr>
            <w:r>
              <w:rPr>
                <w:rFonts w:ascii="Arial" w:cs="Arial" w:eastAsia="Arial" w:hAnsi="Arial"/>
                <w:sz w:val="12"/>
                <w:szCs w:val="12"/>
                <w:color w:val="auto"/>
              </w:rPr>
              <w:t>million visitors annually, pre-COVID), across the street from the site of the new</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0" w:type="dxa"/>
            <w:vAlign w:val="bottom"/>
          </w:tcPr>
          <w:p>
            <w:pPr>
              <w:ind w:left="160"/>
              <w:spacing w:after="0" w:line="120" w:lineRule="exact"/>
              <w:rPr>
                <w:sz w:val="20"/>
                <w:szCs w:val="20"/>
                <w:color w:val="auto"/>
              </w:rPr>
            </w:pPr>
            <w:r>
              <w:rPr>
                <w:rFonts w:ascii="Arial" w:cs="Arial" w:eastAsia="Arial" w:hAnsi="Arial"/>
                <w:sz w:val="12"/>
                <w:szCs w:val="12"/>
                <w:color w:val="auto"/>
              </w:rPr>
              <w:t>convention center being constructed to handle the demand for such space in</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0" w:type="dxa"/>
            <w:vAlign w:val="bottom"/>
          </w:tcPr>
          <w:p>
            <w:pPr>
              <w:ind w:left="160"/>
              <w:spacing w:after="0" w:line="120" w:lineRule="exact"/>
              <w:rPr>
                <w:sz w:val="20"/>
                <w:szCs w:val="20"/>
                <w:color w:val="auto"/>
              </w:rPr>
            </w:pPr>
            <w:r>
              <w:rPr>
                <w:rFonts w:ascii="Arial" w:cs="Arial" w:eastAsia="Arial" w:hAnsi="Arial"/>
                <w:sz w:val="12"/>
                <w:szCs w:val="12"/>
                <w:color w:val="auto"/>
                <w:w w:val="97"/>
              </w:rPr>
              <w:t>Wellington (estimated to open its doors in 2023) and at a major public transit hub.</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0" w:type="dxa"/>
            <w:vAlign w:val="bottom"/>
          </w:tcPr>
          <w:p>
            <w:pPr>
              <w:ind w:left="160"/>
              <w:spacing w:after="0" w:line="120" w:lineRule="exact"/>
              <w:rPr>
                <w:sz w:val="20"/>
                <w:szCs w:val="20"/>
                <w:color w:val="auto"/>
              </w:rPr>
            </w:pPr>
            <w:r>
              <w:rPr>
                <w:rFonts w:ascii="Arial" w:cs="Arial" w:eastAsia="Arial" w:hAnsi="Arial"/>
                <w:sz w:val="12"/>
                <w:szCs w:val="12"/>
                <w:color w:val="auto"/>
                <w:w w:val="94"/>
              </w:rPr>
              <w:t>Damage from the 2016 earthquake necessitated demolition of our nine-story parking</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0" w:type="dxa"/>
            <w:vAlign w:val="bottom"/>
          </w:tcPr>
          <w:p>
            <w:pPr>
              <w:ind w:left="160"/>
              <w:spacing w:after="0" w:line="120" w:lineRule="exact"/>
              <w:rPr>
                <w:sz w:val="20"/>
                <w:szCs w:val="20"/>
                <w:color w:val="auto"/>
              </w:rPr>
            </w:pPr>
            <w:r>
              <w:rPr>
                <w:rFonts w:ascii="Arial" w:cs="Arial" w:eastAsia="Arial" w:hAnsi="Arial"/>
                <w:sz w:val="12"/>
                <w:szCs w:val="12"/>
                <w:color w:val="auto"/>
                <w:w w:val="91"/>
              </w:rPr>
              <w:t>garage at the site. In January 2019, unrelated seismic issues caused us to close major</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0" w:type="dxa"/>
            <w:vAlign w:val="bottom"/>
          </w:tcPr>
          <w:p>
            <w:pPr>
              <w:ind w:left="160"/>
              <w:spacing w:after="0" w:line="120" w:lineRule="exact"/>
              <w:rPr>
                <w:sz w:val="20"/>
                <w:szCs w:val="20"/>
                <w:color w:val="auto"/>
              </w:rPr>
            </w:pPr>
            <w:r>
              <w:rPr>
                <w:rFonts w:ascii="Arial" w:cs="Arial" w:eastAsia="Arial" w:hAnsi="Arial"/>
                <w:sz w:val="12"/>
                <w:szCs w:val="12"/>
                <w:color w:val="auto"/>
                <w:w w:val="94"/>
              </w:rPr>
              <w:t>portions of the existing cinema and retail structure while we reevaluate the center for</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0" w:type="dxa"/>
            <w:vAlign w:val="bottom"/>
          </w:tcPr>
          <w:p>
            <w:pPr>
              <w:ind w:left="160"/>
              <w:spacing w:after="0" w:line="120" w:lineRule="exact"/>
              <w:rPr>
                <w:sz w:val="20"/>
                <w:szCs w:val="20"/>
                <w:color w:val="auto"/>
              </w:rPr>
            </w:pPr>
            <w:r>
              <w:rPr>
                <w:rFonts w:ascii="Arial" w:cs="Arial" w:eastAsia="Arial" w:hAnsi="Arial"/>
                <w:sz w:val="12"/>
                <w:szCs w:val="12"/>
                <w:color w:val="auto"/>
                <w:w w:val="98"/>
              </w:rPr>
              <w:t>future redevelopment as an entertainment themed urban center with potentially a</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0" w:type="dxa"/>
            <w:vAlign w:val="bottom"/>
          </w:tcPr>
          <w:p>
            <w:pPr>
              <w:ind w:left="160"/>
              <w:spacing w:after="0"/>
              <w:rPr>
                <w:sz w:val="20"/>
                <w:szCs w:val="20"/>
                <w:color w:val="auto"/>
              </w:rPr>
            </w:pPr>
            <w:r>
              <w:rPr>
                <w:rFonts w:ascii="Arial" w:cs="Arial" w:eastAsia="Arial" w:hAnsi="Arial"/>
                <w:sz w:val="12"/>
                <w:szCs w:val="12"/>
                <w:color w:val="auto"/>
              </w:rPr>
              <w:t>major food and grocery component.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6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2"/>
                <w:szCs w:val="12"/>
                <w:color w:val="auto"/>
                <w:w w:val="94"/>
              </w:rPr>
              <w:t>Wellington continues to be rated as one of the top cities in the world in which to live,</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0" w:type="dxa"/>
            <w:vAlign w:val="bottom"/>
          </w:tcPr>
          <w:p>
            <w:pPr>
              <w:ind w:left="160"/>
              <w:spacing w:after="0" w:line="120" w:lineRule="exact"/>
              <w:rPr>
                <w:sz w:val="20"/>
                <w:szCs w:val="20"/>
                <w:color w:val="auto"/>
              </w:rPr>
            </w:pPr>
            <w:r>
              <w:rPr>
                <w:rFonts w:ascii="Arial" w:cs="Arial" w:eastAsia="Arial" w:hAnsi="Arial"/>
                <w:sz w:val="12"/>
                <w:szCs w:val="12"/>
                <w:color w:val="auto"/>
                <w:w w:val="92"/>
              </w:rPr>
              <w:t>and we continue to believe that our assets in Wellington are located in one of the most</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0" w:type="dxa"/>
            <w:vAlign w:val="bottom"/>
          </w:tcPr>
          <w:p>
            <w:pPr>
              <w:ind w:left="160"/>
              <w:spacing w:after="0"/>
              <w:rPr>
                <w:sz w:val="20"/>
                <w:szCs w:val="20"/>
                <w:color w:val="auto"/>
              </w:rPr>
            </w:pPr>
            <w:r>
              <w:rPr>
                <w:rFonts w:ascii="Arial" w:cs="Arial" w:eastAsia="Arial" w:hAnsi="Arial"/>
                <w:sz w:val="12"/>
                <w:szCs w:val="12"/>
                <w:color w:val="auto"/>
              </w:rPr>
              <w:t>vibrant areas of New Zealand.</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64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44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6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380" w:type="dxa"/>
            <w:vAlign w:val="bottom"/>
          </w:tcPr>
          <w:p>
            <w:pPr>
              <w:jc w:val="center"/>
              <w:ind w:left="384"/>
              <w:spacing w:after="0" w:line="100" w:lineRule="exact"/>
              <w:rPr>
                <w:sz w:val="20"/>
                <w:szCs w:val="20"/>
                <w:color w:val="auto"/>
              </w:rPr>
            </w:pPr>
            <w:r>
              <w:rPr>
                <w:rFonts w:ascii="Arial" w:cs="Arial" w:eastAsia="Arial" w:hAnsi="Arial"/>
                <w:sz w:val="10"/>
                <w:szCs w:val="10"/>
                <w:color w:val="auto"/>
              </w:rPr>
              <w:t>United States</w:t>
            </w:r>
          </w:p>
        </w:tc>
        <w:tc>
          <w:tcPr>
            <w:tcW w:w="4400" w:type="dxa"/>
            <w:vAlign w:val="bottom"/>
          </w:tcPr>
          <w:p>
            <w:pPr>
              <w:ind w:left="160"/>
              <w:spacing w:after="0" w:line="100" w:lineRule="exact"/>
              <w:rPr>
                <w:sz w:val="20"/>
                <w:szCs w:val="20"/>
                <w:color w:val="auto"/>
              </w:rPr>
            </w:pPr>
            <w:r>
              <w:rPr>
                <w:rFonts w:ascii="Arial" w:cs="Arial" w:eastAsia="Arial" w:hAnsi="Arial"/>
                <w:sz w:val="10"/>
                <w:szCs w:val="10"/>
                <w:color w:val="auto"/>
              </w:rPr>
              <w:t xml:space="preserve">We operate two off-Broadway live theatres in Manhattan under the </w:t>
            </w:r>
            <w:r>
              <w:rPr>
                <w:rFonts w:ascii="Arial" w:cs="Arial" w:eastAsia="Arial" w:hAnsi="Arial"/>
                <w:sz w:val="10"/>
                <w:szCs w:val="10"/>
                <w:b w:val="1"/>
                <w:bCs w:val="1"/>
                <w:color w:val="auto"/>
              </w:rPr>
              <w:t>Liberty Theatres</w:t>
            </w: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00" w:type="dxa"/>
            <w:vAlign w:val="bottom"/>
            <w:gridSpan w:val="3"/>
          </w:tcPr>
          <w:p>
            <w:pPr>
              <w:jc w:val="center"/>
              <w:ind w:right="520"/>
              <w:spacing w:after="0" w:line="100" w:lineRule="exact"/>
              <w:rPr>
                <w:sz w:val="20"/>
                <w:szCs w:val="20"/>
                <w:color w:val="auto"/>
              </w:rPr>
            </w:pPr>
            <w:r>
              <w:rPr>
                <w:rFonts w:ascii="Arial" w:cs="Arial" w:eastAsia="Arial" w:hAnsi="Arial"/>
                <w:sz w:val="10"/>
                <w:szCs w:val="10"/>
                <w:color w:val="0000FF"/>
              </w:rPr>
              <w:t>Liberty Theatres</w:t>
            </w:r>
          </w:p>
        </w:tc>
        <w:tc>
          <w:tcPr>
            <w:tcW w:w="0" w:type="dxa"/>
            <w:vAlign w:val="bottom"/>
          </w:tcPr>
          <w:p>
            <w:pPr>
              <w:spacing w:after="0"/>
              <w:rPr>
                <w:sz w:val="1"/>
                <w:szCs w:val="1"/>
                <w:color w:val="auto"/>
              </w:rPr>
            </w:pPr>
          </w:p>
        </w:tc>
      </w:tr>
      <w:tr>
        <w:trPr>
          <w:trHeight w:val="95"/>
        </w:trPr>
        <w:tc>
          <w:tcPr>
            <w:tcW w:w="1640" w:type="dxa"/>
            <w:vAlign w:val="bottom"/>
            <w:vMerge w:val="restart"/>
          </w:tcPr>
          <w:p>
            <w:pPr>
              <w:jc w:val="center"/>
              <w:ind w:right="342"/>
              <w:spacing w:after="0"/>
              <w:rPr>
                <w:sz w:val="20"/>
                <w:szCs w:val="20"/>
                <w:color w:val="auto"/>
              </w:rPr>
            </w:pPr>
            <w:r>
              <w:rPr>
                <w:rFonts w:ascii="Arial" w:cs="Arial" w:eastAsia="Arial" w:hAnsi="Arial"/>
                <w:sz w:val="12"/>
                <w:szCs w:val="12"/>
                <w:color w:val="auto"/>
                <w:w w:val="89"/>
              </w:rPr>
              <w:t>Live Theatre</w:t>
            </w:r>
          </w:p>
        </w:tc>
        <w:tc>
          <w:tcPr>
            <w:tcW w:w="2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400" w:type="dxa"/>
            <w:vAlign w:val="bottom"/>
          </w:tcPr>
          <w:p>
            <w:pPr>
              <w:ind w:left="160"/>
              <w:spacing w:after="0" w:line="95" w:lineRule="exact"/>
              <w:rPr>
                <w:sz w:val="20"/>
                <w:szCs w:val="20"/>
                <w:color w:val="auto"/>
              </w:rPr>
            </w:pPr>
            <w:r>
              <w:rPr>
                <w:rFonts w:ascii="Arial" w:cs="Arial" w:eastAsia="Arial" w:hAnsi="Arial"/>
                <w:sz w:val="10"/>
                <w:szCs w:val="10"/>
                <w:color w:val="auto"/>
              </w:rPr>
              <w:t>tradename. In 2018, we entered a license with Audible, a subsidiary of Amazon,</w:t>
            </w: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64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400" w:type="dxa"/>
            <w:vAlign w:val="bottom"/>
            <w:vMerge w:val="restart"/>
          </w:tcPr>
          <w:p>
            <w:pPr>
              <w:ind w:left="160"/>
              <w:spacing w:after="0" w:line="120" w:lineRule="exact"/>
              <w:rPr>
                <w:sz w:val="20"/>
                <w:szCs w:val="20"/>
                <w:color w:val="auto"/>
              </w:rPr>
            </w:pPr>
            <w:r>
              <w:rPr>
                <w:rFonts w:ascii="Arial" w:cs="Arial" w:eastAsia="Arial" w:hAnsi="Arial"/>
                <w:sz w:val="12"/>
                <w:szCs w:val="12"/>
                <w:color w:val="auto"/>
                <w:w w:val="94"/>
              </w:rPr>
              <w:t>pursuant to which our Minetta Lane Theatre serves as Audible’s live theatre home in</w:t>
            </w: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16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4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164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4400" w:type="dxa"/>
            <w:vAlign w:val="bottom"/>
            <w:tcBorders>
              <w:bottom w:val="single" w:sz="8" w:color="auto"/>
            </w:tcBorders>
          </w:tcPr>
          <w:p>
            <w:pPr>
              <w:ind w:left="160"/>
              <w:spacing w:after="0" w:line="135" w:lineRule="exact"/>
              <w:rPr>
                <w:sz w:val="20"/>
                <w:szCs w:val="20"/>
                <w:color w:val="auto"/>
              </w:rPr>
            </w:pPr>
            <w:r>
              <w:rPr>
                <w:rFonts w:ascii="Arial" w:cs="Arial" w:eastAsia="Arial" w:hAnsi="Arial"/>
                <w:sz w:val="12"/>
                <w:szCs w:val="12"/>
                <w:color w:val="auto"/>
              </w:rPr>
              <w:t>New York City.</w:t>
            </w:r>
          </w:p>
        </w:tc>
        <w:tc>
          <w:tcPr>
            <w:tcW w:w="2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1174750</wp:posOffset>
            </wp:positionH>
            <wp:positionV relativeFrom="paragraph">
              <wp:posOffset>-1169670</wp:posOffset>
            </wp:positionV>
            <wp:extent cx="1080770" cy="419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80770" cy="419735"/>
                    </a:xfrm>
                    <a:prstGeom prst="rect">
                      <a:avLst/>
                    </a:prstGeom>
                    <a:noFill/>
                  </pic:spPr>
                </pic:pic>
              </a:graphicData>
            </a:graphic>
          </wp:anchor>
        </w:drawing>
        <w:drawing>
          <wp:anchor simplePos="0" relativeHeight="251657728" behindDoc="1" locked="0" layoutInCell="0" allowOverlap="1">
            <wp:simplePos x="0" y="0"/>
            <wp:positionH relativeFrom="column">
              <wp:posOffset>1209040</wp:posOffset>
            </wp:positionH>
            <wp:positionV relativeFrom="paragraph">
              <wp:posOffset>-288290</wp:posOffset>
            </wp:positionV>
            <wp:extent cx="1012190" cy="261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12190" cy="261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60"/>
        <w:spacing w:after="0" w:line="235" w:lineRule="auto"/>
        <w:rPr>
          <w:sz w:val="20"/>
          <w:szCs w:val="20"/>
          <w:color w:val="auto"/>
        </w:rPr>
      </w:pPr>
      <w:r>
        <w:rPr>
          <w:rFonts w:ascii="Arial" w:cs="Arial" w:eastAsia="Arial" w:hAnsi="Arial"/>
          <w:sz w:val="14"/>
          <w:szCs w:val="14"/>
          <w:color w:val="auto"/>
        </w:rPr>
        <w:t>We synergistically bring together cinema-based entertainment and real estate and believe that these two business segments complement one another, as our cinemas have historically provided the steady cash flows that allow us to be opportunistic in acquiring and holding long-term real estate assets (including non-income producing land) and support our real estate development activities. Our real estate allows us to develop an asset base that we believe will stand the test of time and one that can provide financial leverage and, if needed, during times such as the current pandemic, a funding source to reduce dependence on debt and meet operating costs. More specifically, the combination of these two segments provides a variety of business advantages including the following:</w:t>
      </w:r>
    </w:p>
    <w:p>
      <w:pPr>
        <w:spacing w:after="0" w:line="47" w:lineRule="exact"/>
        <w:rPr>
          <w:sz w:val="20"/>
          <w:szCs w:val="20"/>
          <w:color w:val="auto"/>
        </w:rPr>
      </w:pPr>
    </w:p>
    <w:p>
      <w:pPr>
        <w:ind w:left="520" w:right="140"/>
        <w:spacing w:after="0" w:line="242" w:lineRule="auto"/>
        <w:rPr>
          <w:sz w:val="20"/>
          <w:szCs w:val="20"/>
          <w:color w:val="auto"/>
        </w:rPr>
      </w:pPr>
      <w:r>
        <w:rPr>
          <w:rFonts w:ascii="Arial" w:cs="Arial" w:eastAsia="Arial" w:hAnsi="Arial"/>
          <w:sz w:val="14"/>
          <w:szCs w:val="14"/>
          <w:i w:val="1"/>
          <w:iCs w:val="1"/>
          <w:color w:val="auto"/>
        </w:rPr>
        <w:t>Diversification of our Risk Profile and Enhanced Flexibility in meeting our Cash Needs</w:t>
      </w:r>
      <w:r>
        <w:rPr>
          <w:rFonts w:ascii="Arial" w:cs="Arial" w:eastAsia="Arial" w:hAnsi="Arial"/>
          <w:sz w:val="14"/>
          <w:szCs w:val="14"/>
          <w:color w:val="auto"/>
        </w:rPr>
        <w:t>. We believe that our real estate base provides us with the flexibility to raise additional liquidity</w:t>
      </w:r>
      <w:r>
        <w:rPr>
          <w:rFonts w:ascii="Arial" w:cs="Arial" w:eastAsia="Arial" w:hAnsi="Arial"/>
          <w:sz w:val="14"/>
          <w:szCs w:val="14"/>
          <w:i w:val="1"/>
          <w:iCs w:val="1"/>
          <w:color w:val="auto"/>
        </w:rPr>
        <w:t xml:space="preserve"> </w:t>
      </w:r>
      <w:r>
        <w:rPr>
          <w:rFonts w:ascii="Arial" w:cs="Arial" w:eastAsia="Arial" w:hAnsi="Arial"/>
          <w:sz w:val="14"/>
          <w:szCs w:val="14"/>
          <w:color w:val="auto"/>
        </w:rPr>
        <w:t>through one, or a combination of mortgage-based borrowing, sale and leaseback transactions and/or sale. Real-estate backed loans typically allow higher leverage of cash flows than operating loans secured by cinema assets, and the underlying assets themselves provide us a more ready source of liquidity through sale than traditional cinema assets. Strategic asset monetization has formed a key part of our COVID-19 response strategy</w:t>
      </w:r>
      <w:r>
        <w:rPr>
          <w:rFonts w:ascii="Arial" w:cs="Arial" w:eastAsia="Arial" w:hAnsi="Arial"/>
          <w:sz w:val="14"/>
          <w:szCs w:val="14"/>
          <w:i w:val="1"/>
          <w:iCs w:val="1"/>
          <w:color w:val="auto"/>
        </w:rPr>
        <w:t>.</w:t>
      </w:r>
    </w:p>
    <w:p>
      <w:pPr>
        <w:spacing w:after="0" w:line="34" w:lineRule="exact"/>
        <w:rPr>
          <w:sz w:val="20"/>
          <w:szCs w:val="20"/>
          <w:color w:val="auto"/>
        </w:rPr>
      </w:pPr>
    </w:p>
    <w:p>
      <w:pPr>
        <w:jc w:val="both"/>
        <w:ind w:left="520"/>
        <w:spacing w:after="0" w:line="253" w:lineRule="auto"/>
        <w:rPr>
          <w:sz w:val="20"/>
          <w:szCs w:val="20"/>
          <w:color w:val="auto"/>
        </w:rPr>
      </w:pPr>
      <w:r>
        <w:rPr>
          <w:rFonts w:ascii="Arial" w:cs="Arial" w:eastAsia="Arial" w:hAnsi="Arial"/>
          <w:sz w:val="13"/>
          <w:szCs w:val="13"/>
          <w:i w:val="1"/>
          <w:iCs w:val="1"/>
          <w:color w:val="auto"/>
        </w:rPr>
        <w:t>Reduced Pressure to Deliver Cinema Business Growth; to Grow for Growth’s Sake</w:t>
      </w:r>
      <w:r>
        <w:rPr>
          <w:rFonts w:ascii="Arial" w:cs="Arial" w:eastAsia="Arial" w:hAnsi="Arial"/>
          <w:sz w:val="13"/>
          <w:szCs w:val="13"/>
          <w:color w:val="auto"/>
        </w:rPr>
        <w:t>. Pure cinema operators can encounter financial difficulty as demands upon them to produce cinema-based earnings growth tempt them into reinvesting their cash flow into increasingly marginal cinema sites, overpaying for existing cinemas or entering into high-rent leases. While we believe that attractive opportunities to acquire cinema assets and/or to develop high-end specialty type theaters in the future will continue to exist, we do not feel pressure to build or acquire cinemas for the sake of adding units or building gross cinema revenues. This strategy has, over the years, allowed us to acquire cinemas at multiples of trailing theater cash flow below those paid by third parties. We intend to focus our use of cash flow on our real estate development and operating activities, to the extent that attractive cinema opportunities are not available to us or that such funds are not needed for reinvestment to maintain our cinemas in a competitive position. In 2021, we invested approximately $9.6 million in the upgrading and repositioning of our historic cinema assets or adding new cinemas, and approximately $4.2 million in the acquisition or development of our non-cinema real estate assets. The impact of the COVID-19 pandemic on our business has postponed or reprioritized most of our capital expenditures based on assessments of conditions and liquidity requirements.</w:t>
      </w:r>
    </w:p>
    <w:p>
      <w:pPr>
        <w:spacing w:after="0" w:line="40" w:lineRule="exact"/>
        <w:rPr>
          <w:sz w:val="20"/>
          <w:szCs w:val="20"/>
          <w:color w:val="auto"/>
        </w:rPr>
      </w:pPr>
    </w:p>
    <w:p>
      <w:pPr>
        <w:ind w:left="520" w:right="60"/>
        <w:spacing w:after="0" w:line="234" w:lineRule="auto"/>
        <w:rPr>
          <w:sz w:val="20"/>
          <w:szCs w:val="20"/>
          <w:color w:val="auto"/>
        </w:rPr>
      </w:pPr>
      <w:r>
        <w:rPr>
          <w:rFonts w:ascii="Arial" w:cs="Arial" w:eastAsia="Arial" w:hAnsi="Arial"/>
          <w:sz w:val="14"/>
          <w:szCs w:val="14"/>
          <w:i w:val="1"/>
          <w:iCs w:val="1"/>
          <w:color w:val="auto"/>
        </w:rPr>
        <w:t>Enhanced Control over our own Destiny</w:t>
      </w:r>
      <w:r>
        <w:rPr>
          <w:rFonts w:ascii="Arial" w:cs="Arial" w:eastAsia="Arial" w:hAnsi="Arial"/>
          <w:sz w:val="14"/>
          <w:szCs w:val="14"/>
          <w:color w:val="auto"/>
        </w:rPr>
        <w:t>. Some exhibitors are finding their cinemas stranded in dead or dying centers. In our entertainment-themed centers, or “ETCs”, we are better</w:t>
      </w:r>
      <w:r>
        <w:rPr>
          <w:rFonts w:ascii="Arial" w:cs="Arial" w:eastAsia="Arial" w:hAnsi="Arial"/>
          <w:sz w:val="14"/>
          <w:szCs w:val="14"/>
          <w:i w:val="1"/>
          <w:iCs w:val="1"/>
          <w:color w:val="auto"/>
        </w:rPr>
        <w:t xml:space="preserve"> </w:t>
      </w:r>
      <w:r>
        <w:rPr>
          <w:rFonts w:ascii="Arial" w:cs="Arial" w:eastAsia="Arial" w:hAnsi="Arial"/>
          <w:sz w:val="14"/>
          <w:szCs w:val="14"/>
          <w:color w:val="auto"/>
        </w:rPr>
        <w:t>able as exhibitors to control this risk and, as landlords, to realize the benefits of the synergies between entertainment and retail. In our ETCs, we have focused on creating and developing a mix of lifestyle tenancies that, we believe, are less vulnerable to the “Amazon Effect” being felt by traditional centers and that benefit from the foot traffic generated by our cinemas.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7" w:name="page8"/>
    <w:bookmarkEnd w:id="7"/>
    <w:p>
      <w:pPr>
        <w:ind w:left="520" w:right="20"/>
        <w:spacing w:after="0" w:line="250" w:lineRule="auto"/>
        <w:rPr>
          <w:sz w:val="20"/>
          <w:szCs w:val="20"/>
          <w:color w:val="auto"/>
        </w:rPr>
      </w:pPr>
      <w:r>
        <w:rPr>
          <w:rFonts w:ascii="Arial" w:cs="Arial" w:eastAsia="Arial" w:hAnsi="Arial"/>
          <w:sz w:val="14"/>
          <w:szCs w:val="14"/>
          <w:i w:val="1"/>
          <w:iCs w:val="1"/>
          <w:color w:val="auto"/>
        </w:rPr>
        <w:t>The Certainty of Cinema Anchor Tenancies</w:t>
      </w:r>
      <w:r>
        <w:rPr>
          <w:rFonts w:ascii="Arial" w:cs="Arial" w:eastAsia="Arial" w:hAnsi="Arial"/>
          <w:sz w:val="14"/>
          <w:szCs w:val="14"/>
          <w:color w:val="auto"/>
        </w:rPr>
        <w:t>. Cinemas can be used as anchors for larger retail developments such as our ETCs, and our involvement in the cinema business can give us an</w:t>
      </w:r>
      <w:r>
        <w:rPr>
          <w:rFonts w:ascii="Arial" w:cs="Arial" w:eastAsia="Arial" w:hAnsi="Arial"/>
          <w:sz w:val="14"/>
          <w:szCs w:val="14"/>
          <w:i w:val="1"/>
          <w:iCs w:val="1"/>
          <w:color w:val="auto"/>
        </w:rPr>
        <w:t xml:space="preserve"> </w:t>
      </w:r>
      <w:r>
        <w:rPr>
          <w:rFonts w:ascii="Arial" w:cs="Arial" w:eastAsia="Arial" w:hAnsi="Arial"/>
          <w:sz w:val="14"/>
          <w:szCs w:val="14"/>
          <w:color w:val="auto"/>
        </w:rPr>
        <w:t>advantage over other real estate developers or redevelopers who must identify and negotiate with third-party anchor tenants. We have used cinemas to create our own tenant-anchors at our four ETCs.</w:t>
      </w:r>
    </w:p>
    <w:p>
      <w:pPr>
        <w:spacing w:after="0" w:line="28" w:lineRule="exact"/>
        <w:rPr>
          <w:sz w:val="20"/>
          <w:szCs w:val="20"/>
          <w:color w:val="auto"/>
        </w:rPr>
      </w:pPr>
    </w:p>
    <w:p>
      <w:pPr>
        <w:ind w:left="520"/>
        <w:spacing w:after="0" w:line="314" w:lineRule="auto"/>
        <w:rPr>
          <w:sz w:val="20"/>
          <w:szCs w:val="20"/>
          <w:color w:val="auto"/>
        </w:rPr>
      </w:pPr>
      <w:r>
        <w:rPr>
          <w:rFonts w:ascii="Arial" w:cs="Arial" w:eastAsia="Arial" w:hAnsi="Arial"/>
          <w:sz w:val="13"/>
          <w:szCs w:val="13"/>
          <w:i w:val="1"/>
          <w:iCs w:val="1"/>
          <w:color w:val="auto"/>
        </w:rPr>
        <w:t>Flexibility in Property Use</w:t>
      </w:r>
      <w:r>
        <w:rPr>
          <w:rFonts w:ascii="Arial" w:cs="Arial" w:eastAsia="Arial" w:hAnsi="Arial"/>
          <w:sz w:val="13"/>
          <w:szCs w:val="13"/>
          <w:color w:val="auto"/>
        </w:rPr>
        <w:t>. We are always open to the idea of converting an entertainment property to another use, if there is a higher and better use for the property, or to sell individual</w:t>
      </w:r>
      <w:r>
        <w:rPr>
          <w:rFonts w:ascii="Arial" w:cs="Arial" w:eastAsia="Arial" w:hAnsi="Arial"/>
          <w:sz w:val="13"/>
          <w:szCs w:val="13"/>
          <w:i w:val="1"/>
          <w:iCs w:val="1"/>
          <w:color w:val="auto"/>
        </w:rPr>
        <w:t xml:space="preserve"> </w:t>
      </w:r>
      <w:r>
        <w:rPr>
          <w:rFonts w:ascii="Arial" w:cs="Arial" w:eastAsia="Arial" w:hAnsi="Arial"/>
          <w:sz w:val="13"/>
          <w:szCs w:val="13"/>
          <w:color w:val="auto"/>
        </w:rPr>
        <w:t>assets if an attractive opportunity presents itself. Our 44 Union Square property, which is in the lease-up phase of its redevelopment was initially acquired as an entertainment property.</w:t>
      </w:r>
    </w:p>
    <w:p>
      <w:pPr>
        <w:spacing w:after="0" w:line="151"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Our hybrid, multi-country strategy emphasizes diversification, and the building of long-term hard asset values. We believe that this business strategy is proving its worth as we have progressed through and are emerging from the current pandemic.</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2021, our principal tangible assets included:</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interests in 63 cinemas comprising of 515 screens;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fee interests in two live theatres (the Orpheum and Minetta Lane both in Manhattan);</w:t>
      </w:r>
    </w:p>
    <w:p>
      <w:pPr>
        <w:spacing w:after="0" w:line="78" w:lineRule="exact"/>
        <w:rPr>
          <w:sz w:val="20"/>
          <w:szCs w:val="20"/>
          <w:color w:val="auto"/>
        </w:rPr>
      </w:pPr>
    </w:p>
    <w:p>
      <w:pPr>
        <w:ind w:left="520" w:right="80"/>
        <w:spacing w:after="0" w:line="274" w:lineRule="auto"/>
        <w:rPr>
          <w:sz w:val="20"/>
          <w:szCs w:val="20"/>
          <w:color w:val="auto"/>
        </w:rPr>
      </w:pPr>
      <w:r>
        <w:rPr>
          <w:rFonts w:ascii="Arial" w:cs="Arial" w:eastAsia="Arial" w:hAnsi="Arial"/>
          <w:sz w:val="14"/>
          <w:szCs w:val="14"/>
          <w:color w:val="auto"/>
        </w:rPr>
        <w:t>fee interest in our 44 Union Square property, previously used by us as a live theatre venue and for rental to third parties, is in the lease-up phase of its redevelopment for retail and office uses, of which the lower level, ground floor, and second floor of the building is now fully leased to a national retailer;</w:t>
      </w:r>
    </w:p>
    <w:p>
      <w:pPr>
        <w:spacing w:after="0" w:line="23" w:lineRule="exact"/>
        <w:rPr>
          <w:sz w:val="20"/>
          <w:szCs w:val="20"/>
          <w:color w:val="auto"/>
        </w:rPr>
      </w:pPr>
    </w:p>
    <w:p>
      <w:pPr>
        <w:ind w:left="520" w:right="1880"/>
        <w:spacing w:after="0" w:line="374" w:lineRule="auto"/>
        <w:rPr>
          <w:sz w:val="20"/>
          <w:szCs w:val="20"/>
          <w:color w:val="auto"/>
        </w:rPr>
      </w:pPr>
      <w:r>
        <w:rPr>
          <w:rFonts w:ascii="Arial" w:cs="Arial" w:eastAsia="Arial" w:hAnsi="Arial"/>
          <w:sz w:val="13"/>
          <w:szCs w:val="13"/>
          <w:color w:val="auto"/>
        </w:rPr>
        <w:t>fee interest in one cinema (the Cinemas 1,2,3) in Manhattan, in which we own a 75% managing member interest in the holding limited liability company; fee interests in two cinemas in Australia (Bundaberg and Maitland) and three cinemas in New Zealand (Dunedin, Napier and Rotorua);</w:t>
      </w:r>
    </w:p>
    <w:p>
      <w:pPr>
        <w:ind w:left="520" w:right="360"/>
        <w:spacing w:after="0" w:line="274" w:lineRule="auto"/>
        <w:rPr>
          <w:sz w:val="20"/>
          <w:szCs w:val="20"/>
          <w:color w:val="auto"/>
        </w:rPr>
      </w:pPr>
      <w:r>
        <w:rPr>
          <w:rFonts w:ascii="Arial" w:cs="Arial" w:eastAsia="Arial" w:hAnsi="Arial"/>
          <w:sz w:val="14"/>
          <w:szCs w:val="14"/>
          <w:color w:val="auto"/>
        </w:rPr>
        <w:t>fee interest in our ETCs in Brisbane (Newmarket Village), Townsville (Cannon Park), Perth (The Belmont Common) and Wellington (Courtenay Central), each of which includes a Reading Cinemas;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fee interest in our administrative office buildings in Culver City, California and Melbourne, Australia. Both buildings also feature one other third-party tenant;</w:t>
      </w:r>
    </w:p>
    <w:p>
      <w:pPr>
        <w:spacing w:after="0" w:line="67" w:lineRule="exact"/>
        <w:rPr>
          <w:sz w:val="20"/>
          <w:szCs w:val="20"/>
          <w:color w:val="auto"/>
        </w:rPr>
      </w:pPr>
    </w:p>
    <w:p>
      <w:pPr>
        <w:ind w:left="520" w:right="420"/>
        <w:spacing w:after="0" w:line="274" w:lineRule="auto"/>
        <w:rPr>
          <w:sz w:val="20"/>
          <w:szCs w:val="20"/>
          <w:color w:val="auto"/>
        </w:rPr>
      </w:pPr>
      <w:r>
        <w:rPr>
          <w:rFonts w:ascii="Arial" w:cs="Arial" w:eastAsia="Arial" w:hAnsi="Arial"/>
          <w:sz w:val="14"/>
          <w:szCs w:val="14"/>
          <w:color w:val="auto"/>
        </w:rPr>
        <w:t>in addition to the fee interests described immediately above, fee ownership of approximately 8.9 million square feet of developed and undeveloped real estate in the United States, Australia and New Zealand; and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cash and cash equivalents, aggregating $83.3 million.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We now present an overview of our business segments.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97"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CINEMA EXHIBITION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Overall</w:t>
      </w:r>
    </w:p>
    <w:p>
      <w:pPr>
        <w:spacing w:after="0" w:line="143"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We are dedicated to creating engaging cinema experiences for our guests through hospitality-styled comfort and service, state-of-the-art cinematic presentation, uniquely designed venues, curated film and event programming, and crafted food and beverage options. As discussed previously, we manage our worldwide cinema exhibition business under various brands.</w:t>
      </w:r>
    </w:p>
    <w:p>
      <w:pPr>
        <w:spacing w:after="0" w:line="85"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Shown in the following table are the number of locations and screens in our theater circuit in each country, by state/territory/region, our cinema brands, and our interest in the underlying asset as of December 31, 2021: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17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3"/>
          </w:tcPr>
          <w:p>
            <w:pPr>
              <w:jc w:val="center"/>
              <w:ind w:right="622"/>
              <w:spacing w:after="0" w:line="124" w:lineRule="exact"/>
              <w:rPr>
                <w:sz w:val="20"/>
                <w:szCs w:val="20"/>
                <w:color w:val="auto"/>
              </w:rPr>
            </w:pPr>
            <w:r>
              <w:rPr>
                <w:rFonts w:ascii="Arial" w:cs="Arial" w:eastAsia="Arial" w:hAnsi="Arial"/>
                <w:sz w:val="12"/>
                <w:szCs w:val="12"/>
                <w:b w:val="1"/>
                <w:bCs w:val="1"/>
                <w:color w:val="auto"/>
                <w:w w:val="85"/>
              </w:rPr>
              <w:t>Interest in Asset</w:t>
            </w:r>
          </w:p>
        </w:tc>
        <w:tc>
          <w:tcPr>
            <w:tcW w:w="160" w:type="dxa"/>
            <w:vAlign w:val="bottom"/>
            <w:tcBorders>
              <w:top w:val="single" w:sz="8" w:color="auto"/>
            </w:tcBorders>
          </w:tcPr>
          <w:p>
            <w:pPr>
              <w:spacing w:after="0"/>
              <w:rPr>
                <w:sz w:val="10"/>
                <w:szCs w:val="10"/>
                <w:color w:val="auto"/>
              </w:rPr>
            </w:pPr>
          </w:p>
        </w:tc>
        <w:tc>
          <w:tcPr>
            <w:tcW w:w="3120" w:type="dxa"/>
            <w:vAlign w:val="bottom"/>
            <w:tcBorders>
              <w:top w:val="single" w:sz="8" w:color="auto"/>
            </w:tcBorders>
          </w:tcPr>
          <w:p>
            <w:pPr>
              <w:spacing w:after="0"/>
              <w:rPr>
                <w:sz w:val="10"/>
                <w:szCs w:val="10"/>
                <w:color w:val="auto"/>
              </w:rPr>
            </w:pPr>
          </w:p>
        </w:tc>
      </w:tr>
      <w:tr>
        <w:trPr>
          <w:trHeight w:val="138"/>
        </w:trPr>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2"/>
          </w:tcPr>
          <w:p>
            <w:pPr>
              <w:ind w:left="460"/>
              <w:spacing w:after="0" w:line="137" w:lineRule="exact"/>
              <w:rPr>
                <w:sz w:val="20"/>
                <w:szCs w:val="20"/>
                <w:color w:val="auto"/>
              </w:rPr>
            </w:pPr>
            <w:r>
              <w:rPr>
                <w:rFonts w:ascii="Arial" w:cs="Arial" w:eastAsia="Arial" w:hAnsi="Arial"/>
                <w:sz w:val="12"/>
                <w:szCs w:val="12"/>
                <w:b w:val="1"/>
                <w:bCs w:val="1"/>
                <w:color w:val="auto"/>
              </w:rPr>
              <w:t>State / Territory /</w:t>
            </w:r>
          </w:p>
        </w:tc>
        <w:tc>
          <w:tcPr>
            <w:tcW w:w="980" w:type="dxa"/>
            <w:vAlign w:val="bottom"/>
            <w:gridSpan w:val="2"/>
          </w:tcPr>
          <w:p>
            <w:pPr>
              <w:jc w:val="center"/>
              <w:ind w:right="160"/>
              <w:spacing w:after="0" w:line="137" w:lineRule="exact"/>
              <w:rPr>
                <w:sz w:val="20"/>
                <w:szCs w:val="20"/>
                <w:color w:val="auto"/>
              </w:rPr>
            </w:pPr>
            <w:r>
              <w:rPr>
                <w:rFonts w:ascii="Arial" w:cs="Arial" w:eastAsia="Arial" w:hAnsi="Arial"/>
                <w:sz w:val="12"/>
                <w:szCs w:val="12"/>
                <w:b w:val="1"/>
                <w:bCs w:val="1"/>
                <w:color w:val="auto"/>
                <w:w w:val="83"/>
              </w:rPr>
              <w:t>Location</w:t>
            </w:r>
          </w:p>
        </w:tc>
        <w:tc>
          <w:tcPr>
            <w:tcW w:w="1000" w:type="dxa"/>
            <w:vAlign w:val="bottom"/>
            <w:gridSpan w:val="2"/>
          </w:tcPr>
          <w:p>
            <w:pPr>
              <w:ind w:left="260"/>
              <w:spacing w:after="0" w:line="137" w:lineRule="exact"/>
              <w:rPr>
                <w:sz w:val="20"/>
                <w:szCs w:val="20"/>
                <w:color w:val="auto"/>
              </w:rPr>
            </w:pPr>
            <w:r>
              <w:rPr>
                <w:rFonts w:ascii="Arial" w:cs="Arial" w:eastAsia="Arial" w:hAnsi="Arial"/>
                <w:sz w:val="12"/>
                <w:szCs w:val="12"/>
                <w:b w:val="1"/>
                <w:bCs w:val="1"/>
                <w:color w:val="auto"/>
              </w:rPr>
              <w:t>Screen</w:t>
            </w:r>
          </w:p>
        </w:tc>
        <w:tc>
          <w:tcPr>
            <w:tcW w:w="2140" w:type="dxa"/>
            <w:vAlign w:val="bottom"/>
            <w:tcBorders>
              <w:bottom w:val="single" w:sz="8" w:color="auto"/>
            </w:tcBorders>
            <w:gridSpan w:val="4"/>
          </w:tcPr>
          <w:p>
            <w:pPr>
              <w:jc w:val="center"/>
              <w:spacing w:after="0" w:line="137" w:lineRule="exact"/>
              <w:rPr>
                <w:sz w:val="20"/>
                <w:szCs w:val="20"/>
                <w:color w:val="auto"/>
              </w:rPr>
            </w:pPr>
            <w:r>
              <w:rPr>
                <w:rFonts w:ascii="Arial" w:cs="Arial" w:eastAsia="Arial" w:hAnsi="Arial"/>
                <w:sz w:val="12"/>
                <w:szCs w:val="12"/>
                <w:b w:val="1"/>
                <w:bCs w:val="1"/>
                <w:color w:val="auto"/>
                <w:w w:val="87"/>
              </w:rPr>
              <w:t>Underlying the Cinema</w:t>
            </w:r>
          </w:p>
        </w:tc>
        <w:tc>
          <w:tcPr>
            <w:tcW w:w="160" w:type="dxa"/>
            <w:vAlign w:val="bottom"/>
          </w:tcPr>
          <w:p>
            <w:pPr>
              <w:spacing w:after="0"/>
              <w:rPr>
                <w:sz w:val="12"/>
                <w:szCs w:val="12"/>
                <w:color w:val="auto"/>
              </w:rPr>
            </w:pPr>
          </w:p>
        </w:tc>
        <w:tc>
          <w:tcPr>
            <w:tcW w:w="3120" w:type="dxa"/>
            <w:vAlign w:val="bottom"/>
          </w:tcPr>
          <w:p>
            <w:pPr>
              <w:spacing w:after="0"/>
              <w:rPr>
                <w:sz w:val="12"/>
                <w:szCs w:val="12"/>
                <w:color w:val="auto"/>
              </w:rPr>
            </w:pPr>
          </w:p>
        </w:tc>
      </w:tr>
      <w:tr>
        <w:trPr>
          <w:trHeight w:val="121"/>
        </w:trPr>
        <w:tc>
          <w:tcPr>
            <w:tcW w:w="1780" w:type="dxa"/>
            <w:vAlign w:val="bottom"/>
          </w:tcPr>
          <w:p>
            <w:pPr>
              <w:spacing w:after="0" w:line="120" w:lineRule="exact"/>
              <w:rPr>
                <w:sz w:val="20"/>
                <w:szCs w:val="20"/>
                <w:color w:val="auto"/>
              </w:rPr>
            </w:pPr>
            <w:r>
              <w:rPr>
                <w:rFonts w:ascii="Arial" w:cs="Arial" w:eastAsia="Arial" w:hAnsi="Arial"/>
                <w:sz w:val="12"/>
                <w:szCs w:val="12"/>
                <w:b w:val="1"/>
                <w:bCs w:val="1"/>
                <w:color w:val="auto"/>
              </w:rPr>
              <w:t>Country</w:t>
            </w:r>
          </w:p>
        </w:tc>
        <w:tc>
          <w:tcPr>
            <w:tcW w:w="160" w:type="dxa"/>
            <w:vAlign w:val="bottom"/>
          </w:tcPr>
          <w:p>
            <w:pPr>
              <w:spacing w:after="0"/>
              <w:rPr>
                <w:sz w:val="10"/>
                <w:szCs w:val="10"/>
                <w:color w:val="auto"/>
              </w:rPr>
            </w:pPr>
          </w:p>
        </w:tc>
        <w:tc>
          <w:tcPr>
            <w:tcW w:w="1940" w:type="dxa"/>
            <w:vAlign w:val="bottom"/>
            <w:gridSpan w:val="2"/>
          </w:tcPr>
          <w:p>
            <w:pPr>
              <w:ind w:left="720"/>
              <w:spacing w:after="0" w:line="120" w:lineRule="exact"/>
              <w:rPr>
                <w:sz w:val="20"/>
                <w:szCs w:val="20"/>
                <w:color w:val="auto"/>
              </w:rPr>
            </w:pPr>
            <w:r>
              <w:rPr>
                <w:rFonts w:ascii="Arial" w:cs="Arial" w:eastAsia="Arial" w:hAnsi="Arial"/>
                <w:sz w:val="12"/>
                <w:szCs w:val="12"/>
                <w:b w:val="1"/>
                <w:bCs w:val="1"/>
                <w:color w:val="auto"/>
              </w:rPr>
              <w:t>Region</w:t>
            </w:r>
          </w:p>
        </w:tc>
        <w:tc>
          <w:tcPr>
            <w:tcW w:w="980" w:type="dxa"/>
            <w:vAlign w:val="bottom"/>
            <w:gridSpan w:val="2"/>
          </w:tcPr>
          <w:p>
            <w:pPr>
              <w:jc w:val="center"/>
              <w:ind w:right="160"/>
              <w:spacing w:after="0" w:line="120" w:lineRule="exact"/>
              <w:rPr>
                <w:sz w:val="20"/>
                <w:szCs w:val="20"/>
                <w:color w:val="auto"/>
              </w:rPr>
            </w:pPr>
            <w:r>
              <w:rPr>
                <w:rFonts w:ascii="Arial" w:cs="Arial" w:eastAsia="Arial" w:hAnsi="Arial"/>
                <w:sz w:val="12"/>
                <w:szCs w:val="12"/>
                <w:b w:val="1"/>
                <w:bCs w:val="1"/>
                <w:color w:val="auto"/>
                <w:w w:val="86"/>
              </w:rPr>
              <w:t>Count</w:t>
            </w:r>
          </w:p>
        </w:tc>
        <w:tc>
          <w:tcPr>
            <w:tcW w:w="1000" w:type="dxa"/>
            <w:vAlign w:val="bottom"/>
            <w:gridSpan w:val="2"/>
          </w:tcPr>
          <w:p>
            <w:pPr>
              <w:ind w:left="260"/>
              <w:spacing w:after="0" w:line="120" w:lineRule="exact"/>
              <w:rPr>
                <w:sz w:val="20"/>
                <w:szCs w:val="20"/>
                <w:color w:val="auto"/>
              </w:rPr>
            </w:pPr>
            <w:r>
              <w:rPr>
                <w:rFonts w:ascii="Arial" w:cs="Arial" w:eastAsia="Arial" w:hAnsi="Arial"/>
                <w:sz w:val="12"/>
                <w:szCs w:val="12"/>
                <w:b w:val="1"/>
                <w:bCs w:val="1"/>
                <w:color w:val="auto"/>
              </w:rPr>
              <w:t>Count</w:t>
            </w:r>
          </w:p>
        </w:tc>
        <w:tc>
          <w:tcPr>
            <w:tcW w:w="660" w:type="dxa"/>
            <w:vAlign w:val="bottom"/>
          </w:tcPr>
          <w:p>
            <w:pPr>
              <w:ind w:left="320"/>
              <w:spacing w:after="0" w:line="120" w:lineRule="exact"/>
              <w:rPr>
                <w:sz w:val="20"/>
                <w:szCs w:val="20"/>
                <w:color w:val="auto"/>
              </w:rPr>
            </w:pPr>
            <w:r>
              <w:rPr>
                <w:rFonts w:ascii="Arial" w:cs="Arial" w:eastAsia="Arial" w:hAnsi="Arial"/>
                <w:sz w:val="12"/>
                <w:szCs w:val="12"/>
                <w:b w:val="1"/>
                <w:bCs w:val="1"/>
                <w:color w:val="auto"/>
                <w:w w:val="77"/>
              </w:rPr>
              <w:t>Leased</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ind w:left="320"/>
              <w:spacing w:after="0" w:line="120" w:lineRule="exact"/>
              <w:rPr>
                <w:sz w:val="20"/>
                <w:szCs w:val="20"/>
                <w:color w:val="auto"/>
              </w:rPr>
            </w:pPr>
            <w:r>
              <w:rPr>
                <w:rFonts w:ascii="Arial" w:cs="Arial" w:eastAsia="Arial" w:hAnsi="Arial"/>
                <w:sz w:val="12"/>
                <w:szCs w:val="12"/>
                <w:b w:val="1"/>
                <w:bCs w:val="1"/>
                <w:color w:val="auto"/>
              </w:rPr>
              <w:t>Owned</w:t>
            </w:r>
          </w:p>
        </w:tc>
        <w:tc>
          <w:tcPr>
            <w:tcW w:w="3280" w:type="dxa"/>
            <w:vAlign w:val="bottom"/>
            <w:gridSpan w:val="2"/>
          </w:tcPr>
          <w:p>
            <w:pPr>
              <w:ind w:left="160"/>
              <w:spacing w:after="0" w:line="120" w:lineRule="exact"/>
              <w:rPr>
                <w:sz w:val="20"/>
                <w:szCs w:val="20"/>
                <w:color w:val="auto"/>
              </w:rPr>
            </w:pPr>
            <w:r>
              <w:rPr>
                <w:rFonts w:ascii="Arial" w:cs="Arial" w:eastAsia="Arial" w:hAnsi="Arial"/>
                <w:sz w:val="12"/>
                <w:szCs w:val="12"/>
                <w:b w:val="1"/>
                <w:bCs w:val="1"/>
                <w:color w:val="auto"/>
              </w:rPr>
              <w:t>Operating Brands</w:t>
            </w:r>
          </w:p>
        </w:tc>
      </w:tr>
      <w:tr>
        <w:trPr>
          <w:trHeight w:val="119"/>
        </w:trPr>
        <w:tc>
          <w:tcPr>
            <w:tcW w:w="1780" w:type="dxa"/>
            <w:vAlign w:val="bottom"/>
            <w:tcBorders>
              <w:top w:val="single" w:sz="8" w:color="auto"/>
            </w:tcBorders>
            <w:shd w:val="clear" w:color="auto" w:fill="CCEEFF"/>
          </w:tcPr>
          <w:p>
            <w:pPr>
              <w:spacing w:after="0" w:line="120" w:lineRule="exact"/>
              <w:rPr>
                <w:sz w:val="20"/>
                <w:szCs w:val="20"/>
                <w:color w:val="auto"/>
              </w:rPr>
            </w:pPr>
            <w:r>
              <w:rPr>
                <w:rFonts w:ascii="Arial" w:cs="Arial" w:eastAsia="Arial" w:hAnsi="Arial"/>
                <w:sz w:val="12"/>
                <w:szCs w:val="12"/>
                <w:b w:val="1"/>
                <w:bCs w:val="1"/>
                <w:color w:val="auto"/>
              </w:rPr>
              <w:t>United States</w:t>
            </w:r>
          </w:p>
        </w:tc>
        <w:tc>
          <w:tcPr>
            <w:tcW w:w="160" w:type="dxa"/>
            <w:vAlign w:val="bottom"/>
            <w:tcBorders>
              <w:top w:val="single" w:sz="8" w:color="CCEEFF"/>
            </w:tcBorders>
            <w:shd w:val="clear" w:color="auto" w:fill="CCEEFF"/>
          </w:tcPr>
          <w:p>
            <w:pPr>
              <w:spacing w:after="0"/>
              <w:rPr>
                <w:sz w:val="10"/>
                <w:szCs w:val="10"/>
                <w:color w:val="auto"/>
              </w:rPr>
            </w:pPr>
          </w:p>
        </w:tc>
        <w:tc>
          <w:tcPr>
            <w:tcW w:w="1780" w:type="dxa"/>
            <w:vAlign w:val="bottom"/>
            <w:tcBorders>
              <w:top w:val="single" w:sz="8" w:color="auto"/>
            </w:tcBorders>
            <w:shd w:val="clear" w:color="auto" w:fill="CCEEFF"/>
          </w:tcPr>
          <w:p>
            <w:pPr>
              <w:spacing w:after="0" w:line="120" w:lineRule="exact"/>
              <w:rPr>
                <w:sz w:val="20"/>
                <w:szCs w:val="20"/>
                <w:color w:val="auto"/>
              </w:rPr>
            </w:pPr>
            <w:r>
              <w:rPr>
                <w:rFonts w:ascii="Arial" w:cs="Arial" w:eastAsia="Arial" w:hAnsi="Arial"/>
                <w:sz w:val="12"/>
                <w:szCs w:val="12"/>
                <w:color w:val="auto"/>
              </w:rPr>
              <w:t>Hawaii</w:t>
            </w:r>
          </w:p>
        </w:tc>
        <w:tc>
          <w:tcPr>
            <w:tcW w:w="1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center"/>
              <w:spacing w:after="0" w:line="120" w:lineRule="exact"/>
              <w:rPr>
                <w:sz w:val="20"/>
                <w:szCs w:val="20"/>
                <w:color w:val="auto"/>
              </w:rPr>
            </w:pPr>
            <w:r>
              <w:rPr>
                <w:rFonts w:ascii="Arial" w:cs="Arial" w:eastAsia="Arial" w:hAnsi="Arial"/>
                <w:sz w:val="12"/>
                <w:szCs w:val="12"/>
                <w:color w:val="auto"/>
                <w:w w:val="89"/>
              </w:rPr>
              <w:t>9</w:t>
            </w:r>
          </w:p>
        </w:tc>
        <w:tc>
          <w:tcPr>
            <w:tcW w:w="1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center"/>
              <w:spacing w:after="0" w:line="120" w:lineRule="exact"/>
              <w:rPr>
                <w:sz w:val="20"/>
                <w:szCs w:val="20"/>
                <w:color w:val="auto"/>
              </w:rPr>
            </w:pPr>
            <w:r>
              <w:rPr>
                <w:rFonts w:ascii="Arial" w:cs="Arial" w:eastAsia="Arial" w:hAnsi="Arial"/>
                <w:sz w:val="12"/>
                <w:szCs w:val="12"/>
                <w:color w:val="auto"/>
                <w:w w:val="89"/>
              </w:rPr>
              <w:t>98</w:t>
            </w:r>
          </w:p>
        </w:tc>
        <w:tc>
          <w:tcPr>
            <w:tcW w:w="1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center"/>
              <w:ind w:left="262"/>
              <w:spacing w:after="0" w:line="120" w:lineRule="exact"/>
              <w:rPr>
                <w:sz w:val="20"/>
                <w:szCs w:val="20"/>
                <w:color w:val="auto"/>
              </w:rPr>
            </w:pPr>
            <w:r>
              <w:rPr>
                <w:rFonts w:ascii="Arial" w:cs="Arial" w:eastAsia="Arial" w:hAnsi="Arial"/>
                <w:sz w:val="12"/>
                <w:szCs w:val="12"/>
                <w:color w:val="auto"/>
                <w:w w:val="89"/>
              </w:rPr>
              <w:t>9</w:t>
            </w:r>
          </w:p>
        </w:tc>
        <w:tc>
          <w:tcPr>
            <w:tcW w:w="3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120" w:type="dxa"/>
            <w:vAlign w:val="bottom"/>
            <w:tcBorders>
              <w:top w:val="single" w:sz="8" w:color="auto"/>
            </w:tcBorders>
            <w:shd w:val="clear" w:color="auto" w:fill="CCEEFF"/>
          </w:tcPr>
          <w:p>
            <w:pPr>
              <w:spacing w:after="0" w:line="120" w:lineRule="exact"/>
              <w:rPr>
                <w:sz w:val="20"/>
                <w:szCs w:val="20"/>
                <w:color w:val="auto"/>
              </w:rPr>
            </w:pPr>
            <w:r>
              <w:rPr>
                <w:rFonts w:ascii="Arial" w:cs="Arial" w:eastAsia="Arial" w:hAnsi="Arial"/>
                <w:sz w:val="12"/>
                <w:szCs w:val="12"/>
                <w:color w:val="auto"/>
              </w:rPr>
              <w:t>Consolidated Theatres</w:t>
            </w:r>
          </w:p>
        </w:tc>
      </w:tr>
      <w:tr>
        <w:trPr>
          <w:trHeight w:val="119"/>
        </w:trPr>
        <w:tc>
          <w:tcPr>
            <w:tcW w:w="1780" w:type="dxa"/>
            <w:vAlign w:val="bottom"/>
          </w:tcPr>
          <w:p>
            <w:pPr>
              <w:spacing w:after="0"/>
              <w:rPr>
                <w:sz w:val="10"/>
                <w:szCs w:val="10"/>
                <w:color w:val="auto"/>
              </w:rPr>
            </w:pPr>
          </w:p>
        </w:tc>
        <w:tc>
          <w:tcPr>
            <w:tcW w:w="2100" w:type="dxa"/>
            <w:vAlign w:val="bottom"/>
            <w:gridSpan w:val="3"/>
          </w:tcPr>
          <w:p>
            <w:pPr>
              <w:ind w:left="160"/>
              <w:spacing w:after="0" w:line="120" w:lineRule="exact"/>
              <w:rPr>
                <w:sz w:val="20"/>
                <w:szCs w:val="20"/>
                <w:color w:val="auto"/>
              </w:rPr>
            </w:pPr>
            <w:r>
              <w:rPr>
                <w:rFonts w:ascii="Arial" w:cs="Arial" w:eastAsia="Arial" w:hAnsi="Arial"/>
                <w:sz w:val="12"/>
                <w:szCs w:val="12"/>
                <w:color w:val="auto"/>
              </w:rPr>
              <w:t>California</w:t>
            </w:r>
          </w:p>
        </w:tc>
        <w:tc>
          <w:tcPr>
            <w:tcW w:w="820" w:type="dxa"/>
            <w:vAlign w:val="bottom"/>
          </w:tcPr>
          <w:p>
            <w:pPr>
              <w:jc w:val="center"/>
              <w:spacing w:after="0" w:line="120" w:lineRule="exact"/>
              <w:rPr>
                <w:sz w:val="20"/>
                <w:szCs w:val="20"/>
                <w:color w:val="auto"/>
              </w:rPr>
            </w:pPr>
            <w:r>
              <w:rPr>
                <w:rFonts w:ascii="Arial" w:cs="Arial" w:eastAsia="Arial" w:hAnsi="Arial"/>
                <w:sz w:val="12"/>
                <w:szCs w:val="12"/>
                <w:color w:val="auto"/>
                <w:w w:val="89"/>
              </w:rPr>
              <w:t>7</w:t>
            </w:r>
          </w:p>
        </w:tc>
        <w:tc>
          <w:tcPr>
            <w:tcW w:w="160" w:type="dxa"/>
            <w:vAlign w:val="bottom"/>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Arial" w:cs="Arial" w:eastAsia="Arial" w:hAnsi="Arial"/>
                <w:sz w:val="12"/>
                <w:szCs w:val="12"/>
                <w:color w:val="auto"/>
                <w:w w:val="89"/>
              </w:rPr>
              <w:t>88</w:t>
            </w:r>
          </w:p>
        </w:tc>
        <w:tc>
          <w:tcPr>
            <w:tcW w:w="160" w:type="dxa"/>
            <w:vAlign w:val="bottom"/>
          </w:tcPr>
          <w:p>
            <w:pPr>
              <w:spacing w:after="0"/>
              <w:rPr>
                <w:sz w:val="10"/>
                <w:szCs w:val="10"/>
                <w:color w:val="auto"/>
              </w:rPr>
            </w:pPr>
          </w:p>
        </w:tc>
        <w:tc>
          <w:tcPr>
            <w:tcW w:w="660" w:type="dxa"/>
            <w:vAlign w:val="bottom"/>
          </w:tcPr>
          <w:p>
            <w:pPr>
              <w:jc w:val="center"/>
              <w:ind w:left="262"/>
              <w:spacing w:after="0" w:line="120" w:lineRule="exact"/>
              <w:rPr>
                <w:sz w:val="20"/>
                <w:szCs w:val="20"/>
                <w:color w:val="auto"/>
              </w:rPr>
            </w:pPr>
            <w:r>
              <w:rPr>
                <w:rFonts w:ascii="Arial" w:cs="Arial" w:eastAsia="Arial" w:hAnsi="Arial"/>
                <w:sz w:val="12"/>
                <w:szCs w:val="12"/>
                <w:color w:val="auto"/>
                <w:w w:val="89"/>
              </w:rPr>
              <w:t>7</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80" w:type="dxa"/>
            <w:vAlign w:val="bottom"/>
            <w:gridSpan w:val="2"/>
          </w:tcPr>
          <w:p>
            <w:pPr>
              <w:ind w:left="160"/>
              <w:spacing w:after="0" w:line="120" w:lineRule="exact"/>
              <w:rPr>
                <w:sz w:val="20"/>
                <w:szCs w:val="20"/>
                <w:color w:val="auto"/>
              </w:rPr>
            </w:pPr>
            <w:r>
              <w:rPr>
                <w:rFonts w:ascii="Arial" w:cs="Arial" w:eastAsia="Arial" w:hAnsi="Arial"/>
                <w:sz w:val="12"/>
                <w:szCs w:val="12"/>
                <w:color w:val="auto"/>
              </w:rPr>
              <w:t>Reading Cinemas, Angelika Film Center</w:t>
            </w:r>
          </w:p>
        </w:tc>
      </w:tr>
      <w:tr>
        <w:trPr>
          <w:trHeight w:val="119"/>
        </w:trPr>
        <w:tc>
          <w:tcPr>
            <w:tcW w:w="1780" w:type="dxa"/>
            <w:vAlign w:val="bottom"/>
            <w:shd w:val="clear" w:color="auto" w:fill="CCEEFF"/>
          </w:tcPr>
          <w:p>
            <w:pPr>
              <w:spacing w:after="0"/>
              <w:rPr>
                <w:sz w:val="10"/>
                <w:szCs w:val="10"/>
                <w:color w:val="auto"/>
              </w:rPr>
            </w:pPr>
          </w:p>
        </w:tc>
        <w:tc>
          <w:tcPr>
            <w:tcW w:w="2100" w:type="dxa"/>
            <w:vAlign w:val="bottom"/>
            <w:gridSpan w:val="3"/>
            <w:shd w:val="clear" w:color="auto" w:fill="CCEEFF"/>
          </w:tcPr>
          <w:p>
            <w:pPr>
              <w:ind w:left="160"/>
              <w:spacing w:after="0" w:line="120" w:lineRule="exact"/>
              <w:rPr>
                <w:sz w:val="20"/>
                <w:szCs w:val="20"/>
                <w:color w:val="auto"/>
              </w:rPr>
            </w:pPr>
            <w:r>
              <w:rPr>
                <w:rFonts w:ascii="Arial" w:cs="Arial" w:eastAsia="Arial" w:hAnsi="Arial"/>
                <w:sz w:val="12"/>
                <w:szCs w:val="12"/>
                <w:color w:val="auto"/>
              </w:rPr>
              <w:t>New York</w:t>
            </w:r>
          </w:p>
        </w:tc>
        <w:tc>
          <w:tcPr>
            <w:tcW w:w="820" w:type="dxa"/>
            <w:vAlign w:val="bottom"/>
            <w:shd w:val="clear" w:color="auto" w:fill="CCEEFF"/>
          </w:tcPr>
          <w:p>
            <w:pPr>
              <w:jc w:val="center"/>
              <w:spacing w:after="0" w:line="120" w:lineRule="exact"/>
              <w:rPr>
                <w:sz w:val="20"/>
                <w:szCs w:val="20"/>
                <w:color w:val="auto"/>
              </w:rPr>
            </w:pPr>
            <w:r>
              <w:rPr>
                <w:rFonts w:ascii="Arial" w:cs="Arial" w:eastAsia="Arial" w:hAnsi="Arial"/>
                <w:sz w:val="12"/>
                <w:szCs w:val="12"/>
                <w:color w:val="auto"/>
                <w:w w:val="89"/>
              </w:rPr>
              <w:t>3</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20" w:lineRule="exact"/>
              <w:rPr>
                <w:sz w:val="20"/>
                <w:szCs w:val="20"/>
                <w:color w:val="auto"/>
              </w:rPr>
            </w:pPr>
            <w:r>
              <w:rPr>
                <w:rFonts w:ascii="Arial" w:cs="Arial" w:eastAsia="Arial" w:hAnsi="Arial"/>
                <w:sz w:val="12"/>
                <w:szCs w:val="12"/>
                <w:color w:val="auto"/>
                <w:w w:val="89"/>
              </w:rPr>
              <w:t>16</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center"/>
              <w:ind w:left="262"/>
              <w:spacing w:after="0" w:line="120" w:lineRule="exact"/>
              <w:rPr>
                <w:sz w:val="20"/>
                <w:szCs w:val="20"/>
                <w:color w:val="auto"/>
              </w:rPr>
            </w:pPr>
            <w:r>
              <w:rPr>
                <w:rFonts w:ascii="Arial" w:cs="Arial" w:eastAsia="Arial" w:hAnsi="Arial"/>
                <w:sz w:val="12"/>
                <w:szCs w:val="12"/>
                <w:color w:val="auto"/>
                <w:w w:val="89"/>
              </w:rPr>
              <w:t>2</w:t>
            </w:r>
          </w:p>
        </w:tc>
        <w:tc>
          <w:tcPr>
            <w:tcW w:w="1480" w:type="dxa"/>
            <w:vAlign w:val="bottom"/>
            <w:gridSpan w:val="3"/>
            <w:shd w:val="clear" w:color="auto" w:fill="CCEEFF"/>
          </w:tcPr>
          <w:p>
            <w:pPr>
              <w:jc w:val="center"/>
              <w:ind w:left="442"/>
              <w:spacing w:after="0" w:line="120" w:lineRule="exact"/>
              <w:rPr>
                <w:sz w:val="20"/>
                <w:szCs w:val="20"/>
                <w:color w:val="auto"/>
              </w:rPr>
            </w:pPr>
            <w:r>
              <w:rPr>
                <w:rFonts w:ascii="Arial" w:cs="Arial" w:eastAsia="Arial" w:hAnsi="Arial"/>
                <w:sz w:val="12"/>
                <w:szCs w:val="12"/>
                <w:color w:val="auto"/>
                <w:w w:val="89"/>
              </w:rPr>
              <w:t>1</w:t>
            </w:r>
          </w:p>
        </w:tc>
        <w:tc>
          <w:tcPr>
            <w:tcW w:w="3280" w:type="dxa"/>
            <w:vAlign w:val="bottom"/>
            <w:gridSpan w:val="2"/>
            <w:shd w:val="clear" w:color="auto" w:fill="CCEEFF"/>
          </w:tcPr>
          <w:p>
            <w:pPr>
              <w:ind w:left="160"/>
              <w:spacing w:after="0" w:line="120" w:lineRule="exact"/>
              <w:rPr>
                <w:sz w:val="20"/>
                <w:szCs w:val="20"/>
                <w:color w:val="auto"/>
              </w:rPr>
            </w:pPr>
            <w:r>
              <w:rPr>
                <w:rFonts w:ascii="Arial" w:cs="Arial" w:eastAsia="Arial" w:hAnsi="Arial"/>
                <w:sz w:val="12"/>
                <w:szCs w:val="12"/>
                <w:color w:val="auto"/>
              </w:rPr>
              <w:t>Angelika Film Center</w:t>
            </w:r>
          </w:p>
        </w:tc>
      </w:tr>
      <w:tr>
        <w:trPr>
          <w:trHeight w:val="119"/>
        </w:trPr>
        <w:tc>
          <w:tcPr>
            <w:tcW w:w="1780" w:type="dxa"/>
            <w:vAlign w:val="bottom"/>
          </w:tcPr>
          <w:p>
            <w:pPr>
              <w:spacing w:after="0"/>
              <w:rPr>
                <w:sz w:val="10"/>
                <w:szCs w:val="10"/>
                <w:color w:val="auto"/>
              </w:rPr>
            </w:pPr>
          </w:p>
        </w:tc>
        <w:tc>
          <w:tcPr>
            <w:tcW w:w="2100" w:type="dxa"/>
            <w:vAlign w:val="bottom"/>
            <w:gridSpan w:val="3"/>
          </w:tcPr>
          <w:p>
            <w:pPr>
              <w:ind w:left="160"/>
              <w:spacing w:after="0" w:line="120" w:lineRule="exact"/>
              <w:rPr>
                <w:sz w:val="20"/>
                <w:szCs w:val="20"/>
                <w:color w:val="auto"/>
              </w:rPr>
            </w:pPr>
            <w:r>
              <w:rPr>
                <w:rFonts w:ascii="Arial" w:cs="Arial" w:eastAsia="Arial" w:hAnsi="Arial"/>
                <w:sz w:val="12"/>
                <w:szCs w:val="12"/>
                <w:color w:val="auto"/>
              </w:rPr>
              <w:t>Texas</w:t>
            </w:r>
          </w:p>
        </w:tc>
        <w:tc>
          <w:tcPr>
            <w:tcW w:w="820" w:type="dxa"/>
            <w:vAlign w:val="bottom"/>
          </w:tcPr>
          <w:p>
            <w:pPr>
              <w:jc w:val="center"/>
              <w:spacing w:after="0" w:line="120" w:lineRule="exact"/>
              <w:rPr>
                <w:sz w:val="20"/>
                <w:szCs w:val="20"/>
                <w:color w:val="auto"/>
              </w:rPr>
            </w:pPr>
            <w:r>
              <w:rPr>
                <w:rFonts w:ascii="Arial" w:cs="Arial" w:eastAsia="Arial" w:hAnsi="Arial"/>
                <w:sz w:val="12"/>
                <w:szCs w:val="12"/>
                <w:color w:val="auto"/>
                <w:w w:val="89"/>
              </w:rPr>
              <w:t>2</w:t>
            </w:r>
          </w:p>
        </w:tc>
        <w:tc>
          <w:tcPr>
            <w:tcW w:w="160" w:type="dxa"/>
            <w:vAlign w:val="bottom"/>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Arial" w:cs="Arial" w:eastAsia="Arial" w:hAnsi="Arial"/>
                <w:sz w:val="12"/>
                <w:szCs w:val="12"/>
                <w:color w:val="auto"/>
                <w:w w:val="89"/>
              </w:rPr>
              <w:t>13</w:t>
            </w:r>
          </w:p>
        </w:tc>
        <w:tc>
          <w:tcPr>
            <w:tcW w:w="160" w:type="dxa"/>
            <w:vAlign w:val="bottom"/>
          </w:tcPr>
          <w:p>
            <w:pPr>
              <w:spacing w:after="0"/>
              <w:rPr>
                <w:sz w:val="10"/>
                <w:szCs w:val="10"/>
                <w:color w:val="auto"/>
              </w:rPr>
            </w:pPr>
          </w:p>
        </w:tc>
        <w:tc>
          <w:tcPr>
            <w:tcW w:w="660" w:type="dxa"/>
            <w:vAlign w:val="bottom"/>
          </w:tcPr>
          <w:p>
            <w:pPr>
              <w:jc w:val="center"/>
              <w:ind w:left="262"/>
              <w:spacing w:after="0" w:line="120" w:lineRule="exact"/>
              <w:rPr>
                <w:sz w:val="20"/>
                <w:szCs w:val="20"/>
                <w:color w:val="auto"/>
              </w:rPr>
            </w:pPr>
            <w:r>
              <w:rPr>
                <w:rFonts w:ascii="Arial" w:cs="Arial" w:eastAsia="Arial" w:hAnsi="Arial"/>
                <w:sz w:val="12"/>
                <w:szCs w:val="12"/>
                <w:color w:val="auto"/>
                <w:w w:val="89"/>
              </w:rPr>
              <w:t>2</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80" w:type="dxa"/>
            <w:vAlign w:val="bottom"/>
            <w:gridSpan w:val="2"/>
          </w:tcPr>
          <w:p>
            <w:pPr>
              <w:ind w:left="160"/>
              <w:spacing w:after="0" w:line="120" w:lineRule="exact"/>
              <w:rPr>
                <w:sz w:val="20"/>
                <w:szCs w:val="20"/>
                <w:color w:val="auto"/>
              </w:rPr>
            </w:pPr>
            <w:r>
              <w:rPr>
                <w:rFonts w:ascii="Arial" w:cs="Arial" w:eastAsia="Arial" w:hAnsi="Arial"/>
                <w:sz w:val="12"/>
                <w:szCs w:val="12"/>
                <w:color w:val="auto"/>
              </w:rPr>
              <w:t>Angelika Film Center</w:t>
            </w:r>
          </w:p>
        </w:tc>
      </w:tr>
      <w:tr>
        <w:trPr>
          <w:trHeight w:val="119"/>
        </w:trPr>
        <w:tc>
          <w:tcPr>
            <w:tcW w:w="1780" w:type="dxa"/>
            <w:vAlign w:val="bottom"/>
            <w:shd w:val="clear" w:color="auto" w:fill="CCEEFF"/>
          </w:tcPr>
          <w:p>
            <w:pPr>
              <w:spacing w:after="0"/>
              <w:rPr>
                <w:sz w:val="10"/>
                <w:szCs w:val="10"/>
                <w:color w:val="auto"/>
              </w:rPr>
            </w:pPr>
          </w:p>
        </w:tc>
        <w:tc>
          <w:tcPr>
            <w:tcW w:w="2100" w:type="dxa"/>
            <w:vAlign w:val="bottom"/>
            <w:gridSpan w:val="3"/>
            <w:shd w:val="clear" w:color="auto" w:fill="CCEEFF"/>
          </w:tcPr>
          <w:p>
            <w:pPr>
              <w:ind w:left="160"/>
              <w:spacing w:after="0" w:line="120" w:lineRule="exact"/>
              <w:rPr>
                <w:sz w:val="20"/>
                <w:szCs w:val="20"/>
                <w:color w:val="auto"/>
              </w:rPr>
            </w:pPr>
            <w:r>
              <w:rPr>
                <w:rFonts w:ascii="Arial" w:cs="Arial" w:eastAsia="Arial" w:hAnsi="Arial"/>
                <w:sz w:val="12"/>
                <w:szCs w:val="12"/>
                <w:color w:val="auto"/>
              </w:rPr>
              <w:t>New Jersey</w:t>
            </w:r>
          </w:p>
        </w:tc>
        <w:tc>
          <w:tcPr>
            <w:tcW w:w="820" w:type="dxa"/>
            <w:vAlign w:val="bottom"/>
            <w:shd w:val="clear" w:color="auto" w:fill="CCEEFF"/>
          </w:tcPr>
          <w:p>
            <w:pPr>
              <w:jc w:val="center"/>
              <w:spacing w:after="0" w:line="120" w:lineRule="exact"/>
              <w:rPr>
                <w:sz w:val="20"/>
                <w:szCs w:val="20"/>
                <w:color w:val="auto"/>
              </w:rPr>
            </w:pPr>
            <w:r>
              <w:rPr>
                <w:rFonts w:ascii="Arial" w:cs="Arial" w:eastAsia="Arial" w:hAnsi="Arial"/>
                <w:sz w:val="12"/>
                <w:szCs w:val="12"/>
                <w:color w:val="auto"/>
                <w:w w:val="89"/>
              </w:rPr>
              <w:t>1</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20" w:lineRule="exact"/>
              <w:rPr>
                <w:sz w:val="20"/>
                <w:szCs w:val="20"/>
                <w:color w:val="auto"/>
              </w:rPr>
            </w:pPr>
            <w:r>
              <w:rPr>
                <w:rFonts w:ascii="Arial" w:cs="Arial" w:eastAsia="Arial" w:hAnsi="Arial"/>
                <w:sz w:val="12"/>
                <w:szCs w:val="12"/>
                <w:color w:val="auto"/>
                <w:w w:val="89"/>
              </w:rPr>
              <w:t>12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center"/>
              <w:ind w:left="262"/>
              <w:spacing w:after="0" w:line="120" w:lineRule="exact"/>
              <w:rPr>
                <w:sz w:val="20"/>
                <w:szCs w:val="20"/>
                <w:color w:val="auto"/>
              </w:rPr>
            </w:pPr>
            <w:r>
              <w:rPr>
                <w:rFonts w:ascii="Arial" w:cs="Arial" w:eastAsia="Arial" w:hAnsi="Arial"/>
                <w:sz w:val="12"/>
                <w:szCs w:val="12"/>
                <w:color w:val="auto"/>
                <w:w w:val="89"/>
              </w:rPr>
              <w:t>1</w:t>
            </w: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280" w:type="dxa"/>
            <w:vAlign w:val="bottom"/>
            <w:gridSpan w:val="2"/>
            <w:shd w:val="clear" w:color="auto" w:fill="CCEEFF"/>
          </w:tcPr>
          <w:p>
            <w:pPr>
              <w:ind w:left="160"/>
              <w:spacing w:after="0" w:line="120" w:lineRule="exact"/>
              <w:rPr>
                <w:sz w:val="20"/>
                <w:szCs w:val="20"/>
                <w:color w:val="auto"/>
              </w:rPr>
            </w:pPr>
            <w:r>
              <w:rPr>
                <w:rFonts w:ascii="Arial" w:cs="Arial" w:eastAsia="Arial" w:hAnsi="Arial"/>
                <w:sz w:val="12"/>
                <w:szCs w:val="12"/>
                <w:color w:val="auto"/>
              </w:rPr>
              <w:t>Reading Cinemas</w:t>
            </w:r>
          </w:p>
        </w:tc>
      </w:tr>
      <w:tr>
        <w:trPr>
          <w:trHeight w:val="119"/>
        </w:trPr>
        <w:tc>
          <w:tcPr>
            <w:tcW w:w="1780" w:type="dxa"/>
            <w:vAlign w:val="bottom"/>
          </w:tcPr>
          <w:p>
            <w:pPr>
              <w:spacing w:after="0"/>
              <w:rPr>
                <w:sz w:val="10"/>
                <w:szCs w:val="10"/>
                <w:color w:val="auto"/>
              </w:rPr>
            </w:pPr>
          </w:p>
        </w:tc>
        <w:tc>
          <w:tcPr>
            <w:tcW w:w="2100" w:type="dxa"/>
            <w:vAlign w:val="bottom"/>
            <w:gridSpan w:val="3"/>
          </w:tcPr>
          <w:p>
            <w:pPr>
              <w:ind w:left="160"/>
              <w:spacing w:after="0" w:line="120" w:lineRule="exact"/>
              <w:rPr>
                <w:sz w:val="20"/>
                <w:szCs w:val="20"/>
                <w:color w:val="auto"/>
              </w:rPr>
            </w:pPr>
            <w:r>
              <w:rPr>
                <w:rFonts w:ascii="Arial" w:cs="Arial" w:eastAsia="Arial" w:hAnsi="Arial"/>
                <w:sz w:val="12"/>
                <w:szCs w:val="12"/>
                <w:color w:val="auto"/>
              </w:rPr>
              <w:t>Virginia</w:t>
            </w:r>
          </w:p>
        </w:tc>
        <w:tc>
          <w:tcPr>
            <w:tcW w:w="820" w:type="dxa"/>
            <w:vAlign w:val="bottom"/>
          </w:tcPr>
          <w:p>
            <w:pPr>
              <w:jc w:val="center"/>
              <w:spacing w:after="0" w:line="120" w:lineRule="exact"/>
              <w:rPr>
                <w:sz w:val="20"/>
                <w:szCs w:val="20"/>
                <w:color w:val="auto"/>
              </w:rPr>
            </w:pPr>
            <w:r>
              <w:rPr>
                <w:rFonts w:ascii="Arial" w:cs="Arial" w:eastAsia="Arial" w:hAnsi="Arial"/>
                <w:sz w:val="12"/>
                <w:szCs w:val="12"/>
                <w:color w:val="auto"/>
                <w:w w:val="89"/>
              </w:rPr>
              <w:t>1</w:t>
            </w:r>
          </w:p>
        </w:tc>
        <w:tc>
          <w:tcPr>
            <w:tcW w:w="1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color w:val="auto"/>
                <w:w w:val="71"/>
              </w:rPr>
              <w:t>8</w:t>
            </w:r>
          </w:p>
        </w:tc>
        <w:tc>
          <w:tcPr>
            <w:tcW w:w="160" w:type="dxa"/>
            <w:vAlign w:val="bottom"/>
          </w:tcPr>
          <w:p>
            <w:pPr>
              <w:spacing w:after="0"/>
              <w:rPr>
                <w:sz w:val="10"/>
                <w:szCs w:val="10"/>
                <w:color w:val="auto"/>
              </w:rPr>
            </w:pPr>
          </w:p>
        </w:tc>
        <w:tc>
          <w:tcPr>
            <w:tcW w:w="660" w:type="dxa"/>
            <w:vAlign w:val="bottom"/>
          </w:tcPr>
          <w:p>
            <w:pPr>
              <w:jc w:val="center"/>
              <w:ind w:left="262"/>
              <w:spacing w:after="0" w:line="120" w:lineRule="exact"/>
              <w:rPr>
                <w:sz w:val="20"/>
                <w:szCs w:val="20"/>
                <w:color w:val="auto"/>
              </w:rPr>
            </w:pPr>
            <w:r>
              <w:rPr>
                <w:rFonts w:ascii="Arial" w:cs="Arial" w:eastAsia="Arial" w:hAnsi="Arial"/>
                <w:sz w:val="12"/>
                <w:szCs w:val="12"/>
                <w:color w:val="auto"/>
                <w:w w:val="89"/>
              </w:rPr>
              <w:t>1</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80" w:type="dxa"/>
            <w:vAlign w:val="bottom"/>
            <w:gridSpan w:val="2"/>
          </w:tcPr>
          <w:p>
            <w:pPr>
              <w:ind w:left="160"/>
              <w:spacing w:after="0" w:line="120" w:lineRule="exact"/>
              <w:rPr>
                <w:sz w:val="20"/>
                <w:szCs w:val="20"/>
                <w:color w:val="auto"/>
              </w:rPr>
            </w:pPr>
            <w:r>
              <w:rPr>
                <w:rFonts w:ascii="Arial" w:cs="Arial" w:eastAsia="Arial" w:hAnsi="Arial"/>
                <w:sz w:val="12"/>
                <w:szCs w:val="12"/>
                <w:color w:val="auto"/>
              </w:rPr>
              <w:t>Angelika Film Center</w:t>
            </w:r>
          </w:p>
        </w:tc>
      </w:tr>
      <w:tr>
        <w:trPr>
          <w:trHeight w:val="119"/>
        </w:trPr>
        <w:tc>
          <w:tcPr>
            <w:tcW w:w="1780" w:type="dxa"/>
            <w:vAlign w:val="bottom"/>
            <w:tcBorders>
              <w:bottom w:val="single" w:sz="8" w:color="auto"/>
            </w:tcBorders>
            <w:shd w:val="clear" w:color="auto" w:fill="CCEEFF"/>
          </w:tcPr>
          <w:p>
            <w:pPr>
              <w:spacing w:after="0"/>
              <w:rPr>
                <w:sz w:val="10"/>
                <w:szCs w:val="10"/>
                <w:color w:val="auto"/>
              </w:rPr>
            </w:pPr>
          </w:p>
        </w:tc>
        <w:tc>
          <w:tcPr>
            <w:tcW w:w="2100" w:type="dxa"/>
            <w:vAlign w:val="bottom"/>
            <w:tcBorders>
              <w:bottom w:val="single" w:sz="8" w:color="auto"/>
            </w:tcBorders>
            <w:gridSpan w:val="3"/>
            <w:shd w:val="clear" w:color="auto" w:fill="CCEEFF"/>
          </w:tcPr>
          <w:p>
            <w:pPr>
              <w:ind w:left="160"/>
              <w:spacing w:after="0" w:line="120" w:lineRule="exact"/>
              <w:rPr>
                <w:sz w:val="20"/>
                <w:szCs w:val="20"/>
                <w:color w:val="auto"/>
              </w:rPr>
            </w:pPr>
            <w:r>
              <w:rPr>
                <w:rFonts w:ascii="Arial" w:cs="Arial" w:eastAsia="Arial" w:hAnsi="Arial"/>
                <w:sz w:val="12"/>
                <w:szCs w:val="12"/>
                <w:color w:val="auto"/>
              </w:rPr>
              <w:t>Washington DC</w:t>
            </w:r>
          </w:p>
        </w:tc>
        <w:tc>
          <w:tcPr>
            <w:tcW w:w="820" w:type="dxa"/>
            <w:vAlign w:val="bottom"/>
            <w:tcBorders>
              <w:bottom w:val="single" w:sz="8" w:color="auto"/>
            </w:tcBorders>
            <w:shd w:val="clear" w:color="auto" w:fill="CCEEFF"/>
          </w:tcPr>
          <w:p>
            <w:pPr>
              <w:jc w:val="center"/>
              <w:spacing w:after="0" w:line="120" w:lineRule="exact"/>
              <w:rPr>
                <w:sz w:val="20"/>
                <w:szCs w:val="20"/>
                <w:color w:val="auto"/>
              </w:rPr>
            </w:pPr>
            <w:r>
              <w:rPr>
                <w:rFonts w:ascii="Arial" w:cs="Arial" w:eastAsia="Arial" w:hAnsi="Arial"/>
                <w:sz w:val="12"/>
                <w:szCs w:val="12"/>
                <w:color w:val="auto"/>
                <w:w w:val="89"/>
              </w:rPr>
              <w:t>1</w:t>
            </w:r>
          </w:p>
        </w:tc>
        <w:tc>
          <w:tcPr>
            <w:tcW w:w="16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3</w:t>
            </w:r>
          </w:p>
        </w:tc>
        <w:tc>
          <w:tcPr>
            <w:tcW w:w="16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center"/>
              <w:ind w:left="262"/>
              <w:spacing w:after="0" w:line="120" w:lineRule="exact"/>
              <w:rPr>
                <w:sz w:val="20"/>
                <w:szCs w:val="20"/>
                <w:color w:val="auto"/>
              </w:rPr>
            </w:pPr>
            <w:r>
              <w:rPr>
                <w:rFonts w:ascii="Arial" w:cs="Arial" w:eastAsia="Arial" w:hAnsi="Arial"/>
                <w:sz w:val="12"/>
                <w:szCs w:val="12"/>
                <w:color w:val="auto"/>
                <w:w w:val="89"/>
              </w:rPr>
              <w:t>1</w:t>
            </w:r>
          </w:p>
        </w:tc>
        <w:tc>
          <w:tcPr>
            <w:tcW w:w="32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3280" w:type="dxa"/>
            <w:vAlign w:val="bottom"/>
            <w:tcBorders>
              <w:bottom w:val="single" w:sz="8" w:color="auto"/>
            </w:tcBorders>
            <w:gridSpan w:val="2"/>
            <w:shd w:val="clear" w:color="auto" w:fill="CCEEFF"/>
          </w:tcPr>
          <w:p>
            <w:pPr>
              <w:ind w:left="160"/>
              <w:spacing w:after="0" w:line="120" w:lineRule="exact"/>
              <w:rPr>
                <w:sz w:val="20"/>
                <w:szCs w:val="20"/>
                <w:color w:val="auto"/>
              </w:rPr>
            </w:pPr>
            <w:r>
              <w:rPr>
                <w:rFonts w:ascii="Arial" w:cs="Arial" w:eastAsia="Arial" w:hAnsi="Arial"/>
                <w:sz w:val="12"/>
                <w:szCs w:val="12"/>
                <w:color w:val="auto"/>
              </w:rPr>
              <w:t>Angelika Film Center</w:t>
            </w:r>
          </w:p>
        </w:tc>
      </w:tr>
      <w:tr>
        <w:trPr>
          <w:trHeight w:val="110"/>
        </w:trPr>
        <w:tc>
          <w:tcPr>
            <w:tcW w:w="1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gridSpan w:val="2"/>
          </w:tcPr>
          <w:p>
            <w:pPr>
              <w:ind w:left="100"/>
              <w:spacing w:after="0" w:line="110" w:lineRule="exact"/>
              <w:rPr>
                <w:sz w:val="20"/>
                <w:szCs w:val="20"/>
                <w:color w:val="auto"/>
              </w:rPr>
            </w:pPr>
            <w:r>
              <w:rPr>
                <w:rFonts w:ascii="Arial" w:cs="Arial" w:eastAsia="Arial" w:hAnsi="Arial"/>
                <w:sz w:val="12"/>
                <w:szCs w:val="12"/>
                <w:b w:val="1"/>
                <w:bCs w:val="1"/>
                <w:i w:val="1"/>
                <w:iCs w:val="1"/>
                <w:color w:val="auto"/>
              </w:rPr>
              <w:t>U.S. Total</w:t>
            </w:r>
          </w:p>
        </w:tc>
        <w:tc>
          <w:tcPr>
            <w:tcW w:w="820" w:type="dxa"/>
            <w:vAlign w:val="bottom"/>
            <w:tcBorders>
              <w:bottom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74"/>
              </w:rPr>
              <w:t>24</w:t>
            </w: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79"/>
              </w:rPr>
              <w:t>238</w:t>
            </w: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left="282"/>
              <w:spacing w:after="0" w:line="110" w:lineRule="exact"/>
              <w:rPr>
                <w:sz w:val="20"/>
                <w:szCs w:val="20"/>
                <w:color w:val="auto"/>
              </w:rPr>
            </w:pPr>
            <w:r>
              <w:rPr>
                <w:rFonts w:ascii="Arial" w:cs="Arial" w:eastAsia="Arial" w:hAnsi="Arial"/>
                <w:sz w:val="12"/>
                <w:szCs w:val="12"/>
                <w:b w:val="1"/>
                <w:bCs w:val="1"/>
                <w:color w:val="auto"/>
                <w:w w:val="89"/>
              </w:rPr>
              <w:t>23</w:t>
            </w:r>
          </w:p>
        </w:tc>
        <w:tc>
          <w:tcPr>
            <w:tcW w:w="1480" w:type="dxa"/>
            <w:vAlign w:val="bottom"/>
            <w:tcBorders>
              <w:bottom w:val="single" w:sz="8" w:color="auto"/>
            </w:tcBorders>
            <w:gridSpan w:val="3"/>
          </w:tcPr>
          <w:p>
            <w:pPr>
              <w:jc w:val="center"/>
              <w:ind w:left="442"/>
              <w:spacing w:after="0" w:line="110" w:lineRule="exact"/>
              <w:rPr>
                <w:sz w:val="20"/>
                <w:szCs w:val="20"/>
                <w:color w:val="auto"/>
              </w:rPr>
            </w:pPr>
            <w:r>
              <w:rPr>
                <w:rFonts w:ascii="Arial" w:cs="Arial" w:eastAsia="Arial" w:hAnsi="Arial"/>
                <w:sz w:val="12"/>
                <w:szCs w:val="12"/>
                <w:b w:val="1"/>
                <w:bCs w:val="1"/>
                <w:color w:val="auto"/>
                <w:w w:val="89"/>
              </w:rPr>
              <w:t>1</w:t>
            </w:r>
          </w:p>
        </w:tc>
        <w:tc>
          <w:tcPr>
            <w:tcW w:w="16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r>
      <w:tr>
        <w:trPr>
          <w:trHeight w:val="110"/>
        </w:trPr>
        <w:tc>
          <w:tcPr>
            <w:tcW w:w="1780" w:type="dxa"/>
            <w:vAlign w:val="bottom"/>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Australia</w:t>
            </w:r>
          </w:p>
        </w:tc>
        <w:tc>
          <w:tcPr>
            <w:tcW w:w="2100" w:type="dxa"/>
            <w:vAlign w:val="bottom"/>
            <w:gridSpan w:val="3"/>
            <w:shd w:val="clear" w:color="auto" w:fill="CCEEFF"/>
          </w:tcPr>
          <w:p>
            <w:pPr>
              <w:ind w:left="160"/>
              <w:spacing w:after="0" w:line="110" w:lineRule="exact"/>
              <w:rPr>
                <w:sz w:val="20"/>
                <w:szCs w:val="20"/>
                <w:color w:val="auto"/>
              </w:rPr>
            </w:pPr>
            <w:r>
              <w:rPr>
                <w:rFonts w:ascii="Arial" w:cs="Arial" w:eastAsia="Arial" w:hAnsi="Arial"/>
                <w:sz w:val="12"/>
                <w:szCs w:val="12"/>
                <w:color w:val="auto"/>
              </w:rPr>
              <w:t>Victoria</w:t>
            </w:r>
          </w:p>
        </w:tc>
        <w:tc>
          <w:tcPr>
            <w:tcW w:w="820" w:type="dxa"/>
            <w:vAlign w:val="bottom"/>
            <w:shd w:val="clear" w:color="auto" w:fill="CCEEFF"/>
          </w:tcPr>
          <w:p>
            <w:pPr>
              <w:jc w:val="center"/>
              <w:spacing w:after="0" w:line="110" w:lineRule="exact"/>
              <w:rPr>
                <w:sz w:val="20"/>
                <w:szCs w:val="20"/>
                <w:color w:val="auto"/>
              </w:rPr>
            </w:pPr>
            <w:r>
              <w:rPr>
                <w:rFonts w:ascii="Arial" w:cs="Arial" w:eastAsia="Arial" w:hAnsi="Arial"/>
                <w:sz w:val="12"/>
                <w:szCs w:val="12"/>
                <w:color w:val="auto"/>
                <w:w w:val="89"/>
              </w:rPr>
              <w:t>9</w:t>
            </w: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jc w:val="center"/>
              <w:spacing w:after="0" w:line="110" w:lineRule="exact"/>
              <w:rPr>
                <w:sz w:val="20"/>
                <w:szCs w:val="20"/>
                <w:color w:val="auto"/>
              </w:rPr>
            </w:pPr>
            <w:r>
              <w:rPr>
                <w:rFonts w:ascii="Arial" w:cs="Arial" w:eastAsia="Arial" w:hAnsi="Arial"/>
                <w:sz w:val="12"/>
                <w:szCs w:val="12"/>
                <w:color w:val="auto"/>
                <w:w w:val="89"/>
              </w:rPr>
              <w:t>62</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center"/>
              <w:ind w:left="262"/>
              <w:spacing w:after="0" w:line="110" w:lineRule="exact"/>
              <w:rPr>
                <w:sz w:val="20"/>
                <w:szCs w:val="20"/>
                <w:color w:val="auto"/>
              </w:rPr>
            </w:pPr>
            <w:r>
              <w:rPr>
                <w:rFonts w:ascii="Arial" w:cs="Arial" w:eastAsia="Arial" w:hAnsi="Arial"/>
                <w:sz w:val="12"/>
                <w:szCs w:val="12"/>
                <w:color w:val="auto"/>
                <w:w w:val="89"/>
              </w:rPr>
              <w:t>9</w:t>
            </w: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280" w:type="dxa"/>
            <w:vAlign w:val="bottom"/>
            <w:gridSpan w:val="2"/>
            <w:shd w:val="clear" w:color="auto" w:fill="CCEEFF"/>
          </w:tcPr>
          <w:p>
            <w:pPr>
              <w:ind w:left="160"/>
              <w:spacing w:after="0" w:line="110" w:lineRule="exact"/>
              <w:rPr>
                <w:sz w:val="20"/>
                <w:szCs w:val="20"/>
                <w:color w:val="auto"/>
              </w:rPr>
            </w:pPr>
            <w:r>
              <w:rPr>
                <w:rFonts w:ascii="Arial" w:cs="Arial" w:eastAsia="Arial" w:hAnsi="Arial"/>
                <w:sz w:val="12"/>
                <w:szCs w:val="12"/>
                <w:color w:val="auto"/>
              </w:rPr>
              <w:t>Reading Cinemas</w:t>
            </w:r>
          </w:p>
        </w:tc>
      </w:tr>
      <w:tr>
        <w:trPr>
          <w:trHeight w:val="119"/>
        </w:trPr>
        <w:tc>
          <w:tcPr>
            <w:tcW w:w="1780" w:type="dxa"/>
            <w:vAlign w:val="bottom"/>
          </w:tcPr>
          <w:p>
            <w:pPr>
              <w:spacing w:after="0"/>
              <w:rPr>
                <w:sz w:val="10"/>
                <w:szCs w:val="10"/>
                <w:color w:val="auto"/>
              </w:rPr>
            </w:pPr>
          </w:p>
        </w:tc>
        <w:tc>
          <w:tcPr>
            <w:tcW w:w="2100" w:type="dxa"/>
            <w:vAlign w:val="bottom"/>
            <w:gridSpan w:val="3"/>
          </w:tcPr>
          <w:p>
            <w:pPr>
              <w:ind w:left="160"/>
              <w:spacing w:after="0" w:line="120" w:lineRule="exact"/>
              <w:rPr>
                <w:sz w:val="20"/>
                <w:szCs w:val="20"/>
                <w:color w:val="auto"/>
              </w:rPr>
            </w:pPr>
            <w:r>
              <w:rPr>
                <w:rFonts w:ascii="Arial" w:cs="Arial" w:eastAsia="Arial" w:hAnsi="Arial"/>
                <w:sz w:val="12"/>
                <w:szCs w:val="12"/>
                <w:color w:val="auto"/>
              </w:rPr>
              <w:t>New South Wales</w:t>
            </w:r>
          </w:p>
        </w:tc>
        <w:tc>
          <w:tcPr>
            <w:tcW w:w="820" w:type="dxa"/>
            <w:vAlign w:val="bottom"/>
          </w:tcPr>
          <w:p>
            <w:pPr>
              <w:jc w:val="center"/>
              <w:spacing w:after="0" w:line="120" w:lineRule="exact"/>
              <w:rPr>
                <w:sz w:val="20"/>
                <w:szCs w:val="20"/>
                <w:color w:val="auto"/>
              </w:rPr>
            </w:pPr>
            <w:r>
              <w:rPr>
                <w:rFonts w:ascii="Arial" w:cs="Arial" w:eastAsia="Arial" w:hAnsi="Arial"/>
                <w:sz w:val="12"/>
                <w:szCs w:val="12"/>
                <w:color w:val="auto"/>
                <w:w w:val="89"/>
              </w:rPr>
              <w:t>6</w:t>
            </w:r>
          </w:p>
        </w:tc>
        <w:tc>
          <w:tcPr>
            <w:tcW w:w="160" w:type="dxa"/>
            <w:vAlign w:val="bottom"/>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Arial" w:cs="Arial" w:eastAsia="Arial" w:hAnsi="Arial"/>
                <w:sz w:val="12"/>
                <w:szCs w:val="12"/>
                <w:color w:val="auto"/>
                <w:w w:val="89"/>
              </w:rPr>
              <w:t>44</w:t>
            </w:r>
          </w:p>
        </w:tc>
        <w:tc>
          <w:tcPr>
            <w:tcW w:w="160" w:type="dxa"/>
            <w:vAlign w:val="bottom"/>
          </w:tcPr>
          <w:p>
            <w:pPr>
              <w:spacing w:after="0"/>
              <w:rPr>
                <w:sz w:val="10"/>
                <w:szCs w:val="10"/>
                <w:color w:val="auto"/>
              </w:rPr>
            </w:pPr>
          </w:p>
        </w:tc>
        <w:tc>
          <w:tcPr>
            <w:tcW w:w="660" w:type="dxa"/>
            <w:vAlign w:val="bottom"/>
          </w:tcPr>
          <w:p>
            <w:pPr>
              <w:jc w:val="center"/>
              <w:ind w:left="262"/>
              <w:spacing w:after="0" w:line="120" w:lineRule="exact"/>
              <w:rPr>
                <w:sz w:val="20"/>
                <w:szCs w:val="20"/>
                <w:color w:val="auto"/>
              </w:rPr>
            </w:pPr>
            <w:r>
              <w:rPr>
                <w:rFonts w:ascii="Arial" w:cs="Arial" w:eastAsia="Arial" w:hAnsi="Arial"/>
                <w:sz w:val="12"/>
                <w:szCs w:val="12"/>
                <w:color w:val="auto"/>
                <w:w w:val="89"/>
              </w:rPr>
              <w:t>5</w:t>
            </w:r>
          </w:p>
        </w:tc>
        <w:tc>
          <w:tcPr>
            <w:tcW w:w="1480" w:type="dxa"/>
            <w:vAlign w:val="bottom"/>
            <w:gridSpan w:val="3"/>
          </w:tcPr>
          <w:p>
            <w:pPr>
              <w:jc w:val="center"/>
              <w:ind w:left="442"/>
              <w:spacing w:after="0" w:line="120" w:lineRule="exact"/>
              <w:rPr>
                <w:sz w:val="20"/>
                <w:szCs w:val="20"/>
                <w:color w:val="auto"/>
              </w:rPr>
            </w:pPr>
            <w:r>
              <w:rPr>
                <w:rFonts w:ascii="Arial" w:cs="Arial" w:eastAsia="Arial" w:hAnsi="Arial"/>
                <w:sz w:val="12"/>
                <w:szCs w:val="12"/>
                <w:color w:val="auto"/>
                <w:w w:val="89"/>
              </w:rPr>
              <w:t>1</w:t>
            </w:r>
          </w:p>
        </w:tc>
        <w:tc>
          <w:tcPr>
            <w:tcW w:w="3280" w:type="dxa"/>
            <w:vAlign w:val="bottom"/>
            <w:gridSpan w:val="2"/>
          </w:tcPr>
          <w:p>
            <w:pPr>
              <w:ind w:left="160"/>
              <w:spacing w:after="0" w:line="120" w:lineRule="exact"/>
              <w:rPr>
                <w:sz w:val="20"/>
                <w:szCs w:val="20"/>
                <w:color w:val="auto"/>
              </w:rPr>
            </w:pPr>
            <w:r>
              <w:rPr>
                <w:rFonts w:ascii="Arial" w:cs="Arial" w:eastAsia="Arial" w:hAnsi="Arial"/>
                <w:sz w:val="12"/>
                <w:szCs w:val="12"/>
                <w:color w:val="auto"/>
              </w:rPr>
              <w:t>Reading Cinemas</w:t>
            </w:r>
          </w:p>
        </w:tc>
      </w:tr>
      <w:tr>
        <w:trPr>
          <w:trHeight w:val="152"/>
        </w:trPr>
        <w:tc>
          <w:tcPr>
            <w:tcW w:w="1780" w:type="dxa"/>
            <w:vAlign w:val="bottom"/>
            <w:shd w:val="clear" w:color="auto" w:fill="CCEEFF"/>
          </w:tcPr>
          <w:p>
            <w:pPr>
              <w:spacing w:after="0"/>
              <w:rPr>
                <w:sz w:val="13"/>
                <w:szCs w:val="13"/>
                <w:color w:val="auto"/>
              </w:rPr>
            </w:pPr>
          </w:p>
        </w:tc>
        <w:tc>
          <w:tcPr>
            <w:tcW w:w="21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Queensland</w:t>
            </w:r>
          </w:p>
        </w:tc>
        <w:tc>
          <w:tcPr>
            <w:tcW w:w="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6</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56</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center"/>
              <w:ind w:left="262"/>
              <w:spacing w:after="0"/>
              <w:rPr>
                <w:sz w:val="20"/>
                <w:szCs w:val="20"/>
                <w:color w:val="auto"/>
              </w:rPr>
            </w:pPr>
            <w:r>
              <w:rPr>
                <w:rFonts w:ascii="Arial" w:cs="Arial" w:eastAsia="Arial" w:hAnsi="Arial"/>
                <w:sz w:val="12"/>
                <w:szCs w:val="12"/>
                <w:color w:val="auto"/>
                <w:w w:val="89"/>
              </w:rPr>
              <w:t>3</w:t>
            </w:r>
          </w:p>
        </w:tc>
        <w:tc>
          <w:tcPr>
            <w:tcW w:w="1480" w:type="dxa"/>
            <w:vAlign w:val="bottom"/>
            <w:gridSpan w:val="3"/>
            <w:shd w:val="clear" w:color="auto" w:fill="CCEEFF"/>
          </w:tcPr>
          <w:p>
            <w:pPr>
              <w:jc w:val="center"/>
              <w:ind w:left="442"/>
              <w:spacing w:after="0"/>
              <w:rPr>
                <w:sz w:val="20"/>
                <w:szCs w:val="20"/>
                <w:color w:val="auto"/>
              </w:rPr>
            </w:pPr>
            <w:r>
              <w:rPr>
                <w:rFonts w:ascii="Arial" w:cs="Arial" w:eastAsia="Arial" w:hAnsi="Arial"/>
                <w:sz w:val="12"/>
                <w:szCs w:val="12"/>
                <w:color w:val="auto"/>
                <w:w w:val="89"/>
              </w:rPr>
              <w:t>3</w:t>
            </w:r>
          </w:p>
        </w:tc>
        <w:tc>
          <w:tcPr>
            <w:tcW w:w="3280" w:type="dxa"/>
            <w:vAlign w:val="bottom"/>
            <w:gridSpan w:val="2"/>
            <w:shd w:val="clear" w:color="auto" w:fill="CCEEFF"/>
          </w:tcPr>
          <w:p>
            <w:pPr>
              <w:ind w:left="160"/>
              <w:spacing w:after="0" w:line="152" w:lineRule="exact"/>
              <w:rPr>
                <w:sz w:val="20"/>
                <w:szCs w:val="20"/>
                <w:color w:val="auto"/>
              </w:rPr>
            </w:pPr>
            <w:r>
              <w:rPr>
                <w:rFonts w:ascii="Arial" w:cs="Arial" w:eastAsia="Arial" w:hAnsi="Arial"/>
                <w:sz w:val="11"/>
                <w:szCs w:val="11"/>
                <w:color w:val="auto"/>
              </w:rPr>
              <w:t>Reading Cinemas, Event Cinemas</w:t>
            </w:r>
            <w:r>
              <w:rPr>
                <w:rFonts w:ascii="Arial" w:cs="Arial" w:eastAsia="Arial" w:hAnsi="Arial"/>
                <w:sz w:val="17"/>
                <w:szCs w:val="17"/>
                <w:color w:val="auto"/>
                <w:vertAlign w:val="superscript"/>
              </w:rPr>
              <w:t>(1)</w:t>
            </w:r>
          </w:p>
        </w:tc>
      </w:tr>
      <w:tr>
        <w:trPr>
          <w:trHeight w:val="119"/>
        </w:trPr>
        <w:tc>
          <w:tcPr>
            <w:tcW w:w="1780" w:type="dxa"/>
            <w:vAlign w:val="bottom"/>
          </w:tcPr>
          <w:p>
            <w:pPr>
              <w:spacing w:after="0"/>
              <w:rPr>
                <w:sz w:val="10"/>
                <w:szCs w:val="10"/>
                <w:color w:val="auto"/>
              </w:rPr>
            </w:pPr>
          </w:p>
        </w:tc>
        <w:tc>
          <w:tcPr>
            <w:tcW w:w="2100" w:type="dxa"/>
            <w:vAlign w:val="bottom"/>
            <w:gridSpan w:val="3"/>
          </w:tcPr>
          <w:p>
            <w:pPr>
              <w:ind w:left="160"/>
              <w:spacing w:after="0" w:line="120" w:lineRule="exact"/>
              <w:rPr>
                <w:sz w:val="20"/>
                <w:szCs w:val="20"/>
                <w:color w:val="auto"/>
              </w:rPr>
            </w:pPr>
            <w:r>
              <w:rPr>
                <w:rFonts w:ascii="Arial" w:cs="Arial" w:eastAsia="Arial" w:hAnsi="Arial"/>
                <w:sz w:val="12"/>
                <w:szCs w:val="12"/>
                <w:color w:val="auto"/>
              </w:rPr>
              <w:t>Western Australia</w:t>
            </w:r>
          </w:p>
        </w:tc>
        <w:tc>
          <w:tcPr>
            <w:tcW w:w="820" w:type="dxa"/>
            <w:vAlign w:val="bottom"/>
          </w:tcPr>
          <w:p>
            <w:pPr>
              <w:jc w:val="center"/>
              <w:spacing w:after="0" w:line="120" w:lineRule="exact"/>
              <w:rPr>
                <w:sz w:val="20"/>
                <w:szCs w:val="20"/>
                <w:color w:val="auto"/>
              </w:rPr>
            </w:pPr>
            <w:r>
              <w:rPr>
                <w:rFonts w:ascii="Arial" w:cs="Arial" w:eastAsia="Arial" w:hAnsi="Arial"/>
                <w:sz w:val="12"/>
                <w:szCs w:val="12"/>
                <w:color w:val="auto"/>
                <w:w w:val="89"/>
              </w:rPr>
              <w:t>2</w:t>
            </w:r>
          </w:p>
        </w:tc>
        <w:tc>
          <w:tcPr>
            <w:tcW w:w="160" w:type="dxa"/>
            <w:vAlign w:val="bottom"/>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Arial" w:cs="Arial" w:eastAsia="Arial" w:hAnsi="Arial"/>
                <w:sz w:val="12"/>
                <w:szCs w:val="12"/>
                <w:color w:val="auto"/>
                <w:w w:val="89"/>
              </w:rPr>
              <w:t>16</w:t>
            </w:r>
          </w:p>
        </w:tc>
        <w:tc>
          <w:tcPr>
            <w:tcW w:w="160" w:type="dxa"/>
            <w:vAlign w:val="bottom"/>
          </w:tcPr>
          <w:p>
            <w:pPr>
              <w:spacing w:after="0"/>
              <w:rPr>
                <w:sz w:val="10"/>
                <w:szCs w:val="10"/>
                <w:color w:val="auto"/>
              </w:rPr>
            </w:pPr>
          </w:p>
        </w:tc>
        <w:tc>
          <w:tcPr>
            <w:tcW w:w="660" w:type="dxa"/>
            <w:vAlign w:val="bottom"/>
          </w:tcPr>
          <w:p>
            <w:pPr>
              <w:jc w:val="center"/>
              <w:ind w:left="262"/>
              <w:spacing w:after="0" w:line="120" w:lineRule="exact"/>
              <w:rPr>
                <w:sz w:val="20"/>
                <w:szCs w:val="20"/>
                <w:color w:val="auto"/>
              </w:rPr>
            </w:pPr>
            <w:r>
              <w:rPr>
                <w:rFonts w:ascii="Arial" w:cs="Arial" w:eastAsia="Arial" w:hAnsi="Arial"/>
                <w:sz w:val="12"/>
                <w:szCs w:val="12"/>
                <w:color w:val="auto"/>
                <w:w w:val="89"/>
              </w:rPr>
              <w:t>1</w:t>
            </w:r>
          </w:p>
        </w:tc>
        <w:tc>
          <w:tcPr>
            <w:tcW w:w="1480" w:type="dxa"/>
            <w:vAlign w:val="bottom"/>
            <w:gridSpan w:val="3"/>
          </w:tcPr>
          <w:p>
            <w:pPr>
              <w:jc w:val="center"/>
              <w:ind w:left="442"/>
              <w:spacing w:after="0" w:line="120" w:lineRule="exact"/>
              <w:rPr>
                <w:sz w:val="20"/>
                <w:szCs w:val="20"/>
                <w:color w:val="auto"/>
              </w:rPr>
            </w:pPr>
            <w:r>
              <w:rPr>
                <w:rFonts w:ascii="Arial" w:cs="Arial" w:eastAsia="Arial" w:hAnsi="Arial"/>
                <w:sz w:val="12"/>
                <w:szCs w:val="12"/>
                <w:color w:val="auto"/>
                <w:w w:val="89"/>
              </w:rPr>
              <w:t>1</w:t>
            </w:r>
          </w:p>
        </w:tc>
        <w:tc>
          <w:tcPr>
            <w:tcW w:w="3280" w:type="dxa"/>
            <w:vAlign w:val="bottom"/>
            <w:gridSpan w:val="2"/>
          </w:tcPr>
          <w:p>
            <w:pPr>
              <w:ind w:left="160"/>
              <w:spacing w:after="0" w:line="120" w:lineRule="exact"/>
              <w:rPr>
                <w:sz w:val="20"/>
                <w:szCs w:val="20"/>
                <w:color w:val="auto"/>
              </w:rPr>
            </w:pPr>
            <w:r>
              <w:rPr>
                <w:rFonts w:ascii="Arial" w:cs="Arial" w:eastAsia="Arial" w:hAnsi="Arial"/>
                <w:sz w:val="12"/>
                <w:szCs w:val="12"/>
                <w:color w:val="auto"/>
              </w:rPr>
              <w:t>Reading Cinemas</w:t>
            </w:r>
          </w:p>
        </w:tc>
      </w:tr>
      <w:tr>
        <w:trPr>
          <w:trHeight w:val="119"/>
        </w:trPr>
        <w:tc>
          <w:tcPr>
            <w:tcW w:w="1780" w:type="dxa"/>
            <w:vAlign w:val="bottom"/>
            <w:shd w:val="clear" w:color="auto" w:fill="CCEEFF"/>
          </w:tcPr>
          <w:p>
            <w:pPr>
              <w:spacing w:after="0"/>
              <w:rPr>
                <w:sz w:val="10"/>
                <w:szCs w:val="10"/>
                <w:color w:val="auto"/>
              </w:rPr>
            </w:pPr>
          </w:p>
        </w:tc>
        <w:tc>
          <w:tcPr>
            <w:tcW w:w="2100" w:type="dxa"/>
            <w:vAlign w:val="bottom"/>
            <w:gridSpan w:val="3"/>
            <w:shd w:val="clear" w:color="auto" w:fill="CCEEFF"/>
          </w:tcPr>
          <w:p>
            <w:pPr>
              <w:ind w:left="160"/>
              <w:spacing w:after="0" w:line="120" w:lineRule="exact"/>
              <w:rPr>
                <w:sz w:val="20"/>
                <w:szCs w:val="20"/>
                <w:color w:val="auto"/>
              </w:rPr>
            </w:pPr>
            <w:r>
              <w:rPr>
                <w:rFonts w:ascii="Arial" w:cs="Arial" w:eastAsia="Arial" w:hAnsi="Arial"/>
                <w:sz w:val="12"/>
                <w:szCs w:val="12"/>
                <w:color w:val="auto"/>
              </w:rPr>
              <w:t>South Australia</w:t>
            </w:r>
          </w:p>
        </w:tc>
        <w:tc>
          <w:tcPr>
            <w:tcW w:w="820" w:type="dxa"/>
            <w:vAlign w:val="bottom"/>
            <w:shd w:val="clear" w:color="auto" w:fill="CCEEFF"/>
          </w:tcPr>
          <w:p>
            <w:pPr>
              <w:jc w:val="center"/>
              <w:spacing w:after="0" w:line="120" w:lineRule="exact"/>
              <w:rPr>
                <w:sz w:val="20"/>
                <w:szCs w:val="20"/>
                <w:color w:val="auto"/>
              </w:rPr>
            </w:pPr>
            <w:r>
              <w:rPr>
                <w:rFonts w:ascii="Arial" w:cs="Arial" w:eastAsia="Arial" w:hAnsi="Arial"/>
                <w:sz w:val="12"/>
                <w:szCs w:val="12"/>
                <w:color w:val="auto"/>
                <w:w w:val="89"/>
              </w:rPr>
              <w:t>2</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20" w:lineRule="exact"/>
              <w:rPr>
                <w:sz w:val="20"/>
                <w:szCs w:val="20"/>
                <w:color w:val="auto"/>
              </w:rPr>
            </w:pPr>
            <w:r>
              <w:rPr>
                <w:rFonts w:ascii="Arial" w:cs="Arial" w:eastAsia="Arial" w:hAnsi="Arial"/>
                <w:sz w:val="12"/>
                <w:szCs w:val="12"/>
                <w:color w:val="auto"/>
                <w:w w:val="89"/>
              </w:rPr>
              <w:t>15</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center"/>
              <w:ind w:left="262"/>
              <w:spacing w:after="0" w:line="120" w:lineRule="exact"/>
              <w:rPr>
                <w:sz w:val="20"/>
                <w:szCs w:val="20"/>
                <w:color w:val="auto"/>
              </w:rPr>
            </w:pPr>
            <w:r>
              <w:rPr>
                <w:rFonts w:ascii="Arial" w:cs="Arial" w:eastAsia="Arial" w:hAnsi="Arial"/>
                <w:sz w:val="12"/>
                <w:szCs w:val="12"/>
                <w:color w:val="auto"/>
                <w:w w:val="89"/>
              </w:rPr>
              <w:t>2</w:t>
            </w: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280" w:type="dxa"/>
            <w:vAlign w:val="bottom"/>
            <w:gridSpan w:val="2"/>
            <w:shd w:val="clear" w:color="auto" w:fill="CCEEFF"/>
          </w:tcPr>
          <w:p>
            <w:pPr>
              <w:ind w:left="160"/>
              <w:spacing w:after="0" w:line="120" w:lineRule="exact"/>
              <w:rPr>
                <w:sz w:val="20"/>
                <w:szCs w:val="20"/>
                <w:color w:val="auto"/>
              </w:rPr>
            </w:pPr>
            <w:r>
              <w:rPr>
                <w:rFonts w:ascii="Arial" w:cs="Arial" w:eastAsia="Arial" w:hAnsi="Arial"/>
                <w:sz w:val="12"/>
                <w:szCs w:val="12"/>
                <w:color w:val="auto"/>
              </w:rPr>
              <w:t>Reading Cinemas</w:t>
            </w:r>
          </w:p>
        </w:tc>
      </w:tr>
      <w:tr>
        <w:trPr>
          <w:trHeight w:val="119"/>
        </w:trPr>
        <w:tc>
          <w:tcPr>
            <w:tcW w:w="178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3"/>
          </w:tcPr>
          <w:p>
            <w:pPr>
              <w:ind w:left="160"/>
              <w:spacing w:after="0" w:line="120" w:lineRule="exact"/>
              <w:rPr>
                <w:sz w:val="20"/>
                <w:szCs w:val="20"/>
                <w:color w:val="auto"/>
              </w:rPr>
            </w:pPr>
            <w:r>
              <w:rPr>
                <w:rFonts w:ascii="Arial" w:cs="Arial" w:eastAsia="Arial" w:hAnsi="Arial"/>
                <w:sz w:val="12"/>
                <w:szCs w:val="12"/>
                <w:color w:val="auto"/>
              </w:rPr>
              <w:t>Tasmania</w:t>
            </w:r>
          </w:p>
        </w:tc>
        <w:tc>
          <w:tcPr>
            <w:tcW w:w="820" w:type="dxa"/>
            <w:vAlign w:val="bottom"/>
            <w:tcBorders>
              <w:bottom w:val="single" w:sz="8" w:color="auto"/>
            </w:tcBorders>
          </w:tcPr>
          <w:p>
            <w:pPr>
              <w:jc w:val="center"/>
              <w:spacing w:after="0" w:line="120" w:lineRule="exact"/>
              <w:rPr>
                <w:sz w:val="20"/>
                <w:szCs w:val="20"/>
                <w:color w:val="auto"/>
              </w:rPr>
            </w:pPr>
            <w:r>
              <w:rPr>
                <w:rFonts w:ascii="Arial" w:cs="Arial" w:eastAsia="Arial" w:hAnsi="Arial"/>
                <w:sz w:val="12"/>
                <w:szCs w:val="12"/>
                <w:color w:val="auto"/>
                <w:w w:val="89"/>
              </w:rPr>
              <w:t>2</w:t>
            </w: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spacing w:after="0" w:line="120" w:lineRule="exact"/>
              <w:rPr>
                <w:sz w:val="20"/>
                <w:szCs w:val="20"/>
                <w:color w:val="auto"/>
              </w:rPr>
            </w:pPr>
            <w:r>
              <w:rPr>
                <w:rFonts w:ascii="Arial" w:cs="Arial" w:eastAsia="Arial" w:hAnsi="Arial"/>
                <w:sz w:val="12"/>
                <w:szCs w:val="12"/>
                <w:color w:val="auto"/>
                <w:w w:val="89"/>
              </w:rPr>
              <w:t>14</w:t>
            </w: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left="262"/>
              <w:spacing w:after="0" w:line="120" w:lineRule="exact"/>
              <w:rPr>
                <w:sz w:val="20"/>
                <w:szCs w:val="20"/>
                <w:color w:val="auto"/>
              </w:rPr>
            </w:pPr>
            <w:r>
              <w:rPr>
                <w:rFonts w:ascii="Arial" w:cs="Arial" w:eastAsia="Arial" w:hAnsi="Arial"/>
                <w:sz w:val="12"/>
                <w:szCs w:val="12"/>
                <w:color w:val="auto"/>
                <w:w w:val="89"/>
              </w:rPr>
              <w:t>2</w:t>
            </w: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280" w:type="dxa"/>
            <w:vAlign w:val="bottom"/>
            <w:tcBorders>
              <w:bottom w:val="single" w:sz="8" w:color="auto"/>
            </w:tcBorders>
            <w:gridSpan w:val="2"/>
          </w:tcPr>
          <w:p>
            <w:pPr>
              <w:ind w:left="160"/>
              <w:spacing w:after="0" w:line="120" w:lineRule="exact"/>
              <w:rPr>
                <w:sz w:val="20"/>
                <w:szCs w:val="20"/>
                <w:color w:val="auto"/>
              </w:rPr>
            </w:pPr>
            <w:r>
              <w:rPr>
                <w:rFonts w:ascii="Arial" w:cs="Arial" w:eastAsia="Arial" w:hAnsi="Arial"/>
                <w:sz w:val="12"/>
                <w:szCs w:val="12"/>
                <w:color w:val="auto"/>
              </w:rPr>
              <w:t>Reading Cinemas, State Cinema</w:t>
            </w:r>
          </w:p>
        </w:tc>
      </w:tr>
      <w:tr>
        <w:trPr>
          <w:trHeight w:val="110"/>
        </w:trPr>
        <w:tc>
          <w:tcPr>
            <w:tcW w:w="178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1940" w:type="dxa"/>
            <w:vAlign w:val="bottom"/>
            <w:tcBorders>
              <w:bottom w:val="single" w:sz="8" w:color="auto"/>
            </w:tcBorders>
            <w:gridSpan w:val="2"/>
            <w:shd w:val="clear" w:color="auto" w:fill="CCEEFF"/>
          </w:tcPr>
          <w:p>
            <w:pPr>
              <w:ind w:left="100"/>
              <w:spacing w:after="0" w:line="110" w:lineRule="exact"/>
              <w:rPr>
                <w:sz w:val="20"/>
                <w:szCs w:val="20"/>
                <w:color w:val="auto"/>
              </w:rPr>
            </w:pPr>
            <w:r>
              <w:rPr>
                <w:rFonts w:ascii="Arial" w:cs="Arial" w:eastAsia="Arial" w:hAnsi="Arial"/>
                <w:sz w:val="12"/>
                <w:szCs w:val="12"/>
                <w:b w:val="1"/>
                <w:bCs w:val="1"/>
                <w:i w:val="1"/>
                <w:iCs w:val="1"/>
                <w:color w:val="auto"/>
              </w:rPr>
              <w:t>Australia Total</w:t>
            </w:r>
          </w:p>
        </w:tc>
        <w:tc>
          <w:tcPr>
            <w:tcW w:w="820" w:type="dxa"/>
            <w:vAlign w:val="bottom"/>
            <w:tcBorders>
              <w:bottom w:val="single" w:sz="8" w:color="auto"/>
            </w:tcBorders>
            <w:shd w:val="clear" w:color="auto" w:fill="CCEEFF"/>
          </w:tcPr>
          <w:p>
            <w:pPr>
              <w:jc w:val="center"/>
              <w:spacing w:after="0" w:line="110" w:lineRule="exact"/>
              <w:rPr>
                <w:sz w:val="20"/>
                <w:szCs w:val="20"/>
                <w:color w:val="auto"/>
              </w:rPr>
            </w:pPr>
            <w:r>
              <w:rPr>
                <w:rFonts w:ascii="Arial" w:cs="Arial" w:eastAsia="Arial" w:hAnsi="Arial"/>
                <w:sz w:val="12"/>
                <w:szCs w:val="12"/>
                <w:b w:val="1"/>
                <w:bCs w:val="1"/>
                <w:color w:val="auto"/>
                <w:w w:val="74"/>
              </w:rPr>
              <w:t>27</w:t>
            </w:r>
          </w:p>
        </w:tc>
        <w:tc>
          <w:tcPr>
            <w:tcW w:w="160" w:type="dxa"/>
            <w:vAlign w:val="bottom"/>
            <w:tcBorders>
              <w:bottom w:val="single" w:sz="8" w:color="auto"/>
            </w:tcBorders>
            <w:shd w:val="clear" w:color="auto" w:fill="CCEEFF"/>
          </w:tcPr>
          <w:p>
            <w:pPr>
              <w:spacing w:after="0"/>
              <w:rPr>
                <w:sz w:val="9"/>
                <w:szCs w:val="9"/>
                <w:color w:val="auto"/>
              </w:rPr>
            </w:pPr>
          </w:p>
        </w:tc>
        <w:tc>
          <w:tcPr>
            <w:tcW w:w="840" w:type="dxa"/>
            <w:vAlign w:val="bottom"/>
            <w:tcBorders>
              <w:bottom w:val="single" w:sz="8" w:color="auto"/>
            </w:tcBorders>
            <w:shd w:val="clear" w:color="auto" w:fill="CCEEFF"/>
          </w:tcPr>
          <w:p>
            <w:pPr>
              <w:jc w:val="center"/>
              <w:spacing w:after="0" w:line="110" w:lineRule="exact"/>
              <w:rPr>
                <w:sz w:val="20"/>
                <w:szCs w:val="20"/>
                <w:color w:val="auto"/>
              </w:rPr>
            </w:pPr>
            <w:r>
              <w:rPr>
                <w:rFonts w:ascii="Arial" w:cs="Arial" w:eastAsia="Arial" w:hAnsi="Arial"/>
                <w:sz w:val="12"/>
                <w:szCs w:val="12"/>
                <w:b w:val="1"/>
                <w:bCs w:val="1"/>
                <w:color w:val="auto"/>
                <w:w w:val="79"/>
              </w:rPr>
              <w:t>207</w:t>
            </w:r>
          </w:p>
        </w:tc>
        <w:tc>
          <w:tcPr>
            <w:tcW w:w="160" w:type="dxa"/>
            <w:vAlign w:val="bottom"/>
            <w:tcBorders>
              <w:bottom w:val="single" w:sz="8" w:color="auto"/>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jc w:val="center"/>
              <w:ind w:left="282"/>
              <w:spacing w:after="0" w:line="110" w:lineRule="exact"/>
              <w:rPr>
                <w:sz w:val="20"/>
                <w:szCs w:val="20"/>
                <w:color w:val="auto"/>
              </w:rPr>
            </w:pPr>
            <w:r>
              <w:rPr>
                <w:rFonts w:ascii="Arial" w:cs="Arial" w:eastAsia="Arial" w:hAnsi="Arial"/>
                <w:sz w:val="12"/>
                <w:szCs w:val="12"/>
                <w:b w:val="1"/>
                <w:bCs w:val="1"/>
                <w:color w:val="auto"/>
                <w:w w:val="89"/>
              </w:rPr>
              <w:t>22</w:t>
            </w:r>
          </w:p>
        </w:tc>
        <w:tc>
          <w:tcPr>
            <w:tcW w:w="1480" w:type="dxa"/>
            <w:vAlign w:val="bottom"/>
            <w:tcBorders>
              <w:bottom w:val="single" w:sz="8" w:color="auto"/>
            </w:tcBorders>
            <w:gridSpan w:val="3"/>
            <w:shd w:val="clear" w:color="auto" w:fill="CCEEFF"/>
          </w:tcPr>
          <w:p>
            <w:pPr>
              <w:jc w:val="center"/>
              <w:ind w:left="442"/>
              <w:spacing w:after="0" w:line="110" w:lineRule="exact"/>
              <w:rPr>
                <w:sz w:val="20"/>
                <w:szCs w:val="20"/>
                <w:color w:val="auto"/>
              </w:rPr>
            </w:pPr>
            <w:r>
              <w:rPr>
                <w:rFonts w:ascii="Arial" w:cs="Arial" w:eastAsia="Arial" w:hAnsi="Arial"/>
                <w:sz w:val="12"/>
                <w:szCs w:val="12"/>
                <w:b w:val="1"/>
                <w:bCs w:val="1"/>
                <w:color w:val="auto"/>
                <w:w w:val="89"/>
              </w:rPr>
              <w:t>5</w:t>
            </w:r>
          </w:p>
        </w:tc>
        <w:tc>
          <w:tcPr>
            <w:tcW w:w="160" w:type="dxa"/>
            <w:vAlign w:val="bottom"/>
            <w:tcBorders>
              <w:bottom w:val="single" w:sz="8" w:color="auto"/>
            </w:tcBorders>
            <w:shd w:val="clear" w:color="auto" w:fill="CCEEFF"/>
          </w:tcPr>
          <w:p>
            <w:pPr>
              <w:spacing w:after="0"/>
              <w:rPr>
                <w:sz w:val="9"/>
                <w:szCs w:val="9"/>
                <w:color w:val="auto"/>
              </w:rPr>
            </w:pPr>
          </w:p>
        </w:tc>
        <w:tc>
          <w:tcPr>
            <w:tcW w:w="3120" w:type="dxa"/>
            <w:vAlign w:val="bottom"/>
            <w:tcBorders>
              <w:bottom w:val="single" w:sz="8" w:color="auto"/>
            </w:tcBorders>
            <w:shd w:val="clear" w:color="auto" w:fill="CCEEFF"/>
          </w:tcPr>
          <w:p>
            <w:pPr>
              <w:spacing w:after="0"/>
              <w:rPr>
                <w:sz w:val="9"/>
                <w:szCs w:val="9"/>
                <w:color w:val="auto"/>
              </w:rPr>
            </w:pPr>
          </w:p>
        </w:tc>
      </w:tr>
      <w:tr>
        <w:trPr>
          <w:trHeight w:val="110"/>
        </w:trPr>
        <w:tc>
          <w:tcPr>
            <w:tcW w:w="1780" w:type="dxa"/>
            <w:vAlign w:val="bottom"/>
          </w:tcPr>
          <w:p>
            <w:pPr>
              <w:spacing w:after="0" w:line="110" w:lineRule="exact"/>
              <w:rPr>
                <w:sz w:val="20"/>
                <w:szCs w:val="20"/>
                <w:color w:val="auto"/>
              </w:rPr>
            </w:pPr>
            <w:r>
              <w:rPr>
                <w:rFonts w:ascii="Arial" w:cs="Arial" w:eastAsia="Arial" w:hAnsi="Arial"/>
                <w:sz w:val="12"/>
                <w:szCs w:val="12"/>
                <w:b w:val="1"/>
                <w:bCs w:val="1"/>
                <w:color w:val="auto"/>
              </w:rPr>
              <w:t>New Zealand</w:t>
            </w:r>
          </w:p>
        </w:tc>
        <w:tc>
          <w:tcPr>
            <w:tcW w:w="2100" w:type="dxa"/>
            <w:vAlign w:val="bottom"/>
            <w:gridSpan w:val="3"/>
          </w:tcPr>
          <w:p>
            <w:pPr>
              <w:ind w:left="160"/>
              <w:spacing w:after="0" w:line="110" w:lineRule="exact"/>
              <w:rPr>
                <w:sz w:val="20"/>
                <w:szCs w:val="20"/>
                <w:color w:val="auto"/>
              </w:rPr>
            </w:pPr>
            <w:r>
              <w:rPr>
                <w:rFonts w:ascii="Arial" w:cs="Arial" w:eastAsia="Arial" w:hAnsi="Arial"/>
                <w:sz w:val="12"/>
                <w:szCs w:val="12"/>
                <w:color w:val="auto"/>
              </w:rPr>
              <w:t>Wellington</w:t>
            </w:r>
          </w:p>
        </w:tc>
        <w:tc>
          <w:tcPr>
            <w:tcW w:w="820" w:type="dxa"/>
            <w:vAlign w:val="bottom"/>
          </w:tcPr>
          <w:p>
            <w:pPr>
              <w:jc w:val="center"/>
              <w:spacing w:after="0" w:line="110" w:lineRule="exact"/>
              <w:rPr>
                <w:sz w:val="20"/>
                <w:szCs w:val="20"/>
                <w:color w:val="auto"/>
              </w:rPr>
            </w:pPr>
            <w:r>
              <w:rPr>
                <w:rFonts w:ascii="Arial" w:cs="Arial" w:eastAsia="Arial" w:hAnsi="Arial"/>
                <w:sz w:val="12"/>
                <w:szCs w:val="12"/>
                <w:color w:val="auto"/>
                <w:w w:val="89"/>
              </w:rPr>
              <w:t>3</w:t>
            </w:r>
          </w:p>
        </w:tc>
        <w:tc>
          <w:tcPr>
            <w:tcW w:w="160" w:type="dxa"/>
            <w:vAlign w:val="bottom"/>
          </w:tcPr>
          <w:p>
            <w:pPr>
              <w:spacing w:after="0"/>
              <w:rPr>
                <w:sz w:val="9"/>
                <w:szCs w:val="9"/>
                <w:color w:val="auto"/>
              </w:rPr>
            </w:pPr>
          </w:p>
        </w:tc>
        <w:tc>
          <w:tcPr>
            <w:tcW w:w="840" w:type="dxa"/>
            <w:vAlign w:val="bottom"/>
          </w:tcPr>
          <w:p>
            <w:pPr>
              <w:jc w:val="center"/>
              <w:spacing w:after="0" w:line="110" w:lineRule="exact"/>
              <w:rPr>
                <w:sz w:val="20"/>
                <w:szCs w:val="20"/>
                <w:color w:val="auto"/>
              </w:rPr>
            </w:pPr>
            <w:r>
              <w:rPr>
                <w:rFonts w:ascii="Arial" w:cs="Arial" w:eastAsia="Arial" w:hAnsi="Arial"/>
                <w:sz w:val="12"/>
                <w:szCs w:val="12"/>
                <w:color w:val="auto"/>
                <w:w w:val="89"/>
              </w:rPr>
              <w:t>18</w:t>
            </w:r>
          </w:p>
        </w:tc>
        <w:tc>
          <w:tcPr>
            <w:tcW w:w="160" w:type="dxa"/>
            <w:vAlign w:val="bottom"/>
          </w:tcPr>
          <w:p>
            <w:pPr>
              <w:spacing w:after="0"/>
              <w:rPr>
                <w:sz w:val="9"/>
                <w:szCs w:val="9"/>
                <w:color w:val="auto"/>
              </w:rPr>
            </w:pPr>
          </w:p>
        </w:tc>
        <w:tc>
          <w:tcPr>
            <w:tcW w:w="660" w:type="dxa"/>
            <w:vAlign w:val="bottom"/>
          </w:tcPr>
          <w:p>
            <w:pPr>
              <w:jc w:val="center"/>
              <w:ind w:left="262"/>
              <w:spacing w:after="0" w:line="110" w:lineRule="exact"/>
              <w:rPr>
                <w:sz w:val="20"/>
                <w:szCs w:val="20"/>
                <w:color w:val="auto"/>
              </w:rPr>
            </w:pPr>
            <w:r>
              <w:rPr>
                <w:rFonts w:ascii="Arial" w:cs="Arial" w:eastAsia="Arial" w:hAnsi="Arial"/>
                <w:sz w:val="12"/>
                <w:szCs w:val="12"/>
                <w:color w:val="auto"/>
                <w:w w:val="89"/>
              </w:rPr>
              <w:t>2</w:t>
            </w:r>
          </w:p>
        </w:tc>
        <w:tc>
          <w:tcPr>
            <w:tcW w:w="1480" w:type="dxa"/>
            <w:vAlign w:val="bottom"/>
            <w:gridSpan w:val="3"/>
          </w:tcPr>
          <w:p>
            <w:pPr>
              <w:jc w:val="center"/>
              <w:ind w:left="442"/>
              <w:spacing w:after="0" w:line="110" w:lineRule="exact"/>
              <w:rPr>
                <w:sz w:val="20"/>
                <w:szCs w:val="20"/>
                <w:color w:val="auto"/>
              </w:rPr>
            </w:pPr>
            <w:r>
              <w:rPr>
                <w:rFonts w:ascii="Arial" w:cs="Arial" w:eastAsia="Arial" w:hAnsi="Arial"/>
                <w:sz w:val="12"/>
                <w:szCs w:val="12"/>
                <w:color w:val="auto"/>
                <w:w w:val="89"/>
              </w:rPr>
              <w:t>1</w:t>
            </w:r>
          </w:p>
        </w:tc>
        <w:tc>
          <w:tcPr>
            <w:tcW w:w="3280" w:type="dxa"/>
            <w:vAlign w:val="bottom"/>
            <w:gridSpan w:val="2"/>
          </w:tcPr>
          <w:p>
            <w:pPr>
              <w:ind w:left="160"/>
              <w:spacing w:after="0" w:line="110" w:lineRule="exact"/>
              <w:rPr>
                <w:sz w:val="20"/>
                <w:szCs w:val="20"/>
                <w:color w:val="auto"/>
              </w:rPr>
            </w:pPr>
            <w:r>
              <w:rPr>
                <w:rFonts w:ascii="Arial" w:cs="Arial" w:eastAsia="Arial" w:hAnsi="Arial"/>
                <w:sz w:val="12"/>
                <w:szCs w:val="12"/>
                <w:color w:val="auto"/>
              </w:rPr>
              <w:t>Reading Cinemas</w:t>
            </w:r>
          </w:p>
        </w:tc>
      </w:tr>
      <w:tr>
        <w:trPr>
          <w:trHeight w:val="152"/>
        </w:trPr>
        <w:tc>
          <w:tcPr>
            <w:tcW w:w="1780" w:type="dxa"/>
            <w:vAlign w:val="bottom"/>
            <w:shd w:val="clear" w:color="auto" w:fill="CCEEFF"/>
          </w:tcPr>
          <w:p>
            <w:pPr>
              <w:spacing w:after="0"/>
              <w:rPr>
                <w:sz w:val="13"/>
                <w:szCs w:val="13"/>
                <w:color w:val="auto"/>
              </w:rPr>
            </w:pPr>
          </w:p>
        </w:tc>
        <w:tc>
          <w:tcPr>
            <w:tcW w:w="21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Otago</w:t>
            </w:r>
          </w:p>
        </w:tc>
        <w:tc>
          <w:tcPr>
            <w:tcW w:w="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15</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center"/>
              <w:ind w:left="262"/>
              <w:spacing w:after="0"/>
              <w:rPr>
                <w:sz w:val="20"/>
                <w:szCs w:val="20"/>
                <w:color w:val="auto"/>
              </w:rPr>
            </w:pPr>
            <w:r>
              <w:rPr>
                <w:rFonts w:ascii="Arial" w:cs="Arial" w:eastAsia="Arial" w:hAnsi="Arial"/>
                <w:sz w:val="12"/>
                <w:szCs w:val="12"/>
                <w:color w:val="auto"/>
                <w:w w:val="89"/>
              </w:rPr>
              <w:t>2</w:t>
            </w:r>
          </w:p>
        </w:tc>
        <w:tc>
          <w:tcPr>
            <w:tcW w:w="1480" w:type="dxa"/>
            <w:vAlign w:val="bottom"/>
            <w:gridSpan w:val="3"/>
            <w:shd w:val="clear" w:color="auto" w:fill="CCEEFF"/>
          </w:tcPr>
          <w:p>
            <w:pPr>
              <w:jc w:val="center"/>
              <w:ind w:left="442"/>
              <w:spacing w:after="0"/>
              <w:rPr>
                <w:sz w:val="20"/>
                <w:szCs w:val="20"/>
                <w:color w:val="auto"/>
              </w:rPr>
            </w:pPr>
            <w:r>
              <w:rPr>
                <w:rFonts w:ascii="Arial" w:cs="Arial" w:eastAsia="Arial" w:hAnsi="Arial"/>
                <w:sz w:val="12"/>
                <w:szCs w:val="12"/>
                <w:color w:val="auto"/>
                <w:w w:val="89"/>
              </w:rPr>
              <w:t>1</w:t>
            </w:r>
          </w:p>
        </w:tc>
        <w:tc>
          <w:tcPr>
            <w:tcW w:w="3280" w:type="dxa"/>
            <w:vAlign w:val="bottom"/>
            <w:gridSpan w:val="2"/>
            <w:shd w:val="clear" w:color="auto" w:fill="CCEEFF"/>
          </w:tcPr>
          <w:p>
            <w:pPr>
              <w:ind w:left="160"/>
              <w:spacing w:after="0" w:line="152" w:lineRule="exact"/>
              <w:rPr>
                <w:sz w:val="20"/>
                <w:szCs w:val="20"/>
                <w:color w:val="auto"/>
              </w:rPr>
            </w:pPr>
            <w:r>
              <w:rPr>
                <w:rFonts w:ascii="Arial" w:cs="Arial" w:eastAsia="Arial" w:hAnsi="Arial"/>
                <w:sz w:val="11"/>
                <w:szCs w:val="11"/>
                <w:color w:val="auto"/>
              </w:rPr>
              <w:t>Reading Cinemas, Rialto Cinemas</w:t>
            </w:r>
            <w:r>
              <w:rPr>
                <w:rFonts w:ascii="Arial" w:cs="Arial" w:eastAsia="Arial" w:hAnsi="Arial"/>
                <w:sz w:val="17"/>
                <w:szCs w:val="17"/>
                <w:color w:val="auto"/>
                <w:vertAlign w:val="superscript"/>
              </w:rPr>
              <w:t>(2)</w:t>
            </w:r>
          </w:p>
        </w:tc>
      </w:tr>
      <w:tr>
        <w:trPr>
          <w:trHeight w:val="152"/>
        </w:trPr>
        <w:tc>
          <w:tcPr>
            <w:tcW w:w="1780" w:type="dxa"/>
            <w:vAlign w:val="bottom"/>
          </w:tcPr>
          <w:p>
            <w:pPr>
              <w:spacing w:after="0"/>
              <w:rPr>
                <w:sz w:val="13"/>
                <w:szCs w:val="13"/>
                <w:color w:val="auto"/>
              </w:rPr>
            </w:pPr>
          </w:p>
        </w:tc>
        <w:tc>
          <w:tcPr>
            <w:tcW w:w="2100" w:type="dxa"/>
            <w:vAlign w:val="bottom"/>
            <w:gridSpan w:val="3"/>
          </w:tcPr>
          <w:p>
            <w:pPr>
              <w:ind w:left="160"/>
              <w:spacing w:after="0"/>
              <w:rPr>
                <w:sz w:val="20"/>
                <w:szCs w:val="20"/>
                <w:color w:val="auto"/>
              </w:rPr>
            </w:pPr>
            <w:r>
              <w:rPr>
                <w:rFonts w:ascii="Arial" w:cs="Arial" w:eastAsia="Arial" w:hAnsi="Arial"/>
                <w:sz w:val="12"/>
                <w:szCs w:val="12"/>
                <w:color w:val="auto"/>
              </w:rPr>
              <w:t>Auckland</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2</w:t>
            </w:r>
          </w:p>
        </w:tc>
        <w:tc>
          <w:tcPr>
            <w:tcW w:w="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15</w:t>
            </w:r>
          </w:p>
        </w:tc>
        <w:tc>
          <w:tcPr>
            <w:tcW w:w="160" w:type="dxa"/>
            <w:vAlign w:val="bottom"/>
          </w:tcPr>
          <w:p>
            <w:pPr>
              <w:spacing w:after="0"/>
              <w:rPr>
                <w:sz w:val="13"/>
                <w:szCs w:val="13"/>
                <w:color w:val="auto"/>
              </w:rPr>
            </w:pPr>
          </w:p>
        </w:tc>
        <w:tc>
          <w:tcPr>
            <w:tcW w:w="660" w:type="dxa"/>
            <w:vAlign w:val="bottom"/>
          </w:tcPr>
          <w:p>
            <w:pPr>
              <w:jc w:val="center"/>
              <w:ind w:left="262"/>
              <w:spacing w:after="0"/>
              <w:rPr>
                <w:sz w:val="20"/>
                <w:szCs w:val="20"/>
                <w:color w:val="auto"/>
              </w:rPr>
            </w:pPr>
            <w:r>
              <w:rPr>
                <w:rFonts w:ascii="Arial" w:cs="Arial" w:eastAsia="Arial" w:hAnsi="Arial"/>
                <w:sz w:val="12"/>
                <w:szCs w:val="12"/>
                <w:color w:val="auto"/>
                <w:w w:val="89"/>
              </w:rPr>
              <w:t>2</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80" w:type="dxa"/>
            <w:vAlign w:val="bottom"/>
            <w:gridSpan w:val="2"/>
          </w:tcPr>
          <w:p>
            <w:pPr>
              <w:ind w:left="160"/>
              <w:spacing w:after="0" w:line="152" w:lineRule="exact"/>
              <w:rPr>
                <w:sz w:val="20"/>
                <w:szCs w:val="20"/>
                <w:color w:val="auto"/>
              </w:rPr>
            </w:pPr>
            <w:r>
              <w:rPr>
                <w:rFonts w:ascii="Arial" w:cs="Arial" w:eastAsia="Arial" w:hAnsi="Arial"/>
                <w:sz w:val="11"/>
                <w:szCs w:val="11"/>
                <w:color w:val="auto"/>
              </w:rPr>
              <w:t>Reading Cinemas, Rialto Cinemas</w:t>
            </w:r>
            <w:r>
              <w:rPr>
                <w:rFonts w:ascii="Arial" w:cs="Arial" w:eastAsia="Arial" w:hAnsi="Arial"/>
                <w:sz w:val="17"/>
                <w:szCs w:val="17"/>
                <w:color w:val="auto"/>
                <w:vertAlign w:val="superscript"/>
              </w:rPr>
              <w:t>(2)</w:t>
            </w:r>
          </w:p>
        </w:tc>
      </w:tr>
      <w:tr>
        <w:trPr>
          <w:trHeight w:val="119"/>
        </w:trPr>
        <w:tc>
          <w:tcPr>
            <w:tcW w:w="1780" w:type="dxa"/>
            <w:vAlign w:val="bottom"/>
            <w:shd w:val="clear" w:color="auto" w:fill="CCEEFF"/>
          </w:tcPr>
          <w:p>
            <w:pPr>
              <w:spacing w:after="0"/>
              <w:rPr>
                <w:sz w:val="10"/>
                <w:szCs w:val="10"/>
                <w:color w:val="auto"/>
              </w:rPr>
            </w:pPr>
          </w:p>
        </w:tc>
        <w:tc>
          <w:tcPr>
            <w:tcW w:w="2100" w:type="dxa"/>
            <w:vAlign w:val="bottom"/>
            <w:gridSpan w:val="3"/>
            <w:shd w:val="clear" w:color="auto" w:fill="CCEEFF"/>
          </w:tcPr>
          <w:p>
            <w:pPr>
              <w:ind w:left="160"/>
              <w:spacing w:after="0" w:line="120" w:lineRule="exact"/>
              <w:rPr>
                <w:sz w:val="20"/>
                <w:szCs w:val="20"/>
                <w:color w:val="auto"/>
              </w:rPr>
            </w:pPr>
            <w:r>
              <w:rPr>
                <w:rFonts w:ascii="Arial" w:cs="Arial" w:eastAsia="Arial" w:hAnsi="Arial"/>
                <w:sz w:val="12"/>
                <w:szCs w:val="12"/>
                <w:color w:val="auto"/>
              </w:rPr>
              <w:t>Canterbury</w:t>
            </w:r>
          </w:p>
        </w:tc>
        <w:tc>
          <w:tcPr>
            <w:tcW w:w="820" w:type="dxa"/>
            <w:vAlign w:val="bottom"/>
            <w:shd w:val="clear" w:color="auto" w:fill="CCEEFF"/>
          </w:tcPr>
          <w:p>
            <w:pPr>
              <w:jc w:val="center"/>
              <w:spacing w:after="0" w:line="120" w:lineRule="exact"/>
              <w:rPr>
                <w:sz w:val="20"/>
                <w:szCs w:val="20"/>
                <w:color w:val="auto"/>
              </w:rPr>
            </w:pPr>
            <w:r>
              <w:rPr>
                <w:rFonts w:ascii="Arial" w:cs="Arial" w:eastAsia="Arial" w:hAnsi="Arial"/>
                <w:sz w:val="12"/>
                <w:szCs w:val="12"/>
                <w:color w:val="auto"/>
                <w:w w:val="89"/>
              </w:rPr>
              <w:t>1</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71"/>
              </w:rPr>
              <w:t>8</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center"/>
              <w:ind w:left="262"/>
              <w:spacing w:after="0" w:line="120" w:lineRule="exact"/>
              <w:rPr>
                <w:sz w:val="20"/>
                <w:szCs w:val="20"/>
                <w:color w:val="auto"/>
              </w:rPr>
            </w:pPr>
            <w:r>
              <w:rPr>
                <w:rFonts w:ascii="Arial" w:cs="Arial" w:eastAsia="Arial" w:hAnsi="Arial"/>
                <w:sz w:val="12"/>
                <w:szCs w:val="12"/>
                <w:color w:val="auto"/>
                <w:w w:val="89"/>
              </w:rPr>
              <w:t>1</w:t>
            </w: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280" w:type="dxa"/>
            <w:vAlign w:val="bottom"/>
            <w:gridSpan w:val="2"/>
            <w:shd w:val="clear" w:color="auto" w:fill="CCEEFF"/>
          </w:tcPr>
          <w:p>
            <w:pPr>
              <w:ind w:left="160"/>
              <w:spacing w:after="0" w:line="120" w:lineRule="exact"/>
              <w:rPr>
                <w:sz w:val="20"/>
                <w:szCs w:val="20"/>
                <w:color w:val="auto"/>
              </w:rPr>
            </w:pPr>
            <w:r>
              <w:rPr>
                <w:rFonts w:ascii="Arial" w:cs="Arial" w:eastAsia="Arial" w:hAnsi="Arial"/>
                <w:sz w:val="12"/>
                <w:szCs w:val="12"/>
                <w:color w:val="auto"/>
              </w:rPr>
              <w:t>Reading Cinemas</w:t>
            </w:r>
          </w:p>
        </w:tc>
      </w:tr>
      <w:tr>
        <w:trPr>
          <w:trHeight w:val="119"/>
        </w:trPr>
        <w:tc>
          <w:tcPr>
            <w:tcW w:w="1780" w:type="dxa"/>
            <w:vAlign w:val="bottom"/>
          </w:tcPr>
          <w:p>
            <w:pPr>
              <w:spacing w:after="0"/>
              <w:rPr>
                <w:sz w:val="10"/>
                <w:szCs w:val="10"/>
                <w:color w:val="auto"/>
              </w:rPr>
            </w:pPr>
          </w:p>
        </w:tc>
        <w:tc>
          <w:tcPr>
            <w:tcW w:w="2100" w:type="dxa"/>
            <w:vAlign w:val="bottom"/>
            <w:gridSpan w:val="3"/>
          </w:tcPr>
          <w:p>
            <w:pPr>
              <w:ind w:left="160"/>
              <w:spacing w:after="0" w:line="120" w:lineRule="exact"/>
              <w:rPr>
                <w:sz w:val="20"/>
                <w:szCs w:val="20"/>
                <w:color w:val="auto"/>
              </w:rPr>
            </w:pPr>
            <w:r>
              <w:rPr>
                <w:rFonts w:ascii="Arial" w:cs="Arial" w:eastAsia="Arial" w:hAnsi="Arial"/>
                <w:sz w:val="12"/>
                <w:szCs w:val="12"/>
                <w:color w:val="auto"/>
              </w:rPr>
              <w:t>Southland</w:t>
            </w:r>
          </w:p>
        </w:tc>
        <w:tc>
          <w:tcPr>
            <w:tcW w:w="820" w:type="dxa"/>
            <w:vAlign w:val="bottom"/>
          </w:tcPr>
          <w:p>
            <w:pPr>
              <w:jc w:val="center"/>
              <w:spacing w:after="0" w:line="120" w:lineRule="exact"/>
              <w:rPr>
                <w:sz w:val="20"/>
                <w:szCs w:val="20"/>
                <w:color w:val="auto"/>
              </w:rPr>
            </w:pPr>
            <w:r>
              <w:rPr>
                <w:rFonts w:ascii="Arial" w:cs="Arial" w:eastAsia="Arial" w:hAnsi="Arial"/>
                <w:sz w:val="12"/>
                <w:szCs w:val="12"/>
                <w:color w:val="auto"/>
                <w:w w:val="89"/>
              </w:rPr>
              <w:t>1</w:t>
            </w:r>
          </w:p>
        </w:tc>
        <w:tc>
          <w:tcPr>
            <w:tcW w:w="1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color w:val="auto"/>
                <w:w w:val="71"/>
              </w:rPr>
              <w:t>5</w:t>
            </w:r>
          </w:p>
        </w:tc>
        <w:tc>
          <w:tcPr>
            <w:tcW w:w="160" w:type="dxa"/>
            <w:vAlign w:val="bottom"/>
          </w:tcPr>
          <w:p>
            <w:pPr>
              <w:spacing w:after="0"/>
              <w:rPr>
                <w:sz w:val="10"/>
                <w:szCs w:val="10"/>
                <w:color w:val="auto"/>
              </w:rPr>
            </w:pPr>
          </w:p>
        </w:tc>
        <w:tc>
          <w:tcPr>
            <w:tcW w:w="660" w:type="dxa"/>
            <w:vAlign w:val="bottom"/>
          </w:tcPr>
          <w:p>
            <w:pPr>
              <w:jc w:val="center"/>
              <w:ind w:left="262"/>
              <w:spacing w:after="0" w:line="120" w:lineRule="exact"/>
              <w:rPr>
                <w:sz w:val="20"/>
                <w:szCs w:val="20"/>
                <w:color w:val="auto"/>
              </w:rPr>
            </w:pPr>
            <w:r>
              <w:rPr>
                <w:rFonts w:ascii="Arial" w:cs="Arial" w:eastAsia="Arial" w:hAnsi="Arial"/>
                <w:sz w:val="12"/>
                <w:szCs w:val="12"/>
                <w:color w:val="auto"/>
                <w:w w:val="89"/>
              </w:rPr>
              <w:t>1</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80" w:type="dxa"/>
            <w:vAlign w:val="bottom"/>
            <w:gridSpan w:val="2"/>
          </w:tcPr>
          <w:p>
            <w:pPr>
              <w:ind w:left="160"/>
              <w:spacing w:after="0" w:line="120" w:lineRule="exact"/>
              <w:rPr>
                <w:sz w:val="20"/>
                <w:szCs w:val="20"/>
                <w:color w:val="auto"/>
              </w:rPr>
            </w:pPr>
            <w:r>
              <w:rPr>
                <w:rFonts w:ascii="Arial" w:cs="Arial" w:eastAsia="Arial" w:hAnsi="Arial"/>
                <w:sz w:val="12"/>
                <w:szCs w:val="12"/>
                <w:color w:val="auto"/>
              </w:rPr>
              <w:t>Reading Cinemas</w:t>
            </w:r>
          </w:p>
        </w:tc>
      </w:tr>
      <w:tr>
        <w:trPr>
          <w:trHeight w:val="119"/>
        </w:trPr>
        <w:tc>
          <w:tcPr>
            <w:tcW w:w="1780" w:type="dxa"/>
            <w:vAlign w:val="bottom"/>
            <w:shd w:val="clear" w:color="auto" w:fill="CCEEFF"/>
          </w:tcPr>
          <w:p>
            <w:pPr>
              <w:spacing w:after="0"/>
              <w:rPr>
                <w:sz w:val="10"/>
                <w:szCs w:val="10"/>
                <w:color w:val="auto"/>
              </w:rPr>
            </w:pPr>
          </w:p>
        </w:tc>
        <w:tc>
          <w:tcPr>
            <w:tcW w:w="2100" w:type="dxa"/>
            <w:vAlign w:val="bottom"/>
            <w:gridSpan w:val="3"/>
            <w:shd w:val="clear" w:color="auto" w:fill="CCEEFF"/>
          </w:tcPr>
          <w:p>
            <w:pPr>
              <w:ind w:left="160"/>
              <w:spacing w:after="0" w:line="120" w:lineRule="exact"/>
              <w:rPr>
                <w:sz w:val="20"/>
                <w:szCs w:val="20"/>
                <w:color w:val="auto"/>
              </w:rPr>
            </w:pPr>
            <w:r>
              <w:rPr>
                <w:rFonts w:ascii="Arial" w:cs="Arial" w:eastAsia="Arial" w:hAnsi="Arial"/>
                <w:sz w:val="12"/>
                <w:szCs w:val="12"/>
                <w:color w:val="auto"/>
              </w:rPr>
              <w:t>Bay of Plenty</w:t>
            </w:r>
          </w:p>
        </w:tc>
        <w:tc>
          <w:tcPr>
            <w:tcW w:w="820" w:type="dxa"/>
            <w:vAlign w:val="bottom"/>
            <w:shd w:val="clear" w:color="auto" w:fill="CCEEFF"/>
          </w:tcPr>
          <w:p>
            <w:pPr>
              <w:jc w:val="center"/>
              <w:spacing w:after="0" w:line="120" w:lineRule="exact"/>
              <w:rPr>
                <w:sz w:val="20"/>
                <w:szCs w:val="20"/>
                <w:color w:val="auto"/>
              </w:rPr>
            </w:pPr>
            <w:r>
              <w:rPr>
                <w:rFonts w:ascii="Arial" w:cs="Arial" w:eastAsia="Arial" w:hAnsi="Arial"/>
                <w:sz w:val="12"/>
                <w:szCs w:val="12"/>
                <w:color w:val="auto"/>
                <w:w w:val="89"/>
              </w:rPr>
              <w:t>1</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71"/>
              </w:rPr>
              <w:t>5</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80" w:type="dxa"/>
            <w:vAlign w:val="bottom"/>
            <w:gridSpan w:val="3"/>
            <w:shd w:val="clear" w:color="auto" w:fill="CCEEFF"/>
          </w:tcPr>
          <w:p>
            <w:pPr>
              <w:jc w:val="center"/>
              <w:ind w:left="442"/>
              <w:spacing w:after="0" w:line="120" w:lineRule="exact"/>
              <w:rPr>
                <w:sz w:val="20"/>
                <w:szCs w:val="20"/>
                <w:color w:val="auto"/>
              </w:rPr>
            </w:pPr>
            <w:r>
              <w:rPr>
                <w:rFonts w:ascii="Arial" w:cs="Arial" w:eastAsia="Arial" w:hAnsi="Arial"/>
                <w:sz w:val="12"/>
                <w:szCs w:val="12"/>
                <w:color w:val="auto"/>
                <w:w w:val="89"/>
              </w:rPr>
              <w:t>1</w:t>
            </w:r>
          </w:p>
        </w:tc>
        <w:tc>
          <w:tcPr>
            <w:tcW w:w="3280" w:type="dxa"/>
            <w:vAlign w:val="bottom"/>
            <w:gridSpan w:val="2"/>
            <w:shd w:val="clear" w:color="auto" w:fill="CCEEFF"/>
          </w:tcPr>
          <w:p>
            <w:pPr>
              <w:ind w:left="160"/>
              <w:spacing w:after="0" w:line="120" w:lineRule="exact"/>
              <w:rPr>
                <w:sz w:val="20"/>
                <w:szCs w:val="20"/>
                <w:color w:val="auto"/>
              </w:rPr>
            </w:pPr>
            <w:r>
              <w:rPr>
                <w:rFonts w:ascii="Arial" w:cs="Arial" w:eastAsia="Arial" w:hAnsi="Arial"/>
                <w:sz w:val="12"/>
                <w:szCs w:val="12"/>
                <w:color w:val="auto"/>
              </w:rPr>
              <w:t>Reading Cinemas</w:t>
            </w:r>
          </w:p>
        </w:tc>
      </w:tr>
      <w:tr>
        <w:trPr>
          <w:trHeight w:val="119"/>
        </w:trPr>
        <w:tc>
          <w:tcPr>
            <w:tcW w:w="178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3"/>
          </w:tcPr>
          <w:p>
            <w:pPr>
              <w:ind w:left="160"/>
              <w:spacing w:after="0" w:line="120" w:lineRule="exact"/>
              <w:rPr>
                <w:sz w:val="20"/>
                <w:szCs w:val="20"/>
                <w:color w:val="auto"/>
              </w:rPr>
            </w:pPr>
            <w:r>
              <w:rPr>
                <w:rFonts w:ascii="Arial" w:cs="Arial" w:eastAsia="Arial" w:hAnsi="Arial"/>
                <w:sz w:val="12"/>
                <w:szCs w:val="12"/>
                <w:color w:val="auto"/>
              </w:rPr>
              <w:t>Hawke's Bay</w:t>
            </w:r>
          </w:p>
        </w:tc>
        <w:tc>
          <w:tcPr>
            <w:tcW w:w="820" w:type="dxa"/>
            <w:vAlign w:val="bottom"/>
            <w:tcBorders>
              <w:bottom w:val="single" w:sz="8" w:color="auto"/>
            </w:tcBorders>
          </w:tcPr>
          <w:p>
            <w:pPr>
              <w:jc w:val="center"/>
              <w:spacing w:after="0" w:line="120" w:lineRule="exact"/>
              <w:rPr>
                <w:sz w:val="20"/>
                <w:szCs w:val="20"/>
                <w:color w:val="auto"/>
              </w:rPr>
            </w:pPr>
            <w:r>
              <w:rPr>
                <w:rFonts w:ascii="Arial" w:cs="Arial" w:eastAsia="Arial" w:hAnsi="Arial"/>
                <w:sz w:val="12"/>
                <w:szCs w:val="12"/>
                <w:color w:val="auto"/>
                <w:w w:val="89"/>
              </w:rPr>
              <w:t>1</w:t>
            </w: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71"/>
              </w:rPr>
              <w:t>4</w:t>
            </w: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center"/>
              <w:ind w:left="442"/>
              <w:spacing w:after="0" w:line="120" w:lineRule="exact"/>
              <w:rPr>
                <w:sz w:val="20"/>
                <w:szCs w:val="20"/>
                <w:color w:val="auto"/>
              </w:rPr>
            </w:pPr>
            <w:r>
              <w:rPr>
                <w:rFonts w:ascii="Arial" w:cs="Arial" w:eastAsia="Arial" w:hAnsi="Arial"/>
                <w:sz w:val="12"/>
                <w:szCs w:val="12"/>
                <w:color w:val="auto"/>
                <w:w w:val="89"/>
              </w:rPr>
              <w:t>1</w:t>
            </w:r>
          </w:p>
        </w:tc>
        <w:tc>
          <w:tcPr>
            <w:tcW w:w="3280" w:type="dxa"/>
            <w:vAlign w:val="bottom"/>
            <w:tcBorders>
              <w:bottom w:val="single" w:sz="8" w:color="auto"/>
            </w:tcBorders>
            <w:gridSpan w:val="2"/>
          </w:tcPr>
          <w:p>
            <w:pPr>
              <w:ind w:left="160"/>
              <w:spacing w:after="0" w:line="120" w:lineRule="exact"/>
              <w:rPr>
                <w:sz w:val="20"/>
                <w:szCs w:val="20"/>
                <w:color w:val="auto"/>
              </w:rPr>
            </w:pPr>
            <w:r>
              <w:rPr>
                <w:rFonts w:ascii="Arial" w:cs="Arial" w:eastAsia="Arial" w:hAnsi="Arial"/>
                <w:sz w:val="12"/>
                <w:szCs w:val="12"/>
                <w:color w:val="auto"/>
              </w:rPr>
              <w:t>Reading Cinemas</w:t>
            </w:r>
          </w:p>
        </w:tc>
      </w:tr>
      <w:tr>
        <w:trPr>
          <w:trHeight w:val="110"/>
        </w:trPr>
        <w:tc>
          <w:tcPr>
            <w:tcW w:w="178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1940" w:type="dxa"/>
            <w:vAlign w:val="bottom"/>
            <w:tcBorders>
              <w:bottom w:val="single" w:sz="8" w:color="auto"/>
            </w:tcBorders>
            <w:gridSpan w:val="2"/>
            <w:shd w:val="clear" w:color="auto" w:fill="CCEEFF"/>
          </w:tcPr>
          <w:p>
            <w:pPr>
              <w:ind w:left="100"/>
              <w:spacing w:after="0" w:line="110" w:lineRule="exact"/>
              <w:rPr>
                <w:sz w:val="20"/>
                <w:szCs w:val="20"/>
                <w:color w:val="auto"/>
              </w:rPr>
            </w:pPr>
            <w:r>
              <w:rPr>
                <w:rFonts w:ascii="Arial" w:cs="Arial" w:eastAsia="Arial" w:hAnsi="Arial"/>
                <w:sz w:val="12"/>
                <w:szCs w:val="12"/>
                <w:b w:val="1"/>
                <w:bCs w:val="1"/>
                <w:i w:val="1"/>
                <w:iCs w:val="1"/>
                <w:color w:val="auto"/>
              </w:rPr>
              <w:t>New Zealand Total</w:t>
            </w:r>
          </w:p>
        </w:tc>
        <w:tc>
          <w:tcPr>
            <w:tcW w:w="820" w:type="dxa"/>
            <w:vAlign w:val="bottom"/>
            <w:tcBorders>
              <w:bottom w:val="single" w:sz="8" w:color="auto"/>
            </w:tcBorders>
            <w:shd w:val="clear" w:color="auto" w:fill="CCEEFF"/>
          </w:tcPr>
          <w:p>
            <w:pPr>
              <w:jc w:val="center"/>
              <w:spacing w:after="0" w:line="110" w:lineRule="exact"/>
              <w:rPr>
                <w:sz w:val="20"/>
                <w:szCs w:val="20"/>
                <w:color w:val="auto"/>
              </w:rPr>
            </w:pPr>
            <w:r>
              <w:rPr>
                <w:rFonts w:ascii="Arial" w:cs="Arial" w:eastAsia="Arial" w:hAnsi="Arial"/>
                <w:sz w:val="12"/>
                <w:szCs w:val="12"/>
                <w:b w:val="1"/>
                <w:bCs w:val="1"/>
                <w:color w:val="auto"/>
                <w:w w:val="74"/>
              </w:rPr>
              <w:t>12</w:t>
            </w:r>
          </w:p>
        </w:tc>
        <w:tc>
          <w:tcPr>
            <w:tcW w:w="160" w:type="dxa"/>
            <w:vAlign w:val="bottom"/>
            <w:tcBorders>
              <w:bottom w:val="single" w:sz="8" w:color="auto"/>
            </w:tcBorders>
            <w:shd w:val="clear" w:color="auto" w:fill="CCEEFF"/>
          </w:tcPr>
          <w:p>
            <w:pPr>
              <w:spacing w:after="0"/>
              <w:rPr>
                <w:sz w:val="9"/>
                <w:szCs w:val="9"/>
                <w:color w:val="auto"/>
              </w:rPr>
            </w:pPr>
          </w:p>
        </w:tc>
        <w:tc>
          <w:tcPr>
            <w:tcW w:w="840" w:type="dxa"/>
            <w:vAlign w:val="bottom"/>
            <w:tcBorders>
              <w:bottom w:val="single" w:sz="8" w:color="auto"/>
            </w:tcBorders>
            <w:shd w:val="clear" w:color="auto" w:fill="CCEEFF"/>
          </w:tcPr>
          <w:p>
            <w:pPr>
              <w:jc w:val="center"/>
              <w:spacing w:after="0" w:line="110" w:lineRule="exact"/>
              <w:rPr>
                <w:sz w:val="20"/>
                <w:szCs w:val="20"/>
                <w:color w:val="auto"/>
              </w:rPr>
            </w:pPr>
            <w:r>
              <w:rPr>
                <w:rFonts w:ascii="Arial" w:cs="Arial" w:eastAsia="Arial" w:hAnsi="Arial"/>
                <w:sz w:val="12"/>
                <w:szCs w:val="12"/>
                <w:b w:val="1"/>
                <w:bCs w:val="1"/>
                <w:color w:val="auto"/>
                <w:w w:val="89"/>
              </w:rPr>
              <w:t>70</w:t>
            </w:r>
          </w:p>
        </w:tc>
        <w:tc>
          <w:tcPr>
            <w:tcW w:w="160" w:type="dxa"/>
            <w:vAlign w:val="bottom"/>
            <w:tcBorders>
              <w:bottom w:val="single" w:sz="8" w:color="auto"/>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jc w:val="center"/>
              <w:ind w:left="262"/>
              <w:spacing w:after="0" w:line="110" w:lineRule="exact"/>
              <w:rPr>
                <w:sz w:val="20"/>
                <w:szCs w:val="20"/>
                <w:color w:val="auto"/>
              </w:rPr>
            </w:pPr>
            <w:r>
              <w:rPr>
                <w:rFonts w:ascii="Arial" w:cs="Arial" w:eastAsia="Arial" w:hAnsi="Arial"/>
                <w:sz w:val="12"/>
                <w:szCs w:val="12"/>
                <w:b w:val="1"/>
                <w:bCs w:val="1"/>
                <w:color w:val="auto"/>
                <w:w w:val="89"/>
              </w:rPr>
              <w:t>8</w:t>
            </w:r>
          </w:p>
        </w:tc>
        <w:tc>
          <w:tcPr>
            <w:tcW w:w="1480" w:type="dxa"/>
            <w:vAlign w:val="bottom"/>
            <w:tcBorders>
              <w:bottom w:val="single" w:sz="8" w:color="auto"/>
            </w:tcBorders>
            <w:gridSpan w:val="3"/>
            <w:shd w:val="clear" w:color="auto" w:fill="CCEEFF"/>
          </w:tcPr>
          <w:p>
            <w:pPr>
              <w:jc w:val="center"/>
              <w:ind w:left="442"/>
              <w:spacing w:after="0" w:line="110" w:lineRule="exact"/>
              <w:rPr>
                <w:sz w:val="20"/>
                <w:szCs w:val="20"/>
                <w:color w:val="auto"/>
              </w:rPr>
            </w:pPr>
            <w:r>
              <w:rPr>
                <w:rFonts w:ascii="Arial" w:cs="Arial" w:eastAsia="Arial" w:hAnsi="Arial"/>
                <w:sz w:val="12"/>
                <w:szCs w:val="12"/>
                <w:b w:val="1"/>
                <w:bCs w:val="1"/>
                <w:color w:val="auto"/>
                <w:w w:val="89"/>
              </w:rPr>
              <w:t>4</w:t>
            </w:r>
          </w:p>
        </w:tc>
        <w:tc>
          <w:tcPr>
            <w:tcW w:w="160" w:type="dxa"/>
            <w:vAlign w:val="bottom"/>
            <w:tcBorders>
              <w:bottom w:val="single" w:sz="8" w:color="auto"/>
            </w:tcBorders>
            <w:shd w:val="clear" w:color="auto" w:fill="CCEEFF"/>
          </w:tcPr>
          <w:p>
            <w:pPr>
              <w:spacing w:after="0"/>
              <w:rPr>
                <w:sz w:val="9"/>
                <w:szCs w:val="9"/>
                <w:color w:val="auto"/>
              </w:rPr>
            </w:pPr>
          </w:p>
        </w:tc>
        <w:tc>
          <w:tcPr>
            <w:tcW w:w="3120" w:type="dxa"/>
            <w:vAlign w:val="bottom"/>
            <w:tcBorders>
              <w:bottom w:val="single" w:sz="8" w:color="auto"/>
            </w:tcBorders>
            <w:shd w:val="clear" w:color="auto" w:fill="CCEEFF"/>
          </w:tcPr>
          <w:p>
            <w:pPr>
              <w:spacing w:after="0"/>
              <w:rPr>
                <w:sz w:val="9"/>
                <w:szCs w:val="9"/>
                <w:color w:val="auto"/>
              </w:rPr>
            </w:pPr>
          </w:p>
        </w:tc>
      </w:tr>
      <w:tr>
        <w:trPr>
          <w:trHeight w:val="112"/>
        </w:trPr>
        <w:tc>
          <w:tcPr>
            <w:tcW w:w="1780" w:type="dxa"/>
            <w:vAlign w:val="bottom"/>
            <w:tcBorders>
              <w:bottom w:val="single" w:sz="8" w:color="auto"/>
            </w:tcBorders>
          </w:tcPr>
          <w:p>
            <w:pPr>
              <w:spacing w:after="0" w:line="110" w:lineRule="exact"/>
              <w:rPr>
                <w:sz w:val="20"/>
                <w:szCs w:val="20"/>
                <w:color w:val="auto"/>
              </w:rPr>
            </w:pPr>
            <w:r>
              <w:rPr>
                <w:rFonts w:ascii="Arial" w:cs="Arial" w:eastAsia="Arial" w:hAnsi="Arial"/>
                <w:sz w:val="12"/>
                <w:szCs w:val="12"/>
                <w:b w:val="1"/>
                <w:bCs w:val="1"/>
                <w:color w:val="auto"/>
              </w:rPr>
              <w:t>GRAND TOTAL</w:t>
            </w:r>
          </w:p>
        </w:tc>
        <w:tc>
          <w:tcPr>
            <w:tcW w:w="16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74"/>
              </w:rPr>
              <w:t>63</w:t>
            </w: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79"/>
              </w:rPr>
              <w:t>515</w:t>
            </w: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left="282"/>
              <w:spacing w:after="0" w:line="110" w:lineRule="exact"/>
              <w:rPr>
                <w:sz w:val="20"/>
                <w:szCs w:val="20"/>
                <w:color w:val="auto"/>
              </w:rPr>
            </w:pPr>
            <w:r>
              <w:rPr>
                <w:rFonts w:ascii="Arial" w:cs="Arial" w:eastAsia="Arial" w:hAnsi="Arial"/>
                <w:sz w:val="12"/>
                <w:szCs w:val="12"/>
                <w:b w:val="1"/>
                <w:bCs w:val="1"/>
                <w:color w:val="auto"/>
                <w:w w:val="89"/>
              </w:rPr>
              <w:t>53</w:t>
            </w:r>
          </w:p>
        </w:tc>
        <w:tc>
          <w:tcPr>
            <w:tcW w:w="1480" w:type="dxa"/>
            <w:vAlign w:val="bottom"/>
            <w:tcBorders>
              <w:bottom w:val="single" w:sz="8" w:color="auto"/>
            </w:tcBorders>
            <w:gridSpan w:val="3"/>
          </w:tcPr>
          <w:p>
            <w:pPr>
              <w:jc w:val="center"/>
              <w:ind w:left="422"/>
              <w:spacing w:after="0" w:line="110" w:lineRule="exact"/>
              <w:rPr>
                <w:sz w:val="20"/>
                <w:szCs w:val="20"/>
                <w:color w:val="auto"/>
              </w:rPr>
            </w:pPr>
            <w:r>
              <w:rPr>
                <w:rFonts w:ascii="Arial" w:cs="Arial" w:eastAsia="Arial" w:hAnsi="Arial"/>
                <w:sz w:val="12"/>
                <w:szCs w:val="12"/>
                <w:b w:val="1"/>
                <w:bCs w:val="1"/>
                <w:color w:val="auto"/>
                <w:w w:val="89"/>
              </w:rPr>
              <w:t>10</w:t>
            </w:r>
          </w:p>
        </w:tc>
        <w:tc>
          <w:tcPr>
            <w:tcW w:w="16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r>
    </w:tbl>
    <w:p>
      <w:pPr>
        <w:spacing w:after="0" w:line="128" w:lineRule="exact"/>
        <w:rPr>
          <w:sz w:val="20"/>
          <w:szCs w:val="20"/>
          <w:color w:val="auto"/>
        </w:rPr>
      </w:pPr>
    </w:p>
    <w:p>
      <w:pPr>
        <w:ind w:left="520" w:hanging="253"/>
        <w:spacing w:after="0"/>
        <w:tabs>
          <w:tab w:leader="none" w:pos="5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Company has a 33.3% unincorporated joint venture interest in a 16-screen cinema located in Mt. Gravatt, Queensland managed by Event Cinemas.</w:t>
      </w:r>
    </w:p>
    <w:p>
      <w:pPr>
        <w:ind w:left="520" w:right="300" w:hanging="253"/>
        <w:spacing w:after="0" w:line="222" w:lineRule="auto"/>
        <w:tabs>
          <w:tab w:leader="none" w:pos="5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Company is a 50% joint venture partner in two New Zealand Rialto cinemas totaling 13 screens. We are responsible for the booking of these cinemas and our joint venture partner, Event Cinemas, manages their day-to-day operations.</w:t>
      </w:r>
    </w:p>
    <w:p>
      <w:pPr>
        <w:spacing w:after="0" w:line="86" w:lineRule="exact"/>
        <w:rPr>
          <w:sz w:val="20"/>
          <w:szCs w:val="20"/>
          <w:color w:val="auto"/>
        </w:rPr>
      </w:pPr>
    </w:p>
    <w:p>
      <w:pPr>
        <w:ind w:right="60"/>
        <w:spacing w:after="0" w:line="237" w:lineRule="auto"/>
        <w:rPr>
          <w:sz w:val="20"/>
          <w:szCs w:val="20"/>
          <w:color w:val="auto"/>
        </w:rPr>
      </w:pPr>
      <w:r>
        <w:rPr>
          <w:rFonts w:ascii="Arial" w:cs="Arial" w:eastAsia="Arial" w:hAnsi="Arial"/>
          <w:sz w:val="14"/>
          <w:szCs w:val="14"/>
          <w:color w:val="auto"/>
        </w:rPr>
        <w:t>We continue to focus on upgrading our existing cinemas and developing new cinema opportunities to provide our customers with premium offerings, including luxury recliner seating, state-of-the-art presentation including sound, lounges, cafés and bar service, and other amenities. Currently, 178 of our auditoriums feature recliner seating (excluding our joint ventures). In addition, 33 of our auditoriums now feature large format TITAN XC, TITAN LUXE, or IMAX screens. Our circuit has been completely converted to digital projection and sound systems. However, in certain of our cinemas we have, as a point of differentiation, retained the ability to show film in the 70MM format preferred by some directors.</w:t>
      </w:r>
    </w:p>
    <w:p>
      <w:pPr>
        <w:spacing w:after="0" w:line="123" w:lineRule="exact"/>
        <w:rPr>
          <w:sz w:val="20"/>
          <w:szCs w:val="20"/>
          <w:color w:val="auto"/>
        </w:rPr>
      </w:pPr>
    </w:p>
    <w:p>
      <w:pPr>
        <w:ind w:right="140"/>
        <w:spacing w:after="0" w:line="242" w:lineRule="auto"/>
        <w:rPr>
          <w:sz w:val="20"/>
          <w:szCs w:val="20"/>
          <w:color w:val="auto"/>
        </w:rPr>
      </w:pPr>
      <w:r>
        <w:rPr>
          <w:rFonts w:ascii="Arial" w:cs="Arial" w:eastAsia="Arial" w:hAnsi="Arial"/>
          <w:sz w:val="14"/>
          <w:szCs w:val="14"/>
          <w:color w:val="auto"/>
        </w:rPr>
        <w:t>Although we operate cinemas in three nations, the general nature of our operations and operating strategies does not vary materially from jurisdiction-to-jurisdiction. In each jurisdiction, our gross receipts are primarily from box office receipts, food and beverage sales, gift card purchases, online ticketing fees, and screen advertising. Our ancillary revenue is created principally from theater rentals (for example, for film festivals and special events), and ancillary programming (such as concerts and sporting events).</w:t>
      </w:r>
    </w:p>
    <w:p>
      <w:pPr>
        <w:spacing w:after="0" w:line="120"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Our cinemas generated approximately 58% of their 2021 revenue from box office receipts. Ticket prices vary by location, and in selected locations we offer reduced rates for senior citizens, children and, in certain markets, military and students.</w:t>
      </w:r>
    </w:p>
    <w:p>
      <w:pPr>
        <w:spacing w:after="0" w:line="109" w:lineRule="exact"/>
        <w:rPr>
          <w:sz w:val="20"/>
          <w:szCs w:val="20"/>
          <w:color w:val="auto"/>
        </w:rPr>
      </w:pPr>
    </w:p>
    <w:p>
      <w:pPr>
        <w:ind w:right="120"/>
        <w:spacing w:after="0" w:line="242" w:lineRule="auto"/>
        <w:rPr>
          <w:sz w:val="20"/>
          <w:szCs w:val="20"/>
          <w:color w:val="auto"/>
        </w:rPr>
      </w:pPr>
      <w:r>
        <w:rPr>
          <w:rFonts w:ascii="Arial" w:cs="Arial" w:eastAsia="Arial" w:hAnsi="Arial"/>
          <w:sz w:val="14"/>
          <w:szCs w:val="14"/>
          <w:color w:val="auto"/>
        </w:rPr>
        <w:t>Showtimes and features are placed in advertisements on our various websites, on internet sites and, in some markets, in limited instances, local newspapers. We are continually increasing our presence in social media, thereby, reducing our dependency on print advertising. Film distributors may also advertise certain feature films in various print, radio and television media, as well as on the internet, and distributors generally pay those costs.</w:t>
      </w:r>
    </w:p>
    <w:p>
      <w:pPr>
        <w:spacing w:after="0" w:line="120" w:lineRule="exact"/>
        <w:rPr>
          <w:sz w:val="20"/>
          <w:szCs w:val="20"/>
          <w:color w:val="auto"/>
        </w:rPr>
      </w:pPr>
    </w:p>
    <w:p>
      <w:pPr>
        <w:ind w:right="440"/>
        <w:spacing w:after="0" w:line="232" w:lineRule="auto"/>
        <w:rPr>
          <w:sz w:val="20"/>
          <w:szCs w:val="20"/>
          <w:color w:val="auto"/>
        </w:rPr>
      </w:pPr>
      <w:r>
        <w:rPr>
          <w:rFonts w:ascii="Arial" w:cs="Arial" w:eastAsia="Arial" w:hAnsi="Arial"/>
          <w:sz w:val="14"/>
          <w:szCs w:val="14"/>
          <w:color w:val="auto"/>
        </w:rPr>
        <w:t>F&amp;B sales accounted for approximately 33% of our total 2021 cinema revenue. Although certain cinemas have licenses for the sale and on-premises consumption of alcoholic beverages, historically F&amp;B products have been primarily popcorn, candy, and soda. This is changing, as more of our theaters are offering expanded food and beverage offerings. One of our strategic focuses is to upgrade our</w:t>
      </w:r>
    </w:p>
    <w:p>
      <w:pPr>
        <w:jc w:val="center"/>
        <w:spacing w:after="0"/>
        <w:rPr>
          <w:sz w:val="20"/>
          <w:szCs w:val="20"/>
          <w:color w:val="auto"/>
        </w:rPr>
      </w:pPr>
      <w:r>
        <w:rPr>
          <w:rFonts w:ascii="Arial" w:cs="Arial" w:eastAsia="Arial" w:hAnsi="Arial"/>
          <w:sz w:val="14"/>
          <w:szCs w:val="14"/>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66"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color w:val="auto"/>
        </w:rPr>
        <w:t>existing cinemas with expanded F&amp;B offerings consistent with what we believe to be the new position of cinemas in the pathway from content provider to consumer.</w:t>
      </w:r>
    </w:p>
    <w:p>
      <w:pPr>
        <w:spacing w:after="0" w:line="143" w:lineRule="exact"/>
        <w:rPr>
          <w:sz w:val="20"/>
          <w:szCs w:val="20"/>
          <w:color w:val="auto"/>
        </w:rPr>
      </w:pPr>
    </w:p>
    <w:p>
      <w:pPr>
        <w:ind w:right="160"/>
        <w:spacing w:after="0" w:line="297" w:lineRule="auto"/>
        <w:rPr>
          <w:sz w:val="20"/>
          <w:szCs w:val="20"/>
          <w:color w:val="auto"/>
        </w:rPr>
      </w:pPr>
      <w:r>
        <w:rPr>
          <w:rFonts w:ascii="Arial" w:cs="Arial" w:eastAsia="Arial" w:hAnsi="Arial"/>
          <w:sz w:val="13"/>
          <w:szCs w:val="13"/>
          <w:color w:val="auto"/>
        </w:rPr>
        <w:t>Screen advertising and other revenue contribute approximately 8% of our total 2021 cinema revenue. With the exception of certain rights that we have retained to sell to local advertisers, generally speaking, we are not in the screen advertising business and nationally recognized screen-advertising companies’ contract with us for the right to show such advertising on our screens.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Management of Cinemas</w:t>
      </w:r>
    </w:p>
    <w:p>
      <w:pPr>
        <w:spacing w:after="0" w:line="143"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With the exception of our three unconsolidated cinemas, we manage our cinemas with executives located in Los Angeles and Manhattan in the U.S., Melbourne, Australia, and Wellington, New Zealand. Our two New Zealand Rialto cinemas are owned by a joint venture in which Reading New Zealand is a 50% joint venture partner. While we assist in the booking of these two cinemas, our joint venture partner, Event Cinemas, manages their day-to-day operations. Our one-third interest in a 16-screen Brisbane cinema is passive in nature. That cinema is being managed by Event Cinemas.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Licensing and Pricing</w:t>
      </w:r>
    </w:p>
    <w:p>
      <w:pPr>
        <w:spacing w:after="0" w:line="143" w:lineRule="exact"/>
        <w:rPr>
          <w:sz w:val="20"/>
          <w:szCs w:val="20"/>
          <w:color w:val="auto"/>
        </w:rPr>
      </w:pPr>
    </w:p>
    <w:p>
      <w:pPr>
        <w:ind w:right="40"/>
        <w:spacing w:after="0" w:line="235" w:lineRule="auto"/>
        <w:rPr>
          <w:sz w:val="20"/>
          <w:szCs w:val="20"/>
          <w:color w:val="auto"/>
        </w:rPr>
      </w:pPr>
      <w:r>
        <w:rPr>
          <w:rFonts w:ascii="Arial" w:cs="Arial" w:eastAsia="Arial" w:hAnsi="Arial"/>
          <w:sz w:val="14"/>
          <w:szCs w:val="14"/>
          <w:color w:val="auto"/>
        </w:rPr>
        <w:t>Film product is available from a variety of sources, ranging from the major film distributors, such as Paramount Pictures, Warner Bros, Disney, Sony Pictures, Universal Pictures and Lionsgate, to a variety of smaller independent film distributors. In Australia and New Zealand, some of those major distributors distribute through local unaffiliated distributors. Worldwide, the major film distributors dominate the market for mainstream conventional films. In the U.S., art and specialty film is distributed through the art and specialty divisions of these major distributors, such as Searchlight Pictures and Sony Pictures Classics, and through independent distributors such as A24 and Neon. Film payment terms are generally based on an agreed-upon percentage of box office receipts that will vary from film-to-film.</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Competition</w:t>
      </w:r>
    </w:p>
    <w:p>
      <w:pPr>
        <w:spacing w:after="0" w:line="143" w:lineRule="exact"/>
        <w:rPr>
          <w:sz w:val="20"/>
          <w:szCs w:val="20"/>
          <w:color w:val="auto"/>
        </w:rPr>
      </w:pPr>
    </w:p>
    <w:p>
      <w:pPr>
        <w:ind w:right="80"/>
        <w:spacing w:after="0" w:line="232" w:lineRule="auto"/>
        <w:rPr>
          <w:sz w:val="20"/>
          <w:szCs w:val="20"/>
          <w:color w:val="auto"/>
        </w:rPr>
      </w:pPr>
      <w:r>
        <w:rPr>
          <w:rFonts w:ascii="Arial" w:cs="Arial" w:eastAsia="Arial" w:hAnsi="Arial"/>
          <w:sz w:val="14"/>
          <w:szCs w:val="14"/>
          <w:color w:val="auto"/>
        </w:rPr>
        <w:t>Film is allocated by the applicable distributor among competitive cinemas and in an increasingly material number of situations to streaming services. Accordingly, from time to time, we may be unable to license every film that we desire to play. In the Australian and New Zealand markets, we generally have access to all film product in the market. Due to the COVID-19 pandemic, we have seen a rise in streaming services with greater quantity and quality of films offered. We have also seen certain major distributors skip the traditional theatrical window and go straight to streaming, PVOD or Video on Demand (“VOD”). Furthermore, we have also seen the shortening of theatrical windows as part of the increase in streaming service. For example, in July 2020, AMC announced partnering with Universal to shorten the theatrical window with new movies going to PVOD within three weeks of their debut instead of the typical 75 to 90-day window. In November 2020, Cinemark announced the same. Given the concentration of viewing, and the increasing amount of product being released, the impact of these shortened windows on our revenues is uncertain.</w:t>
      </w:r>
    </w:p>
    <w:p>
      <w:pPr>
        <w:spacing w:after="0" w:line="125" w:lineRule="exact"/>
        <w:rPr>
          <w:sz w:val="20"/>
          <w:szCs w:val="20"/>
          <w:color w:val="auto"/>
        </w:rPr>
      </w:pPr>
    </w:p>
    <w:p>
      <w:pPr>
        <w:spacing w:after="0" w:line="230" w:lineRule="auto"/>
        <w:rPr>
          <w:sz w:val="20"/>
          <w:szCs w:val="20"/>
          <w:color w:val="auto"/>
        </w:rPr>
      </w:pPr>
      <w:r>
        <w:rPr>
          <w:rFonts w:ascii="Arial" w:cs="Arial" w:eastAsia="Arial" w:hAnsi="Arial"/>
          <w:sz w:val="14"/>
          <w:szCs w:val="14"/>
          <w:color w:val="auto"/>
        </w:rPr>
        <w:t>Competition for films may be intense, depending upon the number of cinemas in a particular competitive market. Our ability to obtain top grossing, first run feature films may be adversely impacted by our comparatively small size, and the limited number of screens and markets that we can supply to distributors. Moreover, because of the dramatic consolidation of screens into the hands of a few very large and powerful exhibitors such as AMC, Cineworld, and Cinemark, who between them control over 57% of the North American market, these mega-exhibition companies are in a position to offer distributors access to many more screens in major markets than we can. Also, the major exhibitors have a significant number of markets where they operate without material competition, meaning that the distributors have no alternative exhibitor for their films in these markets. Accordingly, distributors may decide to give preference to these mega-exhibitors when it comes to licensing top-grossing films, rather than deal with independent exhibitors such as ourselves. The situation is different in Australia and New Zealand, where typically every major multiplex cinema has access to all of the film currently in distribution, regardless of the ownership of that multiplex cinema. However, on the reverse side, we have suffered somewhat in these markets from competition from boutique operators, who are able to book top grossing commercial films for limited runs, thus increasing competition for customers wishing to view such top grossing films. We believe it is likely that the power of these major circuits will increase vis-à-vis smaller independent and regional operators with the termination of the so called “Paramount Decree” by the United States District Court at the request of the Department of Justice on August 7, 2020. The order provides for a two-year sunset period on the Paramount Decree’s provisions banning block booking and circuit dealing.</w:t>
      </w:r>
    </w:p>
    <w:p>
      <w:pPr>
        <w:spacing w:after="0" w:line="124" w:lineRule="exact"/>
        <w:rPr>
          <w:sz w:val="20"/>
          <w:szCs w:val="20"/>
          <w:color w:val="auto"/>
        </w:rPr>
      </w:pPr>
    </w:p>
    <w:p>
      <w:pPr>
        <w:ind w:right="40"/>
        <w:spacing w:after="0" w:line="261" w:lineRule="auto"/>
        <w:rPr>
          <w:sz w:val="20"/>
          <w:szCs w:val="20"/>
          <w:color w:val="auto"/>
        </w:rPr>
      </w:pPr>
      <w:r>
        <w:rPr>
          <w:rFonts w:ascii="Arial" w:cs="Arial" w:eastAsia="Arial" w:hAnsi="Arial"/>
          <w:sz w:val="13"/>
          <w:szCs w:val="13"/>
          <w:color w:val="auto"/>
        </w:rPr>
        <w:t>The availability of state-of-the-art technology and/or luxury recliner seating can also be a factor in the preference of one cinema over another. In recent periods, a number of cinemas have opened or reopened featuring luxury recliner seating and/or expanded food and beverage service, including the sale of alcoholic beverages and food served to the seat. Over the last seven years, we have invested in certain cinemas by converting to luxury recliner seating and adding alcoholic beverages to our menus. We are currently working to upgrade the seating and food and beverage offerings (including the offering of alcoholic beverages) at additional existing cinemas. We now offer alcoholic beverages at over half of our worldwide cinemas.</w:t>
      </w:r>
    </w:p>
    <w:p>
      <w:pPr>
        <w:spacing w:after="0" w:line="109" w:lineRule="exact"/>
        <w:rPr>
          <w:sz w:val="20"/>
          <w:szCs w:val="20"/>
          <w:color w:val="auto"/>
        </w:rPr>
      </w:pPr>
    </w:p>
    <w:p>
      <w:pPr>
        <w:ind w:right="60"/>
        <w:spacing w:after="0" w:line="235" w:lineRule="auto"/>
        <w:rPr>
          <w:sz w:val="20"/>
          <w:szCs w:val="20"/>
          <w:color w:val="auto"/>
        </w:rPr>
      </w:pPr>
      <w:r>
        <w:rPr>
          <w:rFonts w:ascii="Arial" w:cs="Arial" w:eastAsia="Arial" w:hAnsi="Arial"/>
          <w:sz w:val="14"/>
          <w:szCs w:val="14"/>
          <w:color w:val="auto"/>
        </w:rPr>
        <w:t>The film exhibition markets in the United States, Australia, and New Zealand are to a certain extent dominated by a limited number of major exhibition companies who have substantial financial resources which could allow them to operate in a more competitive manner</w:t>
      </w:r>
    </w:p>
    <w:p>
      <w:pPr>
        <w:jc w:val="center"/>
        <w:spacing w:after="0"/>
        <w:rPr>
          <w:sz w:val="20"/>
          <w:szCs w:val="20"/>
          <w:color w:val="auto"/>
        </w:rPr>
      </w:pPr>
      <w:r>
        <w:rPr>
          <w:rFonts w:ascii="Arial" w:cs="Arial" w:eastAsia="Arial" w:hAnsi="Arial"/>
          <w:sz w:val="14"/>
          <w:szCs w:val="14"/>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 w:name="page11"/>
    <w:bookmarkEnd w:id="10"/>
    <w:p>
      <w:pPr>
        <w:jc w:val="both"/>
        <w:spacing w:after="0" w:line="242" w:lineRule="auto"/>
        <w:rPr>
          <w:sz w:val="20"/>
          <w:szCs w:val="20"/>
          <w:color w:val="auto"/>
        </w:rPr>
      </w:pPr>
      <w:r>
        <w:rPr>
          <w:rFonts w:ascii="Arial" w:cs="Arial" w:eastAsia="Arial" w:hAnsi="Arial"/>
          <w:sz w:val="14"/>
          <w:szCs w:val="14"/>
          <w:color w:val="auto"/>
        </w:rPr>
        <w:t>than us. Based on information contained in filings made with the SEC, as of December 31, 2021, the principal exhibitors in the United States are AMC (with 7,796 screens in 597 cinemas); Regal (with 6,885 screens in 514 cinemas), owned by Cineworld Group, the U.K.’s largest cinema operator; and Cinemark (with 4,440 screens in 324 cinemas). As of December 31, 2021, we were the 14th largest exhibitor with 1% of the box office in the United States with 238 screens in 24 cinemas.</w:t>
      </w:r>
    </w:p>
    <w:p>
      <w:pPr>
        <w:spacing w:after="0" w:line="121" w:lineRule="exact"/>
        <w:rPr>
          <w:sz w:val="20"/>
          <w:szCs w:val="20"/>
          <w:color w:val="auto"/>
        </w:rPr>
      </w:pPr>
    </w:p>
    <w:p>
      <w:pPr>
        <w:ind w:right="100"/>
        <w:spacing w:after="0" w:line="235" w:lineRule="auto"/>
        <w:rPr>
          <w:sz w:val="20"/>
          <w:szCs w:val="20"/>
          <w:color w:val="auto"/>
        </w:rPr>
      </w:pPr>
      <w:r>
        <w:rPr>
          <w:rFonts w:ascii="Arial" w:cs="Arial" w:eastAsia="Arial" w:hAnsi="Arial"/>
          <w:sz w:val="14"/>
          <w:szCs w:val="14"/>
          <w:color w:val="auto"/>
        </w:rPr>
        <w:t>The principal exhibitors in Australia are Greater Union, which does business under the Event Cinemas name (a subsidiary of Event Hospitality and Entertainment, Limited) (“Event”), Hoyts Cinemas (“Hoyts”), and Village Cinemas (“Village”). The major exhibitors control approximately 63% of the total cinema box office: Event 29%, Hoyts 22%, and Village 12%. Event has 530 screens nationally, Hoyts 397 screens, and Village 230 screens. By comparison, our 191 screens (excluding our joint venture theaters) represent approximately 8% of the total box office making us the fourth largest exhibitor in Australia. The industry is somewhat vertically integrated in Australia and New Zealand, in that Roadshow Film Distributors, a subsidiary of Village, serves as a distributor of film in Australia and New Zealand.</w:t>
      </w:r>
    </w:p>
    <w:p>
      <w:pPr>
        <w:spacing w:after="0" w:line="122"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The principal exhibitors in New Zealand are Event Cinemas with 127 screens and Hoyts with 76 screens, nationally. The major exhibitors in New Zealand control approximately 51% of the total box office: Event 31% and Hoyts 20%. We have 57 screens (excluding its interests in unconsolidated joint ventures). We have 11% of the market (Event and Reading market share figures exclude any partnership theaters) and we are the third largest exhibitor in New Zealand.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In-Home, Streaming and Mobile Device Competition</w:t>
      </w:r>
    </w:p>
    <w:p>
      <w:pPr>
        <w:spacing w:after="0" w:line="143" w:lineRule="exact"/>
        <w:rPr>
          <w:sz w:val="20"/>
          <w:szCs w:val="20"/>
          <w:color w:val="auto"/>
        </w:rPr>
      </w:pPr>
    </w:p>
    <w:p>
      <w:pPr>
        <w:ind w:right="60"/>
        <w:spacing w:after="0" w:line="235" w:lineRule="auto"/>
        <w:rPr>
          <w:sz w:val="20"/>
          <w:szCs w:val="20"/>
          <w:color w:val="auto"/>
        </w:rPr>
      </w:pPr>
      <w:r>
        <w:rPr>
          <w:rFonts w:ascii="Arial" w:cs="Arial" w:eastAsia="Arial" w:hAnsi="Arial"/>
          <w:sz w:val="14"/>
          <w:szCs w:val="14"/>
          <w:color w:val="auto"/>
        </w:rPr>
        <w:t>The in-home streaming and mobile device entertainment industry has experienced significant leaps in recent periods in both the quality and affordability of in-home and mobile device entertainment systems and in the accessibility to, and quality of, entertainment programming through cable, satellite, and internet distribution channels. The success of these alternative distribution channels (like Netflix, Hulu, Disney+ and Amazon Prime Video) and the entrance of new specially curated product for the home and streaming markets are competing with films produced for theatrical release which puts additional pressure on film distributors to reduce and/or eliminate the time period between theatrical and secondary release dates. For instance, in 2021 WarnerMedia announced that it would stream its entire 2021 slate of Warner Bros. movies on HBO Max the same day they open in theaters.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The myriad of streaming services continues to grow. In 2019, two streaming services debuted, Apple TV+ and Disney+. In 2020, HBO Max and NBCUniversal’s Peacock launched. In December 2020 and December 2021, we launched our very own streaming service in the U.S. and Australia, respectively, Angelika Anywhere, which is created for film lovers of independent and foreign film, documentaries, and the more specialized movies from the major studios. We are considering expanding this streaming service to New Zealand in 2023. In January 2021, Discovery+ launched and ViacomCBS launched Paramount+ in early March 2021.</w:t>
      </w:r>
    </w:p>
    <w:p>
      <w:pPr>
        <w:spacing w:after="0" w:line="123" w:lineRule="exact"/>
        <w:rPr>
          <w:sz w:val="20"/>
          <w:szCs w:val="20"/>
          <w:color w:val="auto"/>
        </w:rPr>
      </w:pPr>
    </w:p>
    <w:p>
      <w:pPr>
        <w:ind w:right="140"/>
        <w:spacing w:after="0" w:line="235" w:lineRule="auto"/>
        <w:rPr>
          <w:sz w:val="20"/>
          <w:szCs w:val="20"/>
          <w:color w:val="auto"/>
        </w:rPr>
      </w:pPr>
      <w:r>
        <w:rPr>
          <w:rFonts w:ascii="Arial" w:cs="Arial" w:eastAsia="Arial" w:hAnsi="Arial"/>
          <w:sz w:val="14"/>
          <w:szCs w:val="14"/>
          <w:color w:val="auto"/>
        </w:rPr>
        <w:t>We are responding to these challenges generally by increasing the comfort and service levels available at our cinemas, by offering convenient online ticket reservation services with guaranteed seating, by investing in larger screens and enhanced sound, by offering more specialized and alternative product to our audiences, and by providing value for the moviegoer’s dollar. We are focusing on the fact that going to the movies is a special social experience, and we are working to make that experience the best that it can be. We must differentiate ourselves from other forms of video entertainment by emphasizing the special nature of seeing film and alternative content in a cinema environment and by developing ways to position ourselves to take advantage of the increased output of film and feature product. These are issues common to both our U.S. and international cinema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Further competitive issues are discussed under Item 1A – </w:t>
      </w:r>
      <w:r>
        <w:rPr>
          <w:rFonts w:ascii="Arial" w:cs="Arial" w:eastAsia="Arial" w:hAnsi="Arial"/>
          <w:sz w:val="14"/>
          <w:szCs w:val="14"/>
          <w:i w:val="1"/>
          <w:iCs w:val="1"/>
          <w:color w:val="auto"/>
        </w:rPr>
        <w:t>Risk Factors</w:t>
      </w:r>
      <w:r>
        <w:rPr>
          <w:rFonts w:ascii="Arial" w:cs="Arial" w:eastAsia="Arial" w:hAnsi="Arial"/>
          <w:sz w:val="14"/>
          <w:szCs w:val="14"/>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Seasonality</w:t>
      </w:r>
    </w:p>
    <w:p>
      <w:pPr>
        <w:spacing w:after="0" w:line="143" w:lineRule="exact"/>
        <w:rPr>
          <w:sz w:val="20"/>
          <w:szCs w:val="20"/>
          <w:color w:val="auto"/>
        </w:rPr>
      </w:pPr>
    </w:p>
    <w:p>
      <w:pPr>
        <w:ind w:right="60"/>
        <w:spacing w:after="0" w:line="237" w:lineRule="auto"/>
        <w:rPr>
          <w:sz w:val="20"/>
          <w:szCs w:val="20"/>
          <w:color w:val="auto"/>
        </w:rPr>
      </w:pPr>
      <w:r>
        <w:rPr>
          <w:rFonts w:ascii="Arial" w:cs="Arial" w:eastAsia="Arial" w:hAnsi="Arial"/>
          <w:sz w:val="14"/>
          <w:szCs w:val="14"/>
          <w:color w:val="auto"/>
        </w:rPr>
        <w:t>Major films are generally released to coincide with holidays. This fact provides some balancing of our revenue because, with the exception of Christmas and New Years, there is no material overlap between holidays in the United States and those in Australia and New Zealand. Distributors will delay, in certain cases, releases in Australia and New Zealand to take advantage of Australian and New Zealand holidays that are not celebrated in the United States. However, the deferral of releases is becoming increasingly less common, given the need to address internet and other channels of distribution that operate on a worldwide basis and are less tied to holiday schedules.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REAL ESTATE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Overall</w:t>
      </w:r>
    </w:p>
    <w:p>
      <w:pPr>
        <w:spacing w:after="0" w:line="143"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We engage in the real estate business through the development and our ownership and rental or licensing to third parties of retail, commercial and live theatre assets. We own the fee interests in both our live theatres, and in 10 of our cinemas (as presented in the preceding table within the “</w:t>
      </w:r>
      <w:r>
        <w:rPr>
          <w:rFonts w:ascii="Arial" w:cs="Arial" w:eastAsia="Arial" w:hAnsi="Arial"/>
          <w:sz w:val="14"/>
          <w:szCs w:val="14"/>
          <w:i w:val="1"/>
          <w:iCs w:val="1"/>
          <w:color w:val="auto"/>
        </w:rPr>
        <w:t>Cinema Exhibition</w:t>
      </w:r>
      <w:r>
        <w:rPr>
          <w:rFonts w:ascii="Arial" w:cs="Arial" w:eastAsia="Arial" w:hAnsi="Arial"/>
          <w:sz w:val="14"/>
          <w:szCs w:val="14"/>
          <w:color w:val="auto"/>
        </w:rPr>
        <w:t>” section). Our real estate business creates long-term value for our stockholders through the continuous improvement and development of our investment and operating properties, including our ETCs.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auto"/>
        </w:rPr>
        <w:t>Our real estate activities have historically consisted principally of:</w:t>
      </w:r>
    </w:p>
    <w:p>
      <w:pPr>
        <w:spacing w:after="0" w:line="67" w:lineRule="exact"/>
        <w:rPr>
          <w:sz w:val="20"/>
          <w:szCs w:val="20"/>
          <w:color w:val="auto"/>
        </w:rPr>
      </w:pPr>
    </w:p>
    <w:p>
      <w:pPr>
        <w:ind w:left="520" w:right="100"/>
        <w:spacing w:after="0" w:line="274" w:lineRule="auto"/>
        <w:rPr>
          <w:sz w:val="20"/>
          <w:szCs w:val="20"/>
          <w:color w:val="auto"/>
        </w:rPr>
      </w:pPr>
      <w:r>
        <w:rPr>
          <w:rFonts w:ascii="Arial" w:cs="Arial" w:eastAsia="Arial" w:hAnsi="Arial"/>
          <w:sz w:val="14"/>
          <w:szCs w:val="14"/>
          <w:color w:val="auto"/>
        </w:rPr>
        <w:t>the ownership of fee or long-term leasehold interests in properties used in our cinema exhibition activities or which were acquired for the development of cinemas or cinema-based real estate development projects;</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acquisition of fee interests in land for general real estate development;</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licensing to production companies of our live theatres; and,</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redevelopment of our existing fee-owned cinema or live theatre sites to their highest and best use.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All of our leasehold interests are cinema operating properties. We utilize office space at the Village East cinema building for our corporate headquarters.</w:t>
      </w:r>
    </w:p>
    <w:p>
      <w:pPr>
        <w:spacing w:after="0" w:line="143"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We have historically made use of third-party agencies to provide the on-site management and leasing administration functions of our Australia and New Zealand sites. In 2020, however, we terminated these arrangements and brought these activities in-house. All of our U.S. real estate operations are managed in-house, with operational support from a third-party for 44 Union Square.</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In addition to our principal properties as set out below, we own certain historic railroad properties (such as our 8.2-acre North Viaduct and adjacent commercial properties in Philadelphia).</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Live Theatres – Minetta Lane and Orpheum</w:t>
      </w:r>
    </w:p>
    <w:p>
      <w:pPr>
        <w:spacing w:after="0" w:line="143" w:lineRule="exact"/>
        <w:rPr>
          <w:sz w:val="20"/>
          <w:szCs w:val="20"/>
          <w:color w:val="auto"/>
        </w:rPr>
      </w:pPr>
    </w:p>
    <w:p>
      <w:pPr>
        <w:ind w:right="20"/>
        <w:spacing w:after="0" w:line="237" w:lineRule="auto"/>
        <w:rPr>
          <w:sz w:val="20"/>
          <w:szCs w:val="20"/>
          <w:color w:val="auto"/>
        </w:rPr>
      </w:pPr>
      <w:r>
        <w:rPr>
          <w:rFonts w:ascii="Arial" w:cs="Arial" w:eastAsia="Arial" w:hAnsi="Arial"/>
          <w:sz w:val="14"/>
          <w:szCs w:val="14"/>
          <w:color w:val="auto"/>
        </w:rPr>
        <w:t>Included among our real estate holdings are two Off-Broadway style live theatres, operated through our Liberty Theatres subsidiary. We license theatre auditoriums to the producers of Off-Broadway theatrical productions and provide various box office and food &amp; beverage services. The terms of our licenses are, naturally, principally dependent upon the commercial success of our tenants. While we attempt to choose productions that we believe will be successful, we have no control over the production itself. At the current time, we have two single-auditorium theatres in Manhattan:</w:t>
      </w:r>
    </w:p>
    <w:p>
      <w:pPr>
        <w:spacing w:after="0" w:line="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Minetta Lane (399 seats); and</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Orpheum (347 seats).</w:t>
      </w:r>
    </w:p>
    <w:p>
      <w:pPr>
        <w:spacing w:after="0" w:line="153" w:lineRule="exact"/>
        <w:rPr>
          <w:sz w:val="20"/>
          <w:szCs w:val="20"/>
          <w:color w:val="auto"/>
        </w:rPr>
      </w:pPr>
    </w:p>
    <w:p>
      <w:pPr>
        <w:jc w:val="both"/>
        <w:ind w:right="20"/>
        <w:spacing w:after="0" w:line="242" w:lineRule="auto"/>
        <w:rPr>
          <w:sz w:val="20"/>
          <w:szCs w:val="20"/>
          <w:color w:val="auto"/>
        </w:rPr>
      </w:pPr>
      <w:r>
        <w:rPr>
          <w:rFonts w:ascii="Arial" w:cs="Arial" w:eastAsia="Arial" w:hAnsi="Arial"/>
          <w:sz w:val="14"/>
          <w:szCs w:val="14"/>
          <w:color w:val="auto"/>
        </w:rPr>
        <w:t>Liberty Theatres is primarily in the business of licensing theatre space. However, we may from time to time participate as an investor in a play, which can help facilitate the exhibition of the play at one of our theatres and do from time to time rent space on a basis that allows us to share in a production’s revenues or profits. Rental revenues, expenses, and profits are reported as part of the real estate segment of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44 Union Square</w:t>
      </w:r>
    </w:p>
    <w:p>
      <w:pPr>
        <w:spacing w:after="0" w:line="143" w:lineRule="exact"/>
        <w:rPr>
          <w:sz w:val="20"/>
          <w:szCs w:val="20"/>
          <w:color w:val="auto"/>
        </w:rPr>
      </w:pPr>
    </w:p>
    <w:p>
      <w:pPr>
        <w:ind w:right="20"/>
        <w:spacing w:after="0" w:line="233" w:lineRule="auto"/>
        <w:rPr>
          <w:sz w:val="20"/>
          <w:szCs w:val="20"/>
          <w:color w:val="auto"/>
        </w:rPr>
      </w:pPr>
      <w:r>
        <w:rPr>
          <w:rFonts w:ascii="Arial" w:cs="Arial" w:eastAsia="Arial" w:hAnsi="Arial"/>
          <w:sz w:val="14"/>
          <w:szCs w:val="14"/>
          <w:color w:val="auto"/>
        </w:rPr>
        <w:t>At the end of 2019, we substantially completed the construction phase of our 44 Union Square redevelopment project, achieving approximately 73,000 square feet of net rentable area (calculated inclusive of anticipated BOMA adjustments) comprised of retail and office space. We have leased all the retail space to a national retailer for a flagship, state-of-the-art facility. We are currently working with CBRE to lease the office portions of the project. 44 Union Square/Tammany Hall, hailed as a dramatic pièce de résistance with its first in the city, over 800-piece, glass dome, brings the future to New York’s fabled past and in 2021 was awarded the (i) Design Award of Honor in the Renovation, Restoration and Adaptive Re-use category by the Society of American Registered Architects, (ii) 1st Place Addition Award by Retrofit Magazine, (iii) the Architecture + Collaboration Popular Choice Winner by the Architizer A+ Awards and (iv) the Architecture + Collaboration Jury Winner by the Architizer A+ Awards.</w:t>
      </w:r>
    </w:p>
    <w:p>
      <w:pPr>
        <w:spacing w:after="0" w:line="125" w:lineRule="exact"/>
        <w:rPr>
          <w:sz w:val="20"/>
          <w:szCs w:val="20"/>
          <w:color w:val="auto"/>
        </w:rPr>
      </w:pPr>
    </w:p>
    <w:p>
      <w:pPr>
        <w:ind w:right="240"/>
        <w:spacing w:after="0" w:line="270" w:lineRule="auto"/>
        <w:rPr>
          <w:sz w:val="20"/>
          <w:szCs w:val="20"/>
          <w:color w:val="auto"/>
        </w:rPr>
      </w:pPr>
      <w:r>
        <w:rPr>
          <w:rFonts w:ascii="Arial" w:cs="Arial" w:eastAsia="Arial" w:hAnsi="Arial"/>
          <w:sz w:val="13"/>
          <w:szCs w:val="13"/>
          <w:color w:val="auto"/>
        </w:rPr>
        <w:t xml:space="preserve">We believe 44 Union Square is attractive to potential office tenants interested in both (i) operating in New York City and (ii) seeking to have greater control over the size and design of their spaces in a post-COVID-19 environment. It is one of a very limited number of “brandable” sites available for lease in New York City and can be delivered immediately upon the execution of leases. Gallery and video images can be viewed at www.44unionsquare.com. An update on this project is provided in </w:t>
      </w:r>
      <w:r>
        <w:rPr>
          <w:rFonts w:ascii="Arial" w:cs="Arial" w:eastAsia="Arial" w:hAnsi="Arial"/>
          <w:sz w:val="13"/>
          <w:szCs w:val="13"/>
          <w:i w:val="1"/>
          <w:iCs w:val="1"/>
          <w:color w:val="auto"/>
        </w:rPr>
        <w:t>Item 7 – Recent Developments</w:t>
      </w: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5995 Sepulveda Boulevard</w:t>
      </w:r>
    </w:p>
    <w:p>
      <w:pPr>
        <w:spacing w:after="0" w:line="143" w:lineRule="exact"/>
        <w:rPr>
          <w:sz w:val="20"/>
          <w:szCs w:val="20"/>
          <w:color w:val="auto"/>
        </w:rPr>
      </w:pPr>
    </w:p>
    <w:p>
      <w:pPr>
        <w:jc w:val="both"/>
        <w:ind w:right="120"/>
        <w:spacing w:after="0" w:line="242" w:lineRule="auto"/>
        <w:rPr>
          <w:sz w:val="20"/>
          <w:szCs w:val="20"/>
          <w:color w:val="auto"/>
        </w:rPr>
      </w:pPr>
      <w:r>
        <w:rPr>
          <w:rFonts w:ascii="Arial" w:cs="Arial" w:eastAsia="Arial" w:hAnsi="Arial"/>
          <w:sz w:val="14"/>
          <w:szCs w:val="14"/>
          <w:color w:val="auto"/>
        </w:rPr>
        <w:t xml:space="preserve">We own an approximately 24,000 square foot office building with 72 parking spaces located at 5995 Sepulveda Boulevard in Culver City, California. We occupy approximately 12,500 square feet of our Culver City office building for administrative purposes. The remainder of the building is leased to an unrelated third-party. An update on this property is provided in </w:t>
      </w:r>
      <w:r>
        <w:rPr>
          <w:rFonts w:ascii="Arial" w:cs="Arial" w:eastAsia="Arial" w:hAnsi="Arial"/>
          <w:sz w:val="14"/>
          <w:szCs w:val="14"/>
          <w:i w:val="1"/>
          <w:iCs w:val="1"/>
          <w:color w:val="auto"/>
        </w:rPr>
        <w:t>Item 7 – Recent</w:t>
      </w:r>
      <w:r>
        <w:rPr>
          <w:rFonts w:ascii="Arial" w:cs="Arial" w:eastAsia="Arial" w:hAnsi="Arial"/>
          <w:sz w:val="14"/>
          <w:szCs w:val="14"/>
          <w:color w:val="auto"/>
        </w:rPr>
        <w:t xml:space="preserve"> </w:t>
      </w:r>
      <w:r>
        <w:rPr>
          <w:rFonts w:ascii="Arial" w:cs="Arial" w:eastAsia="Arial" w:hAnsi="Arial"/>
          <w:sz w:val="14"/>
          <w:szCs w:val="14"/>
          <w:i w:val="1"/>
          <w:iCs w:val="1"/>
          <w:color w:val="auto"/>
        </w:rPr>
        <w:t>Developments.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40"/>
          </w:cols>
          <w:pgMar w:left="300" w:top="270" w:right="35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color w:val="auto"/>
        </w:rPr>
        <w:t>Cinemas 1,2,3</w:t>
      </w:r>
    </w:p>
    <w:p>
      <w:pPr>
        <w:spacing w:after="0" w:line="143"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We own, through our 75% managing member interest, the fee interest in our Cinemas 1,2,3 property in Manhattan. While we are evaluating the potential to redevelop this property as a mixed-use property, these endeavors have been deferred as we deal with the challenges posed by the COVID 19 pandemic. However, located on 3rd avenue, across from Bloomingdales on Manhattan’s Upper Eastside, this property is a prime long-term hold-for-development asset of our Company.</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Australia</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We own and operate three ETCs in Australia. Our revenues from these sites consist of rental income and other ancillary charges from our various tenants.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Newmarket Village</w:t>
      </w:r>
    </w:p>
    <w:p>
      <w:pPr>
        <w:spacing w:after="0" w:line="143"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Located on 203,000 square feet of land in suburban Brisbane, Newmarket Village is currently comprised of approximately 102,000 square feet of net rentable area, including a Coles Supermarket and 43 other third-party tenants. We added a state-of-the-art eight-screen Reading Cinemas in December 2017.</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Cannon Park</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Comprising 9.4-acres across two properties, Cannon Park City Center and Cannon Park Discount Center, Cannon Park was acquired in December 2015. Our multiplex cinema is the anchor tenant for Cannon Park City Center, which features nine third-party F&amp;B and retail tenants.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Belmont Common</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Anchored by our 10-screen Reading Cinemas and five F&amp;B or third-party tenants, The Belmont Common is located in Perth, Australia, and is currently comprised of 103,000 square feet of land and 15,000 square feet of net rentable area.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New Zealand</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Courtenay Central</w:t>
      </w:r>
    </w:p>
    <w:p>
      <w:pPr>
        <w:spacing w:after="0" w:line="143"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Located in the heart of Wellington – New Zealand’s capital city – our Courtenay Central ETC is comprised, on a consolidated basis through various subsidiaries, of 161,000 square feet of land situated (i) proximate to the Te Papa Tongarewa Museum (attracting over 1.5 million visitors annually, pre-COVID), and (ii) across the street from the site of the future Takina, Wellington Convention and Exhibition Center (wcec.co.nz), the capital’s first premium conference and exhibition space, which is due to be completed in 2023. Despite the COVID-19 pandemic, construction for this major public project is on track with plans including the creation of a public concourse linking through to Wakefield Street. When it is completed, not only will it be a major generator of foot traffic in the area, but its presence (together with the Te Papa Tongarewa Museum) will provide our property with the potential for unhindered view lines over- looking Wellington Harbor.</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As previously reported, damage from the 2016 Kaikoura earthquake necessitated demolition of our nine-story parking garage at the site, and unrelated seismic issues caused us to close major portions of the existing cinema and retail structure in early 2019. Wellington continues to be rated as one of the top cities in the world in which to live, and we continue to believe that the Courtenay Central site is located in one of the most vibrant and growing commercial and entertainment precinct areas of Wellington. In 2019, UNESCO named Wellington as a UNESCO Creative City of Film. In 2021, the Economist Intelligence Unit ranked Wellington as the fourth “Coolest Little Capital in the World”. Prior to the COVID-19 pandemic, the real estate team had developed a comprehensive plan featuring a variety of uses to complement and build upon the “destination quality” of the Courtenay Central location. Notwithstanding the COVID-19 pandemic, our real estate team is continuing to work with our consultants, potential tenants, and city representatives to advance our redevelopment plans for this property.</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Our real estate holdings are described in further detail in </w:t>
      </w:r>
      <w:r>
        <w:rPr>
          <w:rFonts w:ascii="Arial" w:cs="Arial" w:eastAsia="Arial" w:hAnsi="Arial"/>
          <w:sz w:val="14"/>
          <w:szCs w:val="14"/>
          <w:i w:val="1"/>
          <w:iCs w:val="1"/>
          <w:color w:val="auto"/>
        </w:rPr>
        <w:t>Item 2</w:t>
      </w:r>
      <w:r>
        <w:rPr>
          <w:rFonts w:ascii="Arial" w:cs="Arial" w:eastAsia="Arial" w:hAnsi="Arial"/>
          <w:sz w:val="14"/>
          <w:szCs w:val="14"/>
          <w:color w:val="auto"/>
        </w:rPr>
        <w:t xml:space="preserve"> – </w:t>
      </w:r>
      <w:r>
        <w:rPr>
          <w:rFonts w:ascii="Arial" w:cs="Arial" w:eastAsia="Arial" w:hAnsi="Arial"/>
          <w:sz w:val="14"/>
          <w:szCs w:val="14"/>
          <w:i w:val="1"/>
          <w:iCs w:val="1"/>
          <w:color w:val="auto"/>
        </w:rPr>
        <w:t>Properties</w:t>
      </w:r>
      <w:r>
        <w:rPr>
          <w:rFonts w:ascii="Arial" w:cs="Arial" w:eastAsia="Arial" w:hAnsi="Arial"/>
          <w:sz w:val="14"/>
          <w:szCs w:val="14"/>
          <w:color w:val="auto"/>
        </w:rPr>
        <w:t xml:space="preserve">. Our real estate developments are described in </w:t>
      </w:r>
      <w:r>
        <w:rPr>
          <w:rFonts w:ascii="Arial" w:cs="Arial" w:eastAsia="Arial" w:hAnsi="Arial"/>
          <w:sz w:val="14"/>
          <w:szCs w:val="14"/>
          <w:i w:val="1"/>
          <w:iCs w:val="1"/>
          <w:color w:val="auto"/>
        </w:rPr>
        <w:t>Item 7 – Recent Developments.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Competition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70"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A summary discussion of our view as to the competitive aspects of the markets where we own real estate properties is as follows: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United States</w:t>
      </w:r>
    </w:p>
    <w:p>
      <w:pPr>
        <w:spacing w:after="0" w:line="143"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We believe that the COVID effect, while significant in 2020 and 2021, will not survive in the long-term as the human need for interaction will outweigh the reduced COVID post-vaccine risks. To meet this need for human interaction, we expect that U.S. retail real estate owners will continue to reuse the space vacated by anchor retailers to offer a variety of entertainment options and ultimately enhance the customer experience.</w:t>
      </w:r>
    </w:p>
    <w:p>
      <w:pPr>
        <w:spacing w:after="0" w:line="120"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Demand for office space may decline in the near term as corporations adapt to employees’ “work-life balance” and leverage technology to automate tasks. However, our office space offering in the United States is limited. The available space in our Culver City office building is now completely leased. Our 44 Union Square office space is not generic in nature, given its Union Square location, its boutique size and brandability. The retail portion of our 44 Union Square property is now fully leased to a national retailer.</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Australia and New Zealand</w:t>
      </w:r>
    </w:p>
    <w:p>
      <w:pPr>
        <w:spacing w:after="0" w:line="143" w:lineRule="exact"/>
        <w:rPr>
          <w:sz w:val="20"/>
          <w:szCs w:val="20"/>
          <w:color w:val="auto"/>
        </w:rPr>
      </w:pPr>
    </w:p>
    <w:p>
      <w:pPr>
        <w:jc w:val="both"/>
        <w:spacing w:after="0" w:line="235" w:lineRule="auto"/>
        <w:rPr>
          <w:sz w:val="20"/>
          <w:szCs w:val="20"/>
          <w:color w:val="auto"/>
        </w:rPr>
      </w:pPr>
      <w:r>
        <w:rPr>
          <w:rFonts w:ascii="Arial" w:cs="Arial" w:eastAsia="Arial" w:hAnsi="Arial"/>
          <w:sz w:val="14"/>
          <w:szCs w:val="14"/>
          <w:color w:val="auto"/>
        </w:rPr>
        <w:t>Over the past few years, there has been a noted stabilization in real estate market activity resulting in some increases to commercial and retail property values in Australia and to a lesser extent in New Zealand. Both countries have relatively stable economies with varying degrees of economic growth that are mostly influenced by global trends. Also, we have noted that our Australian and New Zealand developed properties have had consistent growth in rentals and values, despite the COVID effects. This is in part a product of the fact that our tenancies have focused on entertainment services (cinemas, food and beverage) and essentials (such as groceries and pharmacies), which has to some extent insulated us from internet competition. We remain optimistic that our Australian and New Zealand holdings will continue to provide value and cash flows to our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MIX AND FOREIGN CURRENCY IMPACT</w:t>
      </w:r>
    </w:p>
    <w:p>
      <w:pPr>
        <w:spacing w:after="0" w:line="147"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At December 31, 2021, the book value of our assets was $687.7 million, and our consolidated stockholders’ book equity was $105.1 million. Calculated based on book value, $316.2 million, or 46% of our assets, relate to our cinema exhibition activities and $257.2 million, or 37%, of our assets, relate to our real estate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2152015</wp:posOffset>
            </wp:positionH>
            <wp:positionV relativeFrom="paragraph">
              <wp:posOffset>83185</wp:posOffset>
            </wp:positionV>
            <wp:extent cx="2863850" cy="12528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63850" cy="125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 xml:space="preserve">For additional segment financial information, please see </w:t>
      </w:r>
      <w:r>
        <w:rPr>
          <w:rFonts w:ascii="Arial" w:cs="Arial" w:eastAsia="Arial" w:hAnsi="Arial"/>
          <w:sz w:val="14"/>
          <w:szCs w:val="14"/>
          <w:i w:val="1"/>
          <w:iCs w:val="1"/>
          <w:color w:val="auto"/>
        </w:rPr>
        <w:t>Part II, Item 8 – Financial Statements and Supplementary Data—Notes to Consolidated Financial Statements-- Note 1 – Description of</w:t>
      </w:r>
      <w:r>
        <w:rPr>
          <w:rFonts w:ascii="Arial" w:cs="Arial" w:eastAsia="Arial" w:hAnsi="Arial"/>
          <w:sz w:val="14"/>
          <w:szCs w:val="14"/>
          <w:color w:val="auto"/>
        </w:rPr>
        <w:t xml:space="preserve"> </w:t>
      </w:r>
      <w:r>
        <w:rPr>
          <w:rFonts w:ascii="Arial" w:cs="Arial" w:eastAsia="Arial" w:hAnsi="Arial"/>
          <w:sz w:val="14"/>
          <w:szCs w:val="14"/>
          <w:i w:val="1"/>
          <w:iCs w:val="1"/>
          <w:color w:val="auto"/>
        </w:rPr>
        <w:t>Business and Segment Reporting.</w:t>
      </w:r>
    </w:p>
    <w:p>
      <w:pPr>
        <w:spacing w:after="0" w:line="109" w:lineRule="exact"/>
        <w:rPr>
          <w:sz w:val="20"/>
          <w:szCs w:val="20"/>
          <w:color w:val="auto"/>
        </w:rPr>
      </w:pPr>
    </w:p>
    <w:p>
      <w:pPr>
        <w:jc w:val="both"/>
        <w:ind w:right="40"/>
        <w:spacing w:after="0" w:line="242" w:lineRule="auto"/>
        <w:rPr>
          <w:sz w:val="20"/>
          <w:szCs w:val="20"/>
          <w:color w:val="auto"/>
        </w:rPr>
      </w:pPr>
      <w:r>
        <w:rPr>
          <w:rFonts w:ascii="Arial" w:cs="Arial" w:eastAsia="Arial" w:hAnsi="Arial"/>
          <w:sz w:val="14"/>
          <w:szCs w:val="14"/>
          <w:color w:val="auto"/>
        </w:rPr>
        <w:t>We have diversified our assets among three countries: the United States, Australia, and New Zealand. Based on book value, at December 31, 2021, we had approximately 49% of our assets in the United States, 40% in Australia and 11% in New Zealand compared to 49%, 39%, and 12%, respectively, at the end of 2020. This shift in the ratio is principally due to the monetization of certain real estate assets, the launch of our Reading Cinemas in Jindalee, Millers Junction and Traralgon in Australia, and currency fluctuations.</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We have worked to maintain a balance both between our cinema and real estate assets and between our U.S. and our Australian and New Zealand assets. In 2021, we invested approximately</w:t>
      </w:r>
    </w:p>
    <w:p>
      <w:pPr>
        <w:spacing w:after="0" w:line="14" w:lineRule="exact"/>
        <w:rPr>
          <w:sz w:val="20"/>
          <w:szCs w:val="20"/>
          <w:color w:val="auto"/>
        </w:rPr>
      </w:pPr>
    </w:p>
    <w:p>
      <w:pPr>
        <w:ind w:right="40"/>
        <w:spacing w:after="0" w:line="233" w:lineRule="auto"/>
        <w:rPr>
          <w:sz w:val="20"/>
          <w:szCs w:val="20"/>
          <w:color w:val="auto"/>
        </w:rPr>
      </w:pPr>
      <w:r>
        <w:rPr>
          <w:rFonts w:ascii="Arial" w:cs="Arial" w:eastAsia="Arial" w:hAnsi="Arial"/>
          <w:sz w:val="14"/>
          <w:szCs w:val="14"/>
          <w:color w:val="auto"/>
        </w:rPr>
        <w:t>$8.0 million in our U.S. assets: $3.4 million for the development of our real estate assets (principally for the construction of our 44 Union Square property) and $4.6 million for the improvements of our cinema assets (principally the renovations of our cinemas at Kahala and Kapolei, and upgrades of certain other cinemas). We invested approximately $5.6 million for the development of our cinema assets (principally the fit-out and launch of our Millers Junction (Victoria) and Traralgon (Victoria) cinemas). We invested approximately $0.2 million in our New Zealand assets, all of which was used for the development of real estate assets (principally on the predevelopment of our Courtenay Central asset).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22" w:right="319" w:bottom="1440" w:gutter="0" w:footer="0" w:header="0"/>
        </w:sectPr>
      </w:pPr>
    </w:p>
    <w:bookmarkStart w:id="14" w:name="page15"/>
    <w:bookmarkEnd w:id="14"/>
    <w:p>
      <w:pPr>
        <w:ind w:right="280"/>
        <w:spacing w:after="0" w:line="237" w:lineRule="auto"/>
        <w:rPr>
          <w:sz w:val="20"/>
          <w:szCs w:val="20"/>
          <w:color w:val="auto"/>
        </w:rPr>
      </w:pPr>
      <w:r>
        <w:rPr>
          <w:rFonts w:ascii="Arial" w:cs="Arial" w:eastAsia="Arial" w:hAnsi="Arial"/>
          <w:sz w:val="14"/>
          <w:szCs w:val="14"/>
          <w:color w:val="auto"/>
        </w:rPr>
        <w:t>At December 31, 2021, we had cash and cash equivalents of $83.3 million, which are treated as corporate assets. Our cash included $10.9 million denominated in U.S. dollars, $49.5 million (AU$68.1 million) in Australian dollars, and $22.8 million (NZ$33.4 million) in New Zealand dollars. We had total worldwide non-current assets of $587.3 million, distributed as follows: $313.4 million in the United States, $221.1 million (AU$362.1 million) in Australia and $52.8 million (NZ$77.1 million) in New Zealand. We had no unused capacity of available corporate credit facilities at December 31, 2021.</w:t>
      </w:r>
    </w:p>
    <w:p>
      <w:pPr>
        <w:spacing w:after="0" w:line="123" w:lineRule="exact"/>
        <w:rPr>
          <w:sz w:val="20"/>
          <w:szCs w:val="20"/>
          <w:color w:val="auto"/>
        </w:rPr>
      </w:pPr>
    </w:p>
    <w:p>
      <w:pPr>
        <w:ind w:right="120"/>
        <w:spacing w:after="0" w:line="297" w:lineRule="auto"/>
        <w:rPr>
          <w:sz w:val="20"/>
          <w:szCs w:val="20"/>
          <w:color w:val="auto"/>
        </w:rPr>
      </w:pPr>
      <w:r>
        <w:rPr>
          <w:rFonts w:ascii="Arial" w:cs="Arial" w:eastAsia="Arial" w:hAnsi="Arial"/>
          <w:sz w:val="13"/>
          <w:szCs w:val="13"/>
          <w:color w:val="auto"/>
        </w:rPr>
        <w:t>For 2021, our gross revenues in the United States, Australia, and New Zealand were $61.8 million, $64.7 million, and $12.6 million, respectively, compared to $25.7 million, $31.3 million, and $5.8 million for 2020. All three countries posted revenue increases in 2021 as a result of fewer mandated closures in 2021 due to the wide distribution of COVID-19 vaccines.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67945</wp:posOffset>
            </wp:positionV>
            <wp:extent cx="3084195" cy="12528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84195" cy="125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 xml:space="preserve">As shown in the chart set forth in the </w:t>
      </w:r>
      <w:r>
        <w:rPr>
          <w:rFonts w:ascii="Arial" w:cs="Arial" w:eastAsia="Arial" w:hAnsi="Arial"/>
          <w:sz w:val="13"/>
          <w:szCs w:val="13"/>
          <w:i w:val="1"/>
          <w:iCs w:val="1"/>
          <w:color w:val="auto"/>
        </w:rPr>
        <w:t>International Business Risks</w:t>
      </w:r>
      <w:r>
        <w:rPr>
          <w:rFonts w:ascii="Arial" w:cs="Arial" w:eastAsia="Arial" w:hAnsi="Arial"/>
          <w:sz w:val="13"/>
          <w:szCs w:val="13"/>
          <w:color w:val="auto"/>
        </w:rPr>
        <w:t xml:space="preserve"> section, exchange rates for the currencies of these jurisdictions have varied, sometimes materially. These ratios naturally have an impact on our revenues and asset values, which are reported in USD. Notwithstanding these fluctuations, we continue to believe that, over the long term, operating in Australia and New Zealand is a prudent diversification of risk. Australia has been identified by the United Nations to be among the Top 10 countries in the World in terms of natural resources per person. Deutsche Bank has twice named Wellington the best place in the world to live. The Organization for Economic Cooperation and Development has twice rated Australia as the best place to live and work in the world. In our view, the economies of Australia and New Zealand are stable economies, and their lifestyles support our entertainment/lifestyle focus.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 RESOURCES</w:t>
      </w:r>
    </w:p>
    <w:p>
      <w:pPr>
        <w:spacing w:after="0" w:line="147" w:lineRule="exact"/>
        <w:rPr>
          <w:sz w:val="20"/>
          <w:szCs w:val="20"/>
          <w:color w:val="auto"/>
        </w:rPr>
      </w:pPr>
    </w:p>
    <w:p>
      <w:pPr>
        <w:ind w:right="80"/>
        <w:spacing w:after="0" w:line="235" w:lineRule="auto"/>
        <w:rPr>
          <w:sz w:val="20"/>
          <w:szCs w:val="20"/>
          <w:color w:val="auto"/>
        </w:rPr>
      </w:pPr>
      <w:r>
        <w:rPr>
          <w:rFonts w:ascii="Arial" w:cs="Arial" w:eastAsia="Arial" w:hAnsi="Arial"/>
          <w:sz w:val="14"/>
          <w:szCs w:val="14"/>
          <w:color w:val="auto"/>
        </w:rPr>
        <w:t>Our Company employs experienced, diverse, and creative employees as they are among our best assets and are critical for our continued success. As of December 31, 2021, we had approximately (i) 89 executive/administrative and 8 real estate employees who were primarily full-time and (ii) 20 live theatre and 1,908 cinema employees worldwide who were predominantly part-time/casual employees. A small number of our cinema employees in New Zealand are union members, as are our projectionists in Hawaii. None of our Australian-based employees or other employees are subject to union contracts. Overall, we are of the view that the existence of these collective bargaining agreements does not materially increase our costs of labor or our ability to compete.</w:t>
      </w:r>
    </w:p>
    <w:p>
      <w:pPr>
        <w:spacing w:after="0" w:line="122"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auto"/>
        </w:rPr>
        <w:t>We offer our employees a competitive benefits package. In the U.S., we offer a 401(k)-retirement savings plan (our “401(k) Plan”) that allows eligible U.S. employees to defer a portion of their compensation, within limits prescribed by the Internal Revenue Code, on a pre- and post-tax basis through contributions to the plan. We match contributions made by participants in our 401(k) Plan up to a specified percentage, and these matching contributions are fully vested as of the date on which the contributions are made. Currently, matching has been deferred as allowed by our 401(k)-plan due to COVID-19. For our employees in Australia and New Zealand, we offer superannuation plans in line with the requirements as they pertain to each government. We believe that providing a vehicle for retirement savings through our 401(k) Plan or superannuation plan, and making fully vested matching contributions in the U.S., in accordance with our compensation policies, adds to the overall desirability of our employee compensation package and further incentivizes our employees.</w:t>
      </w:r>
    </w:p>
    <w:p>
      <w:pPr>
        <w:spacing w:after="0" w:line="113" w:lineRule="exact"/>
        <w:rPr>
          <w:sz w:val="20"/>
          <w:szCs w:val="20"/>
          <w:color w:val="auto"/>
        </w:rPr>
      </w:pPr>
    </w:p>
    <w:p>
      <w:pPr>
        <w:ind w:right="120"/>
        <w:spacing w:after="0" w:line="235" w:lineRule="auto"/>
        <w:rPr>
          <w:sz w:val="20"/>
          <w:szCs w:val="20"/>
          <w:color w:val="auto"/>
        </w:rPr>
      </w:pPr>
      <w:r>
        <w:rPr>
          <w:rFonts w:ascii="Arial" w:cs="Arial" w:eastAsia="Arial" w:hAnsi="Arial"/>
          <w:sz w:val="14"/>
          <w:szCs w:val="14"/>
          <w:color w:val="auto"/>
        </w:rPr>
        <w:t>We have adopted a Code of Business Conduct and Ethics (the “Code of Conduct”) designed to help our Directors and employees resolve ethical issues. Our Code of Conduct applies to all Directors and employees and is posted on our website. Our Board has established a means for employees to report a violation or suspected violation of the Code of Conduct anonymously. In addition, we have adopted an “Amended and Restated Whistleblower Policy and Procedures,” which is also posted on our website, and establishes a process by which employees may anonymously disclose to our Principal Compliance Officer alleged fraud or violations of accounting, internal accounting controls or auditing matters. We are firm supporters of equal rights and diversity, and have accordingly adopted the Anti-Discrimination, Harassment and Bullying Policy posted on our website.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40"/>
          </w:cols>
          <w:pgMar w:left="300" w:top="270" w:right="35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i w:val="1"/>
          <w:iCs w:val="1"/>
          <w:color w:val="auto"/>
        </w:rPr>
        <w:t>Our Green Initiatives.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We strive to do our part in the fight against climate change.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United States</w:t>
      </w:r>
    </w:p>
    <w:p>
      <w:pPr>
        <w:spacing w:after="0" w:line="143"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In our U.S. theaters we are looking at transitioning to paper straws and bamboo biodegradable cutlery in the immediate future. We provide recycle bins at all of our theaters. Prior to the COVID-19 pandemic, we completed a variety of energy enhancements, including the installation of (i) LED Lighting retrofits to lower KWH Usage and reduce our energy consumption across all the theatres, (ii) modern and smart EMS systems at various locations, to efficiently control the current HVAC systems, and (iii) replacement HVAC package units to improve our carbon footprint. We have also done extensive research and analysis, but not yet implemented a project to install renewable energy, such as Solar Systems on the roofs of select cinema locations.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Australia and New Zealand</w:t>
      </w:r>
    </w:p>
    <w:p>
      <w:pPr>
        <w:spacing w:after="0" w:line="143" w:lineRule="exact"/>
        <w:rPr>
          <w:sz w:val="20"/>
          <w:szCs w:val="20"/>
          <w:color w:val="auto"/>
        </w:rPr>
      </w:pPr>
    </w:p>
    <w:p>
      <w:pPr>
        <w:ind w:right="100"/>
        <w:spacing w:after="0" w:line="235" w:lineRule="auto"/>
        <w:rPr>
          <w:sz w:val="20"/>
          <w:szCs w:val="20"/>
          <w:color w:val="auto"/>
        </w:rPr>
      </w:pPr>
      <w:r>
        <w:rPr>
          <w:rFonts w:ascii="Arial" w:cs="Arial" w:eastAsia="Arial" w:hAnsi="Arial"/>
          <w:sz w:val="14"/>
          <w:szCs w:val="14"/>
          <w:color w:val="auto"/>
        </w:rPr>
        <w:t>In our theaters in Australia and New Zealand, we are (i) using commercially compostable bamboo takeaway cutlery nationally, (ii) using commercially compostable paper straws (which are individually wrapped in paper to ensure we are COVID safe), (iii) using commercially compostable soft drink cold cups, coffee cups, popcorn boxes, takeaway pizza boxes and takeaway clamshell hot food boxes. We have achieved our 2021 goal to source only commercially compostable packaging, we expect all AU/NZ locations in Q2 2022 to be 100% converted to the new environmentally friendly stock. At our Burwood cinema in Australia, we are separating waste into three waste streams (compostable material/general waste/recyclable). At our Belmont ETC in Australia, we have installed Solar Panels to minimize our reliance on non-renewable energies.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270"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CAUTIONARY STATEMENT REGARDING FORWARD-LOOKING STATEMENTS</w:t>
      </w:r>
    </w:p>
    <w:p>
      <w:pPr>
        <w:spacing w:after="0" w:line="147" w:lineRule="exact"/>
        <w:rPr>
          <w:sz w:val="20"/>
          <w:szCs w:val="20"/>
          <w:color w:val="auto"/>
        </w:rPr>
      </w:pPr>
    </w:p>
    <w:p>
      <w:pPr>
        <w:ind w:right="20"/>
        <w:spacing w:after="0" w:line="230" w:lineRule="auto"/>
        <w:rPr>
          <w:sz w:val="20"/>
          <w:szCs w:val="20"/>
          <w:color w:val="auto"/>
        </w:rPr>
      </w:pPr>
      <w:r>
        <w:rPr>
          <w:rFonts w:ascii="Arial" w:cs="Arial" w:eastAsia="Arial" w:hAnsi="Arial"/>
          <w:sz w:val="14"/>
          <w:szCs w:val="14"/>
          <w:color w:val="auto"/>
        </w:rPr>
        <w:t>Our statements in this annual report, including the documents incorporated herein by reference, contain a variety of forward-looking statements as defined by the Securities Litigation Reform Act of 1995. Forward-looking statements can be identified by words such as: "may," "will," "expect," "believe," "intend," "future," and "anticipate" and similar references to future periods. Examples of forward-looking statements include, among others, statements we make regarding the closures and reopening of our cinemas and theatres, including our expectations regarding renovations and addition of cinemas; our expectations regarding the long-term impacts of the COVID-19 pandemic on a person’s desire for social interaction our expected operating results, including the long-term impact of the COVID-19 pandemic and our ultimate return to pre-pandemic type results; our expectations regarding the recovery and future of the cinema exhibition industry, including the strength of movies anticipated for release in the future; our expectations regarding people returning to our theatres and continuing to use discretionary funds on entertainment outside of the home; our expectations regarding retail real estate owner’s use of vacant anchor spaces; our expectations regarding the impact of streaming and mobile video services on the cinema exhibition industry; our belief regarding the attractiveness of 44 Union Square to potential tenants and ability to lease space on acceptable terms; our expectations regarding the timing of the completions our renovation projects, our expectations regarding credit facility covenant compliance and our ability to continue to obtain necessary covenant waivers; and our expectations of our liquidity and capital requirements and the allocation of funds.</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with respect to our cinema and live theatre operations:</w:t>
      </w:r>
    </w:p>
    <w:p>
      <w:pPr>
        <w:spacing w:after="0" w:line="14" w:lineRule="exact"/>
        <w:rPr>
          <w:sz w:val="20"/>
          <w:szCs w:val="20"/>
          <w:color w:val="auto"/>
        </w:rPr>
      </w:pPr>
    </w:p>
    <w:p>
      <w:pPr>
        <w:ind w:left="780" w:right="140"/>
        <w:spacing w:after="0" w:line="234" w:lineRule="auto"/>
        <w:rPr>
          <w:sz w:val="20"/>
          <w:szCs w:val="20"/>
          <w:color w:val="auto"/>
        </w:rPr>
      </w:pPr>
      <w:r>
        <w:rPr>
          <w:rFonts w:ascii="Arial" w:cs="Arial" w:eastAsia="Arial" w:hAnsi="Arial"/>
          <w:sz w:val="14"/>
          <w:szCs w:val="14"/>
          <w:color w:val="auto"/>
        </w:rPr>
        <w:t>the adverse impact of the COVID-19 pandemic, and the adverse effects on our anticipated cinema operations should there be further closings or restrictions mandated as a result of other variants;</w:t>
      </w:r>
    </w:p>
    <w:p>
      <w:pPr>
        <w:ind w:left="780" w:right="80"/>
        <w:spacing w:after="0" w:line="238" w:lineRule="auto"/>
        <w:rPr>
          <w:sz w:val="20"/>
          <w:szCs w:val="20"/>
          <w:color w:val="auto"/>
        </w:rPr>
      </w:pPr>
      <w:r>
        <w:rPr>
          <w:rFonts w:ascii="Arial" w:cs="Arial" w:eastAsia="Arial" w:hAnsi="Arial"/>
          <w:sz w:val="14"/>
          <w:szCs w:val="14"/>
          <w:color w:val="auto"/>
        </w:rPr>
        <w:t>the adverse effects of the COVID-19 pandemic and its variants on our Company’s results from operations, liquidity, cash flows, financial condition, and access to credit markets; the adverse impact of the COVID-19 pandemic and its variants on short-term and/or long-term entertainment, leisure and discretionary spending habits and practices of our patrons; the decrease in attendance at our cinemas and theatres due to (i) continued health and safety concerns, (ii) a change in consumer behavior in favor of alternative forms of entertainment, or (iii) additional regulatory requirements limiting our seating capacity;</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4"/>
          <w:szCs w:val="14"/>
          <w:color w:val="auto"/>
        </w:rPr>
        <w:t>reduction in operating margins (or negative operating margins) due to the implementation of social distancing and other health and safety protocols;</w:t>
      </w:r>
    </w:p>
    <w:p>
      <w:pPr>
        <w:spacing w:after="0" w:line="2" w:lineRule="exact"/>
        <w:rPr>
          <w:sz w:val="20"/>
          <w:szCs w:val="20"/>
          <w:color w:val="auto"/>
        </w:rPr>
      </w:pPr>
    </w:p>
    <w:p>
      <w:pPr>
        <w:ind w:left="780" w:right="200"/>
        <w:spacing w:after="0" w:line="242" w:lineRule="auto"/>
        <w:rPr>
          <w:sz w:val="20"/>
          <w:szCs w:val="20"/>
          <w:color w:val="auto"/>
        </w:rPr>
      </w:pPr>
      <w:r>
        <w:rPr>
          <w:rFonts w:ascii="Arial" w:cs="Arial" w:eastAsia="Arial" w:hAnsi="Arial"/>
          <w:sz w:val="14"/>
          <w:szCs w:val="14"/>
          <w:color w:val="auto"/>
        </w:rPr>
        <w:t>potentially uninsurable liability exposure to customers and staff should they become (or allege that they have become) infected with COVID-19 while at one of our facilities; unwillingness of employees to report to work due to the adverse effects of the COVID-19 pandemic or to otherwise conduct work under any revised work environment protocols; the adverse impact that the COVID-19 pandemic may continue to have on the national and global macroeconomic environment;</w:t>
      </w:r>
    </w:p>
    <w:p>
      <w:pPr>
        <w:spacing w:after="0" w:line="1" w:lineRule="exact"/>
        <w:rPr>
          <w:sz w:val="20"/>
          <w:szCs w:val="20"/>
          <w:color w:val="auto"/>
        </w:rPr>
      </w:pPr>
    </w:p>
    <w:p>
      <w:pPr>
        <w:ind w:left="780" w:right="3700"/>
        <w:spacing w:after="0" w:line="242" w:lineRule="auto"/>
        <w:rPr>
          <w:sz w:val="20"/>
          <w:szCs w:val="20"/>
          <w:color w:val="auto"/>
        </w:rPr>
      </w:pPr>
      <w:r>
        <w:rPr>
          <w:rFonts w:ascii="Arial" w:cs="Arial" w:eastAsia="Arial" w:hAnsi="Arial"/>
          <w:sz w:val="14"/>
          <w:szCs w:val="14"/>
          <w:color w:val="auto"/>
        </w:rPr>
        <w:t>competition from cinema operators who have successfully used debtor laws to reduce their debt and/or rent exposure; the uncertainty as to the scope and extent of government responses to the COVID-19 pandemic;</w:t>
      </w:r>
    </w:p>
    <w:p>
      <w:pPr>
        <w:spacing w:after="0" w:line="1" w:lineRule="exact"/>
        <w:rPr>
          <w:sz w:val="20"/>
          <w:szCs w:val="20"/>
          <w:color w:val="auto"/>
        </w:rPr>
      </w:pPr>
    </w:p>
    <w:p>
      <w:pPr>
        <w:ind w:left="780" w:right="400"/>
        <w:spacing w:after="0" w:line="234" w:lineRule="auto"/>
        <w:rPr>
          <w:sz w:val="20"/>
          <w:szCs w:val="20"/>
          <w:color w:val="auto"/>
        </w:rPr>
      </w:pPr>
      <w:r>
        <w:rPr>
          <w:rFonts w:ascii="Arial" w:cs="Arial" w:eastAsia="Arial" w:hAnsi="Arial"/>
          <w:sz w:val="14"/>
          <w:szCs w:val="14"/>
          <w:color w:val="auto"/>
        </w:rPr>
        <w:t>the disruptions or reductions in the utilization of entertainment, shopping, and hospitality venues, as well as in our operations, due to pandemics, epidemics, widespread health emergencies, or outbreaks of infectious diseases such as COVID-19, or to changing consumer tastes and habits;</w:t>
      </w:r>
    </w:p>
    <w:p>
      <w:pPr>
        <w:ind w:left="780"/>
        <w:spacing w:after="0"/>
        <w:rPr>
          <w:sz w:val="20"/>
          <w:szCs w:val="20"/>
          <w:color w:val="auto"/>
        </w:rPr>
      </w:pPr>
      <w:r>
        <w:rPr>
          <w:rFonts w:ascii="Arial" w:cs="Arial" w:eastAsia="Arial" w:hAnsi="Arial"/>
          <w:sz w:val="14"/>
          <w:szCs w:val="14"/>
          <w:color w:val="auto"/>
        </w:rPr>
        <w:t>the number and attractiveness to moviegoers of the films released in future periods, and potential changes in release dates for motion pictures;</w:t>
      </w:r>
    </w:p>
    <w:p>
      <w:pPr>
        <w:spacing w:after="0" w:line="2" w:lineRule="exact"/>
        <w:rPr>
          <w:sz w:val="20"/>
          <w:szCs w:val="20"/>
          <w:color w:val="auto"/>
        </w:rPr>
      </w:pPr>
    </w:p>
    <w:p>
      <w:pPr>
        <w:ind w:left="780" w:right="560"/>
        <w:spacing w:after="0" w:line="234" w:lineRule="auto"/>
        <w:rPr>
          <w:sz w:val="20"/>
          <w:szCs w:val="20"/>
          <w:color w:val="auto"/>
        </w:rPr>
      </w:pPr>
      <w:r>
        <w:rPr>
          <w:rFonts w:ascii="Arial" w:cs="Arial" w:eastAsia="Arial" w:hAnsi="Arial"/>
          <w:sz w:val="14"/>
          <w:szCs w:val="14"/>
          <w:color w:val="auto"/>
        </w:rPr>
        <w:t>the lack of availability of films in the short- or long-term as a result of (i) major film distributors releasing scheduled films on alternative channels or (ii) disruptions of film production;</w:t>
      </w:r>
    </w:p>
    <w:p>
      <w:pPr>
        <w:ind w:left="780"/>
        <w:spacing w:after="0"/>
        <w:rPr>
          <w:sz w:val="20"/>
          <w:szCs w:val="20"/>
          <w:color w:val="auto"/>
        </w:rPr>
      </w:pPr>
      <w:r>
        <w:rPr>
          <w:rFonts w:ascii="Arial" w:cs="Arial" w:eastAsia="Arial" w:hAnsi="Arial"/>
          <w:sz w:val="14"/>
          <w:szCs w:val="14"/>
          <w:color w:val="auto"/>
        </w:rPr>
        <w:t>the amount of money spent by film distributors to promote their motion pictures;</w:t>
      </w:r>
    </w:p>
    <w:p>
      <w:pPr>
        <w:spacing w:after="0" w:line="2" w:lineRule="exact"/>
        <w:rPr>
          <w:sz w:val="20"/>
          <w:szCs w:val="20"/>
          <w:color w:val="auto"/>
        </w:rPr>
      </w:pPr>
    </w:p>
    <w:p>
      <w:pPr>
        <w:ind w:left="780"/>
        <w:spacing w:after="0"/>
        <w:rPr>
          <w:sz w:val="20"/>
          <w:szCs w:val="20"/>
          <w:color w:val="auto"/>
        </w:rPr>
      </w:pPr>
      <w:r>
        <w:rPr>
          <w:rFonts w:ascii="Arial" w:cs="Arial" w:eastAsia="Arial" w:hAnsi="Arial"/>
          <w:sz w:val="14"/>
          <w:szCs w:val="14"/>
          <w:color w:val="auto"/>
        </w:rPr>
        <w:t>the licensing fees and terms required by film distributors from motion picture exhibitors in order to exhibit their films;</w:t>
      </w:r>
    </w:p>
    <w:p>
      <w:pPr>
        <w:spacing w:after="0" w:line="2" w:lineRule="exact"/>
        <w:rPr>
          <w:sz w:val="20"/>
          <w:szCs w:val="20"/>
          <w:color w:val="auto"/>
        </w:rPr>
      </w:pPr>
    </w:p>
    <w:p>
      <w:pPr>
        <w:ind w:left="780" w:right="20"/>
        <w:spacing w:after="0" w:line="234" w:lineRule="auto"/>
        <w:rPr>
          <w:sz w:val="20"/>
          <w:szCs w:val="20"/>
          <w:color w:val="auto"/>
        </w:rPr>
      </w:pPr>
      <w:r>
        <w:rPr>
          <w:rFonts w:ascii="Arial" w:cs="Arial" w:eastAsia="Arial" w:hAnsi="Arial"/>
          <w:sz w:val="14"/>
          <w:szCs w:val="14"/>
          <w:color w:val="auto"/>
        </w:rPr>
        <w:t>the comparative attractiveness of motion pictures as a source of entertainment and willingness and/or ability of consumers (i) to spend their dollars on entertainment and (ii) to spend their entertainment dollars on movies in an outside-the-home environment;</w:t>
      </w:r>
    </w:p>
    <w:p>
      <w:pPr>
        <w:ind w:left="780" w:right="40"/>
        <w:spacing w:after="0" w:line="231" w:lineRule="auto"/>
        <w:rPr>
          <w:sz w:val="20"/>
          <w:szCs w:val="20"/>
          <w:color w:val="auto"/>
        </w:rPr>
      </w:pPr>
      <w:r>
        <w:rPr>
          <w:rFonts w:ascii="Arial" w:cs="Arial" w:eastAsia="Arial" w:hAnsi="Arial"/>
          <w:sz w:val="14"/>
          <w:szCs w:val="14"/>
          <w:color w:val="auto"/>
        </w:rPr>
        <w:t>the extent to which we encounter competition from other cinema exhibitors, from other sources of outside-the-home entertainment, and from inside-the-home entertainment options, such as “home cinemas” and competitive film product distribution technology, such as, streaming, cable, satellite broadcast, video on demand platforms, and Blu-ray/DVD rentals and sales;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66" w:right="319" w:bottom="1440" w:gutter="0" w:footer="0" w:header="0"/>
        </w:sectPr>
      </w:pPr>
    </w:p>
    <w:bookmarkStart w:id="17" w:name="page18"/>
    <w:bookmarkEnd w:id="17"/>
    <w:p>
      <w:pPr>
        <w:ind w:left="260" w:right="2980"/>
        <w:spacing w:after="0" w:line="248" w:lineRule="auto"/>
        <w:rPr>
          <w:sz w:val="20"/>
          <w:szCs w:val="20"/>
          <w:color w:val="auto"/>
        </w:rPr>
      </w:pPr>
      <w:r>
        <w:rPr>
          <w:rFonts w:ascii="Arial" w:cs="Arial" w:eastAsia="Arial" w:hAnsi="Arial"/>
          <w:sz w:val="14"/>
          <w:szCs w:val="14"/>
          <w:color w:val="auto"/>
        </w:rPr>
        <w:t>our ability to continue to obtain, to the extent needed, waivers or other financial accommodations from our lenders and landlords; the impact of major movies being released directly to one of the multitudes of streaming services available; the impact of certain competitors’ subscription or advance pay programs;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failure of our new initiatives to gain significant customer acceptance and use or to generate meaningful profits;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cost and impact of improvements to our cinemas, such as improved seating, enhanced F&amp;B offerings, and other improvements;</w:t>
      </w:r>
    </w:p>
    <w:p>
      <w:pPr>
        <w:spacing w:after="0" w:line="2" w:lineRule="exact"/>
        <w:rPr>
          <w:sz w:val="20"/>
          <w:szCs w:val="20"/>
          <w:color w:val="auto"/>
        </w:rPr>
      </w:pPr>
    </w:p>
    <w:p>
      <w:pPr>
        <w:ind w:left="260"/>
        <w:spacing w:after="0" w:line="234" w:lineRule="auto"/>
        <w:rPr>
          <w:sz w:val="20"/>
          <w:szCs w:val="20"/>
          <w:color w:val="auto"/>
        </w:rPr>
      </w:pPr>
      <w:r>
        <w:rPr>
          <w:rFonts w:ascii="Arial" w:cs="Arial" w:eastAsia="Arial" w:hAnsi="Arial"/>
          <w:sz w:val="14"/>
          <w:szCs w:val="14"/>
          <w:color w:val="auto"/>
        </w:rPr>
        <w:t>the ability to negotiate favorable rent abatement, deferral and repayment terms with our landlords (which may include lenders who have foreclosed on the collateral held by our prior landlords);</w:t>
      </w:r>
    </w:p>
    <w:p>
      <w:pPr>
        <w:ind w:left="260"/>
        <w:spacing w:after="0"/>
        <w:rPr>
          <w:sz w:val="20"/>
          <w:szCs w:val="20"/>
          <w:color w:val="auto"/>
        </w:rPr>
      </w:pPr>
      <w:r>
        <w:rPr>
          <w:rFonts w:ascii="Arial" w:cs="Arial" w:eastAsia="Arial" w:hAnsi="Arial"/>
          <w:sz w:val="14"/>
          <w:szCs w:val="14"/>
          <w:color w:val="auto"/>
        </w:rPr>
        <w:t>disruptions during cinema improvements;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the U.S., the impact of the termination and phase-out of the so called “Paramount Decree;”</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risk of damage and/or disruption of cinema businesses from earthquakes as certain of our operations are in geologically active areas;</w:t>
      </w:r>
    </w:p>
    <w:p>
      <w:pPr>
        <w:spacing w:after="0" w:line="2" w:lineRule="exact"/>
        <w:rPr>
          <w:sz w:val="20"/>
          <w:szCs w:val="20"/>
          <w:color w:val="auto"/>
        </w:rPr>
      </w:pPr>
    </w:p>
    <w:p>
      <w:pPr>
        <w:ind w:left="260" w:right="280"/>
        <w:spacing w:after="0" w:line="295" w:lineRule="auto"/>
        <w:rPr>
          <w:sz w:val="20"/>
          <w:szCs w:val="20"/>
          <w:color w:val="auto"/>
        </w:rPr>
      </w:pPr>
      <w:r>
        <w:rPr>
          <w:rFonts w:ascii="Arial" w:cs="Arial" w:eastAsia="Arial" w:hAnsi="Arial"/>
          <w:sz w:val="13"/>
          <w:szCs w:val="13"/>
          <w:color w:val="auto"/>
        </w:rPr>
        <w:t>the impact of protests, demonstrations, and civil unrest on, among other things, government policy, consumer willingness to go to the movies, and the spread of COVID-19; and labor shortages and increased labor costs related to such shortages and to increasingly costly labor laws and regulations applicable to part time non-exempt workers.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with respect to our real estate development and operation activities:</w:t>
      </w:r>
    </w:p>
    <w:p>
      <w:pPr>
        <w:spacing w:after="0" w:line="14" w:lineRule="exact"/>
        <w:rPr>
          <w:sz w:val="20"/>
          <w:szCs w:val="20"/>
          <w:color w:val="auto"/>
        </w:rPr>
      </w:pPr>
    </w:p>
    <w:p>
      <w:pPr>
        <w:ind w:left="260" w:right="260"/>
        <w:spacing w:after="0" w:line="234" w:lineRule="auto"/>
        <w:rPr>
          <w:sz w:val="20"/>
          <w:szCs w:val="20"/>
          <w:color w:val="auto"/>
        </w:rPr>
      </w:pPr>
      <w:r>
        <w:rPr>
          <w:rFonts w:ascii="Arial" w:cs="Arial" w:eastAsia="Arial" w:hAnsi="Arial"/>
          <w:sz w:val="14"/>
          <w:szCs w:val="14"/>
          <w:color w:val="auto"/>
        </w:rPr>
        <w:t>the impact of the COVID-19 pandemic and its variants may continue to affect many of our tenants at our real estate operations in the United States, Australia, and New Zealand, their ability to pay rent, and to stay in business;</w:t>
      </w:r>
    </w:p>
    <w:p>
      <w:pPr>
        <w:ind w:left="260" w:right="660"/>
        <w:spacing w:after="0" w:line="242" w:lineRule="auto"/>
        <w:rPr>
          <w:sz w:val="20"/>
          <w:szCs w:val="20"/>
          <w:color w:val="auto"/>
        </w:rPr>
      </w:pPr>
      <w:r>
        <w:rPr>
          <w:rFonts w:ascii="Arial" w:cs="Arial" w:eastAsia="Arial" w:hAnsi="Arial"/>
          <w:sz w:val="14"/>
          <w:szCs w:val="14"/>
          <w:color w:val="auto"/>
        </w:rPr>
        <w:t>the impact of the COVID-19 pandemic and its variants on our construction projects and on our ability to open construction sites and to secure needed labor and materials; the impact of the COVID-19 pandemic and its variants on real estate valuations in major urban centers, such as New York; uncertainty as to governmental responses to COVID-19;</w:t>
      </w:r>
    </w:p>
    <w:p>
      <w:pPr>
        <w:spacing w:after="0" w:line="1" w:lineRule="exact"/>
        <w:rPr>
          <w:sz w:val="20"/>
          <w:szCs w:val="20"/>
          <w:color w:val="auto"/>
        </w:rPr>
      </w:pPr>
    </w:p>
    <w:p>
      <w:pPr>
        <w:ind w:left="260" w:right="3120"/>
        <w:spacing w:after="0" w:line="242" w:lineRule="auto"/>
        <w:rPr>
          <w:sz w:val="20"/>
          <w:szCs w:val="20"/>
          <w:color w:val="auto"/>
        </w:rPr>
      </w:pPr>
      <w:r>
        <w:rPr>
          <w:rFonts w:ascii="Arial" w:cs="Arial" w:eastAsia="Arial" w:hAnsi="Arial"/>
          <w:sz w:val="14"/>
          <w:szCs w:val="14"/>
          <w:color w:val="auto"/>
        </w:rPr>
        <w:t>the rental rates and capitalization rates applicable to the markets in which we operate and the quality of properties that we own; the ability to negotiate and execute lease agreements with material tenants;</w:t>
      </w:r>
    </w:p>
    <w:p>
      <w:pPr>
        <w:spacing w:after="0" w:line="1" w:lineRule="exact"/>
        <w:rPr>
          <w:sz w:val="20"/>
          <w:szCs w:val="20"/>
          <w:color w:val="auto"/>
        </w:rPr>
      </w:pPr>
    </w:p>
    <w:p>
      <w:pPr>
        <w:ind w:left="260" w:right="2780"/>
        <w:spacing w:after="0" w:line="242" w:lineRule="auto"/>
        <w:rPr>
          <w:sz w:val="20"/>
          <w:szCs w:val="20"/>
          <w:color w:val="auto"/>
        </w:rPr>
      </w:pPr>
      <w:r>
        <w:rPr>
          <w:rFonts w:ascii="Arial" w:cs="Arial" w:eastAsia="Arial" w:hAnsi="Arial"/>
          <w:sz w:val="14"/>
          <w:szCs w:val="14"/>
          <w:color w:val="auto"/>
        </w:rPr>
        <w:t>the extent to which we can obtain on a timely basis the various land use approvals and entitlements needed to develop our properties; the risks and uncertainties associated with real estate development; the availability and cost of labor and materials;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ability to obtain all permits to construct improvements;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ability to finance improvements;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disruptions to our business from construction and/or renovations;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possibility of construction delays, work stoppage, and material shortage;</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competition for development sites and tenants;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environmental remediation issues;</w:t>
      </w:r>
    </w:p>
    <w:p>
      <w:pPr>
        <w:spacing w:after="0" w:line="2" w:lineRule="exact"/>
        <w:rPr>
          <w:sz w:val="20"/>
          <w:szCs w:val="20"/>
          <w:color w:val="auto"/>
        </w:rPr>
      </w:pPr>
    </w:p>
    <w:p>
      <w:pPr>
        <w:ind w:left="260" w:right="220"/>
        <w:spacing w:after="0" w:line="234" w:lineRule="auto"/>
        <w:rPr>
          <w:sz w:val="20"/>
          <w:szCs w:val="20"/>
          <w:color w:val="auto"/>
        </w:rPr>
      </w:pPr>
      <w:r>
        <w:rPr>
          <w:rFonts w:ascii="Arial" w:cs="Arial" w:eastAsia="Arial" w:hAnsi="Arial"/>
          <w:sz w:val="14"/>
          <w:szCs w:val="14"/>
          <w:color w:val="auto"/>
        </w:rPr>
        <w:t>the extent to which our cinemas can continue to serve as an anchor tenant that will, in turn, be influenced by the same factors as will influence generally the results of our cinema operations;</w:t>
      </w:r>
    </w:p>
    <w:p>
      <w:pPr>
        <w:ind w:left="260" w:right="4100"/>
        <w:spacing w:after="0" w:line="242" w:lineRule="auto"/>
        <w:rPr>
          <w:sz w:val="20"/>
          <w:szCs w:val="20"/>
          <w:color w:val="auto"/>
        </w:rPr>
      </w:pPr>
      <w:r>
        <w:rPr>
          <w:rFonts w:ascii="Arial" w:cs="Arial" w:eastAsia="Arial" w:hAnsi="Arial"/>
          <w:sz w:val="14"/>
          <w:szCs w:val="14"/>
          <w:color w:val="auto"/>
        </w:rPr>
        <w:t>the increased depreciation and amortization expense as construction projects transition to leased real property; the ability to negotiate and execute joint venture opportunities and relationships;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risk of damage and/or disruption of real estate businesses from earthquakes as certain of our operations are in geologically active areas;</w:t>
      </w:r>
    </w:p>
    <w:p>
      <w:pPr>
        <w:spacing w:after="0" w:line="2" w:lineRule="exact"/>
        <w:rPr>
          <w:sz w:val="20"/>
          <w:szCs w:val="20"/>
          <w:color w:val="auto"/>
        </w:rPr>
      </w:pPr>
    </w:p>
    <w:p>
      <w:pPr>
        <w:ind w:left="260" w:right="420"/>
        <w:spacing w:after="0" w:line="234" w:lineRule="auto"/>
        <w:rPr>
          <w:sz w:val="20"/>
          <w:szCs w:val="20"/>
          <w:color w:val="auto"/>
        </w:rPr>
      </w:pPr>
      <w:r>
        <w:rPr>
          <w:rFonts w:ascii="Arial" w:cs="Arial" w:eastAsia="Arial" w:hAnsi="Arial"/>
          <w:sz w:val="14"/>
          <w:szCs w:val="14"/>
          <w:color w:val="auto"/>
        </w:rPr>
        <w:t>the disruptions or reductions in the utilization of entertainment, shopping and hospitality venues, as well as in our operations, due to pandemics, epidemics, widespread health emergencies, or outbreaks of infectious diseases such as COVID-19, or to changing consumer tastes and habits; and</w:t>
      </w:r>
    </w:p>
    <w:p>
      <w:pPr>
        <w:jc w:val="center"/>
        <w:spacing w:after="0"/>
        <w:rPr>
          <w:sz w:val="20"/>
          <w:szCs w:val="20"/>
          <w:color w:val="auto"/>
        </w:rPr>
      </w:pPr>
      <w:r>
        <w:rPr>
          <w:rFonts w:ascii="Arial" w:cs="Arial" w:eastAsia="Arial" w:hAnsi="Arial"/>
          <w:sz w:val="13"/>
          <w:szCs w:val="13"/>
          <w:color w:val="auto"/>
        </w:rPr>
        <w:t>the impact of protests, demonstrations, and civil unrest on government policy, consumer willingness to visit shopping centers, and the spread of COVID-19, among other things.</w:t>
      </w:r>
    </w:p>
    <w:p>
      <w:pPr>
        <w:spacing w:after="0" w:line="66" w:lineRule="exact"/>
        <w:rPr>
          <w:sz w:val="20"/>
          <w:szCs w:val="20"/>
          <w:color w:val="auto"/>
        </w:rPr>
      </w:pPr>
    </w:p>
    <w:p>
      <w:pPr>
        <w:ind w:right="220"/>
        <w:spacing w:after="0" w:line="243" w:lineRule="auto"/>
        <w:rPr>
          <w:sz w:val="20"/>
          <w:szCs w:val="20"/>
          <w:color w:val="auto"/>
        </w:rPr>
      </w:pPr>
      <w:r>
        <w:rPr>
          <w:rFonts w:ascii="Arial" w:cs="Arial" w:eastAsia="Arial" w:hAnsi="Arial"/>
          <w:sz w:val="14"/>
          <w:szCs w:val="14"/>
          <w:color w:val="auto"/>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ind w:left="260" w:right="5080"/>
        <w:spacing w:after="0" w:line="242" w:lineRule="auto"/>
        <w:rPr>
          <w:sz w:val="20"/>
          <w:szCs w:val="20"/>
          <w:color w:val="auto"/>
        </w:rPr>
      </w:pPr>
      <w:r>
        <w:rPr>
          <w:rFonts w:ascii="Arial" w:cs="Arial" w:eastAsia="Arial" w:hAnsi="Arial"/>
          <w:sz w:val="14"/>
          <w:szCs w:val="14"/>
          <w:color w:val="auto"/>
        </w:rPr>
        <w:t>our ability to renew, extend, renegotiate or replace our loans that mature in 2023 and beyond; our ability to grow our Company and provide value to our stockholders;</w:t>
      </w:r>
    </w:p>
    <w:p>
      <w:pPr>
        <w:spacing w:after="0" w:line="1" w:lineRule="exact"/>
        <w:rPr>
          <w:sz w:val="20"/>
          <w:szCs w:val="20"/>
          <w:color w:val="auto"/>
        </w:rPr>
      </w:pPr>
    </w:p>
    <w:p>
      <w:pPr>
        <w:ind w:left="260" w:right="100"/>
        <w:spacing w:after="0" w:line="234" w:lineRule="auto"/>
        <w:rPr>
          <w:sz w:val="20"/>
          <w:szCs w:val="20"/>
          <w:color w:val="auto"/>
        </w:rPr>
      </w:pPr>
      <w:r>
        <w:rPr>
          <w:rFonts w:ascii="Arial" w:cs="Arial" w:eastAsia="Arial" w:hAnsi="Arial"/>
          <w:sz w:val="14"/>
          <w:szCs w:val="14"/>
          <w:color w:val="auto"/>
        </w:rPr>
        <w:t>our ongoing access to borrowed funds and capital and the interest that must be paid on that debt and the returns that must be paid on such capital, and our ability to borrow funds to help cover the cessation of cash flows we are experiencing during the COVID-19 pandemic;</w:t>
      </w:r>
    </w:p>
    <w:p>
      <w:pPr>
        <w:ind w:left="260"/>
        <w:spacing w:after="0"/>
        <w:rPr>
          <w:sz w:val="20"/>
          <w:szCs w:val="20"/>
          <w:color w:val="auto"/>
        </w:rPr>
      </w:pPr>
      <w:r>
        <w:rPr>
          <w:rFonts w:ascii="Arial" w:cs="Arial" w:eastAsia="Arial" w:hAnsi="Arial"/>
          <w:sz w:val="14"/>
          <w:szCs w:val="14"/>
          <w:color w:val="auto"/>
        </w:rPr>
        <w:t>our ability to reallocate funds among jurisdictions to meet short-term liquidity needs;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relative values of the currency used in the countries in which we operate;</w:t>
      </w:r>
    </w:p>
    <w:p>
      <w:pPr>
        <w:spacing w:after="0" w:line="2"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152400</wp:posOffset>
            </wp:positionV>
            <wp:extent cx="718502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0740"/>
          </w:cols>
          <w:pgMar w:left="820" w:top="422" w:right="339" w:bottom="1440" w:gutter="0" w:footer="0" w:header="0"/>
        </w:sectPr>
      </w:pPr>
    </w:p>
    <w:bookmarkStart w:id="18" w:name="page19"/>
    <w:bookmarkEnd w:id="18"/>
    <w:p>
      <w:pPr>
        <w:ind w:left="780" w:right="120"/>
        <w:spacing w:after="0" w:line="243" w:lineRule="auto"/>
        <w:rPr>
          <w:sz w:val="20"/>
          <w:szCs w:val="20"/>
          <w:color w:val="auto"/>
        </w:rPr>
      </w:pPr>
      <w:r>
        <w:rPr>
          <w:rFonts w:ascii="Arial" w:cs="Arial" w:eastAsia="Arial" w:hAnsi="Arial"/>
          <w:sz w:val="14"/>
          <w:szCs w:val="14"/>
          <w:color w:val="auto"/>
        </w:rPr>
        <w:t>the impact that any discontinuance, modification or other reform of London Inter-Bank Offered Rate (LIBOR), or the establishment of alternative reference rates, may have on our LIBOR-based debt instruments;</w:t>
      </w:r>
    </w:p>
    <w:p>
      <w:pPr>
        <w:ind w:left="780"/>
        <w:spacing w:after="0"/>
        <w:rPr>
          <w:sz w:val="20"/>
          <w:szCs w:val="20"/>
          <w:color w:val="auto"/>
        </w:rPr>
      </w:pPr>
      <w:r>
        <w:rPr>
          <w:rFonts w:ascii="Arial" w:cs="Arial" w:eastAsia="Arial" w:hAnsi="Arial"/>
          <w:sz w:val="14"/>
          <w:szCs w:val="14"/>
          <w:color w:val="auto"/>
        </w:rPr>
        <w:t>changes in government regulation, including by way of example, the costs resulting from the requirements of Sarbanes-Oxley;</w:t>
      </w:r>
    </w:p>
    <w:p>
      <w:pPr>
        <w:spacing w:after="0" w:line="2" w:lineRule="exact"/>
        <w:rPr>
          <w:sz w:val="20"/>
          <w:szCs w:val="20"/>
          <w:color w:val="auto"/>
        </w:rPr>
      </w:pPr>
    </w:p>
    <w:p>
      <w:pPr>
        <w:ind w:left="780" w:right="500"/>
        <w:spacing w:after="0" w:line="234" w:lineRule="auto"/>
        <w:rPr>
          <w:sz w:val="20"/>
          <w:szCs w:val="20"/>
          <w:color w:val="auto"/>
        </w:rPr>
      </w:pPr>
      <w:r>
        <w:rPr>
          <w:rFonts w:ascii="Arial" w:cs="Arial" w:eastAsia="Arial" w:hAnsi="Arial"/>
          <w:sz w:val="14"/>
          <w:szCs w:val="14"/>
          <w:color w:val="auto"/>
        </w:rPr>
        <w:t>our labor relations and costs of labor (including future government requirements with respect to minimum wages, shift scheduling, the use of consultants, pension liabilities, disability insurance and health coverage, and vacations and leave);</w:t>
      </w:r>
    </w:p>
    <w:p>
      <w:pPr>
        <w:ind w:left="780" w:right="20"/>
        <w:spacing w:after="0" w:line="231" w:lineRule="auto"/>
        <w:rPr>
          <w:sz w:val="20"/>
          <w:szCs w:val="20"/>
          <w:color w:val="auto"/>
        </w:rPr>
      </w:pPr>
      <w:r>
        <w:rPr>
          <w:rFonts w:ascii="Arial" w:cs="Arial" w:eastAsia="Arial" w:hAnsi="Arial"/>
          <w:sz w:val="14"/>
          <w:szCs w:val="14"/>
          <w:color w:val="auto"/>
        </w:rPr>
        <w:t>our exposure from time to time to legal claims and to uninsurable risks, such as those related to our historic railroad operations, including potential environmental claims and health-related claims relating to alleged exposure to asbestos or other substances now or in the future recognized as being possible causes of cancer or other health related problems, and class actions and private attorney general wage and hour and/or safe workplace-based claims;</w:t>
      </w:r>
    </w:p>
    <w:p>
      <w:pPr>
        <w:spacing w:after="0" w:line="1" w:lineRule="exact"/>
        <w:rPr>
          <w:sz w:val="20"/>
          <w:szCs w:val="20"/>
          <w:color w:val="auto"/>
        </w:rPr>
      </w:pPr>
    </w:p>
    <w:p>
      <w:pPr>
        <w:ind w:left="780" w:right="2920"/>
        <w:spacing w:after="0" w:line="242" w:lineRule="auto"/>
        <w:rPr>
          <w:sz w:val="20"/>
          <w:szCs w:val="20"/>
          <w:color w:val="auto"/>
        </w:rPr>
      </w:pPr>
      <w:r>
        <w:rPr>
          <w:rFonts w:ascii="Arial" w:cs="Arial" w:eastAsia="Arial" w:hAnsi="Arial"/>
          <w:sz w:val="14"/>
          <w:szCs w:val="14"/>
          <w:color w:val="auto"/>
        </w:rPr>
        <w:t>our exposure to cybersecurity risks, including misappropriation of customer information or other breaches of information security; the impact of major outbreaks of contagious diseases, such as COVID-19;</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4"/>
          <w:szCs w:val="14"/>
          <w:color w:val="auto"/>
        </w:rPr>
        <w:t>the availability of employees and/or their ability or willingness to conduct work under any revised work environment protocols;</w:t>
      </w:r>
    </w:p>
    <w:p>
      <w:pPr>
        <w:spacing w:after="0" w:line="2" w:lineRule="exact"/>
        <w:rPr>
          <w:sz w:val="20"/>
          <w:szCs w:val="20"/>
          <w:color w:val="auto"/>
        </w:rPr>
      </w:pPr>
    </w:p>
    <w:p>
      <w:pPr>
        <w:jc w:val="both"/>
        <w:ind w:left="780" w:right="240"/>
        <w:spacing w:after="0" w:line="255" w:lineRule="auto"/>
        <w:rPr>
          <w:sz w:val="20"/>
          <w:szCs w:val="20"/>
          <w:color w:val="auto"/>
        </w:rPr>
      </w:pPr>
      <w:r>
        <w:rPr>
          <w:rFonts w:ascii="Arial" w:cs="Arial" w:eastAsia="Arial" w:hAnsi="Arial"/>
          <w:sz w:val="13"/>
          <w:szCs w:val="13"/>
          <w:color w:val="auto"/>
        </w:rPr>
        <w:t>the increased risks related to employee matters, including increased employment litigation and claims relating to terminations or furloughs caused by cinema and ETC closures; our ability to generate significant cash flow from operations if our cinemas and/or ETCs continue to experience demand at levels significantly lower than historical levels, which could lead to a substantial increase in indebtedness and negatively impact our ability to comply with the financial covenants, if applicable, in our debt agreements;</w:t>
      </w:r>
    </w:p>
    <w:p>
      <w:pPr>
        <w:ind w:left="780"/>
        <w:spacing w:after="0"/>
        <w:rPr>
          <w:sz w:val="20"/>
          <w:szCs w:val="20"/>
          <w:color w:val="auto"/>
        </w:rPr>
      </w:pPr>
      <w:r>
        <w:rPr>
          <w:rFonts w:ascii="Arial" w:cs="Arial" w:eastAsia="Arial" w:hAnsi="Arial"/>
          <w:sz w:val="14"/>
          <w:szCs w:val="14"/>
          <w:color w:val="auto"/>
        </w:rPr>
        <w:t>our ability to comply with credit facility covenants and our ability to obtain necessary covenant waivers and necessary credit facility amendments;</w:t>
      </w:r>
    </w:p>
    <w:p>
      <w:pPr>
        <w:spacing w:after="0" w:line="2" w:lineRule="exact"/>
        <w:rPr>
          <w:sz w:val="20"/>
          <w:szCs w:val="20"/>
          <w:color w:val="auto"/>
        </w:rPr>
      </w:pPr>
    </w:p>
    <w:p>
      <w:pPr>
        <w:ind w:left="780"/>
        <w:spacing w:after="0"/>
        <w:rPr>
          <w:sz w:val="20"/>
          <w:szCs w:val="20"/>
          <w:color w:val="auto"/>
        </w:rPr>
      </w:pPr>
      <w:r>
        <w:rPr>
          <w:rFonts w:ascii="Arial" w:cs="Arial" w:eastAsia="Arial" w:hAnsi="Arial"/>
          <w:sz w:val="14"/>
          <w:szCs w:val="14"/>
          <w:color w:val="auto"/>
        </w:rPr>
        <w:t>changes in future effective tax rates and the results of currently ongoing and future potential audits by taxing authorities having jurisdiction over our various companies;</w:t>
      </w:r>
    </w:p>
    <w:p>
      <w:pPr>
        <w:spacing w:after="0" w:line="2" w:lineRule="exact"/>
        <w:rPr>
          <w:sz w:val="20"/>
          <w:szCs w:val="20"/>
          <w:color w:val="auto"/>
        </w:rPr>
      </w:pPr>
    </w:p>
    <w:p>
      <w:pPr>
        <w:ind w:left="780"/>
        <w:spacing w:after="0"/>
        <w:rPr>
          <w:sz w:val="20"/>
          <w:szCs w:val="20"/>
          <w:color w:val="auto"/>
        </w:rPr>
      </w:pPr>
      <w:r>
        <w:rPr>
          <w:rFonts w:ascii="Arial" w:cs="Arial" w:eastAsia="Arial" w:hAnsi="Arial"/>
          <w:sz w:val="14"/>
          <w:szCs w:val="14"/>
          <w:color w:val="auto"/>
        </w:rPr>
        <w:t>inflationary pressures on labor and supplies, and supply chain disruptions;</w:t>
      </w:r>
    </w:p>
    <w:p>
      <w:pPr>
        <w:spacing w:after="0" w:line="2" w:lineRule="exact"/>
        <w:rPr>
          <w:sz w:val="20"/>
          <w:szCs w:val="20"/>
          <w:color w:val="auto"/>
        </w:rPr>
      </w:pPr>
    </w:p>
    <w:p>
      <w:pPr>
        <w:ind w:left="780"/>
        <w:spacing w:after="0"/>
        <w:rPr>
          <w:sz w:val="20"/>
          <w:szCs w:val="20"/>
          <w:color w:val="auto"/>
        </w:rPr>
      </w:pPr>
      <w:r>
        <w:rPr>
          <w:rFonts w:ascii="Arial" w:cs="Arial" w:eastAsia="Arial" w:hAnsi="Arial"/>
          <w:sz w:val="14"/>
          <w:szCs w:val="14"/>
          <w:color w:val="auto"/>
        </w:rPr>
        <w:t>changes in applicable accounting policies and practices;</w:t>
      </w:r>
    </w:p>
    <w:p>
      <w:pPr>
        <w:spacing w:after="0" w:line="2" w:lineRule="exact"/>
        <w:rPr>
          <w:sz w:val="20"/>
          <w:szCs w:val="20"/>
          <w:color w:val="auto"/>
        </w:rPr>
      </w:pPr>
    </w:p>
    <w:p>
      <w:pPr>
        <w:ind w:left="780" w:right="500"/>
        <w:spacing w:after="0" w:line="256" w:lineRule="auto"/>
        <w:rPr>
          <w:sz w:val="20"/>
          <w:szCs w:val="20"/>
          <w:color w:val="auto"/>
        </w:rPr>
      </w:pPr>
      <w:r>
        <w:rPr>
          <w:rFonts w:ascii="Arial" w:cs="Arial" w:eastAsia="Arial" w:hAnsi="Arial"/>
          <w:sz w:val="14"/>
          <w:szCs w:val="14"/>
          <w:color w:val="auto"/>
        </w:rPr>
        <w:t>changes in future effective tax rates and the results of currently ongoing and future potential audits by taxing authorities having jurisdiction over our various companies; and the impact of the conflict events occurring in Easter Europe.</w:t>
      </w:r>
    </w:p>
    <w:p>
      <w:pPr>
        <w:spacing w:after="0" w:line="122" w:lineRule="exact"/>
        <w:rPr>
          <w:sz w:val="20"/>
          <w:szCs w:val="20"/>
          <w:color w:val="auto"/>
        </w:rPr>
      </w:pPr>
    </w:p>
    <w:p>
      <w:pPr>
        <w:ind w:right="20"/>
        <w:spacing w:after="0" w:line="261" w:lineRule="auto"/>
        <w:rPr>
          <w:sz w:val="20"/>
          <w:szCs w:val="20"/>
          <w:color w:val="auto"/>
        </w:rPr>
      </w:pPr>
      <w:r>
        <w:rPr>
          <w:rFonts w:ascii="Arial" w:cs="Arial" w:eastAsia="Arial" w:hAnsi="Arial"/>
          <w:sz w:val="13"/>
          <w:szCs w:val="13"/>
          <w:color w:val="auto"/>
        </w:rPr>
        <w:t xml:space="preserve">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earthquakes, pandemics, such as COVID-19, and the extent to which consumers in our markets have the economic wherewithal to spend money on beyond-the-home entertainment. Refer to </w:t>
      </w:r>
      <w:r>
        <w:rPr>
          <w:rFonts w:ascii="Arial" w:cs="Arial" w:eastAsia="Arial" w:hAnsi="Arial"/>
          <w:sz w:val="13"/>
          <w:szCs w:val="13"/>
          <w:i w:val="1"/>
          <w:iCs w:val="1"/>
          <w:color w:val="auto"/>
        </w:rPr>
        <w:t>Item 1A - Risk Factors</w:t>
      </w:r>
      <w:r>
        <w:rPr>
          <w:rFonts w:ascii="Arial" w:cs="Arial" w:eastAsia="Arial" w:hAnsi="Arial"/>
          <w:sz w:val="13"/>
          <w:szCs w:val="13"/>
          <w:color w:val="auto"/>
        </w:rPr>
        <w:t>, as well as the risk factors set forth in any other filings made under the Securities Act of 1934, as amended, including any of our Quarterly Reports on Form 10-Q, for more information.</w:t>
      </w:r>
    </w:p>
    <w:p>
      <w:pPr>
        <w:spacing w:after="0" w:line="109" w:lineRule="exact"/>
        <w:rPr>
          <w:sz w:val="20"/>
          <w:szCs w:val="20"/>
          <w:color w:val="auto"/>
        </w:rPr>
      </w:pPr>
    </w:p>
    <w:p>
      <w:pPr>
        <w:ind w:right="220"/>
        <w:spacing w:after="0" w:line="242" w:lineRule="auto"/>
        <w:rPr>
          <w:sz w:val="20"/>
          <w:szCs w:val="20"/>
          <w:color w:val="auto"/>
        </w:rPr>
      </w:pPr>
      <w:r>
        <w:rPr>
          <w:rFonts w:ascii="Arial" w:cs="Arial" w:eastAsia="Arial" w:hAnsi="Arial"/>
          <w:sz w:val="14"/>
          <w:szCs w:val="14"/>
          <w:color w:val="auto"/>
        </w:rPr>
        <w:t>Given the variety and unpredictability of the factors that will ultimately influence our businesses and our results of operation,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spacing w:after="0" w:line="120"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Forward-looking statements made by us in this annual report are based only on information currently available to us and are current only as of the date of this 2021 Annual Report. We undertake no obligation to publicly update or to revise any of our forward-looking statements, whether as a result of new information, future events or otherwise, except as may be required under applicable law. Accordingly, you should always note the date to which our forward-looking statements speak.</w:t>
      </w:r>
    </w:p>
    <w:p>
      <w:pPr>
        <w:spacing w:after="0" w:line="120" w:lineRule="exact"/>
        <w:rPr>
          <w:sz w:val="20"/>
          <w:szCs w:val="20"/>
          <w:color w:val="auto"/>
        </w:rPr>
      </w:pPr>
    </w:p>
    <w:p>
      <w:pPr>
        <w:ind w:right="240"/>
        <w:spacing w:after="0" w:line="258" w:lineRule="auto"/>
        <w:rPr>
          <w:sz w:val="20"/>
          <w:szCs w:val="20"/>
          <w:color w:val="auto"/>
        </w:rPr>
      </w:pPr>
      <w:r>
        <w:rPr>
          <w:rFonts w:ascii="Arial" w:cs="Arial" w:eastAsia="Arial" w:hAnsi="Arial"/>
          <w:sz w:val="14"/>
          <w:szCs w:val="14"/>
          <w:color w:val="auto"/>
        </w:rPr>
        <w:t>Additionally, certain of the presentations included in this annual report may contain “non-GAAP financial measures.” In such case, a reconciliation of this information to our GAAP financial statements will be made available in connection with such statements.</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422"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auto"/>
        </w:rPr>
        <w:t>Item 1A – Risk Factors</w:t>
      </w:r>
    </w:p>
    <w:p>
      <w:pPr>
        <w:spacing w:after="0" w:line="174" w:lineRule="exact"/>
        <w:rPr>
          <w:sz w:val="20"/>
          <w:szCs w:val="20"/>
          <w:color w:val="auto"/>
        </w:rPr>
      </w:pPr>
    </w:p>
    <w:p>
      <w:pPr>
        <w:ind w:right="380"/>
        <w:spacing w:after="0" w:line="258" w:lineRule="auto"/>
        <w:rPr>
          <w:sz w:val="20"/>
          <w:szCs w:val="20"/>
          <w:color w:val="auto"/>
        </w:rPr>
      </w:pPr>
      <w:r>
        <w:rPr>
          <w:rFonts w:ascii="Arial" w:cs="Arial" w:eastAsia="Arial" w:hAnsi="Arial"/>
          <w:sz w:val="14"/>
          <w:szCs w:val="14"/>
          <w:color w:val="auto"/>
        </w:rPr>
        <w:t>Like any other investment, investing in our securities involves risk. Set forth below is a summary of various risk factors that you should consider in connection with your investment in our Company. This summary should be considered in the context of our overall Annual Report on Form 10-K.</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RISK FACTORS</w:t>
      </w:r>
    </w:p>
    <w:p>
      <w:pPr>
        <w:spacing w:after="0" w:line="147" w:lineRule="exact"/>
        <w:rPr>
          <w:sz w:val="20"/>
          <w:szCs w:val="20"/>
          <w:color w:val="auto"/>
        </w:rPr>
      </w:pPr>
    </w:p>
    <w:p>
      <w:pPr>
        <w:jc w:val="both"/>
        <w:ind w:right="100"/>
        <w:spacing w:after="0" w:line="237" w:lineRule="auto"/>
        <w:rPr>
          <w:sz w:val="20"/>
          <w:szCs w:val="20"/>
          <w:color w:val="auto"/>
        </w:rPr>
      </w:pPr>
      <w:r>
        <w:rPr>
          <w:rFonts w:ascii="Arial" w:cs="Arial" w:eastAsia="Arial" w:hAnsi="Arial"/>
          <w:sz w:val="14"/>
          <w:szCs w:val="14"/>
          <w:color w:val="auto"/>
        </w:rPr>
        <w:t>We are in the cinema exhibition and real estate businesses. We discuss separately the risks we believe to be material to our involvement in each of these segments. We have discussed separately the risks relating to the international nature of our business activities, our use of leverage, and our status as a controlled corporation. While we report the results of our live theatre operations as real estate operations – because we are principally in the business of renting space to producers rather than in producing plays ourselves – the cinema exhibition and live theatre businesses share certain risk factors and are, accordingly, discussed together.</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Cinema Exhibition and Live Theatre Business Risk Factors</w:t>
      </w:r>
    </w:p>
    <w:p>
      <w:pPr>
        <w:spacing w:after="0" w:line="147" w:lineRule="exact"/>
        <w:rPr>
          <w:sz w:val="20"/>
          <w:szCs w:val="20"/>
          <w:color w:val="auto"/>
        </w:rPr>
      </w:pPr>
    </w:p>
    <w:p>
      <w:pPr>
        <w:spacing w:after="0" w:line="232" w:lineRule="auto"/>
        <w:rPr>
          <w:sz w:val="20"/>
          <w:szCs w:val="20"/>
          <w:color w:val="auto"/>
        </w:rPr>
      </w:pPr>
      <w:r>
        <w:rPr>
          <w:rFonts w:ascii="Arial" w:cs="Arial" w:eastAsia="Arial" w:hAnsi="Arial"/>
          <w:sz w:val="14"/>
          <w:szCs w:val="14"/>
          <w:b w:val="1"/>
          <w:bCs w:val="1"/>
          <w:i w:val="1"/>
          <w:iCs w:val="1"/>
          <w:color w:val="auto"/>
        </w:rPr>
        <w:t xml:space="preserve">Our cinema and live theatre businesses are dependent upon attendance and, accordingly, are vulnerable to the adverse effects of the coronavirus outbreak which has resulted in government ordered closures, imposition of social distancing requirements, and changes in film release patterns, and may even after reopening adversely affect the public’s acceptance of auditorium-based entertainment. These situations may be repeated in the event of future pandemics. </w:t>
      </w:r>
      <w:r>
        <w:rPr>
          <w:rFonts w:ascii="Arial" w:cs="Arial" w:eastAsia="Arial" w:hAnsi="Arial"/>
          <w:sz w:val="14"/>
          <w:szCs w:val="14"/>
          <w:color w:val="auto"/>
        </w:rPr>
        <w:t>As demonstrated by the governmental and public response to the COVID-19 pandemic, businesses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that bring large numbers of unrelated people together in an enclosed environment are particularly vulnerable to business disruption in the face of contagious disease with life threatening potential. Not only may government authorities order closures or reduce operating capacities, but the public may feel uncomfortable attending our performances in the face of such an infectious disease risk. Our cinema business has high fixed costs (rent and increasing labor) and our revenue in this segment (ticket sales, food and beverage sales, screen advertising fees) is directly tied to our success at attracting customers to our venues.</w:t>
      </w:r>
    </w:p>
    <w:p>
      <w:pPr>
        <w:spacing w:after="0" w:line="125" w:lineRule="exact"/>
        <w:rPr>
          <w:sz w:val="20"/>
          <w:szCs w:val="20"/>
          <w:color w:val="auto"/>
        </w:rPr>
      </w:pPr>
    </w:p>
    <w:p>
      <w:pPr>
        <w:jc w:val="both"/>
        <w:ind w:right="20"/>
        <w:spacing w:after="0" w:line="242" w:lineRule="auto"/>
        <w:rPr>
          <w:sz w:val="20"/>
          <w:szCs w:val="20"/>
          <w:color w:val="auto"/>
        </w:rPr>
      </w:pPr>
      <w:r>
        <w:rPr>
          <w:rFonts w:ascii="Arial" w:cs="Arial" w:eastAsia="Arial" w:hAnsi="Arial"/>
          <w:sz w:val="14"/>
          <w:szCs w:val="14"/>
          <w:b w:val="1"/>
          <w:bCs w:val="1"/>
          <w:i w:val="1"/>
          <w:iCs w:val="1"/>
          <w:color w:val="auto"/>
        </w:rPr>
        <w:t xml:space="preserve">We are dependent upon third parties to supply the entertainment product we need for our cinemas and live theatres to attract customers. </w:t>
      </w:r>
      <w:r>
        <w:rPr>
          <w:rFonts w:ascii="Arial" w:cs="Arial" w:eastAsia="Arial" w:hAnsi="Arial"/>
          <w:sz w:val="14"/>
          <w:szCs w:val="14"/>
          <w:color w:val="auto"/>
        </w:rPr>
        <w:t>We do not produce the films we show at our cinemas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generally speaking, we do not produce the plays that are performed at our live theatres. Film distributors have no obligation to supply us with film and producers have no obligation to make use of our live theatres.</w:t>
      </w:r>
    </w:p>
    <w:p>
      <w:pPr>
        <w:spacing w:after="0" w:line="120"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b w:val="1"/>
          <w:bCs w:val="1"/>
          <w:i w:val="1"/>
          <w:iCs w:val="1"/>
          <w:color w:val="auto"/>
        </w:rPr>
        <w:t xml:space="preserve">We face competition from other sources of entertainment and other entertainment delivery systems. </w:t>
      </w:r>
      <w:r>
        <w:rPr>
          <w:rFonts w:ascii="Arial" w:cs="Arial" w:eastAsia="Arial" w:hAnsi="Arial"/>
          <w:sz w:val="13"/>
          <w:szCs w:val="13"/>
          <w:color w:val="auto"/>
        </w:rPr>
        <w:t>Both our cinema and live theatre operations face competition from “in-home” and mobile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device sources of entertainment. These include competition from network, cable and satellite television, and Video on Demand, internet streaming video services such as Netflix, Hulu, Disney+, HBO+, Peacock, and AmazonPrime, and social media or user generated internet programing such as, YouTube, TikTok, Reddit, Instagram, and Snapchat, video games and other sources of entertainment. The quality of “in-home” and mobile entertainment systems, as well as programming available on an in-home and mobile basis, has increased, while the cost to consumers of such systems (and such programming) has decreased in recent periods, and some consumers may prefer the security and/or convenience of an “in-home” or mobile entertainment experience to the more public and presentation-oriented experience offered by our cinemas and live theatres. Film distributors have been responding to these developments by, in some cases, decreasing or eliminating the period of time between cinema release and the date such product is made available to “in-home” or mobile forms of distribution. During the COVID-19 pandemic, many distributors have moved product onto their proprietary streaming service platforms or onto third party platforms (like Netflix) either in lieu of or simultaneously with a cinema release. Also, even before the recent pandemic, some traditional in-home and mobile distributors had begun the production of full-length movies, specifically for the purpose of direct or simultaneous release to the in-home and mobile markets. Cinemas will need to meet these competitive factors to continue to attract customers. This may require substantial capital outlays and increased labor expense, which exhibitors may not be able to fully pass on to their customers.</w:t>
      </w:r>
    </w:p>
    <w:p>
      <w:pPr>
        <w:spacing w:after="0" w:line="122" w:lineRule="exact"/>
        <w:rPr>
          <w:sz w:val="20"/>
          <w:szCs w:val="20"/>
          <w:color w:val="auto"/>
        </w:rPr>
      </w:pPr>
    </w:p>
    <w:p>
      <w:pPr>
        <w:ind w:right="420"/>
        <w:spacing w:after="0" w:line="258" w:lineRule="auto"/>
        <w:rPr>
          <w:sz w:val="20"/>
          <w:szCs w:val="20"/>
          <w:color w:val="auto"/>
        </w:rPr>
      </w:pPr>
      <w:r>
        <w:rPr>
          <w:rFonts w:ascii="Arial" w:cs="Arial" w:eastAsia="Arial" w:hAnsi="Arial"/>
          <w:sz w:val="14"/>
          <w:szCs w:val="14"/>
          <w:color w:val="auto"/>
        </w:rPr>
        <w:t>We also face competition from various other forms of “beyond-the-home” entertainment, including sporting events, concerts, restaurants, casinos, video game arcades, and nightclubs. Our cinemas also face competition from live theatres and vice versa.</w:t>
      </w:r>
    </w:p>
    <w:p>
      <w:pPr>
        <w:spacing w:after="0" w:line="109" w:lineRule="exact"/>
        <w:rPr>
          <w:sz w:val="20"/>
          <w:szCs w:val="20"/>
          <w:color w:val="auto"/>
        </w:rPr>
      </w:pPr>
    </w:p>
    <w:p>
      <w:pPr>
        <w:ind w:right="40"/>
        <w:spacing w:after="0" w:line="228" w:lineRule="auto"/>
        <w:rPr>
          <w:sz w:val="20"/>
          <w:szCs w:val="20"/>
          <w:color w:val="auto"/>
        </w:rPr>
      </w:pPr>
      <w:r>
        <w:rPr>
          <w:rFonts w:ascii="Arial" w:cs="Arial" w:eastAsia="Arial" w:hAnsi="Arial"/>
          <w:sz w:val="14"/>
          <w:szCs w:val="14"/>
          <w:b w:val="1"/>
          <w:bCs w:val="1"/>
          <w:i w:val="1"/>
          <w:iCs w:val="1"/>
          <w:color w:val="auto"/>
        </w:rPr>
        <w:t xml:space="preserve">Supply chain disruptions may negatively impact our operating results. </w:t>
      </w:r>
      <w:r>
        <w:rPr>
          <w:rFonts w:ascii="Arial" w:cs="Arial" w:eastAsia="Arial" w:hAnsi="Arial"/>
          <w:sz w:val="14"/>
          <w:szCs w:val="14"/>
          <w:color w:val="auto"/>
        </w:rPr>
        <w:t>We rely on certain suppliers for a number of our products, supplies and services. Shortages, delays, or interruptions 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availability of food and beverage items and other supplies to our theatres and restaurants may be caused by adverse weather conditions; natural disasters; governmental regulation; recalls; commodity availability; seasonality; public health crises or pandemics; labor issues or other operational disruptions; the inability of our suppliers to manage adverse business conditions, obtain credit or remain solvent; or other conditions beyond our control. Such shortages, delays or interruptions could adversely affect the availability, quality, and cost of the items we buy and the operations of our business. Supply chain risk could increase our costs and limit the availability of products that are critical to our operations. Since we have begun reopening our cinemas, we have, in some cases, experienced difficulties in maintaining a consistent supply, seen delays in production and deliveries, been required to identify alternative suppliers, and suspended sales regionally or entirely. We expect these issues to</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269"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auto"/>
        </w:rPr>
        <w:t>continue for the foreseeable future and plan to minimize the impact by focusing on the supply of those items with the greatest impact on our sales and operations.</w:t>
      </w:r>
    </w:p>
    <w:p>
      <w:pPr>
        <w:spacing w:after="0" w:line="143" w:lineRule="exact"/>
        <w:rPr>
          <w:sz w:val="20"/>
          <w:szCs w:val="20"/>
          <w:color w:val="auto"/>
        </w:rPr>
      </w:pPr>
    </w:p>
    <w:p>
      <w:pPr>
        <w:ind w:right="140"/>
        <w:spacing w:after="0" w:line="232" w:lineRule="auto"/>
        <w:rPr>
          <w:sz w:val="20"/>
          <w:szCs w:val="20"/>
          <w:color w:val="auto"/>
        </w:rPr>
      </w:pPr>
      <w:r>
        <w:rPr>
          <w:rFonts w:ascii="Arial" w:cs="Arial" w:eastAsia="Arial" w:hAnsi="Arial"/>
          <w:sz w:val="14"/>
          <w:szCs w:val="14"/>
          <w:b w:val="1"/>
          <w:bCs w:val="1"/>
          <w:i w:val="1"/>
          <w:iCs w:val="1"/>
          <w:color w:val="auto"/>
        </w:rPr>
        <w:t xml:space="preserve">We operate in a highly competitive environment with many competitors who are significantly larger and may have significantly better access to films and to funds than we do. </w:t>
      </w:r>
      <w:r>
        <w:rPr>
          <w:rFonts w:ascii="Arial" w:cs="Arial" w:eastAsia="Arial" w:hAnsi="Arial"/>
          <w:sz w:val="14"/>
          <w:szCs w:val="14"/>
          <w:color w:val="auto"/>
        </w:rPr>
        <w:t>We are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comparatively small cinema operator and face competition from much larger exhibitors who are able to offer distributors more screens in more markets – including markets where they may be the exclusive exhibitor – than can we. This may adversely impact our access to films, which may adversely affect our revenue and profitability. These larger competitors may also enjoy (i) greater cash flow, which can be used to develop additional cinemas, including cinemas that may be competitive with our existing cinemas, (ii) better access to equity capital and debt, (iii) better visibility to landlords and real estate developers, (iv) for the sake of building volume, to operate cinemas with margins below our threshold for cinema acquisitions and/or development, and (v) better economies of scale. Access to reasonably priced funding is increasingly important as cinema operators need to upgrade their presentation, food and beverage in order to compete with in-home entertainment options.</w:t>
      </w:r>
    </w:p>
    <w:p>
      <w:pPr>
        <w:spacing w:after="0" w:line="125" w:lineRule="exact"/>
        <w:rPr>
          <w:sz w:val="20"/>
          <w:szCs w:val="20"/>
          <w:color w:val="auto"/>
        </w:rPr>
      </w:pPr>
    </w:p>
    <w:p>
      <w:pPr>
        <w:ind w:right="140"/>
        <w:spacing w:after="0" w:line="242" w:lineRule="auto"/>
        <w:rPr>
          <w:sz w:val="20"/>
          <w:szCs w:val="20"/>
          <w:color w:val="auto"/>
        </w:rPr>
      </w:pPr>
      <w:r>
        <w:rPr>
          <w:rFonts w:ascii="Arial" w:cs="Arial" w:eastAsia="Arial" w:hAnsi="Arial"/>
          <w:sz w:val="14"/>
          <w:szCs w:val="14"/>
          <w:color w:val="auto"/>
        </w:rPr>
        <w:t>In the case of our live theatres, we compete for shows not only with other “for-profit” Off-Broadway theatres, but also with “not-for-profit” operators and, increasingly, with Broadway theatres. We believe our live theatres are generally competitive with other Off-Broadway venues. However, due to the increased cost of staging live theatre productions, we are seeing an increasing tendency for plays that would historically have been staged in an Off-Broadway theatre moving directly to larger Broadway venues.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vulnerable to a variety of factors which are beyond our control.</w:t>
      </w:r>
    </w:p>
    <w:p>
      <w:pPr>
        <w:spacing w:after="0" w:line="143" w:lineRule="exact"/>
        <w:rPr>
          <w:sz w:val="20"/>
          <w:szCs w:val="20"/>
          <w:color w:val="auto"/>
        </w:rPr>
      </w:pPr>
    </w:p>
    <w:p>
      <w:pPr>
        <w:ind w:left="520"/>
        <w:spacing w:after="0" w:line="242" w:lineRule="auto"/>
        <w:rPr>
          <w:sz w:val="20"/>
          <w:szCs w:val="20"/>
          <w:color w:val="auto"/>
        </w:rPr>
      </w:pPr>
      <w:r>
        <w:rPr>
          <w:rFonts w:ascii="Arial" w:cs="Arial" w:eastAsia="Arial" w:hAnsi="Arial"/>
          <w:sz w:val="14"/>
          <w:szCs w:val="14"/>
          <w:b w:val="1"/>
          <w:bCs w:val="1"/>
          <w:i w:val="1"/>
          <w:iCs w:val="1"/>
          <w:color w:val="auto"/>
        </w:rPr>
        <w:t xml:space="preserve">Our cinema and live theatre businesses may be vulnerable to fears of terrorism and random shooter incidents which could cause customers to avoid public assembly venues. </w:t>
      </w:r>
      <w:r>
        <w:rPr>
          <w:rFonts w:ascii="Arial" w:cs="Arial" w:eastAsia="Arial" w:hAnsi="Arial"/>
          <w:sz w:val="14"/>
          <w:szCs w:val="14"/>
          <w:color w:val="auto"/>
        </w:rPr>
        <w:t>Events,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such as terrorist attacks and random shooter incidents may discourage patrons from attending our cinemas. We believe that recent shooting incidents have resulted in material increases in insurance premiums for cinema operators.</w:t>
      </w:r>
    </w:p>
    <w:p>
      <w:pPr>
        <w:spacing w:after="0" w:line="120" w:lineRule="exact"/>
        <w:rPr>
          <w:sz w:val="20"/>
          <w:szCs w:val="20"/>
          <w:color w:val="auto"/>
        </w:rPr>
      </w:pPr>
    </w:p>
    <w:p>
      <w:pPr>
        <w:ind w:left="520" w:right="80"/>
        <w:spacing w:after="0" w:line="242" w:lineRule="auto"/>
        <w:rPr>
          <w:sz w:val="20"/>
          <w:szCs w:val="20"/>
          <w:color w:val="auto"/>
        </w:rPr>
      </w:pPr>
      <w:r>
        <w:rPr>
          <w:rFonts w:ascii="Arial" w:cs="Arial" w:eastAsia="Arial" w:hAnsi="Arial"/>
          <w:sz w:val="14"/>
          <w:szCs w:val="14"/>
          <w:b w:val="1"/>
          <w:bCs w:val="1"/>
          <w:i w:val="1"/>
          <w:iCs w:val="1"/>
          <w:color w:val="auto"/>
        </w:rPr>
        <w:t xml:space="preserve">Our cinema business may be vulnerable to natural disasters. </w:t>
      </w:r>
      <w:r>
        <w:rPr>
          <w:rFonts w:ascii="Arial" w:cs="Arial" w:eastAsia="Arial" w:hAnsi="Arial"/>
          <w:sz w:val="14"/>
          <w:szCs w:val="14"/>
          <w:color w:val="auto"/>
        </w:rPr>
        <w:t>Natural disasters, such as tropical storms, floods, fires, and earthquakes, have damaged and forced the temporary closure,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are likely in the future to similarly impact, our cinema operations. A material portion of our cinemas are located in seismically active areas, such as California, Hawaii and New Zealand.</w:t>
      </w:r>
    </w:p>
    <w:p>
      <w:pPr>
        <w:spacing w:after="0" w:line="120" w:lineRule="exact"/>
        <w:rPr>
          <w:sz w:val="20"/>
          <w:szCs w:val="20"/>
          <w:color w:val="auto"/>
        </w:rPr>
      </w:pPr>
    </w:p>
    <w:p>
      <w:pPr>
        <w:ind w:left="520" w:right="140"/>
        <w:spacing w:after="0" w:line="254" w:lineRule="auto"/>
        <w:rPr>
          <w:sz w:val="20"/>
          <w:szCs w:val="20"/>
          <w:color w:val="auto"/>
        </w:rPr>
      </w:pPr>
      <w:r>
        <w:rPr>
          <w:rFonts w:ascii="Arial" w:cs="Arial" w:eastAsia="Arial" w:hAnsi="Arial"/>
          <w:sz w:val="13"/>
          <w:szCs w:val="13"/>
          <w:b w:val="1"/>
          <w:bCs w:val="1"/>
          <w:i w:val="1"/>
          <w:iCs w:val="1"/>
          <w:color w:val="auto"/>
        </w:rPr>
        <w:t xml:space="preserve">We are not in an essential business and accordingly may be more subject to general economic conditions than some other businesses. </w:t>
      </w:r>
      <w:r>
        <w:rPr>
          <w:rFonts w:ascii="Arial" w:cs="Arial" w:eastAsia="Arial" w:hAnsi="Arial"/>
          <w:sz w:val="13"/>
          <w:szCs w:val="13"/>
          <w:color w:val="auto"/>
        </w:rPr>
        <w:t>Going to a movie or a play is a luxury, not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necessity. Furthermore, consumer demand for better and better amenities and food offerings have resulted in an increase of the cost of a night at the movies. Accordingly, a decline in the economy resulting in a decrease in discretionary income, or a perception of such a decline, may result in decreased discretionary spending, which could adversely affect our cinema and live theatre businesses. Adverse economic conditions can also affect the supply side of our business, as reduced liquidity can adversely affect the availability of funding for movies and plays. This is particularly true in the case of Off-Broadway plays, which are often times financed by high net worth individuals (or groups of such individuals) and that are very risky due to the absence of any ability to recoup investment in secondary markets like – cable, satellite or internet distribution.</w:t>
      </w:r>
    </w:p>
    <w:p>
      <w:pPr>
        <w:spacing w:after="0" w:line="113" w:lineRule="exact"/>
        <w:rPr>
          <w:sz w:val="20"/>
          <w:szCs w:val="20"/>
          <w:color w:val="auto"/>
        </w:rPr>
      </w:pPr>
    </w:p>
    <w:p>
      <w:pPr>
        <w:ind w:right="60"/>
        <w:spacing w:after="0" w:line="232" w:lineRule="auto"/>
        <w:rPr>
          <w:sz w:val="20"/>
          <w:szCs w:val="20"/>
          <w:color w:val="auto"/>
        </w:rPr>
      </w:pPr>
      <w:r>
        <w:rPr>
          <w:rFonts w:ascii="Arial" w:cs="Arial" w:eastAsia="Arial" w:hAnsi="Arial"/>
          <w:sz w:val="14"/>
          <w:szCs w:val="14"/>
          <w:b w:val="1"/>
          <w:bCs w:val="1"/>
          <w:i w:val="1"/>
          <w:iCs w:val="1"/>
          <w:color w:val="auto"/>
        </w:rPr>
        <w:t xml:space="preserve">We face competition from competitors offering food and beverage and luxury seating as an integral part of their cinema offerings. </w:t>
      </w:r>
      <w:r>
        <w:rPr>
          <w:rFonts w:ascii="Arial" w:cs="Arial" w:eastAsia="Arial" w:hAnsi="Arial"/>
          <w:sz w:val="14"/>
          <w:szCs w:val="14"/>
          <w:color w:val="auto"/>
        </w:rPr>
        <w:t>The number of our competitors offering an expanded food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beverage menu (including the sale of alcoholic beverages) and luxury seating, has continued to grow in recent periods. In addition, more competitors such as AMC are converting existing cinemas to provide such expanded menu offerings and in-theater dining options. The existence of such cinemas may alter traditional cinema selection practices of moviegoers, as they seek out cinemas with such expanded offerings as a preferred alternative to traditional cinemas. In order to compete with these new cinemas, the Company has been required to materially increase its capital expenditures to add such features to many of our cinemas and to take on additional and more highly trained (and, consequently, compensated) staff. Also, the conversion to luxury seating typically requires a material reduction in the number of seats that an auditorium can accommodate which may translate into fewer movie tickets being sold and the shutdown (or limitation of activities) during the time required to complete such modifications.</w:t>
      </w:r>
    </w:p>
    <w:p>
      <w:pPr>
        <w:spacing w:after="0" w:line="125" w:lineRule="exact"/>
        <w:rPr>
          <w:sz w:val="20"/>
          <w:szCs w:val="20"/>
          <w:color w:val="auto"/>
        </w:rPr>
      </w:pPr>
    </w:p>
    <w:p>
      <w:pPr>
        <w:ind w:right="60"/>
        <w:spacing w:after="0" w:line="257" w:lineRule="auto"/>
        <w:rPr>
          <w:sz w:val="20"/>
          <w:szCs w:val="20"/>
          <w:color w:val="auto"/>
        </w:rPr>
      </w:pPr>
      <w:r>
        <w:rPr>
          <w:rFonts w:ascii="Arial" w:cs="Arial" w:eastAsia="Arial" w:hAnsi="Arial"/>
          <w:sz w:val="13"/>
          <w:szCs w:val="13"/>
          <w:b w:val="1"/>
          <w:bCs w:val="1"/>
          <w:i w:val="1"/>
          <w:iCs w:val="1"/>
          <w:color w:val="auto"/>
        </w:rPr>
        <w:t xml:space="preserve">Our failure to obtain and maintain liquor licenses at any of our cinemas could adversely affect our ability to compete. </w:t>
      </w:r>
      <w:r>
        <w:rPr>
          <w:rFonts w:ascii="Arial" w:cs="Arial" w:eastAsia="Arial" w:hAnsi="Arial"/>
          <w:sz w:val="13"/>
          <w:szCs w:val="13"/>
          <w:color w:val="auto"/>
        </w:rPr>
        <w:t>Each of our cinemas offering alcoholic beverages, is subject to licensing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regulation. Typically, licenses must be renewed annually and may be revoked or suspended for cause at any time. Alcoholic beverage control regulations relate to numerous aspects of the daily operations of each cinema, including minimum age of patrons and employees, hours of operation, advertising, wholesale purchasing, inventory control and handling and storage and dispensing of alcoholic beverages. The failure to receive or retain a liquor license, or any other required permit or license, in a particular location, or to continue to qualify for, or renew licenses, could have a material adverse effect on our profitability, our ability to attract patrons, and our ability to obtain such a liquor license in other locations.</w:t>
      </w:r>
    </w:p>
    <w:p>
      <w:pPr>
        <w:spacing w:after="0" w:line="110" w:lineRule="exact"/>
        <w:rPr>
          <w:sz w:val="20"/>
          <w:szCs w:val="20"/>
          <w:color w:val="auto"/>
        </w:rPr>
      </w:pPr>
    </w:p>
    <w:p>
      <w:pPr>
        <w:ind w:right="20"/>
        <w:spacing w:after="0" w:line="232" w:lineRule="auto"/>
        <w:rPr>
          <w:sz w:val="20"/>
          <w:szCs w:val="20"/>
          <w:color w:val="auto"/>
        </w:rPr>
      </w:pPr>
      <w:r>
        <w:rPr>
          <w:rFonts w:ascii="Arial" w:cs="Arial" w:eastAsia="Arial" w:hAnsi="Arial"/>
          <w:sz w:val="14"/>
          <w:szCs w:val="14"/>
          <w:b w:val="1"/>
          <w:bCs w:val="1"/>
          <w:i w:val="1"/>
          <w:iCs w:val="1"/>
          <w:color w:val="auto"/>
        </w:rPr>
        <w:t xml:space="preserve">We may be subject to increased labor and benefits costs generally. </w:t>
      </w:r>
      <w:r>
        <w:rPr>
          <w:rFonts w:ascii="Arial" w:cs="Arial" w:eastAsia="Arial" w:hAnsi="Arial"/>
          <w:sz w:val="14"/>
          <w:szCs w:val="14"/>
          <w:color w:val="auto"/>
        </w:rPr>
        <w:t>Like most market actors, we are subject to inflationary pressures which have resulted in increased costs of goods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increased cost of film. Our labor costs more as post COVID-19 worker shortages continue, particularly in the minimum wage sector where we operate. Our cinemas are a major user of electricity, and utility costs are</w:t>
      </w:r>
    </w:p>
    <w:p>
      <w:pPr>
        <w:jc w:val="center"/>
        <w:ind w:right="-19"/>
        <w:spacing w:after="0"/>
        <w:rPr>
          <w:sz w:val="20"/>
          <w:szCs w:val="20"/>
          <w:color w:val="auto"/>
        </w:rPr>
      </w:pPr>
      <w:r>
        <w:rPr>
          <w:rFonts w:ascii="Arial" w:cs="Arial" w:eastAsia="Arial" w:hAnsi="Arial"/>
          <w:sz w:val="14"/>
          <w:szCs w:val="14"/>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1" w:name="page22"/>
    <w:bookmarkEnd w:id="21"/>
    <w:p>
      <w:pPr>
        <w:ind w:right="80"/>
        <w:spacing w:after="0" w:line="232" w:lineRule="auto"/>
        <w:rPr>
          <w:sz w:val="20"/>
          <w:szCs w:val="20"/>
          <w:color w:val="auto"/>
        </w:rPr>
      </w:pPr>
      <w:r>
        <w:rPr>
          <w:rFonts w:ascii="Arial" w:cs="Arial" w:eastAsia="Arial" w:hAnsi="Arial"/>
          <w:sz w:val="14"/>
          <w:szCs w:val="14"/>
          <w:color w:val="auto"/>
        </w:rPr>
        <w:t>also rising. Given competitive pressures and other forces adversely impacting movie attendances, it may not be possible to pass all or any material portion of these increased costs on to consumers. In addition, we are subject to a variety of changing laws governing such matters as minimum wages, access to benefits and paid or unpaid leave, working conditions and overtime under which minor violations can result in material liabilities. In California and New York, in particular, law firms have developed which advertise for plaintiffs and bring such cases on a class action, contingent fee basis, where typically between 25% and 40% of any recovery goes to the law firm. Moreover, given the statutory basis of such claims, insurance is not available to cover such exposure. In recent periods, legislatures have been active increasing minimum wages, mandating minimum hours or imposing notice and leave provisions that make it increasingly difficult to adjust staffing levels to accommodate fluctuating cinema attendance levels, all of which have resulted in increased operating costs as we work to maintain a high level of amenity to our customers.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Real Estate Development and Ownership Business Risks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Specific Risks Related to Our Real Estate Business.</w:t>
      </w:r>
    </w:p>
    <w:p>
      <w:pPr>
        <w:spacing w:after="0" w:line="143" w:lineRule="exact"/>
        <w:rPr>
          <w:sz w:val="20"/>
          <w:szCs w:val="20"/>
          <w:color w:val="auto"/>
        </w:rPr>
      </w:pPr>
    </w:p>
    <w:p>
      <w:pPr>
        <w:ind w:right="60"/>
        <w:spacing w:after="0" w:line="237" w:lineRule="auto"/>
        <w:rPr>
          <w:sz w:val="20"/>
          <w:szCs w:val="20"/>
          <w:color w:val="auto"/>
        </w:rPr>
      </w:pPr>
      <w:r>
        <w:rPr>
          <w:rFonts w:ascii="Arial" w:cs="Arial" w:eastAsia="Arial" w:hAnsi="Arial"/>
          <w:sz w:val="14"/>
          <w:szCs w:val="14"/>
          <w:b w:val="1"/>
          <w:bCs w:val="1"/>
          <w:i w:val="1"/>
          <w:iCs w:val="1"/>
          <w:color w:val="auto"/>
        </w:rPr>
        <w:t xml:space="preserve">Our real estate business is vulnerable to the effects from the coronavirus outbreak which has adversely impacted our retail tenants' operations and, in turn, resulted in an increase in tenant defaults and rent reductions. </w:t>
      </w:r>
      <w:r>
        <w:rPr>
          <w:rFonts w:ascii="Arial" w:cs="Arial" w:eastAsia="Arial" w:hAnsi="Arial"/>
          <w:sz w:val="14"/>
          <w:szCs w:val="14"/>
          <w:color w:val="auto"/>
        </w:rPr>
        <w:t>The COVID-19 pandemic has resulted in the closure or reduced capacity of certain of our retail tenants. All of our ETCs are anchored by our cinemas, which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suffered temporary closures and/or reductions in seating capacities during the COVID-19 Pandemic, thereby reducing foot traffic to our ETCs. In some cases, we have been compelled to provide our tenants with rent abatements or deferrals.</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3"/>
          <w:szCs w:val="13"/>
          <w:b w:val="1"/>
          <w:bCs w:val="1"/>
          <w:i w:val="1"/>
          <w:iCs w:val="1"/>
          <w:color w:val="auto"/>
        </w:rPr>
        <w:t xml:space="preserve">Competition from the Digital Economy may adversely impact our ability to lease and obtain reasonable rents for our properties. </w:t>
      </w:r>
      <w:r>
        <w:rPr>
          <w:rFonts w:ascii="Arial" w:cs="Arial" w:eastAsia="Arial" w:hAnsi="Arial"/>
          <w:sz w:val="13"/>
          <w:szCs w:val="13"/>
          <w:color w:val="auto"/>
        </w:rPr>
        <w:t>An increasing amount of shopping is being done online,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trend that has been given momentum by the stay-at-home admonitions and restrictions associated with our battle against the COVID virus. This has adversely impacted retail tenants (particularly those dealing in consumer goods), which may impact our ability to attract such retailers and to obtain rents at historic levels. This is a particular risk to us, given our high percentage of retail tenants. Also, initially motivated by the need to work from home during the COVID-19 pandemic, employers are rethinking the scope and extent of the need for their office space. Some markets may have become overbuilt, which may complicate our ability to lease our properties, to obtain reasonable rents, and to finance future development.</w:t>
      </w:r>
    </w:p>
    <w:p>
      <w:pPr>
        <w:spacing w:after="0" w:line="110"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b w:val="1"/>
          <w:bCs w:val="1"/>
          <w:i w:val="1"/>
          <w:iCs w:val="1"/>
          <w:color w:val="auto"/>
        </w:rPr>
        <w:t xml:space="preserve">Many of our Properties are located in areas prone to natural disasters. </w:t>
      </w:r>
      <w:r>
        <w:rPr>
          <w:rFonts w:ascii="Arial" w:cs="Arial" w:eastAsia="Arial" w:hAnsi="Arial"/>
          <w:sz w:val="14"/>
          <w:szCs w:val="14"/>
          <w:color w:val="auto"/>
        </w:rPr>
        <w:t>Many of our properties are located in areas subject to a risk of fires such as California and Australia; of hurricanes,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tropical storms and/or flooding, such as Australia, California, Hawaii and New York, New Jersey; or earthquakes in New Zealand, Hawaii and California. The availability of insurance for natural disasters (particularly earthquake) may be limited.</w:t>
      </w:r>
    </w:p>
    <w:p>
      <w:pPr>
        <w:spacing w:after="0" w:line="120" w:lineRule="exact"/>
        <w:rPr>
          <w:sz w:val="20"/>
          <w:szCs w:val="20"/>
          <w:color w:val="auto"/>
        </w:rPr>
      </w:pPr>
    </w:p>
    <w:p>
      <w:pPr>
        <w:ind w:right="400"/>
        <w:spacing w:after="0" w:line="297" w:lineRule="auto"/>
        <w:rPr>
          <w:sz w:val="20"/>
          <w:szCs w:val="20"/>
          <w:color w:val="auto"/>
        </w:rPr>
      </w:pPr>
      <w:r>
        <w:rPr>
          <w:rFonts w:ascii="Arial" w:cs="Arial" w:eastAsia="Arial" w:hAnsi="Arial"/>
          <w:sz w:val="13"/>
          <w:szCs w:val="13"/>
          <w:b w:val="1"/>
          <w:bCs w:val="1"/>
          <w:i w:val="1"/>
          <w:iCs w:val="1"/>
          <w:color w:val="auto"/>
        </w:rPr>
        <w:t xml:space="preserve">Our entertainment properties may be more subject to access litigation than other properties. </w:t>
      </w:r>
      <w:r>
        <w:rPr>
          <w:rFonts w:ascii="Arial" w:cs="Arial" w:eastAsia="Arial" w:hAnsi="Arial"/>
          <w:sz w:val="13"/>
          <w:szCs w:val="13"/>
          <w:color w:val="auto"/>
        </w:rPr>
        <w:t>Substantially all our properties consist of, or include as a material component, entertainment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venues. These facilities may attract more access-based litigation (for example, claims under the Americans with Disabilities Act) than other types of real estate.</w:t>
      </w:r>
    </w:p>
    <w:p>
      <w:pPr>
        <w:spacing w:after="0" w:line="85" w:lineRule="exact"/>
        <w:rPr>
          <w:sz w:val="20"/>
          <w:szCs w:val="20"/>
          <w:color w:val="auto"/>
        </w:rPr>
      </w:pPr>
    </w:p>
    <w:p>
      <w:pPr>
        <w:spacing w:after="0" w:line="237" w:lineRule="auto"/>
        <w:rPr>
          <w:sz w:val="20"/>
          <w:szCs w:val="20"/>
          <w:color w:val="auto"/>
        </w:rPr>
      </w:pPr>
      <w:r>
        <w:rPr>
          <w:rFonts w:ascii="Arial" w:cs="Arial" w:eastAsia="Arial" w:hAnsi="Arial"/>
          <w:sz w:val="14"/>
          <w:szCs w:val="14"/>
          <w:b w:val="1"/>
          <w:bCs w:val="1"/>
          <w:i w:val="1"/>
          <w:iCs w:val="1"/>
          <w:color w:val="auto"/>
        </w:rPr>
        <w:t xml:space="preserve">We operate in a highly competitive environment in which we must compete against companies with much greater financial and human resources than we have. </w:t>
      </w:r>
      <w:r>
        <w:rPr>
          <w:rFonts w:ascii="Arial" w:cs="Arial" w:eastAsia="Arial" w:hAnsi="Arial"/>
          <w:sz w:val="14"/>
          <w:szCs w:val="14"/>
          <w:color w:val="auto"/>
        </w:rPr>
        <w:t>We have limited financial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human resources, compared to our principal real estate competitors. In recent periods, we have relied heavily on outside professionals in connection with our real estate development activities. Many of our competitors have significantly greater resources and may be able to achieve greater economies of scale than we can. Given our structure as a taxable corporation, our cost of capital is typically higher than other real estate investment vehicles such as real estate investment trusts.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the Real Estate Industry Generally</w:t>
      </w:r>
    </w:p>
    <w:p>
      <w:pPr>
        <w:spacing w:after="0" w:line="147" w:lineRule="exact"/>
        <w:rPr>
          <w:sz w:val="20"/>
          <w:szCs w:val="20"/>
          <w:color w:val="auto"/>
        </w:rPr>
      </w:pPr>
    </w:p>
    <w:p>
      <w:pPr>
        <w:ind w:right="40"/>
        <w:spacing w:after="0" w:line="230" w:lineRule="auto"/>
        <w:rPr>
          <w:sz w:val="20"/>
          <w:szCs w:val="20"/>
          <w:color w:val="auto"/>
        </w:rPr>
      </w:pPr>
      <w:r>
        <w:rPr>
          <w:rFonts w:ascii="Arial" w:cs="Arial" w:eastAsia="Arial" w:hAnsi="Arial"/>
          <w:sz w:val="14"/>
          <w:szCs w:val="14"/>
          <w:b w:val="1"/>
          <w:bCs w:val="1"/>
          <w:i w:val="1"/>
          <w:iCs w:val="1"/>
          <w:color w:val="auto"/>
        </w:rPr>
        <w:t xml:space="preserve">Our financial performance will be affected by risks associated with the real estate industry generally. </w:t>
      </w:r>
      <w:r>
        <w:rPr>
          <w:rFonts w:ascii="Arial" w:cs="Arial" w:eastAsia="Arial" w:hAnsi="Arial"/>
          <w:sz w:val="14"/>
          <w:szCs w:val="14"/>
          <w:color w:val="auto"/>
        </w:rPr>
        <w:t>Events and conditions generally applicable to developers, owners, and operators of real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property will affect our performance as well. These include (i) changes in the national, regional and local economic climate, (ii) local conditions, such as an oversupply of, or a reduction in demand for, commercial space and/or entertainment-oriented properties, (iii) reduced attractiveness of our properties to tenants, (iv) the rental rates and capitalization rates applicable to the markets in which we operate and the quality of properties that we own, (v) competition from other properties, (vi) inability to collect rent from tenants, (vii) increased operating costs, including labor, materials, real estate taxes, insurance premiums, and utilities, (viii) costs of complying with changes in law and government regulations including those relating to access, energy conservation and environmental matters, (ix) the relative illiquidity of real estate investments, and (x) decreases in sources of both construction and long-term lending as traditional sources of such funding leave or reduce their commitments to real estate-based lending. In addition, periods of rising interest rates or declining demand for real estate (for example, due to competition from internet sellers the demand for brick and mortar retail spaces has declined and may continue to decline, and due to the increasing popularity of tele-commuting demand for traditional office space has likewise declined and may likewise continue to decline), or the public perception that any of these events may occur, could result in declining rents or increased lease defaults. Increasing cap rates can result in lower property values.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2" w:name="page23"/>
    <w:bookmarkEnd w:id="22"/>
    <w:p>
      <w:pPr>
        <w:ind w:right="20"/>
        <w:spacing w:after="0" w:line="261" w:lineRule="auto"/>
        <w:rPr>
          <w:sz w:val="20"/>
          <w:szCs w:val="20"/>
          <w:color w:val="auto"/>
        </w:rPr>
      </w:pPr>
      <w:r>
        <w:rPr>
          <w:rFonts w:ascii="Arial" w:cs="Arial" w:eastAsia="Arial" w:hAnsi="Arial"/>
          <w:sz w:val="13"/>
          <w:szCs w:val="13"/>
          <w:b w:val="1"/>
          <w:bCs w:val="1"/>
          <w:i w:val="1"/>
          <w:iCs w:val="1"/>
          <w:color w:val="auto"/>
        </w:rPr>
        <w:t xml:space="preserve">Illiquidity of real estate investments could impede our ability to respond to adverse changes in the performance of our properties. </w:t>
      </w:r>
      <w:r>
        <w:rPr>
          <w:rFonts w:ascii="Arial" w:cs="Arial" w:eastAsia="Arial" w:hAnsi="Arial"/>
          <w:sz w:val="13"/>
          <w:szCs w:val="13"/>
          <w:color w:val="auto"/>
        </w:rPr>
        <w:t>Real estate investments can be relatively illiquid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therefore, tend to limit our ability to vary our portfolio promptly in response to changes in economic or other conditions. Many of our properties are either “special purpose” properties that could not be readily converted to general residential, retail or office use. In addition, certain significant expenditures associated with real estate investment, such as real estate taxes and maintenance costs, are generally not reduced when circumstances cause a reduction in income from the investment, and competitive factors may prevent the pass-through of such costs to tenants.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Real estate development involves a variety of risks.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Real estate development involves a variety of risks, including the following:</w:t>
      </w:r>
    </w:p>
    <w:p>
      <w:pPr>
        <w:spacing w:after="0" w:line="67" w:lineRule="exact"/>
        <w:rPr>
          <w:sz w:val="20"/>
          <w:szCs w:val="20"/>
          <w:color w:val="auto"/>
        </w:rPr>
      </w:pPr>
    </w:p>
    <w:p>
      <w:pPr>
        <w:ind w:left="520" w:right="60"/>
        <w:spacing w:after="0" w:line="250" w:lineRule="auto"/>
        <w:rPr>
          <w:sz w:val="20"/>
          <w:szCs w:val="20"/>
          <w:color w:val="auto"/>
        </w:rPr>
      </w:pPr>
      <w:r>
        <w:rPr>
          <w:rFonts w:ascii="Arial" w:cs="Arial" w:eastAsia="Arial" w:hAnsi="Arial"/>
          <w:sz w:val="14"/>
          <w:szCs w:val="14"/>
          <w:i w:val="1"/>
          <w:iCs w:val="1"/>
          <w:color w:val="auto"/>
        </w:rPr>
        <w:t>The identification and acquisition of suitable development properties</w:t>
      </w:r>
      <w:r>
        <w:rPr>
          <w:rFonts w:ascii="Arial" w:cs="Arial" w:eastAsia="Arial" w:hAnsi="Arial"/>
          <w:sz w:val="14"/>
          <w:szCs w:val="14"/>
          <w:color w:val="auto"/>
        </w:rPr>
        <w:t>. Competition for suitable development properties is intense. Our ability to identify and acquire development</w:t>
      </w:r>
      <w:r>
        <w:rPr>
          <w:rFonts w:ascii="Arial" w:cs="Arial" w:eastAsia="Arial" w:hAnsi="Arial"/>
          <w:sz w:val="14"/>
          <w:szCs w:val="14"/>
          <w:i w:val="1"/>
          <w:iCs w:val="1"/>
          <w:color w:val="auto"/>
        </w:rPr>
        <w:t xml:space="preserve"> </w:t>
      </w:r>
      <w:r>
        <w:rPr>
          <w:rFonts w:ascii="Arial" w:cs="Arial" w:eastAsia="Arial" w:hAnsi="Arial"/>
          <w:sz w:val="14"/>
          <w:szCs w:val="14"/>
          <w:color w:val="auto"/>
        </w:rPr>
        <w:t>properties may be limited by our size and resources. Also, as we and our affiliates are considered to be “foreign owned” for purposes of certain Australian and New Zealand statutes, we have been in the past, and may in the future be, subject to regulations that are not applicable to other persons doing business in those countries.</w:t>
      </w:r>
    </w:p>
    <w:p>
      <w:pPr>
        <w:spacing w:after="0" w:line="28" w:lineRule="exact"/>
        <w:rPr>
          <w:sz w:val="20"/>
          <w:szCs w:val="20"/>
          <w:color w:val="auto"/>
        </w:rPr>
      </w:pPr>
    </w:p>
    <w:p>
      <w:pPr>
        <w:ind w:left="520" w:right="360"/>
        <w:spacing w:after="0" w:line="242" w:lineRule="auto"/>
        <w:rPr>
          <w:sz w:val="20"/>
          <w:szCs w:val="20"/>
          <w:color w:val="auto"/>
        </w:rPr>
      </w:pPr>
      <w:r>
        <w:rPr>
          <w:rFonts w:ascii="Arial" w:cs="Arial" w:eastAsia="Arial" w:hAnsi="Arial"/>
          <w:sz w:val="14"/>
          <w:szCs w:val="14"/>
          <w:i w:val="1"/>
          <w:iCs w:val="1"/>
          <w:color w:val="auto"/>
        </w:rPr>
        <w:t>The procurement of necessary land use entitlements for the project</w:t>
      </w:r>
      <w:r>
        <w:rPr>
          <w:rFonts w:ascii="Arial" w:cs="Arial" w:eastAsia="Arial" w:hAnsi="Arial"/>
          <w:sz w:val="14"/>
          <w:szCs w:val="14"/>
          <w:color w:val="auto"/>
        </w:rPr>
        <w:t>. This process can take many years, particularly if opposed by competing interests. Competitors and community</w:t>
      </w:r>
      <w:r>
        <w:rPr>
          <w:rFonts w:ascii="Arial" w:cs="Arial" w:eastAsia="Arial" w:hAnsi="Arial"/>
          <w:sz w:val="14"/>
          <w:szCs w:val="14"/>
          <w:i w:val="1"/>
          <w:iCs w:val="1"/>
          <w:color w:val="auto"/>
        </w:rPr>
        <w:t xml:space="preserve"> </w:t>
      </w:r>
      <w:r>
        <w:rPr>
          <w:rFonts w:ascii="Arial" w:cs="Arial" w:eastAsia="Arial" w:hAnsi="Arial"/>
          <w:sz w:val="14"/>
          <w:szCs w:val="14"/>
          <w:color w:val="auto"/>
        </w:rPr>
        <w:t>groups (sometimes funded by such competitors) may object based on various factors, including, for example, impacts on density, parking, traffic, noise levels and the historic or architectural nature of the building being replaced. If they are unsuccessful at the local governmental level, they may seek recourse to the courts or other tribunals. This can delay projects and increase costs.</w:t>
      </w:r>
    </w:p>
    <w:p>
      <w:pPr>
        <w:spacing w:after="0" w:line="44" w:lineRule="exact"/>
        <w:rPr>
          <w:sz w:val="20"/>
          <w:szCs w:val="20"/>
          <w:color w:val="auto"/>
        </w:rPr>
      </w:pPr>
    </w:p>
    <w:p>
      <w:pPr>
        <w:ind w:left="520" w:right="20"/>
        <w:spacing w:after="0" w:line="250" w:lineRule="auto"/>
        <w:rPr>
          <w:sz w:val="20"/>
          <w:szCs w:val="20"/>
          <w:color w:val="auto"/>
        </w:rPr>
      </w:pPr>
      <w:r>
        <w:rPr>
          <w:rFonts w:ascii="Arial" w:cs="Arial" w:eastAsia="Arial" w:hAnsi="Arial"/>
          <w:sz w:val="14"/>
          <w:szCs w:val="14"/>
          <w:i w:val="1"/>
          <w:iCs w:val="1"/>
          <w:color w:val="auto"/>
        </w:rPr>
        <w:t>The construction of the project on time and on budget</w:t>
      </w:r>
      <w:r>
        <w:rPr>
          <w:rFonts w:ascii="Arial" w:cs="Arial" w:eastAsia="Arial" w:hAnsi="Arial"/>
          <w:sz w:val="14"/>
          <w:szCs w:val="14"/>
          <w:color w:val="auto"/>
        </w:rPr>
        <w:t>. Construction risks include the availability and cost of financing; the availability and costs of material and labor; the costs of</w:t>
      </w:r>
      <w:r>
        <w:rPr>
          <w:rFonts w:ascii="Arial" w:cs="Arial" w:eastAsia="Arial" w:hAnsi="Arial"/>
          <w:sz w:val="14"/>
          <w:szCs w:val="14"/>
          <w:i w:val="1"/>
          <w:iCs w:val="1"/>
          <w:color w:val="auto"/>
        </w:rPr>
        <w:t xml:space="preserve"> </w:t>
      </w:r>
      <w:r>
        <w:rPr>
          <w:rFonts w:ascii="Arial" w:cs="Arial" w:eastAsia="Arial" w:hAnsi="Arial"/>
          <w:sz w:val="14"/>
          <w:szCs w:val="14"/>
          <w:color w:val="auto"/>
        </w:rPr>
        <w:t>dealing with unknown site conditions (including addressing pollution or environmental wastes deposited upon the property by prior owners); inclement weather conditions; and the ever-present potential for labor-related disruptions.</w:t>
      </w:r>
    </w:p>
    <w:p>
      <w:pPr>
        <w:spacing w:after="0" w:line="39" w:lineRule="exact"/>
        <w:rPr>
          <w:sz w:val="20"/>
          <w:szCs w:val="20"/>
          <w:color w:val="auto"/>
        </w:rPr>
      </w:pPr>
    </w:p>
    <w:p>
      <w:pPr>
        <w:ind w:left="520" w:right="80"/>
        <w:spacing w:after="0" w:line="242" w:lineRule="auto"/>
        <w:rPr>
          <w:sz w:val="20"/>
          <w:szCs w:val="20"/>
          <w:color w:val="auto"/>
        </w:rPr>
      </w:pPr>
      <w:r>
        <w:rPr>
          <w:rFonts w:ascii="Arial" w:cs="Arial" w:eastAsia="Arial" w:hAnsi="Arial"/>
          <w:sz w:val="14"/>
          <w:szCs w:val="14"/>
          <w:i w:val="1"/>
          <w:iCs w:val="1"/>
          <w:color w:val="auto"/>
        </w:rPr>
        <w:t>The leasing or sell-out of the project</w:t>
      </w:r>
      <w:r>
        <w:rPr>
          <w:rFonts w:ascii="Arial" w:cs="Arial" w:eastAsia="Arial" w:hAnsi="Arial"/>
          <w:sz w:val="14"/>
          <w:szCs w:val="14"/>
          <w:color w:val="auto"/>
        </w:rPr>
        <w:t>. Ultimately, there are risks involved in the leasing of a rental property or the sale of a condominium or built-for-sale property. For our ETCs, the</w:t>
      </w:r>
      <w:r>
        <w:rPr>
          <w:rFonts w:ascii="Arial" w:cs="Arial" w:eastAsia="Arial" w:hAnsi="Arial"/>
          <w:sz w:val="14"/>
          <w:szCs w:val="14"/>
          <w:i w:val="1"/>
          <w:iCs w:val="1"/>
          <w:color w:val="auto"/>
        </w:rPr>
        <w:t xml:space="preserve"> </w:t>
      </w:r>
      <w:r>
        <w:rPr>
          <w:rFonts w:ascii="Arial" w:cs="Arial" w:eastAsia="Arial" w:hAnsi="Arial"/>
          <w:sz w:val="14"/>
          <w:szCs w:val="14"/>
          <w:color w:val="auto"/>
        </w:rPr>
        <w:t>extent to which our cinemas can continue to serve as an anchor tenant will be influenced by the same factors as will influence generally the results of our cinema operations. Leasing or sale can be influenced by economic factors that are neither known nor knowable at the commencement of the development process and by local, national, and even international economic conditions, both real and perceived.</w:t>
      </w:r>
    </w:p>
    <w:p>
      <w:pPr>
        <w:spacing w:after="0" w:line="34" w:lineRule="exact"/>
        <w:rPr>
          <w:sz w:val="20"/>
          <w:szCs w:val="20"/>
          <w:color w:val="auto"/>
        </w:rPr>
      </w:pPr>
    </w:p>
    <w:p>
      <w:pPr>
        <w:jc w:val="both"/>
        <w:ind w:left="520" w:right="320"/>
        <w:spacing w:after="0" w:line="250" w:lineRule="auto"/>
        <w:rPr>
          <w:sz w:val="20"/>
          <w:szCs w:val="20"/>
          <w:color w:val="auto"/>
        </w:rPr>
      </w:pPr>
      <w:r>
        <w:rPr>
          <w:rFonts w:ascii="Arial" w:cs="Arial" w:eastAsia="Arial" w:hAnsi="Arial"/>
          <w:sz w:val="14"/>
          <w:szCs w:val="14"/>
          <w:i w:val="1"/>
          <w:iCs w:val="1"/>
          <w:color w:val="auto"/>
        </w:rPr>
        <w:t>The refinancing of completed properties</w:t>
      </w:r>
      <w:r>
        <w:rPr>
          <w:rFonts w:ascii="Arial" w:cs="Arial" w:eastAsia="Arial" w:hAnsi="Arial"/>
          <w:sz w:val="14"/>
          <w:szCs w:val="14"/>
          <w:color w:val="auto"/>
        </w:rPr>
        <w:t>. Properties are often developed using relatively short-term loans. Upon completion of the project, it may be necessary to find replacement</w:t>
      </w:r>
      <w:r>
        <w:rPr>
          <w:rFonts w:ascii="Arial" w:cs="Arial" w:eastAsia="Arial" w:hAnsi="Arial"/>
          <w:sz w:val="14"/>
          <w:szCs w:val="14"/>
          <w:i w:val="1"/>
          <w:iCs w:val="1"/>
          <w:color w:val="auto"/>
        </w:rPr>
        <w:t xml:space="preserve"> </w:t>
      </w:r>
      <w:r>
        <w:rPr>
          <w:rFonts w:ascii="Arial" w:cs="Arial" w:eastAsia="Arial" w:hAnsi="Arial"/>
          <w:sz w:val="14"/>
          <w:szCs w:val="14"/>
          <w:color w:val="auto"/>
        </w:rPr>
        <w:t>financing for these loans. This process involves risk as to the availability of such permanent or other take-out financing, the interest rates, and the payment terms applicable to such financing, which may be adversely influenced by local, national, or international factors.</w:t>
      </w:r>
    </w:p>
    <w:p>
      <w:pPr>
        <w:spacing w:after="0" w:line="115" w:lineRule="exact"/>
        <w:rPr>
          <w:sz w:val="20"/>
          <w:szCs w:val="20"/>
          <w:color w:val="auto"/>
        </w:rPr>
      </w:pPr>
    </w:p>
    <w:p>
      <w:pPr>
        <w:spacing w:after="0" w:line="233" w:lineRule="auto"/>
        <w:rPr>
          <w:sz w:val="20"/>
          <w:szCs w:val="20"/>
          <w:color w:val="auto"/>
        </w:rPr>
      </w:pPr>
      <w:r>
        <w:rPr>
          <w:rFonts w:ascii="Arial" w:cs="Arial" w:eastAsia="Arial" w:hAnsi="Arial"/>
          <w:sz w:val="14"/>
          <w:szCs w:val="14"/>
          <w:b w:val="1"/>
          <w:bCs w:val="1"/>
          <w:i w:val="1"/>
          <w:iCs w:val="1"/>
          <w:color w:val="auto"/>
        </w:rPr>
        <w:t xml:space="preserve">The ownership of properties involves risk. </w:t>
      </w:r>
      <w:r>
        <w:rPr>
          <w:rFonts w:ascii="Arial" w:cs="Arial" w:eastAsia="Arial" w:hAnsi="Arial"/>
          <w:sz w:val="14"/>
          <w:szCs w:val="14"/>
          <w:color w:val="auto"/>
        </w:rPr>
        <w:t>The ownership of properties involves risks, such as: (i) ongoing leasing and re-leasing risks, (ii) ongoing financing and re-financing risks, (iii) market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risks as to the multiples offered by buyers of investment properties, (iv) risks related to the ongoing compliance with changing governmental regulation (including, without limitation, laws and regulations related to access, energy conservation and environmental matters), (v) relative illiquidity compared to some other types of assets, and (vi) susceptibility of assets to uninsurable risks, such as biological, chemical or nuclear terrorism, or risks that are subject to caps tied to the concentration of such assets in certain geographic areas, such as earthquakes. Furthermore, as our properties are typically developed around an entertainment use, the attractiveness of these properties to tenants, sources of finance and real estate investors will be influenced by market perceptions of the benefits and detriments of such entertainment-type properties.</w:t>
      </w:r>
    </w:p>
    <w:p>
      <w:pPr>
        <w:spacing w:after="0" w:line="125" w:lineRule="exact"/>
        <w:rPr>
          <w:sz w:val="20"/>
          <w:szCs w:val="20"/>
          <w:color w:val="auto"/>
        </w:rPr>
      </w:pPr>
    </w:p>
    <w:p>
      <w:pPr>
        <w:spacing w:after="0" w:line="254" w:lineRule="auto"/>
        <w:rPr>
          <w:sz w:val="20"/>
          <w:szCs w:val="20"/>
          <w:color w:val="auto"/>
        </w:rPr>
      </w:pPr>
      <w:r>
        <w:rPr>
          <w:rFonts w:ascii="Arial" w:cs="Arial" w:eastAsia="Arial" w:hAnsi="Arial"/>
          <w:sz w:val="13"/>
          <w:szCs w:val="13"/>
          <w:b w:val="1"/>
          <w:bCs w:val="1"/>
          <w:i w:val="1"/>
          <w:iCs w:val="1"/>
          <w:color w:val="auto"/>
        </w:rPr>
        <w:t xml:space="preserve">We may be subject to liability under environmental laws and regulations. </w:t>
      </w:r>
      <w:r>
        <w:rPr>
          <w:rFonts w:ascii="Arial" w:cs="Arial" w:eastAsia="Arial" w:hAnsi="Arial"/>
          <w:sz w:val="13"/>
          <w:szCs w:val="13"/>
          <w:color w:val="auto"/>
        </w:rPr>
        <w:t>We own and operate cinemas and other properties within the U.S. and internationally, which may be subject to various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foreign, federal, state and local laws and regulations relating to the protection of the environment or human health. Such environmental laws and regulations include those that impose liability for the investigation and remediation of spills or releases of hazardous materials. We may incur such liability, including for any currently or formerly owned, leased or operated property, or for any site, to which we may have disposed, or arranged for the disposal of, hazardous materials or wastes. Certain of these laws and regulations may impose liability, including on a joint and several liability, which can result in a liable party being obliged to pay for greater than its share, regardless of fault or the legality of the original disposal. Environmental conditions relating to our properties or operations could have an adverse effect on our business and results of operations and cash flows.</w:t>
      </w:r>
    </w:p>
    <w:p>
      <w:pPr>
        <w:spacing w:after="0" w:line="113"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b w:val="1"/>
          <w:bCs w:val="1"/>
          <w:i w:val="1"/>
          <w:iCs w:val="1"/>
          <w:color w:val="auto"/>
        </w:rPr>
        <w:t xml:space="preserve">Legislative or regulatory initiatives related to global warming/climate change concerns may negatively impact our business. </w:t>
      </w:r>
      <w:r>
        <w:rPr>
          <w:rFonts w:ascii="Arial" w:cs="Arial" w:eastAsia="Arial" w:hAnsi="Arial"/>
          <w:sz w:val="13"/>
          <w:szCs w:val="13"/>
          <w:color w:val="auto"/>
        </w:rPr>
        <w:t>Recently, there has been an increasing focus and continuous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debate on global climate change including increased attention from regulatory agencies and legislative bodies. This increased focus may lead to new initiatives directed at regulating an as yet unspecified array of environmental matters. Legislative, regulatory or other efforts in the U.S. to combat climate change could result in future increases in the cost of raw materials, taxes, transportation and utilities for our vendors and for us which would result in higher operating costs for the Company. Also, compliance by our cinemas and accompanying real estate with new and revised environmental, zoning, land-use or building codes, laws, rules or regulations, could have a material and adverse effect on our business.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270"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auto"/>
        </w:rPr>
        <w:t>However, we are unable to predict at this time, the potential effects, if any, that any future environmental initiatives may have on our business.</w:t>
      </w:r>
    </w:p>
    <w:p>
      <w:pPr>
        <w:spacing w:after="0" w:line="143" w:lineRule="exact"/>
        <w:rPr>
          <w:sz w:val="20"/>
          <w:szCs w:val="20"/>
          <w:color w:val="auto"/>
        </w:rPr>
      </w:pPr>
    </w:p>
    <w:p>
      <w:pPr>
        <w:ind w:right="40"/>
        <w:spacing w:after="0" w:line="237" w:lineRule="auto"/>
        <w:rPr>
          <w:sz w:val="20"/>
          <w:szCs w:val="20"/>
          <w:color w:val="auto"/>
        </w:rPr>
      </w:pPr>
      <w:r>
        <w:rPr>
          <w:rFonts w:ascii="Arial" w:cs="Arial" w:eastAsia="Arial" w:hAnsi="Arial"/>
          <w:sz w:val="14"/>
          <w:szCs w:val="14"/>
          <w:b w:val="1"/>
          <w:bCs w:val="1"/>
          <w:i w:val="1"/>
          <w:iCs w:val="1"/>
          <w:color w:val="auto"/>
        </w:rPr>
        <w:t xml:space="preserve">Changes in interest rates may increase our interest expense. </w:t>
      </w:r>
      <w:r>
        <w:rPr>
          <w:rFonts w:ascii="Arial" w:cs="Arial" w:eastAsia="Arial" w:hAnsi="Arial"/>
          <w:sz w:val="14"/>
          <w:szCs w:val="14"/>
          <w:color w:val="auto"/>
        </w:rPr>
        <w:t>Because a portion of our debt bears interest at variable rates, increases in interest rates could materially increase our interest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expense. Based on our debt outstanding as of December 31, 2021, if interest rates were to increase by 1%, the corresponding increase in interest expense on our variable rate debt would decrease future earnings and cash flows by approximately $2.7 million per year. Potential future increases in interest rates may therefore negatively affect our financial condition and results of operations and reduce our access to the debt or equity capital markets.</w:t>
      </w:r>
    </w:p>
    <w:p>
      <w:pPr>
        <w:spacing w:after="0" w:line="123" w:lineRule="exact"/>
        <w:rPr>
          <w:sz w:val="20"/>
          <w:szCs w:val="20"/>
          <w:color w:val="auto"/>
        </w:rPr>
      </w:pPr>
    </w:p>
    <w:p>
      <w:pPr>
        <w:spacing w:after="0" w:line="252" w:lineRule="auto"/>
        <w:rPr>
          <w:sz w:val="20"/>
          <w:szCs w:val="20"/>
          <w:color w:val="auto"/>
        </w:rPr>
      </w:pPr>
      <w:r>
        <w:rPr>
          <w:rFonts w:ascii="Arial" w:cs="Arial" w:eastAsia="Arial" w:hAnsi="Arial"/>
          <w:sz w:val="13"/>
          <w:szCs w:val="13"/>
          <w:b w:val="1"/>
          <w:bCs w:val="1"/>
          <w:i w:val="1"/>
          <w:iCs w:val="1"/>
          <w:color w:val="auto"/>
        </w:rPr>
        <w:t xml:space="preserve">Uncertainty relating to the likely phasing out of LIBOR may result in paying increased interest under our credit facilities. </w:t>
      </w:r>
      <w:r>
        <w:rPr>
          <w:rFonts w:ascii="Arial" w:cs="Arial" w:eastAsia="Arial" w:hAnsi="Arial"/>
          <w:sz w:val="13"/>
          <w:szCs w:val="13"/>
          <w:color w:val="auto"/>
        </w:rPr>
        <w:t>Some of our variable rate indebtedness uses LIBOR as a benchmark</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 establishing the rate. LIBOR is the subject of recent national, international and other regulatory guidance and proposals for reform. On July 27, 2017, the United Kingdom’s Financial Conduct Authority announced that it intended to phase out LIBOR by the end of 2021. LIBOR is no longer used to price new loans, and existing finance structures which are based on LIBOR are expected to be transitioned by June 2023 when certain time-based LIBOR rates will no longer be published. These reforms and other pressures may cause LIBOR to disappear entirely or to perform differently than in the past. At this time, it is not possible to predict the effect that any discontinuance, modification or other reform of LIBOR or any other reference rate, or the establishment of alternative reference rates, may have on LIBOR, other benchmarks, or LIBOR-based debt instruments. However, the use of alternative reference rates or other reforms could cause the interest rates payable under our credit facilities to be substantially higher than we would otherwise have expected.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i w:val="1"/>
          <w:iCs w:val="1"/>
          <w:color w:val="auto"/>
        </w:rPr>
        <w:t>International Business Risks</w:t>
      </w:r>
    </w:p>
    <w:p>
      <w:pPr>
        <w:spacing w:after="0" w:line="143"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Our Company transacts business in Australia and New Zealand and is subject to risks associated with changing foreign currency exchange rates. During the current year, the Australian dollar and New Zealand dollar strengthened against the U.S. dollar by 8.9% and 8.8%, respectively, compared to the prior year. Our international operations are subject to a variety of risks, including the following:</w:t>
      </w:r>
    </w:p>
    <w:p>
      <w:pPr>
        <w:spacing w:after="0" w:line="44" w:lineRule="exact"/>
        <w:rPr>
          <w:sz w:val="20"/>
          <w:szCs w:val="20"/>
          <w:color w:val="auto"/>
        </w:rPr>
      </w:pPr>
    </w:p>
    <w:p>
      <w:pPr>
        <w:ind w:left="520" w:right="100"/>
        <w:spacing w:after="0" w:line="242" w:lineRule="auto"/>
        <w:rPr>
          <w:sz w:val="20"/>
          <w:szCs w:val="20"/>
          <w:color w:val="auto"/>
        </w:rPr>
      </w:pPr>
      <w:r>
        <w:rPr>
          <w:rFonts w:ascii="Arial" w:cs="Arial" w:eastAsia="Arial" w:hAnsi="Arial"/>
          <w:sz w:val="14"/>
          <w:szCs w:val="14"/>
          <w:b w:val="1"/>
          <w:bCs w:val="1"/>
          <w:i w:val="1"/>
          <w:iCs w:val="1"/>
          <w:color w:val="auto"/>
        </w:rPr>
        <w:t>Currency Risk</w:t>
      </w:r>
      <w:r>
        <w:rPr>
          <w:rFonts w:ascii="Arial" w:cs="Arial" w:eastAsia="Arial" w:hAnsi="Arial"/>
          <w:sz w:val="14"/>
          <w:szCs w:val="14"/>
          <w:color w:val="auto"/>
        </w:rPr>
        <w:t>: while we report our earnings and net assets in U.S. dollars, substantial portions of our revenue and of our obligations are denominated in either Australian or New</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Zealand dollars. The value of these currencies can vary significantly compared to the U.S. dollar and compared to each other. We do not hedge the currency risk, but rather have relied upon the natural hedges that exist as a result of the fact that our film costs are typically fixed as a percentage of the box office, and our local operating costs and obligations are likewise typically denominated in local currencies. Set forth below is a chart of the exchange ratios between these three currencies since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1725295</wp:posOffset>
            </wp:positionH>
            <wp:positionV relativeFrom="paragraph">
              <wp:posOffset>90170</wp:posOffset>
            </wp:positionV>
            <wp:extent cx="3717290" cy="26365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17290" cy="2636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0"/>
        <w:spacing w:after="0" w:line="261" w:lineRule="auto"/>
        <w:rPr>
          <w:sz w:val="20"/>
          <w:szCs w:val="20"/>
          <w:color w:val="auto"/>
        </w:rPr>
      </w:pPr>
      <w:r>
        <w:rPr>
          <w:rFonts w:ascii="Arial" w:cs="Arial" w:eastAsia="Arial" w:hAnsi="Arial"/>
          <w:sz w:val="13"/>
          <w:szCs w:val="13"/>
          <w:color w:val="auto"/>
        </w:rPr>
        <w:t>In recent periods, we have repaid intercompany debt and used the proceeds to fund capital investment in the United States. Accordingly, our debt levels in Australia are higher than they would have been if funds had not been returned for such purposes. On a company wide basis, this means that a reduction in the relative strength of the U.S. dollar versus the Australian Dollar and/or the New Zealand dollar would effectively raise the overall cost of our borrowing and capital and make it more expensive to return funds from the United States to Australia and New Zealand. In 2021, we used a portion of the proceeds of certain asset monetizations to fund liquidity needs in the United States.</w:t>
      </w:r>
    </w:p>
    <w:p>
      <w:pPr>
        <w:spacing w:after="0" w:line="22" w:lineRule="exact"/>
        <w:rPr>
          <w:sz w:val="20"/>
          <w:szCs w:val="20"/>
          <w:color w:val="auto"/>
        </w:rPr>
      </w:pPr>
    </w:p>
    <w:p>
      <w:pPr>
        <w:ind w:left="520" w:right="60"/>
        <w:spacing w:after="0" w:line="313" w:lineRule="auto"/>
        <w:rPr>
          <w:sz w:val="20"/>
          <w:szCs w:val="20"/>
          <w:color w:val="auto"/>
        </w:rPr>
      </w:pPr>
      <w:r>
        <w:rPr>
          <w:rFonts w:ascii="Arial" w:cs="Arial" w:eastAsia="Arial" w:hAnsi="Arial"/>
          <w:sz w:val="13"/>
          <w:szCs w:val="13"/>
          <w:b w:val="1"/>
          <w:bCs w:val="1"/>
          <w:i w:val="1"/>
          <w:iCs w:val="1"/>
          <w:color w:val="auto"/>
        </w:rPr>
        <w:t>Risk of adverse government regulation</w:t>
      </w:r>
      <w:r>
        <w:rPr>
          <w:rFonts w:ascii="Arial" w:cs="Arial" w:eastAsia="Arial" w:hAnsi="Arial"/>
          <w:sz w:val="13"/>
          <w:szCs w:val="13"/>
          <w:color w:val="auto"/>
        </w:rPr>
        <w:t>: currently, we believe that relations between the United States, Australia, and New Zealand are good. However, no assurances can be given that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these relationships will continue, and that Australia and New Zealand will not in the future seek to regulate more highly the business done by U.S. companies in their countries.</w:t>
      </w:r>
    </w:p>
    <w:p>
      <w:pPr>
        <w:ind w:left="520" w:right="280"/>
        <w:spacing w:after="0" w:line="274" w:lineRule="auto"/>
        <w:rPr>
          <w:sz w:val="20"/>
          <w:szCs w:val="20"/>
          <w:color w:val="auto"/>
        </w:rPr>
      </w:pPr>
      <w:r>
        <w:rPr>
          <w:rFonts w:ascii="Arial" w:cs="Arial" w:eastAsia="Arial" w:hAnsi="Arial"/>
          <w:sz w:val="14"/>
          <w:szCs w:val="14"/>
          <w:b w:val="1"/>
          <w:bCs w:val="1"/>
          <w:i w:val="1"/>
          <w:iCs w:val="1"/>
          <w:color w:val="auto"/>
        </w:rPr>
        <w:t>Risk of adverse labor relations</w:t>
      </w:r>
      <w:r>
        <w:rPr>
          <w:rFonts w:ascii="Arial" w:cs="Arial" w:eastAsia="Arial" w:hAnsi="Arial"/>
          <w:sz w:val="14"/>
          <w:szCs w:val="14"/>
          <w:color w:val="auto"/>
        </w:rPr>
        <w:t>: deterioration in labor relations could lead to an increased cost of labor (including future government requirements with respect to pension liabilities,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disability insurance and health coverage, and vacations and leave).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422"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i w:val="1"/>
          <w:iCs w:val="1"/>
          <w:color w:val="auto"/>
        </w:rPr>
        <w:t>Trade disputes and geopolitical instability outside of the U.S. may adversely impact the U.S. and global economies.</w:t>
      </w:r>
    </w:p>
    <w:p>
      <w:pPr>
        <w:spacing w:after="0" w:line="143" w:lineRule="exact"/>
        <w:rPr>
          <w:sz w:val="20"/>
          <w:szCs w:val="20"/>
          <w:color w:val="auto"/>
        </w:rPr>
      </w:pPr>
    </w:p>
    <w:p>
      <w:pPr>
        <w:ind w:right="120"/>
        <w:spacing w:after="0" w:line="252" w:lineRule="auto"/>
        <w:rPr>
          <w:sz w:val="20"/>
          <w:szCs w:val="20"/>
          <w:color w:val="auto"/>
        </w:rPr>
      </w:pPr>
      <w:r>
        <w:rPr>
          <w:rFonts w:ascii="Arial" w:cs="Arial" w:eastAsia="Arial" w:hAnsi="Arial"/>
          <w:sz w:val="13"/>
          <w:szCs w:val="13"/>
          <w:color w:val="auto"/>
        </w:rPr>
        <w:t>In 2021, global growth weakened, trade tensions heightened, and several emerging markets experienced significant downturns as macroeconomic and geopolitical developments weighed on market sentiments. Governmental policies of developed economies, such as the U.S., have a substantial effect on emerging markets, and the consequences of a trade war between two developed countries, like that of the U.S. and China, could further contribute to the adverse economic and political conditions of emerging and other developed economies. Additionally, North Korea’s nuclear weapons capabilities, Chinese activities relative to the South China Sea, Taiwan, and Hong Kong, and the Russian invasion of Ukraine continue to be an ongoing security concern and worsening relations between the U.S. and North Korea, Russia and China continue to create a global security issue that may adversely affect international business and economic conditions. While it is difficult for us to predict the effect of such trade wars and heightened geopolitical and economic instability on our business, they could lead to currency devaluation, economic and political turmoil, market volatility, and a loss of consumer confidence in the broader U.S. economy.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Associated with Certain Discontinued Operations</w:t>
      </w:r>
    </w:p>
    <w:p>
      <w:pPr>
        <w:spacing w:after="0" w:line="143" w:lineRule="exact"/>
        <w:rPr>
          <w:sz w:val="20"/>
          <w:szCs w:val="20"/>
          <w:color w:val="auto"/>
        </w:rPr>
      </w:pPr>
    </w:p>
    <w:p>
      <w:pPr>
        <w:ind w:right="20"/>
        <w:spacing w:after="0" w:line="261" w:lineRule="auto"/>
        <w:rPr>
          <w:sz w:val="20"/>
          <w:szCs w:val="20"/>
          <w:color w:val="auto"/>
        </w:rPr>
      </w:pPr>
      <w:r>
        <w:rPr>
          <w:rFonts w:ascii="Arial" w:cs="Arial" w:eastAsia="Arial" w:hAnsi="Arial"/>
          <w:sz w:val="13"/>
          <w:szCs w:val="13"/>
          <w:color w:val="auto"/>
        </w:rPr>
        <w:t>Certain of our subsidiaries were previously in industrial businesses. As a consequence, properties that are currently owned or may have in the past been owned, by these subsidiaries may prove to have environmental issues. Where we have knowledge of such environmental issues and are in a position to make an assessment as to our exposure, we have established what we believe to be appropriate reserves, but we are exposed to the risk that currently unknown problems may be discovered. These subsidiaries are also exposed to potential claims related to exposure of former employees to coal dust, asbestos, and other materials now considered to be, or which in the future may be found to be, carcinogenic or otherwise injurious to health.</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Financial Structure and Borrowing Risk</w:t>
      </w:r>
    </w:p>
    <w:p>
      <w:pPr>
        <w:spacing w:after="0" w:line="147" w:lineRule="exact"/>
        <w:rPr>
          <w:sz w:val="20"/>
          <w:szCs w:val="20"/>
          <w:color w:val="auto"/>
        </w:rPr>
      </w:pPr>
    </w:p>
    <w:p>
      <w:pPr>
        <w:ind w:right="40"/>
        <w:spacing w:after="0" w:line="235" w:lineRule="auto"/>
        <w:rPr>
          <w:sz w:val="20"/>
          <w:szCs w:val="20"/>
          <w:color w:val="auto"/>
        </w:rPr>
      </w:pPr>
      <w:r>
        <w:rPr>
          <w:rFonts w:ascii="Arial" w:cs="Arial" w:eastAsia="Arial" w:hAnsi="Arial"/>
          <w:sz w:val="14"/>
          <w:szCs w:val="14"/>
          <w:b w:val="1"/>
          <w:bCs w:val="1"/>
          <w:i w:val="1"/>
          <w:iCs w:val="1"/>
          <w:color w:val="auto"/>
        </w:rPr>
        <w:t xml:space="preserve">Typically, we have negative working capital. </w:t>
      </w:r>
      <w:r>
        <w:rPr>
          <w:rFonts w:ascii="Arial" w:cs="Arial" w:eastAsia="Arial" w:hAnsi="Arial"/>
          <w:sz w:val="14"/>
          <w:szCs w:val="14"/>
          <w:color w:val="auto"/>
        </w:rPr>
        <w:t>As we invest our cash in new acquisitions and the development of our existing properties, we have negative working capital. This negative working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capital is typical in the cinema exhibition industry because our short-term liabilities are in part financing our long-term assets instead of long-term liabilities financing short-term assets, as is the case in other industries such as manufacturing and distribution. In addition, the new lease accounting standard requires us to include our operating lease liabilities on our consolidated balance sheet. See </w:t>
      </w:r>
      <w:r>
        <w:rPr>
          <w:rFonts w:ascii="Arial" w:cs="Arial" w:eastAsia="Arial" w:hAnsi="Arial"/>
          <w:sz w:val="14"/>
          <w:szCs w:val="14"/>
          <w:i w:val="1"/>
          <w:iCs w:val="1"/>
          <w:color w:val="auto"/>
        </w:rPr>
        <w:t>Part II, Item 8 – Financial Statements and Supplementary Data—Notes to Consolidated Financial Statements-- Note 2 - Summary of Significant Accounting Policies – Operating</w:t>
      </w:r>
      <w:r>
        <w:rPr>
          <w:rFonts w:ascii="Arial" w:cs="Arial" w:eastAsia="Arial" w:hAnsi="Arial"/>
          <w:sz w:val="14"/>
          <w:szCs w:val="14"/>
          <w:color w:val="auto"/>
        </w:rPr>
        <w:t xml:space="preserve"> </w:t>
      </w:r>
      <w:r>
        <w:rPr>
          <w:rFonts w:ascii="Arial" w:cs="Arial" w:eastAsia="Arial" w:hAnsi="Arial"/>
          <w:sz w:val="14"/>
          <w:szCs w:val="14"/>
          <w:i w:val="1"/>
          <w:iCs w:val="1"/>
          <w:color w:val="auto"/>
        </w:rPr>
        <w:t>Leases</w:t>
      </w:r>
      <w:r>
        <w:rPr>
          <w:rFonts w:ascii="Arial" w:cs="Arial" w:eastAsia="Arial" w:hAnsi="Arial"/>
          <w:sz w:val="14"/>
          <w:szCs w:val="14"/>
          <w:color w:val="auto"/>
        </w:rPr>
        <w:t>.</w:t>
      </w:r>
    </w:p>
    <w:p>
      <w:pPr>
        <w:spacing w:after="0" w:line="122" w:lineRule="exact"/>
        <w:rPr>
          <w:sz w:val="20"/>
          <w:szCs w:val="20"/>
          <w:color w:val="auto"/>
        </w:rPr>
      </w:pPr>
    </w:p>
    <w:p>
      <w:pPr>
        <w:spacing w:after="0" w:line="235" w:lineRule="auto"/>
        <w:rPr>
          <w:sz w:val="20"/>
          <w:szCs w:val="20"/>
          <w:color w:val="auto"/>
        </w:rPr>
      </w:pPr>
      <w:r>
        <w:rPr>
          <w:rFonts w:ascii="Arial" w:cs="Arial" w:eastAsia="Arial" w:hAnsi="Arial"/>
          <w:sz w:val="14"/>
          <w:szCs w:val="14"/>
          <w:b w:val="1"/>
          <w:bCs w:val="1"/>
          <w:i w:val="1"/>
          <w:iCs w:val="1"/>
          <w:color w:val="auto"/>
        </w:rPr>
        <w:t xml:space="preserve">We are subject to complex taxation, changes in tax rates, adoption of new U.S. or international tax legislation and disagreements with tax authorities that could adversely affect our business, financial condition or results of operations. </w:t>
      </w:r>
      <w:r>
        <w:rPr>
          <w:rFonts w:ascii="Arial" w:cs="Arial" w:eastAsia="Arial" w:hAnsi="Arial"/>
          <w:sz w:val="14"/>
          <w:szCs w:val="14"/>
          <w:color w:val="auto"/>
        </w:rPr>
        <w:t>We are subject to many different forms of taxation in both the U.S. and in foreign jurisdictions where we operate, such as the U.S. Tax Cuts and Jobs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Act signed into law in December 2017. The new laws are still evolving and require that we interpret the provisions of the law as we work to comply with them. The costs of compliance with these laws and regulations are high and are likely to increase in the future. Any failure on our part to comply with these laws and regulations can result in negative publicity and diversion of management’s time and effort and may subject us to significant liabilities and other penalties.</w:t>
      </w:r>
    </w:p>
    <w:p>
      <w:pPr>
        <w:spacing w:after="0" w:line="122" w:lineRule="exact"/>
        <w:rPr>
          <w:sz w:val="20"/>
          <w:szCs w:val="20"/>
          <w:color w:val="auto"/>
        </w:rPr>
      </w:pPr>
    </w:p>
    <w:p>
      <w:pPr>
        <w:jc w:val="both"/>
        <w:ind w:right="140"/>
        <w:spacing w:after="0" w:line="242" w:lineRule="auto"/>
        <w:rPr>
          <w:sz w:val="20"/>
          <w:szCs w:val="20"/>
          <w:color w:val="auto"/>
        </w:rPr>
      </w:pPr>
      <w:r>
        <w:rPr>
          <w:rFonts w:ascii="Arial" w:cs="Arial" w:eastAsia="Arial" w:hAnsi="Arial"/>
          <w:sz w:val="14"/>
          <w:szCs w:val="14"/>
          <w:b w:val="1"/>
          <w:bCs w:val="1"/>
          <w:i w:val="1"/>
          <w:iCs w:val="1"/>
          <w:color w:val="auto"/>
        </w:rPr>
        <w:t xml:space="preserve">We have substantial short- to medium-term debt. </w:t>
      </w:r>
      <w:r>
        <w:rPr>
          <w:rFonts w:ascii="Arial" w:cs="Arial" w:eastAsia="Arial" w:hAnsi="Arial"/>
          <w:sz w:val="14"/>
          <w:szCs w:val="14"/>
          <w:color w:val="auto"/>
        </w:rPr>
        <w:t>Generally speaking, we have historically financed our operations through relatively short-term debt. No assurances can be given that we will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be able to refinance this debt, or if we can, that the terms will be reasonable. However, as a counterbalance to this debt, we have certain unencumbered real property assets, which could be sold to pay debt or encumbered to assist in the refinancing of existing debt, if necessary.</w:t>
      </w:r>
    </w:p>
    <w:p>
      <w:pPr>
        <w:spacing w:after="0" w:line="120" w:lineRule="exact"/>
        <w:rPr>
          <w:sz w:val="20"/>
          <w:szCs w:val="20"/>
          <w:color w:val="auto"/>
        </w:rPr>
      </w:pPr>
    </w:p>
    <w:p>
      <w:pPr>
        <w:ind w:right="20"/>
        <w:spacing w:after="0" w:line="237" w:lineRule="auto"/>
        <w:rPr>
          <w:sz w:val="20"/>
          <w:szCs w:val="20"/>
          <w:color w:val="auto"/>
        </w:rPr>
      </w:pPr>
      <w:r>
        <w:rPr>
          <w:rFonts w:ascii="Arial" w:cs="Arial" w:eastAsia="Arial" w:hAnsi="Arial"/>
          <w:sz w:val="14"/>
          <w:szCs w:val="14"/>
          <w:b w:val="1"/>
          <w:bCs w:val="1"/>
          <w:i w:val="1"/>
          <w:iCs w:val="1"/>
          <w:color w:val="auto"/>
        </w:rPr>
        <w:t xml:space="preserve">We have substantial lease liabilities. </w:t>
      </w:r>
      <w:r>
        <w:rPr>
          <w:rFonts w:ascii="Arial" w:cs="Arial" w:eastAsia="Arial" w:hAnsi="Arial"/>
          <w:sz w:val="14"/>
          <w:szCs w:val="14"/>
          <w:color w:val="auto"/>
        </w:rPr>
        <w:t>Most of our cinemas operate in leased facilities. These leases typically have “cost of living” or other rent adjustment features and require that we operate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properties as cinemas. The COVID-19 pandemic, increased competition from internet, streaming and cable-based entertainment, and changes in film distribution have adversely affect the ability of our cinema operating subsidiaries to meet these rental obligations. Even if our cinema exhibition business returns to pre-Pandemic levels and thereafter remains relatively constant, cinema level cash flow will likely be adversely affected unless we can increase our revenue sufficiently to offset increases in our rental liabilities.</w:t>
      </w:r>
    </w:p>
    <w:p>
      <w:pPr>
        <w:spacing w:after="0" w:line="123" w:lineRule="exact"/>
        <w:rPr>
          <w:sz w:val="20"/>
          <w:szCs w:val="20"/>
          <w:color w:val="auto"/>
        </w:rPr>
      </w:pPr>
    </w:p>
    <w:p>
      <w:pPr>
        <w:ind w:right="40"/>
        <w:spacing w:after="0" w:line="246" w:lineRule="auto"/>
        <w:rPr>
          <w:sz w:val="20"/>
          <w:szCs w:val="20"/>
          <w:color w:val="auto"/>
        </w:rPr>
      </w:pPr>
      <w:r>
        <w:rPr>
          <w:rFonts w:ascii="Arial" w:cs="Arial" w:eastAsia="Arial" w:hAnsi="Arial"/>
          <w:sz w:val="13"/>
          <w:szCs w:val="13"/>
          <w:b w:val="1"/>
          <w:bCs w:val="1"/>
          <w:i w:val="1"/>
          <w:iCs w:val="1"/>
          <w:color w:val="auto"/>
        </w:rPr>
        <w:t>If our company suffers cybersecurity attacks, data security challenges or privacy incidents that result in security breaches, we could suffer a loss of sales, additional liability, reputational harm or other adverse consequences</w:t>
      </w:r>
      <w:r>
        <w:rPr>
          <w:rFonts w:ascii="Arial" w:cs="Arial" w:eastAsia="Arial" w:hAnsi="Arial"/>
          <w:sz w:val="13"/>
          <w:szCs w:val="13"/>
          <w:color w:val="auto"/>
        </w:rPr>
        <w:t>. The effective operation of our international businesses depends on our network infrastructure, computer systems, physical, virtual and/or cloud based,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software. Our information technology systems collect and process information provided by customers, employees and vendors. In addition, third-party vendors’ systems process ticketing for our theaters. These various information technology systems and the data stored within them are subject to penetration by cyber attackers. We utilize industry accepted security protocols to securely maintain and protect proprietary and confidential information. However, in spite of our best efforts, our information systems may fail to operate for a variety of technological or human reasons. An interruption or failure of our information technology systems and of those maintained by our third-party providers could adversely affect our business, liquidity or results of operations and result in increases in reputational risk, litigation or penalties. Furthermore, any such occurrence, if significant could require us to expend resources to remediate and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70" w:right="319" w:bottom="1440" w:gutter="0" w:footer="0" w:header="0"/>
        </w:sectPr>
      </w:pPr>
    </w:p>
    <w:bookmarkStart w:id="26" w:name="page27"/>
    <w:bookmarkEnd w:id="26"/>
    <w:p>
      <w:pPr>
        <w:ind w:right="420"/>
        <w:spacing w:after="0" w:line="259" w:lineRule="auto"/>
        <w:rPr>
          <w:sz w:val="20"/>
          <w:szCs w:val="20"/>
          <w:color w:val="auto"/>
        </w:rPr>
      </w:pPr>
      <w:r>
        <w:rPr>
          <w:rFonts w:ascii="Arial" w:cs="Arial" w:eastAsia="Arial" w:hAnsi="Arial"/>
          <w:sz w:val="14"/>
          <w:szCs w:val="14"/>
          <w:color w:val="auto"/>
        </w:rPr>
        <w:t>upgrade information technology systems. Since 2015, we have annually procured cybersecurity insurance to protect against cybersecurity risks; however, we cannot provide any assurance regarding the adequacy of such insurance coverage.</w:t>
      </w:r>
    </w:p>
    <w:p>
      <w:pPr>
        <w:spacing w:after="0" w:line="108"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b w:val="1"/>
          <w:bCs w:val="1"/>
          <w:i w:val="1"/>
          <w:iCs w:val="1"/>
          <w:color w:val="auto"/>
        </w:rPr>
        <w:t>Our stock is thinly traded</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stock is thinly traded, with an average daily volume in 2021 of only approximately 61,032 shares of Class A Stock. Our Class B Stock is very thinly traded with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even less volume. This can result in significant volatility, as demand by buyers and sellers can easily get out of balance.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Ownership and Management Structure, Corporate Governance, and Change of Control Risks</w:t>
      </w:r>
    </w:p>
    <w:p>
      <w:pPr>
        <w:spacing w:after="0" w:line="147" w:lineRule="exact"/>
        <w:rPr>
          <w:sz w:val="20"/>
          <w:szCs w:val="20"/>
          <w:color w:val="auto"/>
        </w:rPr>
      </w:pPr>
    </w:p>
    <w:p>
      <w:pPr>
        <w:spacing w:after="0" w:line="247" w:lineRule="auto"/>
        <w:rPr>
          <w:sz w:val="20"/>
          <w:szCs w:val="20"/>
          <w:color w:val="auto"/>
        </w:rPr>
      </w:pPr>
      <w:r>
        <w:rPr>
          <w:rFonts w:ascii="Arial" w:cs="Arial" w:eastAsia="Arial" w:hAnsi="Arial"/>
          <w:sz w:val="13"/>
          <w:szCs w:val="13"/>
          <w:b w:val="1"/>
          <w:bCs w:val="1"/>
          <w:i w:val="1"/>
          <w:iCs w:val="1"/>
          <w:color w:val="auto"/>
        </w:rPr>
        <w:t xml:space="preserve">Ongoing disputes among the heirs of James J. Cotter, Sr., over the past seven years have caused, and may continue to cause, uncertainty regarding the ongoing control of our Company by the Cotter family and have distracted and may continue to distract the time and attention of our officers and directors from our business and operations and may ultimately interfere with the effective management of the Company. </w:t>
      </w:r>
      <w:r>
        <w:rPr>
          <w:rFonts w:ascii="Arial" w:cs="Arial" w:eastAsia="Arial" w:hAnsi="Arial"/>
          <w:sz w:val="13"/>
          <w:szCs w:val="13"/>
          <w:color w:val="auto"/>
        </w:rPr>
        <w:t>Up until his death on September 13, 2014, James J. Cotter, Sr., the father of Ellen Cotter, James J. Cotter, Jr. and Margaret Cotter, was our controlling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stockholder, having the sole power to vote approximately 66.9% of the outstanding Class B Voting Common Stock (the “Class B Stock”) of our Company. Under applicable Nevada Law, a stockholder holding two-thirds or more of our Company’s Class B Stock has the power at any time, with or without cause, to remove any one or more directors (up to and including the entire board of directors) by written consent taken without a meeting of the stockholders. Over the past seven years, there have been a variety of disputes between Ellen Cotter and Margaret Cotter, on one side, and James J. Cotter, Jr., and/or his estate on the other side, as to the control and disposition of this Class B Stock. James Cotter, Jr., passed away on March 10, 2021. The ultimate impact of the passing of James J. Cotter, Jr., upon the currently pending disputes relating to the control of our Company is uncertain. However, our Company is advised that a settlement in principle (the “Settlement in Principle”) has been reached between the parties to these disputes (including with respect to the below described motions by the GAL (as defined below)), which would resolve matters amongst such parties, including, without limitation, matters pending before the Superior Court (as defined below) and the Court of Appeal of the State of California, Second Appellate District, Division Seven, as described in more detail below. The Settlement in Principle is subject to execution of definitive documentation, and because such matters involve minor beneficiaries, to the approval by the Superior Court. The Settlement in Principle is expected to result in the ongoing control of our Company by the immediate family of James J. Cotter, Sr., because the Settlement in Principle provides that Ellen Cotter and Margaret Cotter (in a capacity to be decided later) will acquire the shares of the Class B Stock originally designated by the terms of the Cotter Living Trust (as defined below) for the children of James J. Cotter, Jr., which if such Class B Stock could be, and were to be, distributed today would represent 674,332 shares of Class B Stock.</w:t>
      </w:r>
    </w:p>
    <w:p>
      <w:pPr>
        <w:spacing w:after="0" w:line="121"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Ellen Cotter and Margaret Cotter, in their individual capacities and as the Co-Executors of the Estate of James J. Cotter (the “Cotter Estate”) and as the Co-Trustees of the Living Trust established by the Declaration of Trust dated June 5, 2013, by James J. Cotter, Sr., as amended (the “Cotter Living Trust”) currently vote approximately 72% of the outstanding Class B stock. Of this approximately 67% of such Class B Stock is held by the Cotter Estate and the Cotter Living Trust, ultimately for distribution into a voting sub-trust (the “Cotter Voting Trust”) of the Cotter Living Trust. Margaret Cotter is the sole trustee of the Cotter Voting Trust. During his lifetime, James J. Cotter, Jr. in litigation (the “Trust Case”) brought in the California Superior Court for Los Angeles County (the “California Superior Court”), among other things, sought to have Ellen Cotter and Margaret Cotter removed as Trustees of the Cotter Living Trust, to have Margaret Cotter removed as the Trustee of the Cotter Voting Trust and to have the shares of Class B Stock held by the Cotter Estate, the Cotter Living Trust and/or the Cotter Voting Trust (and representing a controlling interest in our Company) sold. Ellen Cotter and Margaret Cotter have advised that they believe that this stock should be retained and held for as long as possible for the long-term benefit of grandchildren of James J. Cotter, Sr, as they believe is provided for in the document governing the Cotter Voting Trust and have opposed the efforts of James J. Cotter, Jr. to remove them as Trustees and to have this stock sold.</w:t>
      </w:r>
    </w:p>
    <w:p>
      <w:pPr>
        <w:spacing w:after="0" w:line="123" w:lineRule="exact"/>
        <w:rPr>
          <w:sz w:val="20"/>
          <w:szCs w:val="20"/>
          <w:color w:val="auto"/>
        </w:rPr>
      </w:pPr>
    </w:p>
    <w:p>
      <w:pPr>
        <w:spacing w:after="0" w:line="232" w:lineRule="auto"/>
        <w:rPr>
          <w:sz w:val="20"/>
          <w:szCs w:val="20"/>
          <w:color w:val="auto"/>
        </w:rPr>
      </w:pPr>
      <w:r>
        <w:rPr>
          <w:rFonts w:ascii="Arial" w:cs="Arial" w:eastAsia="Arial" w:hAnsi="Arial"/>
          <w:sz w:val="14"/>
          <w:szCs w:val="14"/>
          <w:color w:val="auto"/>
        </w:rPr>
        <w:t>Upon motion brought by James J. Cotter, Jr., in the Trust Case, the California Court appointed a guardian ad litem (the “GAL”) to represent the interests of these grandchildren (who consist of the children of Margaret Cotter and of James J. Cotter, Jr.). The GAL has motions pending (i) to divide the Cotter Voting Trust into separate trusts, one for the benefit of Margaret Cotter’s children and one for the benefit of James J. Cotter, Jr.’s children, (ii) in order to achieve diversification of the assets of these trusts, to sell the Class B Stock eventually to be held by these trusts, and (iii) to immediately retain a valuation expert to advise him as to value of the Class B Stock to be eventually held by the Cotter Voting Trust. These motions are opposed by Ellen Cotter and Margaret Cotter acting in their capacity as Executors and Trustees. A motion has also been brought by Margaret Cotter and Ellen Cotter, as Co-Trustees of the Cotter Living Trust, to disqualify the GAL on the basis that he cannot simultaneously represent the interests of Margaret Cotter and James J. Cotter’s, Jr’s, children as the interests of those children differ. That motion was denied by the California Superior Court and that order is currently subject to appeal.</w:t>
      </w:r>
    </w:p>
    <w:p>
      <w:pPr>
        <w:spacing w:after="0" w:line="125" w:lineRule="exact"/>
        <w:rPr>
          <w:sz w:val="20"/>
          <w:szCs w:val="20"/>
          <w:color w:val="auto"/>
        </w:rPr>
      </w:pPr>
    </w:p>
    <w:p>
      <w:pPr>
        <w:ind w:right="20"/>
        <w:spacing w:after="0" w:line="229" w:lineRule="auto"/>
        <w:rPr>
          <w:sz w:val="20"/>
          <w:szCs w:val="20"/>
          <w:color w:val="auto"/>
        </w:rPr>
      </w:pPr>
      <w:r>
        <w:rPr>
          <w:rFonts w:ascii="Arial" w:cs="Arial" w:eastAsia="Arial" w:hAnsi="Arial"/>
          <w:sz w:val="14"/>
          <w:szCs w:val="14"/>
          <w:color w:val="auto"/>
        </w:rPr>
        <w:t>As a consequence of the California Superior Court’s ruling in the Trust Case that the amendment to the trust document memorializing the Cotter Living Trust supported by James J. Cotter, Jr. was not valid and that the amendment supported by Ellen Cotter and Margaret Cotter was the controlling document, Ellen Cotter and Margaret Cotter, as Co-Trustees of the Cotter Living Trust, have brought a motion to enforce the no-contest clause of the Cotter Living Trust, which if successful would remove James J. Cotter, Jr and his descendants as beneficiaries of the Cotter Living Trust. It would also moot Mr. Cotter, Jr.’s motions (to the extent that they survive his passing), as he would be neither a trustee nor a beneficiary of the Cotter Living Trust. Mr. Cotter, Jr., has opposed the Co-</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4"/>
          <w:szCs w:val="14"/>
          <w:color w:val="auto"/>
        </w:rPr>
        <w:t>Trustees motion to enforce the no-contest clause and brought an Anti-SLAPP claim against the Co-Trustees. That Anti-SLAPP claim was denied by the California Superior Court, which denial is now on appeal.</w:t>
      </w:r>
    </w:p>
    <w:p>
      <w:pPr>
        <w:spacing w:after="0" w:line="108" w:lineRule="exact"/>
        <w:rPr>
          <w:sz w:val="20"/>
          <w:szCs w:val="20"/>
          <w:color w:val="auto"/>
        </w:rPr>
      </w:pPr>
    </w:p>
    <w:p>
      <w:pPr>
        <w:jc w:val="both"/>
        <w:ind w:right="20"/>
        <w:spacing w:after="0" w:line="235" w:lineRule="auto"/>
        <w:rPr>
          <w:sz w:val="20"/>
          <w:szCs w:val="20"/>
          <w:color w:val="auto"/>
        </w:rPr>
      </w:pPr>
      <w:r>
        <w:rPr>
          <w:rFonts w:ascii="Arial" w:cs="Arial" w:eastAsia="Arial" w:hAnsi="Arial"/>
          <w:sz w:val="14"/>
          <w:szCs w:val="14"/>
          <w:color w:val="auto"/>
        </w:rPr>
        <w:t>While our Company is not a party to the Trust Case, our Company has appeared in court, to protect (a) the business plan adopted by our Board of Directors and its determination that stockholder interests are best achieved by continuing with that business plan rather than selling our Company at this time and (b) in the event that the California Superior Court were to disregard the advice of our Board and order that a controlling interest in our Company be marketed or sold, that the interests of our Company and stockholders generally are protected in the context of any such change of control transaction. Our Company’s participation in the Trust Case since August 2017 has been overseen by a Special Independent Committee of the Board of Directors currently comprised of directors Doug McEachern and Judy Codding.</w:t>
      </w:r>
    </w:p>
    <w:p>
      <w:pPr>
        <w:spacing w:after="0" w:line="122"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We continue to believe that, whether or not a final determination is made to sell the voting shares, the very commencement of a process to sell a controlling interest in our Company would pose risks to our Company and our stockholders for a variety of reasons, including the resultant potential for: (i) distraction of management and key employees from focusing on the conduct of our business, including the implementation of our three year business strategy, (ii) incurrence of additional general and administrative costs due to the need to implement employee retention programs and to incur legal expenses of the type and at levels not typically required in the ordinary conduct of our Company’s business, (iii) interference with contractual relationships, negotiations and potential negotiations with third parties important to our Company’s business, including, without limitation, current and future lenders, tenants, landlords, suppliers and co-developers, (iv) increased difficulty in hiring and retaining high quality employees, and (v) exposure of our Company to potential litigation claims of the type which often accompany any extraordinary corporate transactions together with the expense, distraction and time loss that typically results from any such litigation. If a decision to sell a controlling interest is made by the California Superior Court, then there would be the additional risk that control might be sold to an unqualified purchaser who might exploit such control position in a manner not consistent with the best interests of our Company or stockholders generally.</w:t>
      </w:r>
    </w:p>
    <w:p>
      <w:pPr>
        <w:spacing w:after="0" w:line="123" w:lineRule="exact"/>
        <w:rPr>
          <w:sz w:val="20"/>
          <w:szCs w:val="20"/>
          <w:color w:val="auto"/>
        </w:rPr>
      </w:pPr>
    </w:p>
    <w:p>
      <w:pPr>
        <w:ind w:right="100"/>
        <w:spacing w:after="0" w:line="250" w:lineRule="auto"/>
        <w:rPr>
          <w:sz w:val="20"/>
          <w:szCs w:val="20"/>
          <w:color w:val="auto"/>
        </w:rPr>
      </w:pPr>
      <w:r>
        <w:rPr>
          <w:rFonts w:ascii="Arial" w:cs="Arial" w:eastAsia="Arial" w:hAnsi="Arial"/>
          <w:sz w:val="13"/>
          <w:szCs w:val="13"/>
          <w:color w:val="auto"/>
        </w:rPr>
        <w:t>The California Superior Court, in the Trust Case, has jurisdiction over a potentially controlling block of our voting power. Should the California Superior Court order the sale of the Class B Stock intended for transfer to the Cotter Voting Trust, and such sale be completed, then there may be a change of control of our Company (depending on, among other things, who the ultimate purchaser(s) of such shares might be, the number of shares of Class B Stock distributed by the Cotter Estate to the Cotter Living Trust, and whether the California Superior Court orders a sale of all or only some portion to the Class B Stock to be held by the Cotter Voting Trust). We cannot predict what reactions, including appeals or other steps, might be taken by Ellen Cotter and Margaret Cotter in their respective capacities as Trustees under the Cotter Living Trust, or in other capacities (for example, as Co-Executors of the Cotter Estate or as stockholders acting in their own right), should the California Superior Court make such an order. We do note, however, that Ellen Cotter and Margaret Cotter have publicly stated that, if there is to be a sale of controlling shares, they intend to be the purchasers of such shares. We also cannot predict what action our Board of Directors would take in response, if any. However, our Board of Directors has an obligation to act in the best interest of our Company, and in the event the California Superior Court were to order a sale of the Class B Stock held by the Cotter Living Trust, our Board of Directors would be obligated to consider the interests of our Company and to act accordingly.</w:t>
      </w:r>
    </w:p>
    <w:p>
      <w:pPr>
        <w:spacing w:after="0" w:line="116" w:lineRule="exact"/>
        <w:rPr>
          <w:sz w:val="20"/>
          <w:szCs w:val="20"/>
          <w:color w:val="auto"/>
        </w:rPr>
      </w:pPr>
    </w:p>
    <w:p>
      <w:pPr>
        <w:ind w:right="220"/>
        <w:spacing w:after="0" w:line="242" w:lineRule="auto"/>
        <w:rPr>
          <w:sz w:val="20"/>
          <w:szCs w:val="20"/>
          <w:color w:val="auto"/>
        </w:rPr>
      </w:pPr>
      <w:r>
        <w:rPr>
          <w:rFonts w:ascii="Arial" w:cs="Arial" w:eastAsia="Arial" w:hAnsi="Arial"/>
          <w:sz w:val="14"/>
          <w:szCs w:val="14"/>
          <w:color w:val="auto"/>
        </w:rPr>
        <w:t>As foreshadowed in the beginning of this discussion, the recent passing of James J. Cotter, Jr., has rendered uncertain the status of his petition to remove Ellen Cotter and Margaret Cotter as Trustees, as to the GAL’s ongoing status given the differing interests of the children of Margaret Cotter and the children of James J. Cotter, Jr., and the GAL’s motion to divide the Voting Trust and sell the shares of Class B Stock held by the Cotter Estate, the Cotter Living Trust and/or the Cotter Voting Trust.</w:t>
      </w:r>
    </w:p>
    <w:p>
      <w:pPr>
        <w:spacing w:after="0" w:line="120" w:lineRule="exact"/>
        <w:rPr>
          <w:sz w:val="20"/>
          <w:szCs w:val="20"/>
          <w:color w:val="auto"/>
        </w:rPr>
      </w:pPr>
    </w:p>
    <w:p>
      <w:pPr>
        <w:jc w:val="both"/>
        <w:ind w:right="160"/>
        <w:spacing w:after="0" w:line="237" w:lineRule="auto"/>
        <w:rPr>
          <w:sz w:val="20"/>
          <w:szCs w:val="20"/>
          <w:color w:val="auto"/>
        </w:rPr>
      </w:pPr>
      <w:r>
        <w:rPr>
          <w:rFonts w:ascii="Arial" w:cs="Arial" w:eastAsia="Arial" w:hAnsi="Arial"/>
          <w:sz w:val="14"/>
          <w:szCs w:val="14"/>
          <w:color w:val="auto"/>
        </w:rPr>
        <w:t>Furthermore, the uncertainty as to the future management and control of our Company could potentially adversely impact, among other things (i) our ability to develop and maintain favorable business relationships, (ii) our ability to attract and retain talented and experienced directors, executives and employees, (iii) the compensation and other terms needed to attract and retain such individuals (including, without limitation, the potential need for retentions agreements and other incentive arrangements typically put into place when control of a public company is uncertain), (iv) our ability to borrow money on favorable long-term terms, and (v) our ability to pursue and complete long-term business objectives.</w:t>
      </w:r>
    </w:p>
    <w:p>
      <w:pPr>
        <w:spacing w:after="0" w:line="123"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b w:val="1"/>
          <w:bCs w:val="1"/>
          <w:i w:val="1"/>
          <w:iCs w:val="1"/>
          <w:color w:val="auto"/>
        </w:rPr>
        <w:t xml:space="preserve">The interests of our controlling stockholder may conflict with your interests. </w:t>
      </w:r>
      <w:r>
        <w:rPr>
          <w:rFonts w:ascii="Arial" w:cs="Arial" w:eastAsia="Arial" w:hAnsi="Arial"/>
          <w:sz w:val="14"/>
          <w:szCs w:val="14"/>
          <w:color w:val="auto"/>
        </w:rPr>
        <w:t>As of December 31, 2021, the Cotter Estate and the Cotter Living Trust beneficially owned 66.9%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outstanding Class B Stock. At the present time, according to the books of the Company, Ellen Cotter and Margaret Cotter vote (including their direct holdings of 50,000 shares and 35,100 shares respectively of the Class B Stock), Class B Stock representing 71.9% of our outstanding Class B Stock. Our Class A Stock is non-voting, while our Class B Stock represents all of the voting power of our Company. For as long as the Cotter Estate, the Cotter Trust and/or the Cotter Voting Trust (referred to herein collectively as the “Cotter Entities”) continue to own shares of Class B Stock representing more than 50% of the voting power of our common stock, the Cotter Entities will be able to elect all of the members of our Board of Directors and determine the outcome of all matters submitted to a vote of our stockholders, including matters involving mergers or other business combinations, the acquisition or disposition of assets, the incurrence of indebtedness, the issuance of any additional shares of common stock or other equity securities and the payment of dividends on common stock. The Cotter Entities will also have the power to prevent or cause a change in control and could take other actions that might be desirable to the Cotter Entities but not to other stockholders. To the extent that the Cotter Entities hold more than two-thirds of our outstanding Class B Stock, the Cotter Entities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8" w:name="page29"/>
    <w:bookmarkEnd w:id="28"/>
    <w:p>
      <w:pPr>
        <w:ind w:right="320"/>
        <w:spacing w:after="0" w:line="259" w:lineRule="auto"/>
        <w:rPr>
          <w:sz w:val="20"/>
          <w:szCs w:val="20"/>
          <w:color w:val="auto"/>
        </w:rPr>
      </w:pPr>
      <w:r>
        <w:rPr>
          <w:rFonts w:ascii="Arial" w:cs="Arial" w:eastAsia="Arial" w:hAnsi="Arial"/>
          <w:sz w:val="14"/>
          <w:szCs w:val="14"/>
          <w:color w:val="auto"/>
        </w:rPr>
        <w:t>will have the power under Nevada law at any time, with or without cause, to remove any one or more Directors (up to and including the entire Board of Directors) by written consent taken without a meeting of the stockholders.</w:t>
      </w:r>
    </w:p>
    <w:p>
      <w:pPr>
        <w:spacing w:after="0" w:line="108"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 xml:space="preserve">In addition, the Cotter Estate or the Cotter Living Trust and/or their respective affiliates have controlling interests in companies in related and unrelated industries. In the future, we may participate in transactions with these companies (see </w:t>
      </w:r>
      <w:r>
        <w:rPr>
          <w:rFonts w:ascii="Arial" w:cs="Arial" w:eastAsia="Arial" w:hAnsi="Arial"/>
          <w:sz w:val="13"/>
          <w:szCs w:val="13"/>
          <w:i w:val="1"/>
          <w:iCs w:val="1"/>
          <w:color w:val="auto"/>
        </w:rPr>
        <w:t>Part II, Item 8 – Financial Statements and Supplementary Data—Notes to Consolidated Financial Statements-- Note 21 – Related Parties</w:t>
      </w:r>
      <w:r>
        <w:rPr>
          <w:rFonts w:ascii="Arial" w:cs="Arial" w:eastAsia="Arial" w:hAnsi="Arial"/>
          <w:sz w:val="13"/>
          <w:szCs w:val="13"/>
          <w:color w:val="auto"/>
        </w:rPr>
        <w:t>).</w:t>
      </w:r>
    </w:p>
    <w:p>
      <w:pPr>
        <w:spacing w:after="0" w:line="85"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While controlling stockholders may owe certain fiduciary duties to our Company and/or minority stockholders, these duties are limited. No assurances can be given that the Cotter Entities will not take action that, while beneficial to them and legally enforceable, would not necessarily be in the best interests of our Company and/or our stockholders generally.</w:t>
      </w:r>
    </w:p>
    <w:p>
      <w:pPr>
        <w:spacing w:after="0" w:line="109" w:lineRule="exact"/>
        <w:rPr>
          <w:sz w:val="20"/>
          <w:szCs w:val="20"/>
          <w:color w:val="auto"/>
        </w:rPr>
      </w:pPr>
    </w:p>
    <w:p>
      <w:pPr>
        <w:ind w:right="40"/>
        <w:spacing w:after="0" w:line="232" w:lineRule="auto"/>
        <w:rPr>
          <w:sz w:val="20"/>
          <w:szCs w:val="20"/>
          <w:color w:val="auto"/>
        </w:rPr>
      </w:pPr>
      <w:r>
        <w:rPr>
          <w:rFonts w:ascii="Arial" w:cs="Arial" w:eastAsia="Arial" w:hAnsi="Arial"/>
          <w:sz w:val="14"/>
          <w:szCs w:val="14"/>
          <w:b w:val="1"/>
          <w:bCs w:val="1"/>
          <w:i w:val="1"/>
          <w:iCs w:val="1"/>
          <w:color w:val="auto"/>
        </w:rPr>
        <w:t xml:space="preserve">We are a “Controlled Company” under applicable NASDAQ Regulations. As permitted by those Regulations, our Board has elected to opt-out of certain corporate governance rules applicable to non-controlled companies. </w:t>
      </w:r>
      <w:r>
        <w:rPr>
          <w:rFonts w:ascii="Arial" w:cs="Arial" w:eastAsia="Arial" w:hAnsi="Arial"/>
          <w:sz w:val="14"/>
          <w:szCs w:val="14"/>
          <w:color w:val="auto"/>
        </w:rPr>
        <w:t>Generally speaking, NASDAQ requires listed companies to meet certain minimum corporate governance provisions. However, a “Controlled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 such as we, may elect not to be governed by certain of these provisions. Our Board of Directors has elected to exempt our Company from requirements that (i) at least a majority of our Directors be independent and (ii) nominees to our Board of Directors be nominated by a committee comprised entirely of independent Directors or by a majority of our Company’s independent Directors. Notwithstanding the determination by our Board of Directors to opt-out of these NASDAQ requirements, we believe that a majority of our Board of Directors is nevertheless currently comprised of independent Directors. As a practical matter, subject to their fiduciary duties, Ellen Cotter and Margaret Cotter control the composition of our Board of Directors.</w:t>
      </w:r>
    </w:p>
    <w:p>
      <w:pPr>
        <w:spacing w:after="0" w:line="125" w:lineRule="exact"/>
        <w:rPr>
          <w:sz w:val="20"/>
          <w:szCs w:val="20"/>
          <w:color w:val="auto"/>
        </w:rPr>
      </w:pPr>
    </w:p>
    <w:p>
      <w:pPr>
        <w:spacing w:after="0" w:line="237" w:lineRule="auto"/>
        <w:rPr>
          <w:sz w:val="20"/>
          <w:szCs w:val="20"/>
          <w:color w:val="auto"/>
        </w:rPr>
      </w:pPr>
      <w:r>
        <w:rPr>
          <w:rFonts w:ascii="Arial" w:cs="Arial" w:eastAsia="Arial" w:hAnsi="Arial"/>
          <w:sz w:val="14"/>
          <w:szCs w:val="14"/>
          <w:b w:val="1"/>
          <w:bCs w:val="1"/>
          <w:i w:val="1"/>
          <w:iCs w:val="1"/>
          <w:color w:val="auto"/>
        </w:rPr>
        <w:t xml:space="preserve">We depend on key personnel for our current and future performance. </w:t>
      </w:r>
      <w:r>
        <w:rPr>
          <w:rFonts w:ascii="Arial" w:cs="Arial" w:eastAsia="Arial" w:hAnsi="Arial"/>
          <w:sz w:val="14"/>
          <w:szCs w:val="14"/>
          <w:color w:val="auto"/>
        </w:rPr>
        <w:t>Our current and future performance depends to a significant degree upon the continued contributions of our senior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management team and other key personnel. The loss or unavailability to us of any member of our senior management team or a key employee could significantly harm us. We cannot assure you that we would be able to locate or employ qualified replacements for senior management or key employees on acceptable terms. Due to the uncertainty of our control situation, the ongoing availability of these employees and our ability to replace them is uncertain.</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1B – Unresolved Staff Comments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160"/>
          </w:cols>
          <w:pgMar w:left="300" w:top="118" w:right="4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auto"/>
        </w:rPr>
        <w:t>Item 2 –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PROPERTY</w:t>
      </w:r>
    </w:p>
    <w:p>
      <w:pPr>
        <w:spacing w:after="0" w:line="147"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As of December 31, 2021, we own fee interests across our two operating segments in approximately 713,000 square feet of income-producing properties (including certain properties principally occupied by our cinemas)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Square Feet of</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42"/>
              <w:spacing w:after="0"/>
              <w:rPr>
                <w:sz w:val="20"/>
                <w:szCs w:val="20"/>
                <w:color w:val="auto"/>
              </w:rPr>
            </w:pPr>
            <w:r>
              <w:rPr>
                <w:rFonts w:ascii="Arial" w:cs="Arial" w:eastAsia="Arial" w:hAnsi="Arial"/>
                <w:sz w:val="12"/>
                <w:szCs w:val="12"/>
                <w:b w:val="1"/>
                <w:bCs w:val="1"/>
                <w:color w:val="auto"/>
                <w:w w:val="87"/>
              </w:rPr>
              <w:t>Net Book</w:t>
            </w: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Improvements</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62"/>
              <w:spacing w:after="0" w:line="148" w:lineRule="exact"/>
              <w:rPr>
                <w:sz w:val="20"/>
                <w:szCs w:val="20"/>
                <w:color w:val="auto"/>
              </w:rPr>
            </w:pPr>
            <w:r>
              <w:rPr>
                <w:rFonts w:ascii="Arial" w:cs="Arial" w:eastAsia="Arial" w:hAnsi="Arial"/>
                <w:sz w:val="11"/>
                <w:szCs w:val="11"/>
                <w:b w:val="1"/>
                <w:bCs w:val="1"/>
                <w:color w:val="auto"/>
                <w:w w:val="92"/>
              </w:rPr>
              <w:t>Value</w:t>
            </w:r>
            <w:r>
              <w:rPr>
                <w:rFonts w:ascii="Arial" w:cs="Arial" w:eastAsia="Arial" w:hAnsi="Arial"/>
                <w:sz w:val="17"/>
                <w:szCs w:val="17"/>
                <w:b w:val="1"/>
                <w:bCs w:val="1"/>
                <w:color w:val="auto"/>
                <w:w w:val="92"/>
                <w:vertAlign w:val="superscript"/>
              </w:rPr>
              <w:t>(3)</w:t>
            </w: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89"/>
              </w:rPr>
              <w:t>(rental/</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1"/>
              </w:rPr>
              <w:t>Percentage Leased</w:t>
            </w:r>
            <w:r>
              <w:rPr>
                <w:rFonts w:ascii="Arial" w:cs="Arial" w:eastAsia="Arial" w:hAnsi="Arial"/>
                <w:sz w:val="19"/>
                <w:szCs w:val="19"/>
                <w:b w:val="1"/>
                <w:bCs w:val="1"/>
                <w:color w:val="auto"/>
                <w:w w:val="81"/>
                <w:vertAlign w:val="superscript"/>
              </w:rPr>
              <w:t>(2)</w:t>
            </w:r>
          </w:p>
        </w:tc>
        <w:tc>
          <w:tcPr>
            <w:tcW w:w="200" w:type="dxa"/>
            <w:vAlign w:val="bottom"/>
          </w:tcPr>
          <w:p>
            <w:pPr>
              <w:spacing w:after="0"/>
              <w:rPr>
                <w:sz w:val="10"/>
                <w:szCs w:val="10"/>
                <w:color w:val="auto"/>
              </w:rPr>
            </w:pPr>
          </w:p>
        </w:tc>
        <w:tc>
          <w:tcPr>
            <w:tcW w:w="940" w:type="dxa"/>
            <w:vAlign w:val="bottom"/>
          </w:tcPr>
          <w:p>
            <w:pPr>
              <w:jc w:val="center"/>
              <w:ind w:right="122"/>
              <w:spacing w:after="0" w:line="120" w:lineRule="exact"/>
              <w:rPr>
                <w:sz w:val="20"/>
                <w:szCs w:val="20"/>
                <w:color w:val="auto"/>
              </w:rPr>
            </w:pPr>
            <w:r>
              <w:rPr>
                <w:rFonts w:ascii="Arial" w:cs="Arial" w:eastAsia="Arial" w:hAnsi="Arial"/>
                <w:sz w:val="12"/>
                <w:szCs w:val="12"/>
                <w:i w:val="1"/>
                <w:iCs w:val="1"/>
                <w:color w:val="auto"/>
                <w:w w:val="91"/>
              </w:rPr>
              <w:t>(US Dollars</w:t>
            </w:r>
          </w:p>
        </w:tc>
        <w:tc>
          <w:tcPr>
            <w:tcW w:w="100" w:type="dxa"/>
            <w:vAlign w:val="bottom"/>
          </w:tcPr>
          <w:p>
            <w:pPr>
              <w:spacing w:after="0"/>
              <w:rPr>
                <w:sz w:val="10"/>
                <w:szCs w:val="10"/>
                <w:color w:val="auto"/>
              </w:rPr>
            </w:pPr>
          </w:p>
        </w:tc>
        <w:tc>
          <w:tcPr>
            <w:tcW w:w="188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88"/>
              </w:rPr>
              <w:t>Reporting</w:t>
            </w:r>
          </w:p>
        </w:tc>
        <w:tc>
          <w:tcPr>
            <w:tcW w:w="3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160" w:type="dxa"/>
            <w:vAlign w:val="bottom"/>
            <w:gridSpan w:val="4"/>
          </w:tcPr>
          <w:p>
            <w:pPr>
              <w:spacing w:after="0"/>
              <w:rPr>
                <w:sz w:val="20"/>
                <w:szCs w:val="20"/>
                <w:color w:val="auto"/>
              </w:rPr>
            </w:pPr>
            <w:r>
              <w:rPr>
                <w:rFonts w:ascii="Arial" w:cs="Arial" w:eastAsia="Arial" w:hAnsi="Arial"/>
                <w:sz w:val="12"/>
                <w:szCs w:val="12"/>
                <w:b w:val="1"/>
                <w:bCs w:val="1"/>
                <w:color w:val="auto"/>
              </w:rPr>
              <w:t>Property</w:t>
            </w:r>
          </w:p>
        </w:tc>
        <w:tc>
          <w:tcPr>
            <w:tcW w:w="100" w:type="dxa"/>
            <w:vAlign w:val="bottom"/>
          </w:tcPr>
          <w:p>
            <w:pPr>
              <w:spacing w:after="0"/>
              <w:rPr>
                <w:sz w:val="12"/>
                <w:szCs w:val="12"/>
                <w:color w:val="auto"/>
              </w:rPr>
            </w:pPr>
          </w:p>
        </w:tc>
        <w:tc>
          <w:tcPr>
            <w:tcW w:w="1740" w:type="dxa"/>
            <w:vAlign w:val="bottom"/>
            <w:gridSpan w:val="2"/>
          </w:tcPr>
          <w:p>
            <w:pPr>
              <w:jc w:val="center"/>
              <w:ind w:right="120"/>
              <w:spacing w:after="0" w:line="141" w:lineRule="exact"/>
              <w:rPr>
                <w:sz w:val="20"/>
                <w:szCs w:val="20"/>
                <w:color w:val="auto"/>
              </w:rPr>
            </w:pPr>
            <w:r>
              <w:rPr>
                <w:rFonts w:ascii="Arial" w:cs="Arial" w:eastAsia="Arial" w:hAnsi="Arial"/>
                <w:sz w:val="10"/>
                <w:szCs w:val="10"/>
                <w:b w:val="1"/>
                <w:bCs w:val="1"/>
                <w:color w:val="auto"/>
              </w:rPr>
              <w:t>entertainment)</w:t>
            </w:r>
            <w:r>
              <w:rPr>
                <w:rFonts w:ascii="Arial" w:cs="Arial" w:eastAsia="Arial" w:hAnsi="Arial"/>
                <w:sz w:val="16"/>
                <w:szCs w:val="16"/>
                <w:b w:val="1"/>
                <w:bCs w:val="1"/>
                <w:color w:val="auto"/>
                <w:vertAlign w:val="superscript"/>
              </w:rPr>
              <w:t>(1)</w:t>
            </w: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42"/>
              <w:spacing w:after="0"/>
              <w:rPr>
                <w:sz w:val="20"/>
                <w:szCs w:val="20"/>
                <w:color w:val="auto"/>
              </w:rPr>
            </w:pPr>
            <w:r>
              <w:rPr>
                <w:rFonts w:ascii="Arial" w:cs="Arial" w:eastAsia="Arial" w:hAnsi="Arial"/>
                <w:sz w:val="12"/>
                <w:szCs w:val="12"/>
                <w:i w:val="1"/>
                <w:iCs w:val="1"/>
                <w:color w:val="auto"/>
                <w:w w:val="85"/>
              </w:rPr>
              <w:t>in thousands)</w:t>
            </w:r>
          </w:p>
        </w:tc>
        <w:tc>
          <w:tcPr>
            <w:tcW w:w="100" w:type="dxa"/>
            <w:vAlign w:val="bottom"/>
          </w:tcPr>
          <w:p>
            <w:pPr>
              <w:spacing w:after="0"/>
              <w:rPr>
                <w:sz w:val="12"/>
                <w:szCs w:val="12"/>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2"/>
              </w:rPr>
              <w:t>Segment</w:t>
            </w:r>
          </w:p>
        </w:tc>
        <w:tc>
          <w:tcPr>
            <w:tcW w:w="3000" w:type="dxa"/>
            <w:vAlign w:val="bottom"/>
          </w:tcPr>
          <w:p>
            <w:pPr>
              <w:spacing w:after="0"/>
              <w:rPr>
                <w:sz w:val="20"/>
                <w:szCs w:val="20"/>
                <w:color w:val="auto"/>
              </w:rPr>
            </w:pPr>
            <w:r>
              <w:rPr>
                <w:rFonts w:ascii="Arial" w:cs="Arial" w:eastAsia="Arial" w:hAnsi="Arial"/>
                <w:sz w:val="12"/>
                <w:szCs w:val="12"/>
                <w:b w:val="1"/>
                <w:bCs w:val="1"/>
                <w:color w:val="auto"/>
              </w:rPr>
              <w:t>Address</w:t>
            </w:r>
          </w:p>
        </w:tc>
        <w:tc>
          <w:tcPr>
            <w:tcW w:w="0" w:type="dxa"/>
            <w:vAlign w:val="bottom"/>
          </w:tcPr>
          <w:p>
            <w:pPr>
              <w:spacing w:after="0"/>
              <w:rPr>
                <w:sz w:val="1"/>
                <w:szCs w:val="1"/>
                <w:color w:val="auto"/>
              </w:rPr>
            </w:pPr>
          </w:p>
        </w:tc>
      </w:tr>
      <w:tr>
        <w:trPr>
          <w:trHeight w:val="141"/>
        </w:trPr>
        <w:tc>
          <w:tcPr>
            <w:tcW w:w="216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2"/>
                <w:szCs w:val="12"/>
                <w:b w:val="1"/>
                <w:bCs w:val="1"/>
                <w:color w:val="auto"/>
              </w:rPr>
              <w:t>United States</w:t>
            </w:r>
          </w:p>
        </w:tc>
        <w:tc>
          <w:tcPr>
            <w:tcW w:w="10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tcPr>
          <w:p>
            <w:pPr>
              <w:jc w:val="right"/>
              <w:spacing w:after="0"/>
              <w:rPr>
                <w:sz w:val="20"/>
                <w:szCs w:val="20"/>
                <w:color w:val="auto"/>
              </w:rPr>
            </w:pPr>
            <w:r>
              <w:rPr>
                <w:rFonts w:ascii="Arial" w:cs="Arial" w:eastAsia="Arial" w:hAnsi="Arial"/>
                <w:sz w:val="12"/>
                <w:szCs w:val="12"/>
                <w:color w:val="auto"/>
              </w:rPr>
              <w:t>1.</w:t>
            </w:r>
          </w:p>
        </w:tc>
        <w:tc>
          <w:tcPr>
            <w:tcW w:w="1980" w:type="dxa"/>
            <w:vAlign w:val="bottom"/>
            <w:gridSpan w:val="3"/>
          </w:tcPr>
          <w:p>
            <w:pPr>
              <w:ind w:left="20"/>
              <w:spacing w:after="0" w:line="206" w:lineRule="exact"/>
              <w:rPr>
                <w:sz w:val="20"/>
                <w:szCs w:val="20"/>
                <w:color w:val="auto"/>
              </w:rPr>
            </w:pPr>
            <w:r>
              <w:rPr>
                <w:rFonts w:ascii="Arial" w:cs="Arial" w:eastAsia="Arial" w:hAnsi="Arial"/>
                <w:sz w:val="12"/>
                <w:szCs w:val="12"/>
                <w:color w:val="auto"/>
              </w:rPr>
              <w:t>Cinemas 1,2,3</w:t>
            </w:r>
            <w:r>
              <w:rPr>
                <w:rFonts w:ascii="Arial" w:cs="Arial" w:eastAsia="Arial" w:hAnsi="Arial"/>
                <w:sz w:val="19"/>
                <w:szCs w:val="19"/>
                <w:color w:val="auto"/>
                <w:vertAlign w:val="superscript"/>
              </w:rPr>
              <w:t>(4)</w:t>
            </w:r>
          </w:p>
        </w:tc>
        <w:tc>
          <w:tcPr>
            <w:tcW w:w="172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 / 24,000</w:t>
            </w:r>
          </w:p>
        </w:tc>
        <w:tc>
          <w:tcPr>
            <w:tcW w:w="12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2"/>
                <w:szCs w:val="12"/>
                <w:i w:val="1"/>
                <w:iCs w:val="1"/>
                <w:color w:val="auto"/>
                <w:w w:val="83"/>
              </w:rPr>
              <w:t>n/a</w:t>
            </w:r>
          </w:p>
        </w:tc>
        <w:tc>
          <w:tcPr>
            <w:tcW w:w="20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23,954</w:t>
            </w:r>
          </w:p>
        </w:tc>
        <w:tc>
          <w:tcPr>
            <w:tcW w:w="100" w:type="dxa"/>
            <w:vAlign w:val="bottom"/>
          </w:tcPr>
          <w:p>
            <w:pPr>
              <w:spacing w:after="0"/>
              <w:rPr>
                <w:sz w:val="17"/>
                <w:szCs w:val="17"/>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Cinema Exhibition</w:t>
            </w:r>
          </w:p>
        </w:tc>
        <w:tc>
          <w:tcPr>
            <w:tcW w:w="3000" w:type="dxa"/>
            <w:vAlign w:val="bottom"/>
          </w:tcPr>
          <w:p>
            <w:pPr>
              <w:spacing w:after="0"/>
              <w:rPr>
                <w:sz w:val="20"/>
                <w:szCs w:val="20"/>
                <w:color w:val="auto"/>
              </w:rPr>
            </w:pPr>
            <w:r>
              <w:rPr>
                <w:rFonts w:ascii="Arial" w:cs="Arial" w:eastAsia="Arial" w:hAnsi="Arial"/>
                <w:sz w:val="12"/>
                <w:szCs w:val="12"/>
                <w:color w:val="auto"/>
              </w:rPr>
              <w:t>1003 Third Avenue, Manhattan, NY</w:t>
            </w:r>
          </w:p>
        </w:tc>
        <w:tc>
          <w:tcPr>
            <w:tcW w:w="0" w:type="dxa"/>
            <w:vAlign w:val="bottom"/>
          </w:tcPr>
          <w:p>
            <w:pPr>
              <w:spacing w:after="0"/>
              <w:rPr>
                <w:sz w:val="1"/>
                <w:szCs w:val="1"/>
                <w:color w:val="auto"/>
              </w:rPr>
            </w:pPr>
          </w:p>
        </w:tc>
      </w:tr>
      <w:tr>
        <w:trPr>
          <w:trHeight w:val="175"/>
        </w:trPr>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9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Culver City Office</w:t>
            </w:r>
          </w:p>
        </w:tc>
        <w:tc>
          <w:tcPr>
            <w:tcW w:w="172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6"/>
              </w:rPr>
              <w:t>25,000 / 0</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4"/>
              </w:rPr>
              <w:t>100%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12,416</w:t>
            </w:r>
          </w:p>
        </w:tc>
        <w:tc>
          <w:tcPr>
            <w:tcW w:w="10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3"/>
              </w:rPr>
              <w:t>Real Estate</w:t>
            </w:r>
          </w:p>
        </w:tc>
        <w:tc>
          <w:tcPr>
            <w:tcW w:w="3000" w:type="dxa"/>
            <w:vAlign w:val="bottom"/>
            <w:shd w:val="clear" w:color="auto" w:fill="CCEEFF"/>
          </w:tcPr>
          <w:p>
            <w:pPr>
              <w:spacing w:after="0"/>
              <w:rPr>
                <w:sz w:val="20"/>
                <w:szCs w:val="20"/>
                <w:color w:val="auto"/>
              </w:rPr>
            </w:pPr>
            <w:r>
              <w:rPr>
                <w:rFonts w:ascii="Arial" w:cs="Arial" w:eastAsia="Arial" w:hAnsi="Arial"/>
                <w:sz w:val="12"/>
                <w:szCs w:val="12"/>
                <w:color w:val="auto"/>
              </w:rPr>
              <w:t>5995 Sepulveda Boulevard, Culver City, CA</w:t>
            </w:r>
          </w:p>
        </w:tc>
        <w:tc>
          <w:tcPr>
            <w:tcW w:w="0" w:type="dxa"/>
            <w:vAlign w:val="bottom"/>
          </w:tcPr>
          <w:p>
            <w:pPr>
              <w:spacing w:after="0"/>
              <w:rPr>
                <w:sz w:val="1"/>
                <w:szCs w:val="1"/>
                <w:color w:val="auto"/>
              </w:rPr>
            </w:pPr>
          </w:p>
        </w:tc>
      </w:tr>
      <w:tr>
        <w:trPr>
          <w:trHeight w:val="135"/>
        </w:trPr>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6"/>
              </w:rPr>
              <w:t>including a 72-space parking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5"/>
              </w:rPr>
              <w:t>structure</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80" w:type="dxa"/>
            <w:vAlign w:val="bottom"/>
          </w:tcPr>
          <w:p>
            <w:pPr>
              <w:jc w:val="right"/>
              <w:spacing w:after="0"/>
              <w:rPr>
                <w:sz w:val="20"/>
                <w:szCs w:val="20"/>
                <w:color w:val="auto"/>
              </w:rPr>
            </w:pPr>
            <w:r>
              <w:rPr>
                <w:rFonts w:ascii="Arial" w:cs="Arial" w:eastAsia="Arial" w:hAnsi="Arial"/>
                <w:sz w:val="12"/>
                <w:szCs w:val="12"/>
                <w:color w:val="auto"/>
              </w:rPr>
              <w:t>3.</w:t>
            </w:r>
          </w:p>
        </w:tc>
        <w:tc>
          <w:tcPr>
            <w:tcW w:w="1980" w:type="dxa"/>
            <w:vAlign w:val="bottom"/>
            <w:gridSpan w:val="3"/>
          </w:tcPr>
          <w:p>
            <w:pPr>
              <w:ind w:left="20"/>
              <w:spacing w:after="0"/>
              <w:rPr>
                <w:sz w:val="20"/>
                <w:szCs w:val="20"/>
                <w:color w:val="auto"/>
              </w:rPr>
            </w:pPr>
            <w:r>
              <w:rPr>
                <w:rFonts w:ascii="Arial" w:cs="Arial" w:eastAsia="Arial" w:hAnsi="Arial"/>
                <w:sz w:val="12"/>
                <w:szCs w:val="12"/>
                <w:color w:val="auto"/>
              </w:rPr>
              <w:t>Minetta Lane Theatre</w:t>
            </w:r>
          </w:p>
        </w:tc>
        <w:tc>
          <w:tcPr>
            <w:tcW w:w="1720" w:type="dxa"/>
            <w:vAlign w:val="bottom"/>
            <w:gridSpan w:val="2"/>
          </w:tcPr>
          <w:p>
            <w:pPr>
              <w:jc w:val="center"/>
              <w:ind w:left="62"/>
              <w:spacing w:after="0"/>
              <w:rPr>
                <w:sz w:val="20"/>
                <w:szCs w:val="20"/>
                <w:color w:val="auto"/>
              </w:rPr>
            </w:pPr>
            <w:r>
              <w:rPr>
                <w:rFonts w:ascii="Arial" w:cs="Arial" w:eastAsia="Arial" w:hAnsi="Arial"/>
                <w:sz w:val="12"/>
                <w:szCs w:val="12"/>
                <w:color w:val="auto"/>
                <w:w w:val="85"/>
              </w:rPr>
              <w:t>0 / 9,000</w:t>
            </w:r>
          </w:p>
        </w:tc>
        <w:tc>
          <w:tcPr>
            <w:tcW w:w="12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2"/>
                <w:szCs w:val="12"/>
                <w:i w:val="1"/>
                <w:iCs w:val="1"/>
                <w:color w:val="auto"/>
                <w:w w:val="83"/>
              </w:rPr>
              <w:t>n/a</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2,274</w:t>
            </w:r>
          </w:p>
        </w:tc>
        <w:tc>
          <w:tcPr>
            <w:tcW w:w="100" w:type="dxa"/>
            <w:vAlign w:val="bottom"/>
          </w:tcPr>
          <w:p>
            <w:pPr>
              <w:spacing w:after="0"/>
              <w:rPr>
                <w:sz w:val="15"/>
                <w:szCs w:val="15"/>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2"/>
                <w:szCs w:val="12"/>
                <w:color w:val="auto"/>
                <w:w w:val="83"/>
              </w:rPr>
              <w:t>Real Estate</w:t>
            </w:r>
          </w:p>
        </w:tc>
        <w:tc>
          <w:tcPr>
            <w:tcW w:w="3000" w:type="dxa"/>
            <w:vAlign w:val="bottom"/>
          </w:tcPr>
          <w:p>
            <w:pPr>
              <w:spacing w:after="0"/>
              <w:rPr>
                <w:sz w:val="20"/>
                <w:szCs w:val="20"/>
                <w:color w:val="auto"/>
              </w:rPr>
            </w:pPr>
            <w:r>
              <w:rPr>
                <w:rFonts w:ascii="Arial" w:cs="Arial" w:eastAsia="Arial" w:hAnsi="Arial"/>
                <w:sz w:val="12"/>
                <w:szCs w:val="12"/>
                <w:color w:val="auto"/>
              </w:rPr>
              <w:t>18 Minetta Lane, Manhattan, NY</w:t>
            </w:r>
          </w:p>
        </w:tc>
        <w:tc>
          <w:tcPr>
            <w:tcW w:w="0" w:type="dxa"/>
            <w:vAlign w:val="bottom"/>
          </w:tcPr>
          <w:p>
            <w:pPr>
              <w:spacing w:after="0"/>
              <w:rPr>
                <w:sz w:val="1"/>
                <w:szCs w:val="1"/>
                <w:color w:val="auto"/>
              </w:rPr>
            </w:pPr>
          </w:p>
        </w:tc>
      </w:tr>
      <w:tr>
        <w:trPr>
          <w:trHeight w:val="31"/>
        </w:trPr>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Orpheum Theatre</w:t>
            </w:r>
          </w:p>
        </w:tc>
        <w:tc>
          <w:tcPr>
            <w:tcW w:w="1720" w:type="dxa"/>
            <w:vAlign w:val="bottom"/>
            <w:tcBorders>
              <w:bottom w:val="single" w:sz="8" w:color="CCEEFF"/>
            </w:tcBorders>
            <w:gridSpan w:val="2"/>
            <w:shd w:val="clear" w:color="auto" w:fill="CCEEFF"/>
          </w:tcPr>
          <w:p>
            <w:pPr>
              <w:jc w:val="center"/>
              <w:ind w:left="62"/>
              <w:spacing w:after="0"/>
              <w:rPr>
                <w:sz w:val="20"/>
                <w:szCs w:val="20"/>
                <w:color w:val="auto"/>
              </w:rPr>
            </w:pPr>
            <w:r>
              <w:rPr>
                <w:rFonts w:ascii="Arial" w:cs="Arial" w:eastAsia="Arial" w:hAnsi="Arial"/>
                <w:sz w:val="12"/>
                <w:szCs w:val="12"/>
                <w:color w:val="auto"/>
                <w:w w:val="85"/>
              </w:rPr>
              <w:t>0 / 5,000</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2"/>
                <w:szCs w:val="12"/>
                <w:i w:val="1"/>
                <w:iCs w:val="1"/>
                <w:color w:val="auto"/>
                <w:w w:val="83"/>
              </w:rPr>
              <w:t>n/a</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1,331</w:t>
            </w:r>
          </w:p>
        </w:tc>
        <w:tc>
          <w:tcPr>
            <w:tcW w:w="10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3"/>
              </w:rPr>
              <w:t>Real Estate</w:t>
            </w:r>
          </w:p>
        </w:tc>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126 2nd Avenue, Manhattan, NY</w:t>
            </w:r>
          </w:p>
        </w:tc>
        <w:tc>
          <w:tcPr>
            <w:tcW w:w="0" w:type="dxa"/>
            <w:vAlign w:val="bottom"/>
          </w:tcPr>
          <w:p>
            <w:pPr>
              <w:spacing w:after="0"/>
              <w:rPr>
                <w:sz w:val="1"/>
                <w:szCs w:val="1"/>
                <w:color w:val="auto"/>
              </w:rPr>
            </w:pPr>
          </w:p>
        </w:tc>
      </w:tr>
      <w:tr>
        <w:trPr>
          <w:trHeight w:val="175"/>
        </w:trPr>
        <w:tc>
          <w:tcPr>
            <w:tcW w:w="180" w:type="dxa"/>
            <w:vAlign w:val="bottom"/>
          </w:tcPr>
          <w:p>
            <w:pPr>
              <w:jc w:val="right"/>
              <w:spacing w:after="0"/>
              <w:rPr>
                <w:sz w:val="20"/>
                <w:szCs w:val="20"/>
                <w:color w:val="auto"/>
              </w:rPr>
            </w:pPr>
            <w:r>
              <w:rPr>
                <w:rFonts w:ascii="Arial" w:cs="Arial" w:eastAsia="Arial" w:hAnsi="Arial"/>
                <w:sz w:val="12"/>
                <w:szCs w:val="12"/>
                <w:color w:val="auto"/>
              </w:rPr>
              <w:t>5.</w:t>
            </w:r>
          </w:p>
        </w:tc>
        <w:tc>
          <w:tcPr>
            <w:tcW w:w="1980" w:type="dxa"/>
            <w:vAlign w:val="bottom"/>
            <w:gridSpan w:val="3"/>
          </w:tcPr>
          <w:p>
            <w:pPr>
              <w:ind w:left="20"/>
              <w:spacing w:after="0"/>
              <w:rPr>
                <w:sz w:val="20"/>
                <w:szCs w:val="20"/>
                <w:color w:val="auto"/>
              </w:rPr>
            </w:pPr>
            <w:r>
              <w:rPr>
                <w:rFonts w:ascii="Arial" w:cs="Arial" w:eastAsia="Arial" w:hAnsi="Arial"/>
                <w:sz w:val="12"/>
                <w:szCs w:val="12"/>
                <w:color w:val="auto"/>
              </w:rPr>
              <w:t>44 Union Square</w:t>
            </w:r>
          </w:p>
        </w:tc>
        <w:tc>
          <w:tcPr>
            <w:tcW w:w="172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73,000 / 0</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96,102</w:t>
            </w:r>
          </w:p>
        </w:tc>
        <w:tc>
          <w:tcPr>
            <w:tcW w:w="100" w:type="dxa"/>
            <w:vAlign w:val="bottom"/>
          </w:tcPr>
          <w:p>
            <w:pPr>
              <w:spacing w:after="0"/>
              <w:rPr>
                <w:sz w:val="15"/>
                <w:szCs w:val="15"/>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2"/>
                <w:szCs w:val="12"/>
                <w:color w:val="auto"/>
                <w:w w:val="83"/>
              </w:rPr>
              <w:t>Real Estate</w:t>
            </w:r>
          </w:p>
        </w:tc>
        <w:tc>
          <w:tcPr>
            <w:tcW w:w="3000" w:type="dxa"/>
            <w:vAlign w:val="bottom"/>
          </w:tcPr>
          <w:p>
            <w:pPr>
              <w:spacing w:after="0"/>
              <w:rPr>
                <w:sz w:val="20"/>
                <w:szCs w:val="20"/>
                <w:color w:val="auto"/>
              </w:rPr>
            </w:pPr>
            <w:r>
              <w:rPr>
                <w:rFonts w:ascii="Arial" w:cs="Arial" w:eastAsia="Arial" w:hAnsi="Arial"/>
                <w:sz w:val="12"/>
                <w:szCs w:val="12"/>
                <w:color w:val="auto"/>
              </w:rPr>
              <w:t>44 Union Square E, New York, NY 10003</w:t>
            </w:r>
          </w:p>
        </w:tc>
        <w:tc>
          <w:tcPr>
            <w:tcW w:w="0" w:type="dxa"/>
            <w:vAlign w:val="bottom"/>
          </w:tcPr>
          <w:p>
            <w:pPr>
              <w:spacing w:after="0"/>
              <w:rPr>
                <w:sz w:val="1"/>
                <w:szCs w:val="1"/>
                <w:color w:val="auto"/>
              </w:rPr>
            </w:pPr>
          </w:p>
        </w:tc>
      </w:tr>
      <w:tr>
        <w:trPr>
          <w:trHeight w:val="31"/>
        </w:trPr>
        <w:tc>
          <w:tcPr>
            <w:tcW w:w="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160" w:type="dxa"/>
            <w:vAlign w:val="bottom"/>
            <w:gridSpan w:val="4"/>
            <w:shd w:val="clear" w:color="auto" w:fill="CCEEFF"/>
          </w:tcPr>
          <w:p>
            <w:pPr>
              <w:spacing w:after="0"/>
              <w:rPr>
                <w:sz w:val="20"/>
                <w:szCs w:val="20"/>
                <w:color w:val="auto"/>
              </w:rPr>
            </w:pPr>
            <w:r>
              <w:rPr>
                <w:rFonts w:ascii="Arial" w:cs="Arial" w:eastAsia="Arial" w:hAnsi="Arial"/>
                <w:sz w:val="12"/>
                <w:szCs w:val="12"/>
                <w:b w:val="1"/>
                <w:bCs w:val="1"/>
                <w:color w:val="auto"/>
              </w:rPr>
              <w:t>Australia</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8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80" w:type="dxa"/>
            <w:vAlign w:val="bottom"/>
          </w:tcPr>
          <w:p>
            <w:pPr>
              <w:jc w:val="right"/>
              <w:spacing w:after="0"/>
              <w:rPr>
                <w:sz w:val="20"/>
                <w:szCs w:val="20"/>
                <w:color w:val="auto"/>
              </w:rPr>
            </w:pPr>
            <w:r>
              <w:rPr>
                <w:rFonts w:ascii="Arial" w:cs="Arial" w:eastAsia="Arial" w:hAnsi="Arial"/>
                <w:sz w:val="12"/>
                <w:szCs w:val="12"/>
                <w:color w:val="auto"/>
              </w:rPr>
              <w:t>1.</w:t>
            </w:r>
          </w:p>
        </w:tc>
        <w:tc>
          <w:tcPr>
            <w:tcW w:w="1980" w:type="dxa"/>
            <w:vAlign w:val="bottom"/>
            <w:gridSpan w:val="3"/>
          </w:tcPr>
          <w:p>
            <w:pPr>
              <w:ind w:left="20"/>
              <w:spacing w:after="0"/>
              <w:rPr>
                <w:sz w:val="20"/>
                <w:szCs w:val="20"/>
                <w:color w:val="auto"/>
              </w:rPr>
            </w:pPr>
            <w:r>
              <w:rPr>
                <w:rFonts w:ascii="Arial" w:cs="Arial" w:eastAsia="Arial" w:hAnsi="Arial"/>
                <w:sz w:val="12"/>
                <w:szCs w:val="12"/>
                <w:color w:val="auto"/>
              </w:rPr>
              <w:t>Newmarket Village</w:t>
            </w:r>
          </w:p>
        </w:tc>
        <w:tc>
          <w:tcPr>
            <w:tcW w:w="172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102,000 / 42,000</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2"/>
                <w:szCs w:val="12"/>
                <w:color w:val="auto"/>
                <w:w w:val="91"/>
              </w:rPr>
              <w:t>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44,707</w:t>
            </w:r>
          </w:p>
        </w:tc>
        <w:tc>
          <w:tcPr>
            <w:tcW w:w="100" w:type="dxa"/>
            <w:vAlign w:val="bottom"/>
          </w:tcPr>
          <w:p>
            <w:pPr>
              <w:spacing w:after="0"/>
              <w:rPr>
                <w:sz w:val="15"/>
                <w:szCs w:val="15"/>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2"/>
                <w:szCs w:val="12"/>
                <w:color w:val="auto"/>
                <w:w w:val="90"/>
              </w:rPr>
              <w:t>Cinema Exhibition /</w:t>
            </w:r>
          </w:p>
        </w:tc>
        <w:tc>
          <w:tcPr>
            <w:tcW w:w="3000" w:type="dxa"/>
            <w:vAlign w:val="bottom"/>
          </w:tcPr>
          <w:p>
            <w:pPr>
              <w:spacing w:after="0"/>
              <w:rPr>
                <w:sz w:val="20"/>
                <w:szCs w:val="20"/>
                <w:color w:val="auto"/>
              </w:rPr>
            </w:pPr>
            <w:r>
              <w:rPr>
                <w:rFonts w:ascii="Arial" w:cs="Arial" w:eastAsia="Arial" w:hAnsi="Arial"/>
                <w:sz w:val="12"/>
                <w:szCs w:val="12"/>
                <w:color w:val="auto"/>
              </w:rPr>
              <w:t>400 Newmarket Road, Newmarket, QLD</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2"/>
                <w:szCs w:val="12"/>
                <w:color w:val="auto"/>
                <w:w w:val="84"/>
              </w:rPr>
              <w:t>plus 588 parking spaces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2"/>
                <w:szCs w:val="12"/>
                <w:color w:val="auto"/>
                <w:w w:val="83"/>
              </w:rPr>
              <w:t>Real Estate</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Newmarket Office</w:t>
            </w:r>
          </w:p>
        </w:tc>
        <w:tc>
          <w:tcPr>
            <w:tcW w:w="172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5"/>
              </w:rPr>
              <w:t>21,000 / 1,000</w:t>
            </w: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1"/>
              </w:rPr>
              <w:t>72%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5,541</w:t>
            </w:r>
          </w:p>
        </w:tc>
        <w:tc>
          <w:tcPr>
            <w:tcW w:w="10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3"/>
              </w:rPr>
              <w:t>Real Estate</w:t>
            </w:r>
          </w:p>
        </w:tc>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16-20 Edmondstone Street, Newmarket, QLD</w:t>
            </w:r>
          </w:p>
        </w:tc>
        <w:tc>
          <w:tcPr>
            <w:tcW w:w="0" w:type="dxa"/>
            <w:vAlign w:val="bottom"/>
          </w:tcPr>
          <w:p>
            <w:pPr>
              <w:spacing w:after="0"/>
              <w:rPr>
                <w:sz w:val="1"/>
                <w:szCs w:val="1"/>
                <w:color w:val="auto"/>
              </w:rPr>
            </w:pPr>
          </w:p>
        </w:tc>
      </w:tr>
      <w:tr>
        <w:trPr>
          <w:trHeight w:val="104"/>
        </w:trPr>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1980" w:type="dxa"/>
            <w:vAlign w:val="bottom"/>
            <w:gridSpan w:val="3"/>
            <w:vMerge w:val="restart"/>
          </w:tcPr>
          <w:p>
            <w:pPr>
              <w:ind w:left="20"/>
              <w:spacing w:after="0" w:line="217" w:lineRule="exact"/>
              <w:rPr>
                <w:sz w:val="20"/>
                <w:szCs w:val="20"/>
                <w:color w:val="auto"/>
              </w:rPr>
            </w:pPr>
            <w:r>
              <w:rPr>
                <w:rFonts w:ascii="Arial" w:cs="Arial" w:eastAsia="Arial" w:hAnsi="Arial"/>
                <w:sz w:val="12"/>
                <w:szCs w:val="12"/>
                <w:color w:val="auto"/>
              </w:rPr>
              <w:t>Cannon Park</w:t>
            </w:r>
            <w:r>
              <w:rPr>
                <w:rFonts w:ascii="Arial" w:cs="Arial" w:eastAsia="Arial" w:hAnsi="Arial"/>
                <w:sz w:val="19"/>
                <w:szCs w:val="19"/>
                <w:color w:val="auto"/>
                <w:vertAlign w:val="superscript"/>
              </w:rPr>
              <w:t>(5)</w:t>
            </w:r>
          </w:p>
        </w:tc>
        <w:tc>
          <w:tcPr>
            <w:tcW w:w="1720" w:type="dxa"/>
            <w:vAlign w:val="bottom"/>
            <w:gridSpan w:val="2"/>
            <w:vMerge w:val="restart"/>
          </w:tcPr>
          <w:p>
            <w:pPr>
              <w:jc w:val="center"/>
              <w:ind w:left="42"/>
              <w:spacing w:after="0"/>
              <w:rPr>
                <w:sz w:val="20"/>
                <w:szCs w:val="20"/>
                <w:color w:val="auto"/>
              </w:rPr>
            </w:pPr>
            <w:r>
              <w:rPr>
                <w:rFonts w:ascii="Arial" w:cs="Arial" w:eastAsia="Arial" w:hAnsi="Arial"/>
                <w:sz w:val="12"/>
                <w:szCs w:val="12"/>
                <w:color w:val="auto"/>
                <w:w w:val="86"/>
              </w:rPr>
              <w:t>105,000 / 28,000</w:t>
            </w:r>
          </w:p>
        </w:tc>
        <w:tc>
          <w:tcPr>
            <w:tcW w:w="120" w:type="dxa"/>
            <w:vAlign w:val="bottom"/>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Arial" w:cs="Arial" w:eastAsia="Arial" w:hAnsi="Arial"/>
                <w:sz w:val="12"/>
                <w:szCs w:val="12"/>
                <w:color w:val="auto"/>
                <w:w w:val="91"/>
              </w:rPr>
              <w:t>87%</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20,771</w:t>
            </w:r>
          </w:p>
        </w:tc>
        <w:tc>
          <w:tcPr>
            <w:tcW w:w="100" w:type="dxa"/>
            <w:vAlign w:val="bottom"/>
          </w:tcPr>
          <w:p>
            <w:pPr>
              <w:spacing w:after="0"/>
              <w:rPr>
                <w:sz w:val="9"/>
                <w:szCs w:val="9"/>
                <w:color w:val="auto"/>
              </w:rPr>
            </w:pPr>
          </w:p>
        </w:tc>
        <w:tc>
          <w:tcPr>
            <w:tcW w:w="1880" w:type="dxa"/>
            <w:vAlign w:val="bottom"/>
            <w:gridSpan w:val="2"/>
          </w:tcPr>
          <w:p>
            <w:pPr>
              <w:jc w:val="center"/>
              <w:ind w:right="100"/>
              <w:spacing w:after="0" w:line="104" w:lineRule="exact"/>
              <w:rPr>
                <w:sz w:val="20"/>
                <w:szCs w:val="20"/>
                <w:color w:val="auto"/>
              </w:rPr>
            </w:pPr>
            <w:r>
              <w:rPr>
                <w:rFonts w:ascii="Arial" w:cs="Arial" w:eastAsia="Arial" w:hAnsi="Arial"/>
                <w:sz w:val="12"/>
                <w:szCs w:val="12"/>
                <w:color w:val="auto"/>
                <w:w w:val="90"/>
              </w:rPr>
              <w:t>Cinema Exhibition /</w:t>
            </w:r>
          </w:p>
        </w:tc>
        <w:tc>
          <w:tcPr>
            <w:tcW w:w="3000" w:type="dxa"/>
            <w:vAlign w:val="bottom"/>
            <w:vMerge w:val="restart"/>
          </w:tcPr>
          <w:p>
            <w:pPr>
              <w:spacing w:after="0"/>
              <w:rPr>
                <w:sz w:val="20"/>
                <w:szCs w:val="20"/>
                <w:color w:val="auto"/>
              </w:rPr>
            </w:pPr>
            <w:r>
              <w:rPr>
                <w:rFonts w:ascii="Arial" w:cs="Arial" w:eastAsia="Arial" w:hAnsi="Arial"/>
                <w:sz w:val="12"/>
                <w:szCs w:val="12"/>
                <w:color w:val="auto"/>
              </w:rPr>
              <w:t>High Range Drive, Thuringowa, QLD</w:t>
            </w:r>
          </w:p>
        </w:tc>
        <w:tc>
          <w:tcPr>
            <w:tcW w:w="0" w:type="dxa"/>
            <w:vAlign w:val="bottom"/>
          </w:tcPr>
          <w:p>
            <w:pPr>
              <w:spacing w:after="0"/>
              <w:rPr>
                <w:sz w:val="1"/>
                <w:szCs w:val="1"/>
                <w:color w:val="auto"/>
              </w:rPr>
            </w:pPr>
          </w:p>
        </w:tc>
      </w:tr>
      <w:tr>
        <w:trPr>
          <w:trHeight w:val="113"/>
        </w:trPr>
        <w:tc>
          <w:tcPr>
            <w:tcW w:w="180" w:type="dxa"/>
            <w:vAlign w:val="bottom"/>
            <w:vMerge w:val="continue"/>
          </w:tcPr>
          <w:p>
            <w:pPr>
              <w:spacing w:after="0"/>
              <w:rPr>
                <w:sz w:val="9"/>
                <w:szCs w:val="9"/>
                <w:color w:val="auto"/>
              </w:rPr>
            </w:pPr>
          </w:p>
        </w:tc>
        <w:tc>
          <w:tcPr>
            <w:tcW w:w="1980" w:type="dxa"/>
            <w:vAlign w:val="bottom"/>
            <w:gridSpan w:val="3"/>
            <w:vMerge w:val="continue"/>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gridSpan w:val="2"/>
            <w:vMerge w:val="restart"/>
          </w:tcPr>
          <w:p>
            <w:pPr>
              <w:jc w:val="center"/>
              <w:ind w:right="80"/>
              <w:spacing w:after="0" w:line="135" w:lineRule="exact"/>
              <w:rPr>
                <w:sz w:val="20"/>
                <w:szCs w:val="20"/>
                <w:color w:val="auto"/>
              </w:rPr>
            </w:pPr>
            <w:r>
              <w:rPr>
                <w:rFonts w:ascii="Arial" w:cs="Arial" w:eastAsia="Arial" w:hAnsi="Arial"/>
                <w:sz w:val="12"/>
                <w:szCs w:val="12"/>
                <w:color w:val="auto"/>
                <w:w w:val="83"/>
              </w:rPr>
              <w:t>Real Estate</w:t>
            </w: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2"/>
            <w:vMerge w:val="continu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980" w:type="dxa"/>
            <w:vAlign w:val="bottom"/>
            <w:gridSpan w:val="3"/>
            <w:vMerge w:val="restart"/>
            <w:shd w:val="clear" w:color="auto" w:fill="CCEEFF"/>
          </w:tcPr>
          <w:p>
            <w:pPr>
              <w:ind w:left="20"/>
              <w:spacing w:after="0"/>
              <w:rPr>
                <w:sz w:val="20"/>
                <w:szCs w:val="20"/>
                <w:color w:val="auto"/>
              </w:rPr>
            </w:pPr>
            <w:r>
              <w:rPr>
                <w:rFonts w:ascii="Arial" w:cs="Arial" w:eastAsia="Arial" w:hAnsi="Arial"/>
                <w:sz w:val="12"/>
                <w:szCs w:val="12"/>
                <w:color w:val="auto"/>
              </w:rPr>
              <w:t>Belmont</w:t>
            </w:r>
          </w:p>
        </w:tc>
        <w:tc>
          <w:tcPr>
            <w:tcW w:w="1720" w:type="dxa"/>
            <w:vAlign w:val="bottom"/>
            <w:gridSpan w:val="2"/>
            <w:vMerge w:val="restart"/>
            <w:shd w:val="clear" w:color="auto" w:fill="CCEEFF"/>
          </w:tcPr>
          <w:p>
            <w:pPr>
              <w:jc w:val="center"/>
              <w:ind w:left="62"/>
              <w:spacing w:after="0"/>
              <w:rPr>
                <w:sz w:val="20"/>
                <w:szCs w:val="20"/>
                <w:color w:val="auto"/>
              </w:rPr>
            </w:pPr>
            <w:r>
              <w:rPr>
                <w:rFonts w:ascii="Arial" w:cs="Arial" w:eastAsia="Arial" w:hAnsi="Arial"/>
                <w:sz w:val="12"/>
                <w:szCs w:val="12"/>
                <w:color w:val="auto"/>
                <w:w w:val="86"/>
              </w:rPr>
              <w:t>15,000 / 45,000</w:t>
            </w:r>
          </w:p>
        </w:tc>
        <w:tc>
          <w:tcPr>
            <w:tcW w:w="12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1"/>
              </w:rPr>
              <w:t>94%</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5,513</w:t>
            </w:r>
          </w:p>
        </w:tc>
        <w:tc>
          <w:tcPr>
            <w:tcW w:w="100" w:type="dxa"/>
            <w:vAlign w:val="bottom"/>
            <w:shd w:val="clear" w:color="auto" w:fill="CCEEFF"/>
          </w:tcPr>
          <w:p>
            <w:pPr>
              <w:spacing w:after="0"/>
              <w:rPr>
                <w:sz w:val="9"/>
                <w:szCs w:val="9"/>
                <w:color w:val="auto"/>
              </w:rPr>
            </w:pPr>
          </w:p>
        </w:tc>
        <w:tc>
          <w:tcPr>
            <w:tcW w:w="18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2"/>
                <w:szCs w:val="12"/>
                <w:color w:val="auto"/>
                <w:w w:val="88"/>
              </w:rPr>
              <w:t>Cinema Exhibition</w:t>
            </w:r>
          </w:p>
        </w:tc>
        <w:tc>
          <w:tcPr>
            <w:tcW w:w="3000" w:type="dxa"/>
            <w:vAlign w:val="bottom"/>
            <w:shd w:val="clear" w:color="auto" w:fill="CCEEFF"/>
          </w:tcPr>
          <w:p>
            <w:pPr>
              <w:spacing w:after="0" w:line="104" w:lineRule="exact"/>
              <w:rPr>
                <w:sz w:val="20"/>
                <w:szCs w:val="20"/>
                <w:color w:val="auto"/>
              </w:rPr>
            </w:pPr>
            <w:r>
              <w:rPr>
                <w:rFonts w:ascii="Arial" w:cs="Arial" w:eastAsia="Arial" w:hAnsi="Arial"/>
                <w:sz w:val="12"/>
                <w:szCs w:val="12"/>
                <w:color w:val="auto"/>
              </w:rPr>
              <w:t>Knutsford Avenue and Fulham Street,</w:t>
            </w:r>
          </w:p>
        </w:tc>
        <w:tc>
          <w:tcPr>
            <w:tcW w:w="0" w:type="dxa"/>
            <w:vAlign w:val="bottom"/>
          </w:tcPr>
          <w:p>
            <w:pPr>
              <w:spacing w:after="0"/>
              <w:rPr>
                <w:sz w:val="1"/>
                <w:szCs w:val="1"/>
                <w:color w:val="auto"/>
              </w:rPr>
            </w:pPr>
          </w:p>
        </w:tc>
      </w:tr>
      <w:tr>
        <w:trPr>
          <w:trHeight w:val="115"/>
        </w:trPr>
        <w:tc>
          <w:tcPr>
            <w:tcW w:w="180" w:type="dxa"/>
            <w:vAlign w:val="bottom"/>
            <w:tcBorders>
              <w:bottom w:val="single" w:sz="8" w:color="CCEEFF"/>
            </w:tcBorders>
            <w:vMerge w:val="continue"/>
            <w:shd w:val="clear" w:color="auto" w:fill="CCEEFF"/>
          </w:tcPr>
          <w:p>
            <w:pPr>
              <w:spacing w:after="0"/>
              <w:rPr>
                <w:sz w:val="9"/>
                <w:szCs w:val="9"/>
                <w:color w:val="auto"/>
              </w:rPr>
            </w:pPr>
          </w:p>
        </w:tc>
        <w:tc>
          <w:tcPr>
            <w:tcW w:w="1980" w:type="dxa"/>
            <w:vAlign w:val="bottom"/>
            <w:tcBorders>
              <w:bottom w:val="single" w:sz="8" w:color="CCEEFF"/>
            </w:tcBorders>
            <w:gridSpan w:val="3"/>
            <w:vMerge w:val="continue"/>
            <w:shd w:val="clear" w:color="auto" w:fill="CCEEFF"/>
          </w:tcPr>
          <w:p>
            <w:pPr>
              <w:spacing w:after="0"/>
              <w:rPr>
                <w:sz w:val="9"/>
                <w:szCs w:val="9"/>
                <w:color w:val="auto"/>
              </w:rPr>
            </w:pPr>
          </w:p>
        </w:tc>
        <w:tc>
          <w:tcPr>
            <w:tcW w:w="1720" w:type="dxa"/>
            <w:vAlign w:val="bottom"/>
            <w:tcBorders>
              <w:bottom w:val="single" w:sz="8" w:color="CCEEFF"/>
            </w:tcBorders>
            <w:gridSpan w:val="2"/>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880" w:type="dxa"/>
            <w:vAlign w:val="bottom"/>
            <w:tcBorders>
              <w:bottom w:val="single" w:sz="8" w:color="CCEEFF"/>
            </w:tcBorders>
            <w:gridSpan w:val="2"/>
            <w:vMerge w:val="continue"/>
            <w:shd w:val="clear" w:color="auto" w:fill="CCEEFF"/>
          </w:tcPr>
          <w:p>
            <w:pPr>
              <w:spacing w:after="0"/>
              <w:rPr>
                <w:sz w:val="9"/>
                <w:szCs w:val="9"/>
                <w:color w:val="auto"/>
              </w:rPr>
            </w:pPr>
          </w:p>
        </w:tc>
        <w:tc>
          <w:tcPr>
            <w:tcW w:w="300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2"/>
                <w:szCs w:val="12"/>
                <w:color w:val="auto"/>
              </w:rPr>
              <w:t>Belmont, WA</w:t>
            </w:r>
          </w:p>
        </w:tc>
        <w:tc>
          <w:tcPr>
            <w:tcW w:w="0" w:type="dxa"/>
            <w:vAlign w:val="bottom"/>
          </w:tcPr>
          <w:p>
            <w:pPr>
              <w:spacing w:after="0"/>
              <w:rPr>
                <w:sz w:val="1"/>
                <w:szCs w:val="1"/>
                <w:color w:val="auto"/>
              </w:rPr>
            </w:pPr>
          </w:p>
        </w:tc>
      </w:tr>
      <w:tr>
        <w:trPr>
          <w:trHeight w:val="175"/>
        </w:trPr>
        <w:tc>
          <w:tcPr>
            <w:tcW w:w="180" w:type="dxa"/>
            <w:vAlign w:val="bottom"/>
          </w:tcPr>
          <w:p>
            <w:pPr>
              <w:jc w:val="right"/>
              <w:spacing w:after="0"/>
              <w:rPr>
                <w:sz w:val="20"/>
                <w:szCs w:val="20"/>
                <w:color w:val="auto"/>
              </w:rPr>
            </w:pPr>
            <w:r>
              <w:rPr>
                <w:rFonts w:ascii="Arial" w:cs="Arial" w:eastAsia="Arial" w:hAnsi="Arial"/>
                <w:sz w:val="12"/>
                <w:szCs w:val="12"/>
                <w:color w:val="auto"/>
              </w:rPr>
              <w:t>5.</w:t>
            </w:r>
          </w:p>
        </w:tc>
        <w:tc>
          <w:tcPr>
            <w:tcW w:w="1980" w:type="dxa"/>
            <w:vAlign w:val="bottom"/>
            <w:gridSpan w:val="3"/>
          </w:tcPr>
          <w:p>
            <w:pPr>
              <w:ind w:left="20"/>
              <w:spacing w:after="0"/>
              <w:rPr>
                <w:sz w:val="20"/>
                <w:szCs w:val="20"/>
                <w:color w:val="auto"/>
              </w:rPr>
            </w:pPr>
            <w:r>
              <w:rPr>
                <w:rFonts w:ascii="Arial" w:cs="Arial" w:eastAsia="Arial" w:hAnsi="Arial"/>
                <w:sz w:val="12"/>
                <w:szCs w:val="12"/>
                <w:color w:val="auto"/>
              </w:rPr>
              <w:t>York Street Office</w:t>
            </w:r>
          </w:p>
        </w:tc>
        <w:tc>
          <w:tcPr>
            <w:tcW w:w="1720" w:type="dxa"/>
            <w:vAlign w:val="bottom"/>
            <w:gridSpan w:val="2"/>
          </w:tcPr>
          <w:p>
            <w:pPr>
              <w:jc w:val="center"/>
              <w:ind w:left="62"/>
              <w:spacing w:after="0"/>
              <w:rPr>
                <w:sz w:val="20"/>
                <w:szCs w:val="20"/>
                <w:color w:val="auto"/>
              </w:rPr>
            </w:pPr>
            <w:r>
              <w:rPr>
                <w:rFonts w:ascii="Arial" w:cs="Arial" w:eastAsia="Arial" w:hAnsi="Arial"/>
                <w:sz w:val="12"/>
                <w:szCs w:val="12"/>
                <w:color w:val="auto"/>
                <w:w w:val="85"/>
              </w:rPr>
              <w:t>8,000 / 0</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2"/>
                <w:szCs w:val="12"/>
                <w:color w:val="auto"/>
                <w:w w:val="84"/>
              </w:rPr>
              <w:t>100%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1,652</w:t>
            </w:r>
          </w:p>
        </w:tc>
        <w:tc>
          <w:tcPr>
            <w:tcW w:w="100" w:type="dxa"/>
            <w:vAlign w:val="bottom"/>
          </w:tcPr>
          <w:p>
            <w:pPr>
              <w:spacing w:after="0"/>
              <w:rPr>
                <w:sz w:val="15"/>
                <w:szCs w:val="15"/>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2"/>
                <w:szCs w:val="12"/>
                <w:color w:val="auto"/>
                <w:w w:val="83"/>
              </w:rPr>
              <w:t>Real Estate</w:t>
            </w:r>
          </w:p>
        </w:tc>
        <w:tc>
          <w:tcPr>
            <w:tcW w:w="3000" w:type="dxa"/>
            <w:vAlign w:val="bottom"/>
          </w:tcPr>
          <w:p>
            <w:pPr>
              <w:spacing w:after="0"/>
              <w:rPr>
                <w:sz w:val="20"/>
                <w:szCs w:val="20"/>
                <w:color w:val="auto"/>
              </w:rPr>
            </w:pPr>
            <w:r>
              <w:rPr>
                <w:rFonts w:ascii="Arial" w:cs="Arial" w:eastAsia="Arial" w:hAnsi="Arial"/>
                <w:sz w:val="12"/>
                <w:szCs w:val="12"/>
                <w:color w:val="auto"/>
              </w:rPr>
              <w:t>98 York Street, South Melbourne, VIC</w:t>
            </w:r>
          </w:p>
        </w:tc>
        <w:tc>
          <w:tcPr>
            <w:tcW w:w="0" w:type="dxa"/>
            <w:vAlign w:val="bottom"/>
          </w:tcPr>
          <w:p>
            <w:pPr>
              <w:spacing w:after="0"/>
              <w:rPr>
                <w:sz w:val="1"/>
                <w:szCs w:val="1"/>
                <w:color w:val="auto"/>
              </w:rPr>
            </w:pPr>
          </w:p>
        </w:tc>
      </w:tr>
      <w:tr>
        <w:trPr>
          <w:trHeight w:val="31"/>
        </w:trPr>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Maitland Cinema</w:t>
            </w:r>
          </w:p>
        </w:tc>
        <w:tc>
          <w:tcPr>
            <w:tcW w:w="172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6"/>
              </w:rPr>
              <w:t>0 / 22,000</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2"/>
                <w:szCs w:val="12"/>
                <w:i w:val="1"/>
                <w:iCs w:val="1"/>
                <w:color w:val="auto"/>
                <w:w w:val="83"/>
              </w:rPr>
              <w:t>n/a</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864</w:t>
            </w:r>
          </w:p>
        </w:tc>
        <w:tc>
          <w:tcPr>
            <w:tcW w:w="10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8"/>
              </w:rPr>
              <w:t>Cinema Exhibition</w:t>
            </w:r>
          </w:p>
        </w:tc>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9/1A Ken Tubman Drive, Maitland, NSW</w:t>
            </w:r>
          </w:p>
        </w:tc>
        <w:tc>
          <w:tcPr>
            <w:tcW w:w="0" w:type="dxa"/>
            <w:vAlign w:val="bottom"/>
          </w:tcPr>
          <w:p>
            <w:pPr>
              <w:spacing w:after="0"/>
              <w:rPr>
                <w:sz w:val="1"/>
                <w:szCs w:val="1"/>
                <w:color w:val="auto"/>
              </w:rPr>
            </w:pPr>
          </w:p>
        </w:tc>
      </w:tr>
      <w:tr>
        <w:trPr>
          <w:trHeight w:val="175"/>
        </w:trPr>
        <w:tc>
          <w:tcPr>
            <w:tcW w:w="180" w:type="dxa"/>
            <w:vAlign w:val="bottom"/>
          </w:tcPr>
          <w:p>
            <w:pPr>
              <w:jc w:val="right"/>
              <w:spacing w:after="0"/>
              <w:rPr>
                <w:sz w:val="20"/>
                <w:szCs w:val="20"/>
                <w:color w:val="auto"/>
              </w:rPr>
            </w:pPr>
            <w:r>
              <w:rPr>
                <w:rFonts w:ascii="Arial" w:cs="Arial" w:eastAsia="Arial" w:hAnsi="Arial"/>
                <w:sz w:val="12"/>
                <w:szCs w:val="12"/>
                <w:color w:val="auto"/>
              </w:rPr>
              <w:t>7.</w:t>
            </w:r>
          </w:p>
        </w:tc>
        <w:tc>
          <w:tcPr>
            <w:tcW w:w="1980" w:type="dxa"/>
            <w:vAlign w:val="bottom"/>
            <w:gridSpan w:val="3"/>
          </w:tcPr>
          <w:p>
            <w:pPr>
              <w:ind w:left="20"/>
              <w:spacing w:after="0"/>
              <w:rPr>
                <w:sz w:val="20"/>
                <w:szCs w:val="20"/>
                <w:color w:val="auto"/>
              </w:rPr>
            </w:pPr>
            <w:r>
              <w:rPr>
                <w:rFonts w:ascii="Arial" w:cs="Arial" w:eastAsia="Arial" w:hAnsi="Arial"/>
                <w:sz w:val="12"/>
                <w:szCs w:val="12"/>
                <w:color w:val="auto"/>
              </w:rPr>
              <w:t>Bundaberg Cinema</w:t>
            </w:r>
          </w:p>
        </w:tc>
        <w:tc>
          <w:tcPr>
            <w:tcW w:w="172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 / 14,000</w:t>
            </w:r>
          </w:p>
        </w:tc>
        <w:tc>
          <w:tcPr>
            <w:tcW w:w="12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2"/>
                <w:szCs w:val="12"/>
                <w:i w:val="1"/>
                <w:iCs w:val="1"/>
                <w:color w:val="auto"/>
                <w:w w:val="83"/>
              </w:rPr>
              <w:t>n/a</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1,092</w:t>
            </w:r>
          </w:p>
        </w:tc>
        <w:tc>
          <w:tcPr>
            <w:tcW w:w="100" w:type="dxa"/>
            <w:vAlign w:val="bottom"/>
          </w:tcPr>
          <w:p>
            <w:pPr>
              <w:spacing w:after="0"/>
              <w:rPr>
                <w:sz w:val="15"/>
                <w:szCs w:val="15"/>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Cinema Exhibition</w:t>
            </w:r>
          </w:p>
        </w:tc>
        <w:tc>
          <w:tcPr>
            <w:tcW w:w="3000" w:type="dxa"/>
            <w:vAlign w:val="bottom"/>
          </w:tcPr>
          <w:p>
            <w:pPr>
              <w:spacing w:after="0"/>
              <w:rPr>
                <w:sz w:val="20"/>
                <w:szCs w:val="20"/>
                <w:color w:val="auto"/>
              </w:rPr>
            </w:pPr>
            <w:r>
              <w:rPr>
                <w:rFonts w:ascii="Arial" w:cs="Arial" w:eastAsia="Arial" w:hAnsi="Arial"/>
                <w:sz w:val="12"/>
                <w:szCs w:val="12"/>
                <w:color w:val="auto"/>
              </w:rPr>
              <w:t>1 Johanna Boulevard, Bundaberg, QLD</w:t>
            </w:r>
          </w:p>
        </w:tc>
        <w:tc>
          <w:tcPr>
            <w:tcW w:w="0" w:type="dxa"/>
            <w:vAlign w:val="bottom"/>
          </w:tcPr>
          <w:p>
            <w:pPr>
              <w:spacing w:after="0"/>
              <w:rPr>
                <w:sz w:val="1"/>
                <w:szCs w:val="1"/>
                <w:color w:val="auto"/>
              </w:rPr>
            </w:pPr>
          </w:p>
        </w:tc>
      </w:tr>
      <w:tr>
        <w:trPr>
          <w:trHeight w:val="31"/>
        </w:trPr>
        <w:tc>
          <w:tcPr>
            <w:tcW w:w="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2"/>
                <w:szCs w:val="12"/>
                <w:b w:val="1"/>
                <w:bCs w:val="1"/>
                <w:color w:val="auto"/>
                <w:w w:val="87"/>
              </w:rPr>
              <w:t>New Zealand</w:t>
            </w:r>
          </w:p>
        </w:tc>
        <w:tc>
          <w:tcPr>
            <w:tcW w:w="1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0" w:type="dxa"/>
            <w:vAlign w:val="bottom"/>
          </w:tcPr>
          <w:p>
            <w:pPr>
              <w:jc w:val="right"/>
              <w:spacing w:after="0"/>
              <w:rPr>
                <w:sz w:val="20"/>
                <w:szCs w:val="20"/>
                <w:color w:val="auto"/>
              </w:rPr>
            </w:pPr>
            <w:r>
              <w:rPr>
                <w:rFonts w:ascii="Arial" w:cs="Arial" w:eastAsia="Arial" w:hAnsi="Arial"/>
                <w:sz w:val="12"/>
                <w:szCs w:val="12"/>
                <w:color w:val="auto"/>
              </w:rPr>
              <w:t>1.</w:t>
            </w:r>
          </w:p>
        </w:tc>
        <w:tc>
          <w:tcPr>
            <w:tcW w:w="1980" w:type="dxa"/>
            <w:vAlign w:val="bottom"/>
            <w:gridSpan w:val="3"/>
          </w:tcPr>
          <w:p>
            <w:pPr>
              <w:ind w:left="20"/>
              <w:spacing w:after="0" w:line="191" w:lineRule="exact"/>
              <w:rPr>
                <w:sz w:val="20"/>
                <w:szCs w:val="20"/>
                <w:color w:val="auto"/>
              </w:rPr>
            </w:pPr>
            <w:r>
              <w:rPr>
                <w:rFonts w:ascii="Arial" w:cs="Arial" w:eastAsia="Arial" w:hAnsi="Arial"/>
                <w:sz w:val="12"/>
                <w:szCs w:val="12"/>
                <w:color w:val="auto"/>
              </w:rPr>
              <w:t>Courtenay Central</w:t>
            </w:r>
            <w:r>
              <w:rPr>
                <w:rFonts w:ascii="Arial" w:cs="Arial" w:eastAsia="Arial" w:hAnsi="Arial"/>
                <w:sz w:val="19"/>
                <w:szCs w:val="19"/>
                <w:color w:val="auto"/>
                <w:vertAlign w:val="superscript"/>
              </w:rPr>
              <w:t>(6)</w:t>
            </w:r>
          </w:p>
        </w:tc>
        <w:tc>
          <w:tcPr>
            <w:tcW w:w="172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43,000 / 59,000</w:t>
            </w: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2"/>
                <w:szCs w:val="12"/>
                <w:color w:val="auto"/>
                <w:w w:val="91"/>
              </w:rPr>
              <w:t>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9,141</w:t>
            </w:r>
          </w:p>
        </w:tc>
        <w:tc>
          <w:tcPr>
            <w:tcW w:w="100" w:type="dxa"/>
            <w:vAlign w:val="bottom"/>
          </w:tcPr>
          <w:p>
            <w:pPr>
              <w:spacing w:after="0"/>
              <w:rPr>
                <w:sz w:val="16"/>
                <w:szCs w:val="16"/>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2"/>
                <w:szCs w:val="12"/>
                <w:color w:val="auto"/>
                <w:w w:val="90"/>
              </w:rPr>
              <w:t>Cinema Exhibition /</w:t>
            </w:r>
          </w:p>
        </w:tc>
        <w:tc>
          <w:tcPr>
            <w:tcW w:w="3000" w:type="dxa"/>
            <w:vAlign w:val="bottom"/>
          </w:tcPr>
          <w:p>
            <w:pPr>
              <w:spacing w:after="0"/>
              <w:rPr>
                <w:sz w:val="20"/>
                <w:szCs w:val="20"/>
                <w:color w:val="auto"/>
              </w:rPr>
            </w:pPr>
            <w:r>
              <w:rPr>
                <w:rFonts w:ascii="Arial" w:cs="Arial" w:eastAsia="Arial" w:hAnsi="Arial"/>
                <w:sz w:val="12"/>
                <w:szCs w:val="12"/>
                <w:color w:val="auto"/>
              </w:rPr>
              <w:t>100 Courtenay Place, Wellington</w:t>
            </w: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3820" w:type="dxa"/>
            <w:vAlign w:val="bottom"/>
            <w:gridSpan w:val="6"/>
          </w:tcPr>
          <w:p>
            <w:pPr>
              <w:spacing w:after="0" w:line="120" w:lineRule="exact"/>
              <w:rPr>
                <w:sz w:val="20"/>
                <w:szCs w:val="20"/>
                <w:color w:val="auto"/>
              </w:rPr>
            </w:pPr>
            <w:r>
              <w:rPr>
                <w:rFonts w:ascii="Arial" w:cs="Arial" w:eastAsia="Arial" w:hAnsi="Arial"/>
                <w:sz w:val="12"/>
                <w:szCs w:val="12"/>
                <w:color w:val="auto"/>
                <w:w w:val="92"/>
              </w:rPr>
              <w:t>Plus, an additional 37,000 feet of land currently used as on-grade car parking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2"/>
            <w:vMerge w:val="restart"/>
          </w:tcPr>
          <w:p>
            <w:pPr>
              <w:jc w:val="center"/>
              <w:ind w:right="80"/>
              <w:spacing w:after="0"/>
              <w:rPr>
                <w:sz w:val="20"/>
                <w:szCs w:val="20"/>
                <w:color w:val="auto"/>
              </w:rPr>
            </w:pPr>
            <w:r>
              <w:rPr>
                <w:rFonts w:ascii="Arial" w:cs="Arial" w:eastAsia="Arial" w:hAnsi="Arial"/>
                <w:sz w:val="12"/>
                <w:szCs w:val="12"/>
                <w:color w:val="auto"/>
                <w:w w:val="83"/>
              </w:rPr>
              <w:t>Real Estate</w:t>
            </w:r>
          </w:p>
        </w:tc>
        <w:tc>
          <w:tcPr>
            <w:tcW w:w="3000" w:type="dxa"/>
            <w:vAlign w:val="bottom"/>
            <w:vMerge w:val="restart"/>
          </w:tcPr>
          <w:p>
            <w:pPr>
              <w:spacing w:after="0"/>
              <w:rPr>
                <w:sz w:val="20"/>
                <w:szCs w:val="20"/>
                <w:color w:val="auto"/>
              </w:rPr>
            </w:pPr>
            <w:r>
              <w:rPr>
                <w:rFonts w:ascii="Arial" w:cs="Arial" w:eastAsia="Arial" w:hAnsi="Arial"/>
                <w:sz w:val="12"/>
                <w:szCs w:val="12"/>
                <w:color w:val="auto"/>
              </w:rPr>
              <w:t>24 Tory Street, Wellington (Parking)</w:t>
            </w:r>
          </w:p>
        </w:tc>
        <w:tc>
          <w:tcPr>
            <w:tcW w:w="0" w:type="dxa"/>
            <w:vAlign w:val="bottom"/>
          </w:tcPr>
          <w:p>
            <w:pPr>
              <w:spacing w:after="0"/>
              <w:rPr>
                <w:sz w:val="1"/>
                <w:szCs w:val="1"/>
                <w:color w:val="auto"/>
              </w:rPr>
            </w:pPr>
          </w:p>
        </w:tc>
      </w:tr>
      <w:tr>
        <w:trPr>
          <w:trHeight w:val="82"/>
        </w:trPr>
        <w:tc>
          <w:tcPr>
            <w:tcW w:w="180" w:type="dxa"/>
            <w:vAlign w:val="bottom"/>
          </w:tcPr>
          <w:p>
            <w:pPr>
              <w:spacing w:after="0"/>
              <w:rPr>
                <w:sz w:val="7"/>
                <w:szCs w:val="7"/>
                <w:color w:val="auto"/>
              </w:rPr>
            </w:pPr>
          </w:p>
        </w:tc>
        <w:tc>
          <w:tcPr>
            <w:tcW w:w="1980" w:type="dxa"/>
            <w:vAlign w:val="bottom"/>
            <w:gridSpan w:val="3"/>
            <w:vMerge w:val="restart"/>
          </w:tcPr>
          <w:p>
            <w:pPr>
              <w:spacing w:after="0" w:line="135" w:lineRule="exact"/>
              <w:rPr>
                <w:sz w:val="20"/>
                <w:szCs w:val="20"/>
                <w:color w:val="auto"/>
              </w:rPr>
            </w:pPr>
            <w:r>
              <w:rPr>
                <w:rFonts w:ascii="Arial" w:cs="Arial" w:eastAsia="Arial" w:hAnsi="Arial"/>
                <w:sz w:val="12"/>
                <w:szCs w:val="12"/>
                <w:color w:val="auto"/>
                <w:w w:val="87"/>
              </w:rPr>
              <w:t>where our multi-story car park once stood.</w:t>
            </w:r>
          </w:p>
        </w:tc>
        <w:tc>
          <w:tcPr>
            <w:tcW w:w="1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80" w:type="dxa"/>
            <w:vAlign w:val="bottom"/>
          </w:tcPr>
          <w:p>
            <w:pPr>
              <w:spacing w:after="0"/>
              <w:rPr>
                <w:sz w:val="4"/>
                <w:szCs w:val="4"/>
                <w:color w:val="auto"/>
              </w:rPr>
            </w:pPr>
          </w:p>
        </w:tc>
        <w:tc>
          <w:tcPr>
            <w:tcW w:w="19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Dunedin Cinema</w:t>
            </w:r>
          </w:p>
        </w:tc>
        <w:tc>
          <w:tcPr>
            <w:tcW w:w="172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6"/>
              </w:rPr>
              <w:t>0 / 25,000</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2"/>
                <w:szCs w:val="12"/>
                <w:i w:val="1"/>
                <w:iCs w:val="1"/>
                <w:color w:val="auto"/>
                <w:w w:val="83"/>
              </w:rPr>
              <w:t>n/a</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5,653</w:t>
            </w:r>
          </w:p>
        </w:tc>
        <w:tc>
          <w:tcPr>
            <w:tcW w:w="10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8"/>
              </w:rPr>
              <w:t>Cinema Exhibition</w:t>
            </w:r>
          </w:p>
        </w:tc>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33 The Octagon, Dunedin</w:t>
            </w:r>
          </w:p>
        </w:tc>
        <w:tc>
          <w:tcPr>
            <w:tcW w:w="0" w:type="dxa"/>
            <w:vAlign w:val="bottom"/>
          </w:tcPr>
          <w:p>
            <w:pPr>
              <w:spacing w:after="0"/>
              <w:rPr>
                <w:sz w:val="1"/>
                <w:szCs w:val="1"/>
                <w:color w:val="auto"/>
              </w:rPr>
            </w:pPr>
          </w:p>
        </w:tc>
      </w:tr>
      <w:tr>
        <w:trPr>
          <w:trHeight w:val="175"/>
        </w:trPr>
        <w:tc>
          <w:tcPr>
            <w:tcW w:w="180" w:type="dxa"/>
            <w:vAlign w:val="bottom"/>
          </w:tcPr>
          <w:p>
            <w:pPr>
              <w:jc w:val="right"/>
              <w:spacing w:after="0"/>
              <w:rPr>
                <w:sz w:val="20"/>
                <w:szCs w:val="20"/>
                <w:color w:val="auto"/>
              </w:rPr>
            </w:pPr>
            <w:r>
              <w:rPr>
                <w:rFonts w:ascii="Arial" w:cs="Arial" w:eastAsia="Arial" w:hAnsi="Arial"/>
                <w:sz w:val="12"/>
                <w:szCs w:val="12"/>
                <w:color w:val="auto"/>
              </w:rPr>
              <w:t>3.</w:t>
            </w:r>
          </w:p>
        </w:tc>
        <w:tc>
          <w:tcPr>
            <w:tcW w:w="1980" w:type="dxa"/>
            <w:vAlign w:val="bottom"/>
            <w:gridSpan w:val="3"/>
          </w:tcPr>
          <w:p>
            <w:pPr>
              <w:ind w:left="20"/>
              <w:spacing w:after="0"/>
              <w:rPr>
                <w:sz w:val="20"/>
                <w:szCs w:val="20"/>
                <w:color w:val="auto"/>
              </w:rPr>
            </w:pPr>
            <w:r>
              <w:rPr>
                <w:rFonts w:ascii="Arial" w:cs="Arial" w:eastAsia="Arial" w:hAnsi="Arial"/>
                <w:sz w:val="12"/>
                <w:szCs w:val="12"/>
                <w:color w:val="auto"/>
              </w:rPr>
              <w:t>Napier Cinema</w:t>
            </w:r>
          </w:p>
        </w:tc>
        <w:tc>
          <w:tcPr>
            <w:tcW w:w="172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12,000 / 18,000</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2"/>
                <w:szCs w:val="12"/>
                <w:color w:val="auto"/>
                <w:w w:val="84"/>
              </w:rPr>
              <w:t>100%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1,743</w:t>
            </w:r>
          </w:p>
        </w:tc>
        <w:tc>
          <w:tcPr>
            <w:tcW w:w="100" w:type="dxa"/>
            <w:vAlign w:val="bottom"/>
          </w:tcPr>
          <w:p>
            <w:pPr>
              <w:spacing w:after="0"/>
              <w:rPr>
                <w:sz w:val="15"/>
                <w:szCs w:val="15"/>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Cinema Exhibition</w:t>
            </w:r>
          </w:p>
        </w:tc>
        <w:tc>
          <w:tcPr>
            <w:tcW w:w="3000" w:type="dxa"/>
            <w:vAlign w:val="bottom"/>
          </w:tcPr>
          <w:p>
            <w:pPr>
              <w:spacing w:after="0"/>
              <w:rPr>
                <w:sz w:val="20"/>
                <w:szCs w:val="20"/>
                <w:color w:val="auto"/>
              </w:rPr>
            </w:pPr>
            <w:r>
              <w:rPr>
                <w:rFonts w:ascii="Arial" w:cs="Arial" w:eastAsia="Arial" w:hAnsi="Arial"/>
                <w:sz w:val="12"/>
                <w:szCs w:val="12"/>
                <w:color w:val="auto"/>
              </w:rPr>
              <w:t>154 Station Street, Napier</w:t>
            </w:r>
          </w:p>
        </w:tc>
        <w:tc>
          <w:tcPr>
            <w:tcW w:w="0" w:type="dxa"/>
            <w:vAlign w:val="bottom"/>
          </w:tcPr>
          <w:p>
            <w:pPr>
              <w:spacing w:after="0"/>
              <w:rPr>
                <w:sz w:val="1"/>
                <w:szCs w:val="1"/>
                <w:color w:val="auto"/>
              </w:rPr>
            </w:pPr>
          </w:p>
        </w:tc>
      </w:tr>
      <w:tr>
        <w:trPr>
          <w:trHeight w:val="31"/>
        </w:trPr>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Rotorua Cinema</w:t>
            </w:r>
          </w:p>
        </w:tc>
        <w:tc>
          <w:tcPr>
            <w:tcW w:w="172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6"/>
              </w:rPr>
              <w:t>0 / 19,000</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2"/>
                <w:szCs w:val="12"/>
                <w:i w:val="1"/>
                <w:iCs w:val="1"/>
                <w:color w:val="auto"/>
                <w:w w:val="83"/>
              </w:rPr>
              <w:t>n/a</w:t>
            </w: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1,550</w:t>
            </w:r>
          </w:p>
        </w:tc>
        <w:tc>
          <w:tcPr>
            <w:tcW w:w="10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8"/>
              </w:rPr>
              <w:t>Cinema Exhibition</w:t>
            </w:r>
          </w:p>
        </w:tc>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1281 Eruera Street, Rotorua</w:t>
            </w:r>
          </w:p>
        </w:tc>
        <w:tc>
          <w:tcPr>
            <w:tcW w:w="0" w:type="dxa"/>
            <w:vAlign w:val="bottom"/>
          </w:tcPr>
          <w:p>
            <w:pPr>
              <w:spacing w:after="0"/>
              <w:rPr>
                <w:sz w:val="1"/>
                <w:szCs w:val="1"/>
                <w:color w:val="auto"/>
              </w:rPr>
            </w:pPr>
          </w:p>
        </w:tc>
      </w:tr>
      <w:tr>
        <w:trPr>
          <w:trHeight w:val="177"/>
        </w:trPr>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ind w:left="160"/>
              <w:spacing w:after="0" w:line="175" w:lineRule="exact"/>
              <w:rPr>
                <w:sz w:val="20"/>
                <w:szCs w:val="20"/>
                <w:color w:val="auto"/>
              </w:rPr>
            </w:pPr>
            <w:r>
              <w:rPr>
                <w:rFonts w:ascii="Arial" w:cs="Arial" w:eastAsia="Arial" w:hAnsi="Arial"/>
                <w:sz w:val="12"/>
                <w:szCs w:val="12"/>
                <w:b w:val="1"/>
                <w:bCs w:val="1"/>
                <w:color w:val="auto"/>
              </w:rPr>
              <w:t>TOTAL</w:t>
            </w:r>
            <w:r>
              <w:rPr>
                <w:rFonts w:ascii="Arial" w:cs="Arial" w:eastAsia="Arial" w:hAnsi="Arial"/>
                <w:sz w:val="19"/>
                <w:szCs w:val="19"/>
                <w:b w:val="1"/>
                <w:bCs w:val="1"/>
                <w:color w:val="auto"/>
                <w:vertAlign w:val="superscript"/>
              </w:rPr>
              <w:t>(7)</w:t>
            </w: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234,304</w:t>
            </w: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520" w:right="120" w:hanging="253"/>
        <w:spacing w:after="0" w:line="216" w:lineRule="auto"/>
        <w:tabs>
          <w:tab w:leader="none" w:pos="52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Rental square footage refers to the amount of potential area available to be rented to third parties. A number of our real estate holdings include entertainment components rented to one or more of our subsidiaries at fair market rent. The rental area to such subsidiaries is noted under the entertainment square footage.</w:t>
      </w:r>
    </w:p>
    <w:p>
      <w:pPr>
        <w:ind w:left="520" w:hanging="253"/>
        <w:spacing w:after="0" w:line="207" w:lineRule="auto"/>
        <w:tabs>
          <w:tab w:leader="none" w:pos="52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the percentage of available rental square footage currently leased or licensed to third parties.</w:t>
      </w:r>
    </w:p>
    <w:p>
      <w:pPr>
        <w:ind w:left="520" w:hanging="253"/>
        <w:spacing w:after="0"/>
        <w:tabs>
          <w:tab w:leader="none" w:pos="520" w:val="left"/>
        </w:tabs>
        <w:numPr>
          <w:ilvl w:val="0"/>
          <w:numId w:val="3"/>
        </w:numPr>
        <w:rPr>
          <w:rFonts w:ascii="Arial" w:cs="Arial" w:eastAsia="Arial" w:hAnsi="Arial"/>
          <w:sz w:val="10"/>
          <w:szCs w:val="10"/>
          <w:color w:val="auto"/>
        </w:rPr>
      </w:pPr>
      <w:r>
        <w:rPr>
          <w:rFonts w:ascii="Arial" w:cs="Arial" w:eastAsia="Arial" w:hAnsi="Arial"/>
          <w:sz w:val="10"/>
          <w:szCs w:val="10"/>
          <w:color w:val="auto"/>
        </w:rPr>
        <w:t>Refers to the net carrying value of the land and buildings of the property presented as “Operating Property” in our Consolidated Balance Sheet as of December 31, 2021 (net of any impairments recorded).</w:t>
      </w:r>
    </w:p>
    <w:p>
      <w:pPr>
        <w:spacing w:after="0" w:line="4" w:lineRule="exact"/>
        <w:rPr>
          <w:rFonts w:ascii="Arial" w:cs="Arial" w:eastAsia="Arial" w:hAnsi="Arial"/>
          <w:sz w:val="10"/>
          <w:szCs w:val="10"/>
          <w:color w:val="auto"/>
        </w:rPr>
      </w:pPr>
    </w:p>
    <w:p>
      <w:pPr>
        <w:ind w:left="520" w:right="280" w:hanging="253"/>
        <w:spacing w:after="0" w:line="207" w:lineRule="auto"/>
        <w:tabs>
          <w:tab w:leader="none" w:pos="5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Owned by a limited liability company in which we hold a 75% managing member interest. The remaining 25% is owned by Sutton Hill Capital, LLC (“SHC”), a company owned in equal parts by the Cotter Estate or the Cotter Estate and a third party.</w:t>
      </w:r>
    </w:p>
    <w:p>
      <w:pPr>
        <w:ind w:left="520" w:hanging="253"/>
        <w:spacing w:after="0" w:line="207" w:lineRule="auto"/>
        <w:tabs>
          <w:tab w:leader="none" w:pos="5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Cannon Park City and Discount Centers are operated as a single ETC.</w:t>
      </w:r>
    </w:p>
    <w:p>
      <w:pPr>
        <w:ind w:left="520" w:right="180" w:hanging="253"/>
        <w:spacing w:after="0" w:line="207" w:lineRule="auto"/>
        <w:tabs>
          <w:tab w:leader="none" w:pos="52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Our Courtenay Central parking structure has been demolished due to damage suffered as a result of an earthquake on November 14, 2016. For further information on the on-going development projects of these properties, refer to succeeding section </w:t>
      </w:r>
      <w:r>
        <w:rPr>
          <w:rFonts w:ascii="Arial" w:cs="Arial" w:eastAsia="Arial" w:hAnsi="Arial"/>
          <w:sz w:val="12"/>
          <w:szCs w:val="12"/>
          <w:i w:val="1"/>
          <w:iCs w:val="1"/>
          <w:color w:val="auto"/>
        </w:rPr>
        <w:t>Item 7 - Recent Developments.</w:t>
      </w:r>
    </w:p>
    <w:p>
      <w:pPr>
        <w:ind w:left="520" w:right="140" w:hanging="253"/>
        <w:spacing w:after="0" w:line="222" w:lineRule="auto"/>
        <w:tabs>
          <w:tab w:leader="none" w:pos="5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This schedule does not include (i) our leasehold assets on cinemas under leased-facility model, (ii) those portions of the owned assets that are not income-producing or purely used for administrative purposes, and (iii) our assets on our legacy business principally in Pennsylvania.</w:t>
      </w:r>
    </w:p>
    <w:p>
      <w:pPr>
        <w:spacing w:after="0" w:line="118" w:lineRule="exact"/>
        <w:rPr>
          <w:rFonts w:ascii="Arial" w:cs="Arial" w:eastAsia="Arial" w:hAnsi="Arial"/>
          <w:sz w:val="12"/>
          <w:szCs w:val="12"/>
          <w:color w:val="auto"/>
        </w:rPr>
      </w:pPr>
    </w:p>
    <w:p>
      <w:pPr>
        <w:ind w:left="5580" w:hanging="93"/>
        <w:spacing w:after="0"/>
        <w:tabs>
          <w:tab w:leader="none" w:pos="5580" w:val="left"/>
        </w:tabs>
        <w:numPr>
          <w:ilvl w:val="1"/>
          <w:numId w:val="3"/>
        </w:numPr>
        <w:rPr>
          <w:rFonts w:ascii="Arial" w:cs="Arial" w:eastAsia="Arial" w:hAnsi="Arial"/>
          <w:sz w:val="14"/>
          <w:szCs w:val="14"/>
          <w:color w:val="auto"/>
        </w:rPr>
      </w:pPr>
      <w:r>
        <w:rPr>
          <w:rFonts w:ascii="Arial" w:cs="Arial" w:eastAsia="Arial" w:hAnsi="Arial"/>
          <w:sz w:val="14"/>
          <w:szCs w:val="14"/>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color w:val="auto"/>
        </w:rPr>
        <w:t>ENTERTAINMENT PROPERTIES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2021, we leased approximately 2,013,000 square feet of completed cinema space in the United States, Australia, and New Zealand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jc w:val="center"/>
              <w:spacing w:after="0"/>
              <w:rPr>
                <w:sz w:val="20"/>
                <w:szCs w:val="20"/>
                <w:color w:val="auto"/>
              </w:rPr>
            </w:pPr>
            <w:r>
              <w:rPr>
                <w:rFonts w:ascii="Arial" w:cs="Arial" w:eastAsia="Arial" w:hAnsi="Arial"/>
                <w:sz w:val="12"/>
                <w:szCs w:val="12"/>
                <w:b w:val="1"/>
                <w:bCs w:val="1"/>
                <w:color w:val="auto"/>
                <w:w w:val="88"/>
              </w:rPr>
              <w:t>Approximate Range</w:t>
            </w:r>
          </w:p>
        </w:tc>
      </w:tr>
      <w:tr>
        <w:trPr>
          <w:trHeight w:val="119"/>
        </w:trPr>
        <w:tc>
          <w:tcPr>
            <w:tcW w:w="72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9"/>
              </w:rPr>
              <w:t>of Remaining</w:t>
            </w:r>
          </w:p>
        </w:tc>
      </w:tr>
      <w:tr>
        <w:trPr>
          <w:trHeight w:val="119"/>
        </w:trPr>
        <w:tc>
          <w:tcPr>
            <w:tcW w:w="7200" w:type="dxa"/>
            <w:vAlign w:val="bottom"/>
          </w:tcPr>
          <w:p>
            <w:pPr>
              <w:spacing w:after="0"/>
              <w:rPr>
                <w:sz w:val="10"/>
                <w:szCs w:val="10"/>
                <w:color w:val="auto"/>
              </w:rPr>
            </w:pPr>
          </w:p>
        </w:tc>
        <w:tc>
          <w:tcPr>
            <w:tcW w:w="2120" w:type="dxa"/>
            <w:vAlign w:val="bottom"/>
            <w:gridSpan w:val="2"/>
          </w:tcPr>
          <w:p>
            <w:pPr>
              <w:jc w:val="center"/>
              <w:ind w:right="160"/>
              <w:spacing w:after="0" w:line="120" w:lineRule="exact"/>
              <w:rPr>
                <w:sz w:val="20"/>
                <w:szCs w:val="20"/>
                <w:color w:val="auto"/>
              </w:rPr>
            </w:pPr>
            <w:r>
              <w:rPr>
                <w:rFonts w:ascii="Arial" w:cs="Arial" w:eastAsia="Arial" w:hAnsi="Arial"/>
                <w:sz w:val="12"/>
                <w:szCs w:val="12"/>
                <w:b w:val="1"/>
                <w:bCs w:val="1"/>
                <w:color w:val="auto"/>
                <w:w w:val="87"/>
              </w:rPr>
              <w:t>Aggregate</w:t>
            </w:r>
          </w:p>
        </w:tc>
        <w:tc>
          <w:tcPr>
            <w:tcW w:w="19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7"/>
              </w:rPr>
              <w:t>Lease Terms</w:t>
            </w:r>
          </w:p>
        </w:tc>
      </w:tr>
      <w:tr>
        <w:trPr>
          <w:trHeight w:val="138"/>
        </w:trPr>
        <w:tc>
          <w:tcPr>
            <w:tcW w:w="7200" w:type="dxa"/>
            <w:vAlign w:val="bottom"/>
          </w:tcPr>
          <w:p>
            <w:pPr>
              <w:spacing w:after="0"/>
              <w:rPr>
                <w:sz w:val="12"/>
                <w:szCs w:val="12"/>
                <w:color w:val="auto"/>
              </w:rPr>
            </w:pPr>
          </w:p>
        </w:tc>
        <w:tc>
          <w:tcPr>
            <w:tcW w:w="2120" w:type="dxa"/>
            <w:vAlign w:val="bottom"/>
            <w:gridSpan w:val="2"/>
          </w:tcPr>
          <w:p>
            <w:pPr>
              <w:jc w:val="center"/>
              <w:ind w:right="160"/>
              <w:spacing w:after="0" w:line="137" w:lineRule="exact"/>
              <w:rPr>
                <w:sz w:val="20"/>
                <w:szCs w:val="20"/>
                <w:color w:val="auto"/>
              </w:rPr>
            </w:pPr>
            <w:r>
              <w:rPr>
                <w:rFonts w:ascii="Arial" w:cs="Arial" w:eastAsia="Arial" w:hAnsi="Arial"/>
                <w:sz w:val="12"/>
                <w:szCs w:val="12"/>
                <w:b w:val="1"/>
                <w:bCs w:val="1"/>
                <w:color w:val="auto"/>
                <w:w w:val="83"/>
              </w:rPr>
              <w:t>Square Footage</w:t>
            </w:r>
          </w:p>
        </w:tc>
        <w:tc>
          <w:tcPr>
            <w:tcW w:w="196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86"/>
              </w:rPr>
              <w:t>(including renewals)</w:t>
            </w:r>
          </w:p>
        </w:tc>
      </w:tr>
      <w:tr>
        <w:trPr>
          <w:trHeight w:val="163"/>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United States</w:t>
            </w: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938,000</w:t>
            </w:r>
          </w:p>
        </w:tc>
        <w:tc>
          <w:tcPr>
            <w:tcW w:w="16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2022 – 2052</w:t>
            </w:r>
          </w:p>
        </w:tc>
      </w:tr>
      <w:tr>
        <w:trPr>
          <w:trHeight w:val="173"/>
        </w:trPr>
        <w:tc>
          <w:tcPr>
            <w:tcW w:w="7200" w:type="dxa"/>
            <w:vAlign w:val="bottom"/>
          </w:tcPr>
          <w:p>
            <w:pPr>
              <w:spacing w:after="0"/>
              <w:rPr>
                <w:sz w:val="20"/>
                <w:szCs w:val="20"/>
                <w:color w:val="auto"/>
              </w:rPr>
            </w:pPr>
            <w:r>
              <w:rPr>
                <w:rFonts w:ascii="Arial" w:cs="Arial" w:eastAsia="Arial" w:hAnsi="Arial"/>
                <w:sz w:val="14"/>
                <w:szCs w:val="14"/>
                <w:color w:val="auto"/>
              </w:rPr>
              <w:t>Australia</w:t>
            </w:r>
          </w:p>
        </w:tc>
        <w:tc>
          <w:tcPr>
            <w:tcW w:w="1960" w:type="dxa"/>
            <w:vAlign w:val="bottom"/>
          </w:tcPr>
          <w:p>
            <w:pPr>
              <w:jc w:val="center"/>
              <w:spacing w:after="0"/>
              <w:rPr>
                <w:sz w:val="20"/>
                <w:szCs w:val="20"/>
                <w:color w:val="auto"/>
              </w:rPr>
            </w:pPr>
            <w:r>
              <w:rPr>
                <w:rFonts w:ascii="Arial" w:cs="Arial" w:eastAsia="Arial" w:hAnsi="Arial"/>
                <w:sz w:val="14"/>
                <w:szCs w:val="14"/>
                <w:color w:val="auto"/>
                <w:w w:val="94"/>
              </w:rPr>
              <w:t>873,000</w:t>
            </w:r>
          </w:p>
        </w:tc>
        <w:tc>
          <w:tcPr>
            <w:tcW w:w="16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2"/>
              </w:rPr>
              <w:t>2022 – 2049</w:t>
            </w:r>
          </w:p>
        </w:tc>
      </w:tr>
      <w:tr>
        <w:trPr>
          <w:trHeight w:val="173"/>
        </w:trPr>
        <w:tc>
          <w:tcPr>
            <w:tcW w:w="7200" w:type="dxa"/>
            <w:vAlign w:val="bottom"/>
            <w:shd w:val="clear" w:color="auto" w:fill="CCEEFF"/>
          </w:tcPr>
          <w:p>
            <w:pPr>
              <w:spacing w:after="0"/>
              <w:rPr>
                <w:sz w:val="20"/>
                <w:szCs w:val="20"/>
                <w:color w:val="auto"/>
              </w:rPr>
            </w:pPr>
            <w:r>
              <w:rPr>
                <w:rFonts w:ascii="Arial" w:cs="Arial" w:eastAsia="Arial" w:hAnsi="Arial"/>
                <w:sz w:val="14"/>
                <w:szCs w:val="14"/>
                <w:color w:val="auto"/>
              </w:rPr>
              <w:t>New Zealand</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202,000</w:t>
            </w:r>
          </w:p>
        </w:tc>
        <w:tc>
          <w:tcPr>
            <w:tcW w:w="160" w:type="dxa"/>
            <w:vAlign w:val="bottom"/>
            <w:shd w:val="clear" w:color="auto" w:fill="CCEEFF"/>
          </w:tcPr>
          <w:p>
            <w:pPr>
              <w:spacing w:after="0"/>
              <w:rPr>
                <w:sz w:val="15"/>
                <w:szCs w:val="15"/>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2023 – 2040</w:t>
            </w:r>
          </w:p>
        </w:tc>
      </w:tr>
    </w:tbl>
    <w:p>
      <w:pPr>
        <w:spacing w:after="0" w:line="130"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In certain cases, we have long-term leases that we view more akin to real estate investments than cinema leases. As of December 31, 2021, we had approximately 90,000 square feet of space subject to such long-term leases, which are reported as part of our Cinema Exhibition segment, detailed as follows:</w:t>
      </w:r>
    </w:p>
    <w:tbl>
      <w:tblPr>
        <w:tblLayout w:type="fixed"/>
        <w:tblInd w:w="0" w:type="dxa"/>
        <w:tblCellMar>
          <w:top w:w="0" w:type="dxa"/>
          <w:left w:w="0" w:type="dxa"/>
          <w:bottom w:w="0" w:type="dxa"/>
          <w:right w:w="0" w:type="dxa"/>
        </w:tblCellMar>
      </w:tblPr>
      <w:tr>
        <w:trPr>
          <w:trHeight w:val="124"/>
        </w:trPr>
        <w:tc>
          <w:tcPr>
            <w:tcW w:w="5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gridSpan w:val="2"/>
          </w:tcPr>
          <w:p>
            <w:pPr>
              <w:jc w:val="center"/>
              <w:ind w:right="180"/>
              <w:spacing w:after="0" w:line="124" w:lineRule="exact"/>
              <w:rPr>
                <w:sz w:val="20"/>
                <w:szCs w:val="20"/>
                <w:color w:val="auto"/>
              </w:rPr>
            </w:pPr>
            <w:r>
              <w:rPr>
                <w:rFonts w:ascii="Arial" w:cs="Arial" w:eastAsia="Arial" w:hAnsi="Arial"/>
                <w:sz w:val="12"/>
                <w:szCs w:val="12"/>
                <w:b w:val="1"/>
                <w:bCs w:val="1"/>
                <w:color w:val="auto"/>
                <w:w w:val="87"/>
              </w:rPr>
              <w:t>Square Feet of Improvements</w:t>
            </w:r>
          </w:p>
        </w:tc>
        <w:tc>
          <w:tcPr>
            <w:tcW w:w="1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147"/>
        </w:trPr>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(rental/</w:t>
            </w:r>
          </w:p>
        </w:tc>
        <w:tc>
          <w:tcPr>
            <w:tcW w:w="16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3"/>
              </w:rPr>
              <w:t>Percentage</w:t>
            </w:r>
          </w:p>
        </w:tc>
        <w:tc>
          <w:tcPr>
            <w:tcW w:w="120" w:type="dxa"/>
            <w:vAlign w:val="bottom"/>
          </w:tcPr>
          <w:p>
            <w:pPr>
              <w:spacing w:after="0"/>
              <w:rPr>
                <w:sz w:val="12"/>
                <w:szCs w:val="12"/>
                <w:color w:val="auto"/>
              </w:rPr>
            </w:pPr>
          </w:p>
        </w:tc>
        <w:tc>
          <w:tcPr>
            <w:tcW w:w="1460" w:type="dxa"/>
            <w:vAlign w:val="bottom"/>
          </w:tcPr>
          <w:p>
            <w:pPr>
              <w:jc w:val="right"/>
              <w:ind w:right="319"/>
              <w:spacing w:after="0" w:line="148" w:lineRule="exact"/>
              <w:rPr>
                <w:sz w:val="20"/>
                <w:szCs w:val="20"/>
                <w:color w:val="auto"/>
              </w:rPr>
            </w:pPr>
            <w:r>
              <w:rPr>
                <w:rFonts w:ascii="Arial" w:cs="Arial" w:eastAsia="Arial" w:hAnsi="Arial"/>
                <w:sz w:val="11"/>
                <w:szCs w:val="11"/>
                <w:b w:val="1"/>
                <w:bCs w:val="1"/>
                <w:i w:val="1"/>
                <w:iCs w:val="1"/>
                <w:color w:val="auto"/>
              </w:rPr>
              <w:t>Net Book Value</w:t>
            </w:r>
            <w:r>
              <w:rPr>
                <w:rFonts w:ascii="Arial" w:cs="Arial" w:eastAsia="Arial" w:hAnsi="Arial"/>
                <w:sz w:val="17"/>
                <w:szCs w:val="17"/>
                <w:b w:val="1"/>
                <w:bCs w:val="1"/>
                <w:i w:val="1"/>
                <w:iCs w:val="1"/>
                <w:color w:val="auto"/>
                <w:vertAlign w:val="superscript"/>
              </w:rPr>
              <w:t>(3)</w:t>
            </w:r>
          </w:p>
        </w:tc>
      </w:tr>
      <w:tr>
        <w:trPr>
          <w:trHeight w:val="143"/>
        </w:trPr>
        <w:tc>
          <w:tcPr>
            <w:tcW w:w="6120" w:type="dxa"/>
            <w:vAlign w:val="bottom"/>
            <w:gridSpan w:val="2"/>
          </w:tcPr>
          <w:p>
            <w:pPr>
              <w:spacing w:after="0"/>
              <w:rPr>
                <w:sz w:val="20"/>
                <w:szCs w:val="20"/>
                <w:color w:val="auto"/>
              </w:rPr>
            </w:pPr>
            <w:r>
              <w:rPr>
                <w:rFonts w:ascii="Arial" w:cs="Arial" w:eastAsia="Arial" w:hAnsi="Arial"/>
                <w:sz w:val="12"/>
                <w:szCs w:val="12"/>
                <w:b w:val="1"/>
                <w:bCs w:val="1"/>
                <w:color w:val="auto"/>
              </w:rPr>
              <w:t>Property</w:t>
            </w:r>
          </w:p>
        </w:tc>
        <w:tc>
          <w:tcPr>
            <w:tcW w:w="1900" w:type="dxa"/>
            <w:vAlign w:val="bottom"/>
            <w:gridSpan w:val="2"/>
          </w:tcPr>
          <w:p>
            <w:pPr>
              <w:jc w:val="center"/>
              <w:ind w:right="160"/>
              <w:spacing w:after="0" w:line="141" w:lineRule="exact"/>
              <w:rPr>
                <w:sz w:val="20"/>
                <w:szCs w:val="20"/>
                <w:color w:val="auto"/>
              </w:rPr>
            </w:pPr>
            <w:r>
              <w:rPr>
                <w:rFonts w:ascii="Arial" w:cs="Arial" w:eastAsia="Arial" w:hAnsi="Arial"/>
                <w:sz w:val="10"/>
                <w:szCs w:val="10"/>
                <w:b w:val="1"/>
                <w:bCs w:val="1"/>
                <w:color w:val="auto"/>
              </w:rPr>
              <w:t>entertainment)</w:t>
            </w:r>
            <w:r>
              <w:rPr>
                <w:rFonts w:ascii="Arial" w:cs="Arial" w:eastAsia="Arial" w:hAnsi="Arial"/>
                <w:sz w:val="16"/>
                <w:szCs w:val="16"/>
                <w:b w:val="1"/>
                <w:bCs w:val="1"/>
                <w:color w:val="auto"/>
                <w:vertAlign w:val="superscript"/>
              </w:rPr>
              <w:t>(1)</w:t>
            </w:r>
          </w:p>
        </w:tc>
        <w:tc>
          <w:tcPr>
            <w:tcW w:w="1680" w:type="dxa"/>
            <w:vAlign w:val="bottom"/>
            <w:gridSpan w:val="2"/>
          </w:tcPr>
          <w:p>
            <w:pPr>
              <w:jc w:val="center"/>
              <w:ind w:right="140"/>
              <w:spacing w:after="0" w:line="141" w:lineRule="exact"/>
              <w:rPr>
                <w:sz w:val="20"/>
                <w:szCs w:val="20"/>
                <w:color w:val="auto"/>
              </w:rPr>
            </w:pPr>
            <w:r>
              <w:rPr>
                <w:rFonts w:ascii="Arial" w:cs="Arial" w:eastAsia="Arial" w:hAnsi="Arial"/>
                <w:sz w:val="10"/>
                <w:szCs w:val="10"/>
                <w:b w:val="1"/>
                <w:bCs w:val="1"/>
                <w:color w:val="auto"/>
                <w:w w:val="96"/>
              </w:rPr>
              <w:t>Leased</w:t>
            </w:r>
            <w:r>
              <w:rPr>
                <w:rFonts w:ascii="Arial" w:cs="Arial" w:eastAsia="Arial" w:hAnsi="Arial"/>
                <w:sz w:val="16"/>
                <w:szCs w:val="16"/>
                <w:b w:val="1"/>
                <w:bCs w:val="1"/>
                <w:color w:val="auto"/>
                <w:w w:val="96"/>
                <w:vertAlign w:val="superscript"/>
              </w:rPr>
              <w:t>(2)</w:t>
            </w:r>
          </w:p>
        </w:tc>
        <w:tc>
          <w:tcPr>
            <w:tcW w:w="120" w:type="dxa"/>
            <w:vAlign w:val="bottom"/>
          </w:tcPr>
          <w:p>
            <w:pPr>
              <w:spacing w:after="0"/>
              <w:rPr>
                <w:sz w:val="12"/>
                <w:szCs w:val="12"/>
                <w:color w:val="auto"/>
              </w:rPr>
            </w:pPr>
          </w:p>
        </w:tc>
        <w:tc>
          <w:tcPr>
            <w:tcW w:w="1460" w:type="dxa"/>
            <w:vAlign w:val="bottom"/>
          </w:tcPr>
          <w:p>
            <w:pPr>
              <w:jc w:val="right"/>
              <w:ind w:right="119"/>
              <w:spacing w:after="0"/>
              <w:rPr>
                <w:sz w:val="20"/>
                <w:szCs w:val="20"/>
                <w:color w:val="auto"/>
              </w:rPr>
            </w:pPr>
            <w:r>
              <w:rPr>
                <w:rFonts w:ascii="Arial" w:cs="Arial" w:eastAsia="Arial" w:hAnsi="Arial"/>
                <w:sz w:val="12"/>
                <w:szCs w:val="12"/>
                <w:i w:val="1"/>
                <w:iCs w:val="1"/>
                <w:color w:val="auto"/>
                <w:w w:val="92"/>
              </w:rPr>
              <w:t>(US Dollars in thousands)</w:t>
            </w:r>
          </w:p>
        </w:tc>
      </w:tr>
      <w:tr>
        <w:trPr>
          <w:trHeight w:val="130"/>
        </w:trPr>
        <w:tc>
          <w:tcPr>
            <w:tcW w:w="5960" w:type="dxa"/>
            <w:vAlign w:val="bottom"/>
            <w:tcBorders>
              <w:top w:val="single" w:sz="8" w:color="auto"/>
            </w:tcBorders>
          </w:tcPr>
          <w:p>
            <w:pPr>
              <w:spacing w:after="0" w:line="130" w:lineRule="exact"/>
              <w:rPr>
                <w:sz w:val="20"/>
                <w:szCs w:val="20"/>
                <w:color w:val="auto"/>
              </w:rPr>
            </w:pPr>
            <w:r>
              <w:rPr>
                <w:rFonts w:ascii="Arial" w:cs="Arial" w:eastAsia="Arial" w:hAnsi="Arial"/>
                <w:sz w:val="13"/>
                <w:szCs w:val="13"/>
                <w:b w:val="1"/>
                <w:bCs w:val="1"/>
                <w:color w:val="auto"/>
              </w:rPr>
              <w:t>In United States</w:t>
            </w:r>
          </w:p>
        </w:tc>
        <w:tc>
          <w:tcPr>
            <w:tcW w:w="160" w:type="dxa"/>
            <w:vAlign w:val="bottom"/>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r>
      <w:tr>
        <w:trPr>
          <w:trHeight w:val="130"/>
        </w:trPr>
        <w:tc>
          <w:tcPr>
            <w:tcW w:w="61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3"/>
                <w:szCs w:val="13"/>
                <w:color w:val="auto"/>
              </w:rPr>
              <w:t>Manville</w:t>
            </w:r>
          </w:p>
        </w:tc>
        <w:tc>
          <w:tcPr>
            <w:tcW w:w="1740" w:type="dxa"/>
            <w:vAlign w:val="bottom"/>
            <w:shd w:val="clear" w:color="auto" w:fill="CCEEFF"/>
          </w:tcPr>
          <w:p>
            <w:pPr>
              <w:jc w:val="right"/>
              <w:ind w:right="541"/>
              <w:spacing w:after="0" w:line="130" w:lineRule="exact"/>
              <w:rPr>
                <w:sz w:val="20"/>
                <w:szCs w:val="20"/>
                <w:color w:val="auto"/>
              </w:rPr>
            </w:pPr>
            <w:r>
              <w:rPr>
                <w:rFonts w:ascii="Arial" w:cs="Arial" w:eastAsia="Arial" w:hAnsi="Arial"/>
                <w:sz w:val="13"/>
                <w:szCs w:val="13"/>
                <w:color w:val="auto"/>
              </w:rPr>
              <w:t>0 / 46,000</w:t>
            </w:r>
          </w:p>
        </w:tc>
        <w:tc>
          <w:tcPr>
            <w:tcW w:w="16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3"/>
                <w:szCs w:val="13"/>
                <w:i w:val="1"/>
                <w:iCs w:val="1"/>
                <w:color w:val="auto"/>
                <w:w w:val="88"/>
              </w:rPr>
              <w:t>n/a</w:t>
            </w:r>
          </w:p>
        </w:tc>
        <w:tc>
          <w:tcPr>
            <w:tcW w:w="12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10,040</w:t>
            </w:r>
          </w:p>
        </w:tc>
      </w:tr>
      <w:tr>
        <w:trPr>
          <w:trHeight w:val="130"/>
        </w:trPr>
        <w:tc>
          <w:tcPr>
            <w:tcW w:w="612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In Australia</w:t>
            </w:r>
          </w:p>
        </w:tc>
        <w:tc>
          <w:tcPr>
            <w:tcW w:w="1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30"/>
        </w:trPr>
        <w:tc>
          <w:tcPr>
            <w:tcW w:w="61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3"/>
                <w:szCs w:val="13"/>
                <w:color w:val="auto"/>
              </w:rPr>
              <w:t>Waurn Ponds</w:t>
            </w:r>
          </w:p>
        </w:tc>
        <w:tc>
          <w:tcPr>
            <w:tcW w:w="1740" w:type="dxa"/>
            <w:vAlign w:val="bottom"/>
            <w:shd w:val="clear" w:color="auto" w:fill="CCEEFF"/>
          </w:tcPr>
          <w:p>
            <w:pPr>
              <w:jc w:val="right"/>
              <w:ind w:right="441"/>
              <w:spacing w:after="0" w:line="130" w:lineRule="exact"/>
              <w:rPr>
                <w:sz w:val="20"/>
                <w:szCs w:val="20"/>
                <w:color w:val="auto"/>
              </w:rPr>
            </w:pPr>
            <w:r>
              <w:rPr>
                <w:rFonts w:ascii="Arial" w:cs="Arial" w:eastAsia="Arial" w:hAnsi="Arial"/>
                <w:sz w:val="13"/>
                <w:szCs w:val="13"/>
                <w:color w:val="auto"/>
              </w:rPr>
              <w:t>6,000 / 38,000</w:t>
            </w:r>
          </w:p>
        </w:tc>
        <w:tc>
          <w:tcPr>
            <w:tcW w:w="160" w:type="dxa"/>
            <w:vAlign w:val="bottom"/>
            <w:shd w:val="clear" w:color="auto" w:fill="CCEEFF"/>
          </w:tcPr>
          <w:p>
            <w:pPr>
              <w:spacing w:after="0"/>
              <w:rPr>
                <w:sz w:val="11"/>
                <w:szCs w:val="11"/>
                <w:color w:val="auto"/>
              </w:rPr>
            </w:pPr>
          </w:p>
        </w:tc>
        <w:tc>
          <w:tcPr>
            <w:tcW w:w="1520" w:type="dxa"/>
            <w:vAlign w:val="bottom"/>
            <w:shd w:val="clear" w:color="auto" w:fill="CCEEFF"/>
          </w:tcPr>
          <w:p>
            <w:pPr>
              <w:jc w:val="center"/>
              <w:spacing w:after="0" w:line="130" w:lineRule="exact"/>
              <w:rPr>
                <w:sz w:val="20"/>
                <w:szCs w:val="20"/>
                <w:color w:val="auto"/>
              </w:rPr>
            </w:pPr>
            <w:r>
              <w:rPr>
                <w:rFonts w:ascii="Arial" w:cs="Arial" w:eastAsia="Arial" w:hAnsi="Arial"/>
                <w:sz w:val="13"/>
                <w:szCs w:val="13"/>
                <w:color w:val="auto"/>
                <w:w w:val="90"/>
              </w:rPr>
              <w:t>100%</w:t>
            </w:r>
          </w:p>
        </w:tc>
        <w:tc>
          <w:tcPr>
            <w:tcW w:w="1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46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rPr>
              <w:t>10,948</w:t>
            </w:r>
          </w:p>
        </w:tc>
      </w:tr>
      <w:tr>
        <w:trPr>
          <w:trHeight w:val="123"/>
        </w:trPr>
        <w:tc>
          <w:tcPr>
            <w:tcW w:w="6120" w:type="dxa"/>
            <w:vAlign w:val="bottom"/>
            <w:gridSpan w:val="2"/>
          </w:tcPr>
          <w:p>
            <w:pPr>
              <w:spacing w:after="0" w:line="121" w:lineRule="exact"/>
              <w:rPr>
                <w:sz w:val="20"/>
                <w:szCs w:val="20"/>
                <w:color w:val="auto"/>
              </w:rPr>
            </w:pPr>
            <w:r>
              <w:rPr>
                <w:rFonts w:ascii="Arial" w:cs="Arial" w:eastAsia="Arial" w:hAnsi="Arial"/>
                <w:sz w:val="13"/>
                <w:szCs w:val="13"/>
                <w:b w:val="1"/>
                <w:bCs w:val="1"/>
                <w:color w:val="auto"/>
              </w:rPr>
              <w:t>TOTAL</w:t>
            </w:r>
          </w:p>
        </w:tc>
        <w:tc>
          <w:tcPr>
            <w:tcW w:w="1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46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3"/>
                <w:szCs w:val="13"/>
                <w:b w:val="1"/>
                <w:bCs w:val="1"/>
                <w:color w:val="auto"/>
              </w:rPr>
              <w:t>20,988</w:t>
            </w:r>
          </w:p>
        </w:tc>
      </w:tr>
    </w:tbl>
    <w:p>
      <w:pPr>
        <w:spacing w:after="0" w:line="136" w:lineRule="exact"/>
        <w:rPr>
          <w:sz w:val="20"/>
          <w:szCs w:val="20"/>
          <w:color w:val="auto"/>
        </w:rPr>
      </w:pPr>
    </w:p>
    <w:p>
      <w:pPr>
        <w:ind w:left="520" w:right="60" w:hanging="253"/>
        <w:spacing w:after="0" w:line="216" w:lineRule="auto"/>
        <w:tabs>
          <w:tab w:leader="none" w:pos="5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Rental square footage refers to the amount of area available to be rented to third parties. A number of our real estate holdings include entertainment components rented to one or more of our subsidiaries at fair market rent. The rental area to such subsidiaries is noted under the entertainment square footage.</w:t>
      </w:r>
    </w:p>
    <w:p>
      <w:pPr>
        <w:ind w:left="520" w:hanging="253"/>
        <w:spacing w:after="0" w:line="207" w:lineRule="auto"/>
        <w:tabs>
          <w:tab w:leader="none" w:pos="5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the percentage of rental square footage currently leased to third parties.</w:t>
      </w:r>
    </w:p>
    <w:p>
      <w:pPr>
        <w:ind w:left="520" w:hanging="253"/>
        <w:spacing w:after="0" w:line="238" w:lineRule="auto"/>
        <w:tabs>
          <w:tab w:leader="none" w:pos="5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Refers to the net carrying value of the leasehold property presented as “Operating Property” in our Consolidated Balance Sheet as of December 31, 2021 (net of any impairments recorded).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AND DEVELOPMENT PROPERTY</w:t>
      </w:r>
    </w:p>
    <w:p>
      <w:pPr>
        <w:spacing w:after="0" w:line="147" w:lineRule="exact"/>
        <w:rPr>
          <w:sz w:val="20"/>
          <w:szCs w:val="20"/>
          <w:color w:val="auto"/>
        </w:rPr>
      </w:pPr>
    </w:p>
    <w:p>
      <w:pPr>
        <w:jc w:val="both"/>
        <w:ind w:right="260"/>
        <w:spacing w:after="0" w:line="242" w:lineRule="auto"/>
        <w:rPr>
          <w:sz w:val="20"/>
          <w:szCs w:val="20"/>
          <w:color w:val="auto"/>
        </w:rPr>
      </w:pPr>
      <w:r>
        <w:rPr>
          <w:rFonts w:ascii="Arial" w:cs="Arial" w:eastAsia="Arial" w:hAnsi="Arial"/>
          <w:sz w:val="14"/>
          <w:szCs w:val="14"/>
          <w:color w:val="auto"/>
        </w:rPr>
        <w:t>We are engaged in several investment and development projects relative to our currently undeveloped parcels of land. In addition, we are currently executing, or still pursuing to execute, our redevelopment plans on several of our existing developed properties to take them to their highest and best use. The following table summarizes our investment and development projects as of December 31, 2021:</w:t>
      </w:r>
    </w:p>
    <w:tbl>
      <w:tblPr>
        <w:tblLayout w:type="fixed"/>
        <w:tblInd w:w="0" w:type="dxa"/>
        <w:tblCellMar>
          <w:top w:w="0" w:type="dxa"/>
          <w:left w:w="0" w:type="dxa"/>
          <w:bottom w:w="0" w:type="dxa"/>
          <w:right w:w="0" w:type="dxa"/>
        </w:tblCellMar>
      </w:tblPr>
      <w:tr>
        <w:trPr>
          <w:trHeight w:val="135"/>
        </w:trPr>
        <w:tc>
          <w:tcPr>
            <w:tcW w:w="7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center"/>
              <w:ind w:left="82"/>
              <w:spacing w:after="0" w:line="135" w:lineRule="exact"/>
              <w:rPr>
                <w:sz w:val="20"/>
                <w:szCs w:val="20"/>
                <w:color w:val="auto"/>
              </w:rPr>
            </w:pPr>
            <w:r>
              <w:rPr>
                <w:rFonts w:ascii="Arial" w:cs="Arial" w:eastAsia="Arial" w:hAnsi="Arial"/>
                <w:sz w:val="12"/>
                <w:szCs w:val="12"/>
                <w:b w:val="1"/>
                <w:bCs w:val="1"/>
                <w:color w:val="auto"/>
                <w:w w:val="87"/>
              </w:rPr>
              <w:t>Net Book</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7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jc w:val="center"/>
              <w:ind w:left="102"/>
              <w:spacing w:after="0" w:line="121" w:lineRule="exact"/>
              <w:rPr>
                <w:sz w:val="20"/>
                <w:szCs w:val="20"/>
                <w:color w:val="auto"/>
              </w:rPr>
            </w:pPr>
            <w:r>
              <w:rPr>
                <w:rFonts w:ascii="Arial" w:cs="Arial" w:eastAsia="Arial" w:hAnsi="Arial"/>
                <w:sz w:val="12"/>
                <w:szCs w:val="12"/>
                <w:b w:val="1"/>
                <w:bCs w:val="1"/>
                <w:color w:val="auto"/>
                <w:w w:val="87"/>
              </w:rPr>
              <w:t>Value</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0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Property</w:t>
            </w:r>
          </w:p>
        </w:tc>
        <w:tc>
          <w:tcPr>
            <w:tcW w:w="1800" w:type="dxa"/>
            <w:vAlign w:val="bottom"/>
            <w:gridSpan w:val="3"/>
            <w:vMerge w:val="restart"/>
          </w:tcPr>
          <w:p>
            <w:pPr>
              <w:jc w:val="center"/>
              <w:ind w:right="311"/>
              <w:spacing w:after="0"/>
              <w:rPr>
                <w:sz w:val="20"/>
                <w:szCs w:val="20"/>
                <w:color w:val="auto"/>
              </w:rPr>
            </w:pPr>
            <w:r>
              <w:rPr>
                <w:rFonts w:ascii="Arial" w:cs="Arial" w:eastAsia="Arial" w:hAnsi="Arial"/>
                <w:sz w:val="12"/>
                <w:szCs w:val="12"/>
                <w:b w:val="1"/>
                <w:bCs w:val="1"/>
                <w:color w:val="auto"/>
                <w:w w:val="84"/>
              </w:rPr>
              <w:t>Acreage</w:t>
            </w:r>
          </w:p>
        </w:tc>
        <w:tc>
          <w:tcPr>
            <w:tcW w:w="920" w:type="dxa"/>
            <w:vAlign w:val="bottom"/>
          </w:tcPr>
          <w:p>
            <w:pPr>
              <w:jc w:val="center"/>
              <w:ind w:left="102"/>
              <w:spacing w:after="0" w:line="120" w:lineRule="exact"/>
              <w:rPr>
                <w:sz w:val="20"/>
                <w:szCs w:val="20"/>
                <w:color w:val="auto"/>
              </w:rPr>
            </w:pPr>
            <w:r>
              <w:rPr>
                <w:rFonts w:ascii="Arial" w:cs="Arial" w:eastAsia="Arial" w:hAnsi="Arial"/>
                <w:sz w:val="12"/>
                <w:szCs w:val="12"/>
                <w:i w:val="1"/>
                <w:iCs w:val="1"/>
                <w:color w:val="auto"/>
                <w:w w:val="91"/>
              </w:rPr>
              <w:t>(US Dollars</w:t>
            </w:r>
          </w:p>
        </w:tc>
        <w:tc>
          <w:tcPr>
            <w:tcW w:w="400" w:type="dxa"/>
            <w:vAlign w:val="bottom"/>
          </w:tcPr>
          <w:p>
            <w:pPr>
              <w:spacing w:after="0"/>
              <w:rPr>
                <w:sz w:val="10"/>
                <w:szCs w:val="10"/>
                <w:color w:val="auto"/>
              </w:rPr>
            </w:pPr>
          </w:p>
        </w:tc>
        <w:tc>
          <w:tcPr>
            <w:tcW w:w="50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Status</w:t>
            </w:r>
          </w:p>
        </w:tc>
        <w:tc>
          <w:tcPr>
            <w:tcW w:w="0" w:type="dxa"/>
            <w:vAlign w:val="bottom"/>
          </w:tcPr>
          <w:p>
            <w:pPr>
              <w:spacing w:after="0"/>
              <w:rPr>
                <w:sz w:val="1"/>
                <w:szCs w:val="1"/>
                <w:color w:val="auto"/>
              </w:rPr>
            </w:pPr>
          </w:p>
        </w:tc>
      </w:tr>
      <w:tr>
        <w:trPr>
          <w:trHeight w:val="136"/>
        </w:trPr>
        <w:tc>
          <w:tcPr>
            <w:tcW w:w="3080" w:type="dxa"/>
            <w:vAlign w:val="bottom"/>
            <w:gridSpan w:val="3"/>
            <w:vMerge w:val="continue"/>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920" w:type="dxa"/>
            <w:vAlign w:val="bottom"/>
          </w:tcPr>
          <w:p>
            <w:pPr>
              <w:jc w:val="center"/>
              <w:ind w:left="82"/>
              <w:spacing w:after="0" w:line="135" w:lineRule="exact"/>
              <w:rPr>
                <w:sz w:val="20"/>
                <w:szCs w:val="20"/>
                <w:color w:val="auto"/>
              </w:rPr>
            </w:pPr>
            <w:r>
              <w:rPr>
                <w:rFonts w:ascii="Arial" w:cs="Arial" w:eastAsia="Arial" w:hAnsi="Arial"/>
                <w:sz w:val="12"/>
                <w:szCs w:val="12"/>
                <w:i w:val="1"/>
                <w:iCs w:val="1"/>
                <w:color w:val="auto"/>
                <w:w w:val="85"/>
              </w:rPr>
              <w:t>in thousands)</w:t>
            </w:r>
          </w:p>
        </w:tc>
        <w:tc>
          <w:tcPr>
            <w:tcW w:w="400" w:type="dxa"/>
            <w:vAlign w:val="bottom"/>
          </w:tcPr>
          <w:p>
            <w:pPr>
              <w:spacing w:after="0"/>
              <w:rPr>
                <w:sz w:val="11"/>
                <w:szCs w:val="11"/>
                <w:color w:val="auto"/>
              </w:rPr>
            </w:pPr>
          </w:p>
        </w:tc>
        <w:tc>
          <w:tcPr>
            <w:tcW w:w="5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0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New Zealand</w:t>
            </w:r>
          </w:p>
        </w:tc>
        <w:tc>
          <w:tcPr>
            <w:tcW w:w="80" w:type="dxa"/>
            <w:vAlign w:val="bottom"/>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740" w:type="dxa"/>
            <w:vAlign w:val="bottom"/>
            <w:shd w:val="clear" w:color="auto" w:fill="000000"/>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308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Courtenay Central, Wellington</w:t>
            </w:r>
          </w:p>
        </w:tc>
        <w:tc>
          <w:tcPr>
            <w:tcW w:w="1440" w:type="dxa"/>
            <w:vAlign w:val="bottom"/>
            <w:shd w:val="clear" w:color="auto" w:fill="CCEEFF"/>
          </w:tcPr>
          <w:p>
            <w:pPr>
              <w:jc w:val="right"/>
              <w:ind w:right="579"/>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8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 xml:space="preserve">9,570  See </w:t>
            </w:r>
            <w:r>
              <w:rPr>
                <w:rFonts w:ascii="Arial" w:cs="Arial" w:eastAsia="Arial" w:hAnsi="Arial"/>
                <w:sz w:val="13"/>
                <w:szCs w:val="13"/>
                <w:i w:val="1"/>
                <w:iCs w:val="1"/>
                <w:color w:val="auto"/>
              </w:rPr>
              <w:t>Item 7 - Business Overview &amp; Recent Developments</w:t>
            </w:r>
          </w:p>
        </w:tc>
        <w:tc>
          <w:tcPr>
            <w:tcW w:w="0" w:type="dxa"/>
            <w:vAlign w:val="bottom"/>
          </w:tcPr>
          <w:p>
            <w:pPr>
              <w:spacing w:after="0"/>
              <w:rPr>
                <w:sz w:val="1"/>
                <w:szCs w:val="1"/>
                <w:color w:val="auto"/>
              </w:rPr>
            </w:pPr>
          </w:p>
        </w:tc>
      </w:tr>
      <w:tr>
        <w:trPr>
          <w:trHeight w:val="133"/>
        </w:trPr>
        <w:tc>
          <w:tcPr>
            <w:tcW w:w="3080" w:type="dxa"/>
            <w:vAlign w:val="bottom"/>
            <w:gridSpan w:val="3"/>
          </w:tcPr>
          <w:p>
            <w:pPr>
              <w:spacing w:after="0" w:line="132" w:lineRule="exact"/>
              <w:rPr>
                <w:sz w:val="20"/>
                <w:szCs w:val="20"/>
                <w:color w:val="auto"/>
              </w:rPr>
            </w:pPr>
            <w:r>
              <w:rPr>
                <w:rFonts w:ascii="Arial" w:cs="Arial" w:eastAsia="Arial" w:hAnsi="Arial"/>
                <w:sz w:val="13"/>
                <w:szCs w:val="13"/>
                <w:b w:val="1"/>
                <w:bCs w:val="1"/>
                <w:color w:val="auto"/>
              </w:rPr>
              <w:t>TOTAL</w:t>
            </w: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rPr>
              <w:t>9,570</w:t>
            </w:r>
          </w:p>
        </w:tc>
        <w:tc>
          <w:tcPr>
            <w:tcW w:w="10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120"/>
        <w:spacing w:after="0" w:line="242" w:lineRule="auto"/>
        <w:rPr>
          <w:sz w:val="20"/>
          <w:szCs w:val="20"/>
          <w:color w:val="auto"/>
        </w:rPr>
      </w:pPr>
      <w:r>
        <w:rPr>
          <w:rFonts w:ascii="Arial" w:cs="Arial" w:eastAsia="Arial" w:hAnsi="Arial"/>
          <w:sz w:val="14"/>
          <w:szCs w:val="14"/>
          <w:color w:val="auto"/>
        </w:rPr>
        <w:t xml:space="preserve">Some of our income producing properties and our investment and development properties carry various debt encumbrances based on their income streams and geographic locations. For an explanation of our debt and the associated security collateral please see </w:t>
      </w:r>
      <w:r>
        <w:rPr>
          <w:rFonts w:ascii="Arial" w:cs="Arial" w:eastAsia="Arial" w:hAnsi="Arial"/>
          <w:sz w:val="14"/>
          <w:szCs w:val="14"/>
          <w:i w:val="1"/>
          <w:iCs w:val="1"/>
          <w:color w:val="auto"/>
        </w:rPr>
        <w:t>Part II, Item 8 – Financial Statements and Supplementary Data—Notes to Consolidated Financial Statements--Note 11 –</w:t>
      </w:r>
      <w:r>
        <w:rPr>
          <w:rFonts w:ascii="Arial" w:cs="Arial" w:eastAsia="Arial" w:hAnsi="Arial"/>
          <w:sz w:val="14"/>
          <w:szCs w:val="14"/>
          <w:color w:val="auto"/>
        </w:rPr>
        <w:t xml:space="preserve"> </w:t>
      </w:r>
      <w:r>
        <w:rPr>
          <w:rFonts w:ascii="Arial" w:cs="Arial" w:eastAsia="Arial" w:hAnsi="Arial"/>
          <w:sz w:val="14"/>
          <w:szCs w:val="14"/>
          <w:i w:val="1"/>
          <w:iCs w:val="1"/>
          <w:color w:val="auto"/>
        </w:rPr>
        <w:t>Borrowings</w:t>
      </w:r>
      <w:r>
        <w:rPr>
          <w:rFonts w:ascii="Arial" w:cs="Arial" w:eastAsia="Arial" w:hAnsi="Arial"/>
          <w:sz w:val="14"/>
          <w:szCs w:val="14"/>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AND ADMINISTRATIVE OFFICES</w:t>
      </w:r>
    </w:p>
    <w:p>
      <w:pPr>
        <w:spacing w:after="0" w:line="147"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In the United States, we occupy approximately 3,500 square feet at our Village East leasehold property in New York for administrative purposes and our principal executive offices. We occupy approximately 12,500 square feet of our Culver City office building for administrative purposes. The remainder of the building is leased to an unrelated third-party.</w:t>
      </w:r>
    </w:p>
    <w:p>
      <w:pPr>
        <w:spacing w:after="0" w:line="109" w:lineRule="exact"/>
        <w:rPr>
          <w:sz w:val="20"/>
          <w:szCs w:val="20"/>
          <w:color w:val="auto"/>
        </w:rPr>
      </w:pPr>
    </w:p>
    <w:p>
      <w:pPr>
        <w:ind w:right="180"/>
        <w:spacing w:after="0" w:line="237" w:lineRule="auto"/>
        <w:rPr>
          <w:sz w:val="20"/>
          <w:szCs w:val="20"/>
          <w:color w:val="auto"/>
        </w:rPr>
      </w:pPr>
      <w:r>
        <w:rPr>
          <w:rFonts w:ascii="Arial" w:cs="Arial" w:eastAsia="Arial" w:hAnsi="Arial"/>
          <w:sz w:val="14"/>
          <w:szCs w:val="14"/>
          <w:color w:val="auto"/>
        </w:rPr>
        <w:t>In Australia, we own an 8,300 square foot office building in Melbourne, Australia, approximately 5,000 square feet of which serve as the administrative office for our Australian and New Zealand operations (the remainder being leased to an unrelated third party). We have approximately 5,400 square feet of office space located in our Courtenay Central ETC in Wellington, New Zealand, which is currently closed due to seismic concerns. This office space used to house our accounting personnel and certain IT and operational personnel who are working remotely in the meantime.</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PROPERTY INTERESTS AND INVESTMENTS</w:t>
      </w:r>
    </w:p>
    <w:p>
      <w:pPr>
        <w:spacing w:after="0" w:line="147" w:lineRule="exact"/>
        <w:rPr>
          <w:sz w:val="20"/>
          <w:szCs w:val="20"/>
          <w:color w:val="auto"/>
        </w:rPr>
      </w:pPr>
    </w:p>
    <w:p>
      <w:pPr>
        <w:ind w:right="140"/>
        <w:spacing w:after="0" w:line="235" w:lineRule="auto"/>
        <w:rPr>
          <w:sz w:val="20"/>
          <w:szCs w:val="20"/>
          <w:color w:val="auto"/>
        </w:rPr>
      </w:pPr>
      <w:r>
        <w:rPr>
          <w:rFonts w:ascii="Arial" w:cs="Arial" w:eastAsia="Arial" w:hAnsi="Arial"/>
          <w:sz w:val="14"/>
          <w:szCs w:val="14"/>
          <w:color w:val="auto"/>
        </w:rPr>
        <w:t>We own the fee interests in various parcels related to our historic railroad operations, currently comprised of 197-acres principally in Pennsylvania. These acres consist primarily of vacant land. With the exception of certain properties located in Philadelphia (including</w:t>
      </w:r>
    </w:p>
    <w:p>
      <w:pPr>
        <w:jc w:val="center"/>
        <w:spacing w:after="0"/>
        <w:rPr>
          <w:sz w:val="20"/>
          <w:szCs w:val="20"/>
          <w:color w:val="auto"/>
        </w:rPr>
      </w:pPr>
      <w:r>
        <w:rPr>
          <w:rFonts w:ascii="Arial" w:cs="Arial" w:eastAsia="Arial" w:hAnsi="Arial"/>
          <w:sz w:val="14"/>
          <w:szCs w:val="14"/>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66" w:right="319" w:bottom="1440" w:gutter="0" w:footer="0" w:header="0"/>
        </w:sectPr>
      </w:pPr>
    </w:p>
    <w:bookmarkStart w:id="31" w:name="page32"/>
    <w:bookmarkEnd w:id="31"/>
    <w:p>
      <w:pPr>
        <w:spacing w:after="0"/>
        <w:rPr>
          <w:sz w:val="20"/>
          <w:szCs w:val="20"/>
          <w:color w:val="auto"/>
        </w:rPr>
      </w:pPr>
      <w:r>
        <w:rPr>
          <w:rFonts w:ascii="Arial" w:cs="Arial" w:eastAsia="Arial" w:hAnsi="Arial"/>
          <w:sz w:val="13"/>
          <w:szCs w:val="13"/>
          <w:color w:val="auto"/>
        </w:rPr>
        <w:t>the raised railroad bed near Center City, known as the Reading Viaduct), the properties are principally located in rural areas of Pennsylvania. These properties are unencumbered by any debt.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3 – Legal Proceedings</w:t>
      </w:r>
    </w:p>
    <w:p>
      <w:pPr>
        <w:spacing w:after="0" w:line="122"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 xml:space="preserve">The information required under </w:t>
      </w:r>
      <w:r>
        <w:rPr>
          <w:rFonts w:ascii="Arial" w:cs="Arial" w:eastAsia="Arial" w:hAnsi="Arial"/>
          <w:sz w:val="14"/>
          <w:szCs w:val="14"/>
          <w:i w:val="1"/>
          <w:iCs w:val="1"/>
          <w:color w:val="auto"/>
        </w:rPr>
        <w:t>Part I, Item 3 – Legal Proceedings</w:t>
      </w:r>
      <w:r>
        <w:rPr>
          <w:rFonts w:ascii="Arial" w:cs="Arial" w:eastAsia="Arial" w:hAnsi="Arial"/>
          <w:sz w:val="14"/>
          <w:szCs w:val="14"/>
          <w:color w:val="auto"/>
        </w:rPr>
        <w:t xml:space="preserve"> is incorporated by reference to the information contained in </w:t>
      </w:r>
      <w:r>
        <w:rPr>
          <w:rFonts w:ascii="Arial" w:cs="Arial" w:eastAsia="Arial" w:hAnsi="Arial"/>
          <w:sz w:val="14"/>
          <w:szCs w:val="14"/>
          <w:i w:val="1"/>
          <w:iCs w:val="1"/>
          <w:color w:val="auto"/>
        </w:rPr>
        <w:t>Note 13 – Commitments and Contingencies</w:t>
      </w:r>
      <w:r>
        <w:rPr>
          <w:rFonts w:ascii="Arial" w:cs="Arial" w:eastAsia="Arial" w:hAnsi="Arial"/>
          <w:sz w:val="14"/>
          <w:szCs w:val="14"/>
          <w:color w:val="auto"/>
        </w:rPr>
        <w:t xml:space="preserve"> to the Consolidated Financial Statements included herein in </w:t>
      </w:r>
      <w:r>
        <w:rPr>
          <w:rFonts w:ascii="Arial" w:cs="Arial" w:eastAsia="Arial" w:hAnsi="Arial"/>
          <w:sz w:val="14"/>
          <w:szCs w:val="14"/>
          <w:i w:val="1"/>
          <w:iCs w:val="1"/>
          <w:color w:val="auto"/>
        </w:rPr>
        <w:t>Part II, Item 8 – Financial Statements and Supplementary Data</w:t>
      </w:r>
      <w:r>
        <w:rPr>
          <w:rFonts w:ascii="Arial" w:cs="Arial" w:eastAsia="Arial" w:hAnsi="Arial"/>
          <w:sz w:val="14"/>
          <w:szCs w:val="14"/>
          <w:color w:val="auto"/>
        </w:rPr>
        <w:t xml:space="preserve"> on this Annual Report on Form 10-K.</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4 – Mine Safety Disclosures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u w:val="single" w:color="auto"/>
          <w:color w:val="auto"/>
        </w:rPr>
        <w:t>PART II</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5 – Market for Registrant’s Common Equity, Related Stockholder Matters and Issuer Purchases of Equity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Our common stock is traded on the NASDAQ under the symbols RDI (Class A Stock) and RDIB (Class B Stock).</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As of March 14, 2022, the approximate number of common stockholders of record was 369 for Class A Stock and 51, for Class B Stock.</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We have never declared a cash dividend on either class of our common stock, and we have no current plans to declare a dividend.</w:t>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060"/>
          </w:cols>
          <w:pgMar w:left="300" w:top="118" w:right="5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color w:val="auto"/>
        </w:rPr>
        <w:t>Performance Graph</w:t>
      </w:r>
    </w:p>
    <w:p>
      <w:pPr>
        <w:spacing w:after="0" w:line="147" w:lineRule="exact"/>
        <w:rPr>
          <w:sz w:val="20"/>
          <w:szCs w:val="20"/>
          <w:color w:val="auto"/>
        </w:rPr>
      </w:pPr>
    </w:p>
    <w:p>
      <w:pPr>
        <w:ind w:right="20"/>
        <w:spacing w:after="0" w:line="235" w:lineRule="auto"/>
        <w:rPr>
          <w:sz w:val="20"/>
          <w:szCs w:val="20"/>
          <w:color w:val="auto"/>
        </w:rPr>
      </w:pPr>
      <w:r>
        <w:rPr>
          <w:rFonts w:ascii="Arial" w:cs="Arial" w:eastAsia="Arial" w:hAnsi="Arial"/>
          <w:sz w:val="14"/>
          <w:szCs w:val="14"/>
          <w:color w:val="auto"/>
        </w:rPr>
        <w:t>The following line graph compares the cumulative total stockholder return on RDI’s Class A Stock for the five-year period ended December 31, 2021 against the cumulative total return as calculated by the NASDAQ composite, a peer group of public companies engaged in the motion picture theater operator industry and a peer group of public companies engaged in the real estate operator industry. Measurement points are the last trading day for each of the five-years ended December 31, 2021. The graph assumes that $100 was invested on December 31, 2016 in our Class A Stock, the NASDAQ composite and the noted peer groups, and assumes reinvestment of any dividends. The stock price performance on the following graph is not necessarily indicative of future stock price performance.</w:t>
      </w:r>
    </w:p>
    <w:p>
      <w:pPr>
        <w:spacing w:after="0" w:line="122"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The following performance graph shall not be deemed to be “filed” for purposes of Section 18 of the Exchange Act, nor shall this information be incorporated by reference into any future filing under the Securities Act or the Exchange Act, except to the extent that we specifically incorporate it by reference into a filing.</w:t>
      </w:r>
    </w:p>
    <w:p>
      <w:pPr>
        <w:spacing w:after="0" w:line="109"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Reading underperformed in 2021 compared to the market due to the COVID-19 pandemic and its aftermath, delayed releases of movies and/or movies going straight to streaming or PVOD, and a weakening foreign currency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83185</wp:posOffset>
            </wp:positionV>
            <wp:extent cx="4873625" cy="40544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73625" cy="4054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266"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color w:val="auto"/>
        </w:rPr>
        <w:t>UNREGISTERED SALES OF EQUITY SECURITIES</w:t>
      </w:r>
    </w:p>
    <w:p>
      <w:pPr>
        <w:spacing w:after="0" w:line="147"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Between December 14, 2020 and December 16, 2020, the Company awarded 114,803 non-transferable restricted stock units to certain members of the management team and other key employees pursuant to the 2020 Stock Incentive Plan; each restricted stock unit is subject to time-based vesting restrictions, and in some cases the satisfaction of certain performance criteria, and once vested will be convertible into one share of the Company's Class A Stock. The awards were compensatory in nature without cost to the officers and were made pursuant to exemptions from registration under the Securities Act of 1933, including Regulation D.</w:t>
      </w:r>
    </w:p>
    <w:p>
      <w:pPr>
        <w:spacing w:after="0" w:line="119" w:lineRule="exact"/>
        <w:rPr>
          <w:sz w:val="20"/>
          <w:szCs w:val="20"/>
          <w:color w:val="auto"/>
        </w:rPr>
      </w:pPr>
    </w:p>
    <w:p>
      <w:pPr>
        <w:ind w:right="5100"/>
        <w:spacing w:after="0" w:line="454" w:lineRule="auto"/>
        <w:rPr>
          <w:sz w:val="20"/>
          <w:szCs w:val="20"/>
          <w:color w:val="auto"/>
        </w:rPr>
      </w:pPr>
      <w:r>
        <w:rPr>
          <w:rFonts w:ascii="Arial" w:cs="Arial" w:eastAsia="Arial" w:hAnsi="Arial"/>
          <w:sz w:val="14"/>
          <w:szCs w:val="14"/>
          <w:b w:val="1"/>
          <w:bCs w:val="1"/>
          <w:color w:val="auto"/>
        </w:rPr>
        <w:t xml:space="preserve">REPURCHASE OF EQUITY SECURITIES BY THE ISSUER AND AFFILIATED PURCHASERS </w:t>
      </w:r>
      <w:r>
        <w:rPr>
          <w:rFonts w:ascii="Arial" w:cs="Arial" w:eastAsia="Arial" w:hAnsi="Arial"/>
          <w:sz w:val="14"/>
          <w:szCs w:val="14"/>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6 – Selected Financial Data</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Part II, Item 6 is no longer required as the Company has adopted certain provisions within the amendments to Regulation S-K that eliminate 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auto"/>
        </w:rPr>
        <w:t>Item 7 –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159625" cy="1860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186055"/>
                    </a:xfrm>
                    <a:prstGeom prst="rect">
                      <a:avLst/>
                    </a:prstGeom>
                    <a:noFill/>
                  </pic:spPr>
                </pic:pic>
              </a:graphicData>
            </a:graphic>
          </wp:anchor>
        </w:drawing>
      </w:r>
    </w:p>
    <w:p>
      <w:pPr>
        <w:spacing w:after="0" w:line="183" w:lineRule="exact"/>
        <w:rPr>
          <w:sz w:val="20"/>
          <w:szCs w:val="20"/>
          <w:color w:val="auto"/>
        </w:rPr>
      </w:pPr>
    </w:p>
    <w:p>
      <w:pPr>
        <w:ind w:left="100" w:right="280"/>
        <w:spacing w:after="0" w:line="253" w:lineRule="auto"/>
        <w:rPr>
          <w:sz w:val="20"/>
          <w:szCs w:val="20"/>
          <w:color w:val="auto"/>
        </w:rPr>
      </w:pPr>
      <w:r>
        <w:rPr>
          <w:rFonts w:ascii="Arial" w:cs="Arial" w:eastAsia="Arial" w:hAnsi="Arial"/>
          <w:sz w:val="10"/>
          <w:szCs w:val="10"/>
          <w:i w:val="1"/>
          <w:iCs w:val="1"/>
          <w:color w:val="auto"/>
        </w:rPr>
        <w:t>This MD&amp;A should be read in conjunction with the accompanying consolidated financial statements included in Part II, Item 8 (Financial Statements and Supplementary Data). The foregoing discussions and analyses contain certain forward-looking statements. Please refer to the “Cautionary Statement Regarding Forward-Looking Statements” included as a preface in Part I, Item 1A – Risk Factors of this 2021 Form 10-K.</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820" w:type="dxa"/>
            <w:vAlign w:val="bottom"/>
            <w:gridSpan w:val="10"/>
          </w:tcPr>
          <w:p>
            <w:pPr>
              <w:spacing w:after="0"/>
              <w:rPr>
                <w:sz w:val="20"/>
                <w:szCs w:val="20"/>
                <w:color w:val="auto"/>
              </w:rPr>
            </w:pPr>
            <w:r>
              <w:rPr>
                <w:rFonts w:ascii="Arial" w:cs="Arial" w:eastAsia="Arial" w:hAnsi="Arial"/>
                <w:sz w:val="12"/>
                <w:szCs w:val="12"/>
                <w:b w:val="1"/>
                <w:bCs w:val="1"/>
                <w:color w:val="auto"/>
              </w:rPr>
              <w:t>INDEX</w:t>
            </w:r>
          </w:p>
        </w:tc>
        <w:tc>
          <w:tcPr>
            <w:tcW w:w="4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3"/>
              </w:rPr>
              <w:t>Page</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3"/>
        </w:trPr>
        <w:tc>
          <w:tcPr>
            <w:tcW w:w="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0000FF"/>
            </w:tcBorders>
            <w:gridSpan w:val="2"/>
            <w:shd w:val="clear" w:color="auto" w:fill="CCEEFF"/>
          </w:tcPr>
          <w:p>
            <w:pPr>
              <w:spacing w:after="0" w:line="121" w:lineRule="exact"/>
              <w:rPr>
                <w:rFonts w:ascii="Arial" w:cs="Arial" w:eastAsia="Arial" w:hAnsi="Arial"/>
                <w:sz w:val="14"/>
                <w:szCs w:val="14"/>
                <w:color w:val="0000FF"/>
                <w:w w:val="90"/>
              </w:rPr>
            </w:pPr>
            <w:hyperlink w:anchor="page35">
              <w:r>
                <w:rPr>
                  <w:rFonts w:ascii="Arial" w:cs="Arial" w:eastAsia="Arial" w:hAnsi="Arial"/>
                  <w:sz w:val="14"/>
                  <w:szCs w:val="14"/>
                  <w:color w:val="0000FF"/>
                  <w:w w:val="90"/>
                </w:rPr>
                <w:t>Our Business</w:t>
              </w:r>
            </w:hyperlink>
          </w:p>
        </w:tc>
        <w:tc>
          <w:tcPr>
            <w:tcW w:w="10040" w:type="dxa"/>
            <w:vAlign w:val="bottom"/>
            <w:tcBorders>
              <w:bottom w:val="single" w:sz="8" w:color="CCEEFF"/>
            </w:tcBorders>
            <w:gridSpan w:val="8"/>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jc w:val="center"/>
              <w:spacing w:after="0" w:line="121" w:lineRule="exact"/>
              <w:rPr>
                <w:sz w:val="20"/>
                <w:szCs w:val="20"/>
                <w:color w:val="auto"/>
              </w:rPr>
            </w:pPr>
            <w:r>
              <w:rPr>
                <w:rFonts w:ascii="Arial" w:cs="Arial" w:eastAsia="Arial" w:hAnsi="Arial"/>
                <w:sz w:val="14"/>
                <w:szCs w:val="14"/>
                <w:color w:val="auto"/>
              </w:rPr>
              <w:t>34</w:t>
            </w:r>
          </w:p>
        </w:tc>
        <w:tc>
          <w:tcPr>
            <w:tcW w:w="200" w:type="dxa"/>
            <w:vAlign w:val="bottom"/>
            <w:tcBorders>
              <w:bottom w:val="single" w:sz="8" w:color="CCEEFF"/>
            </w:tcBorders>
            <w:shd w:val="clear" w:color="auto" w:fill="CCEEFF"/>
          </w:tcPr>
          <w:p>
            <w:pPr>
              <w:spacing w:after="0"/>
              <w:rPr>
                <w:sz w:val="10"/>
                <w:szCs w:val="10"/>
                <w:color w:val="auto"/>
              </w:rPr>
            </w:pPr>
          </w:p>
        </w:tc>
      </w:tr>
      <w:tr>
        <w:trPr>
          <w:trHeight w:val="132"/>
        </w:trPr>
        <w:tc>
          <w:tcPr>
            <w:tcW w:w="20" w:type="dxa"/>
            <w:vAlign w:val="bottom"/>
          </w:tcPr>
          <w:p>
            <w:pPr>
              <w:spacing w:after="0"/>
              <w:rPr>
                <w:sz w:val="11"/>
                <w:szCs w:val="11"/>
                <w:color w:val="auto"/>
              </w:rPr>
            </w:pPr>
          </w:p>
        </w:tc>
        <w:tc>
          <w:tcPr>
            <w:tcW w:w="10820" w:type="dxa"/>
            <w:vAlign w:val="bottom"/>
            <w:gridSpan w:val="10"/>
          </w:tcPr>
          <w:p>
            <w:pPr>
              <w:spacing w:after="0" w:line="130" w:lineRule="exact"/>
              <w:rPr>
                <w:rFonts w:ascii="Arial" w:cs="Arial" w:eastAsia="Arial" w:hAnsi="Arial"/>
                <w:sz w:val="14"/>
                <w:szCs w:val="14"/>
                <w:color w:val="0000FF"/>
              </w:rPr>
            </w:pPr>
            <w:hyperlink w:anchor="page36">
              <w:r>
                <w:rPr>
                  <w:rFonts w:ascii="Arial" w:cs="Arial" w:eastAsia="Arial" w:hAnsi="Arial"/>
                  <w:sz w:val="14"/>
                  <w:szCs w:val="14"/>
                  <w:color w:val="0000FF"/>
                </w:rPr>
                <w:t>Recent Developments</w:t>
              </w:r>
            </w:hyperlink>
          </w:p>
        </w:tc>
        <w:tc>
          <w:tcPr>
            <w:tcW w:w="240" w:type="dxa"/>
            <w:vAlign w:val="bottom"/>
          </w:tcPr>
          <w:p>
            <w:pPr>
              <w:jc w:val="center"/>
              <w:spacing w:after="0" w:line="130" w:lineRule="exact"/>
              <w:rPr>
                <w:sz w:val="20"/>
                <w:szCs w:val="20"/>
                <w:color w:val="auto"/>
              </w:rPr>
            </w:pPr>
            <w:r>
              <w:rPr>
                <w:rFonts w:ascii="Arial" w:cs="Arial" w:eastAsia="Arial" w:hAnsi="Arial"/>
                <w:sz w:val="14"/>
                <w:szCs w:val="14"/>
                <w:color w:val="auto"/>
              </w:rPr>
              <w:t>35</w:t>
            </w:r>
          </w:p>
        </w:tc>
        <w:tc>
          <w:tcPr>
            <w:tcW w:w="200" w:type="dxa"/>
            <w:vAlign w:val="bottom"/>
          </w:tcPr>
          <w:p>
            <w:pPr>
              <w:spacing w:after="0"/>
              <w:rPr>
                <w:sz w:val="11"/>
                <w:szCs w:val="11"/>
                <w:color w:val="auto"/>
              </w:rPr>
            </w:pPr>
          </w:p>
        </w:tc>
      </w:tr>
      <w:tr>
        <w:trPr>
          <w:trHeight w:val="130"/>
        </w:trPr>
        <w:tc>
          <w:tcPr>
            <w:tcW w:w="20" w:type="dxa"/>
            <w:vAlign w:val="bottom"/>
            <w:shd w:val="clear" w:color="auto" w:fill="CCEEFF"/>
          </w:tcPr>
          <w:p>
            <w:pPr>
              <w:spacing w:after="0"/>
              <w:rPr>
                <w:sz w:val="11"/>
                <w:szCs w:val="11"/>
                <w:color w:val="auto"/>
              </w:rPr>
            </w:pPr>
          </w:p>
        </w:tc>
        <w:tc>
          <w:tcPr>
            <w:tcW w:w="1260" w:type="dxa"/>
            <w:vAlign w:val="bottom"/>
            <w:tcBorders>
              <w:top w:val="single" w:sz="8" w:color="0000FF"/>
              <w:right w:val="single" w:sz="8" w:color="CCEEFF"/>
            </w:tcBorders>
            <w:gridSpan w:val="3"/>
            <w:shd w:val="clear" w:color="auto" w:fill="CCEEFF"/>
          </w:tcPr>
          <w:p>
            <w:pPr>
              <w:spacing w:after="0" w:line="130" w:lineRule="exact"/>
              <w:rPr>
                <w:sz w:val="20"/>
                <w:szCs w:val="20"/>
                <w:color w:val="auto"/>
              </w:rPr>
            </w:pPr>
            <w:r>
              <w:rPr>
                <w:rFonts w:ascii="Arial" w:cs="Arial" w:eastAsia="Arial" w:hAnsi="Arial"/>
                <w:sz w:val="14"/>
                <w:szCs w:val="14"/>
                <w:color w:val="0000FF"/>
                <w:w w:val="90"/>
              </w:rPr>
              <w:t>Results of Operations</w:t>
            </w:r>
          </w:p>
        </w:tc>
        <w:tc>
          <w:tcPr>
            <w:tcW w:w="9560" w:type="dxa"/>
            <w:vAlign w:val="bottom"/>
            <w:gridSpan w:val="7"/>
            <w:shd w:val="clear" w:color="auto" w:fill="CCEEFF"/>
          </w:tcPr>
          <w:p>
            <w:pPr>
              <w:spacing w:after="0"/>
              <w:rPr>
                <w:sz w:val="11"/>
                <w:szCs w:val="11"/>
                <w:color w:val="auto"/>
              </w:rPr>
            </w:pPr>
          </w:p>
        </w:tc>
        <w:tc>
          <w:tcPr>
            <w:tcW w:w="2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39</w:t>
            </w:r>
          </w:p>
        </w:tc>
        <w:tc>
          <w:tcPr>
            <w:tcW w:w="200" w:type="dxa"/>
            <w:vAlign w:val="bottom"/>
            <w:shd w:val="clear" w:color="auto" w:fill="CCEEFF"/>
          </w:tcPr>
          <w:p>
            <w:pPr>
              <w:spacing w:after="0"/>
              <w:rPr>
                <w:sz w:val="11"/>
                <w:szCs w:val="1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right w:val="single" w:sz="8" w:color="CCEEFF"/>
            </w:tcBorders>
            <w:shd w:val="clear" w:color="auto" w:fill="0000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7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480" w:type="dxa"/>
            <w:vAlign w:val="bottom"/>
            <w:tcBorders>
              <w:bottom w:val="single" w:sz="8" w:color="0000FF"/>
            </w:tcBorders>
            <w:gridSpan w:val="8"/>
          </w:tcPr>
          <w:p>
            <w:pPr>
              <w:spacing w:after="0" w:line="130" w:lineRule="exact"/>
              <w:rPr>
                <w:rFonts w:ascii="Arial" w:cs="Arial" w:eastAsia="Arial" w:hAnsi="Arial"/>
                <w:sz w:val="14"/>
                <w:szCs w:val="14"/>
                <w:color w:val="0000FF"/>
                <w:w w:val="90"/>
              </w:rPr>
            </w:pPr>
            <w:hyperlink w:anchor="page41">
              <w:r>
                <w:rPr>
                  <w:rFonts w:ascii="Arial" w:cs="Arial" w:eastAsia="Arial" w:hAnsi="Arial"/>
                  <w:sz w:val="14"/>
                  <w:szCs w:val="14"/>
                  <w:color w:val="0000FF"/>
                  <w:w w:val="90"/>
                </w:rPr>
                <w:t>Business Segment Results – 2021 vs. 2020</w:t>
              </w:r>
            </w:hyperlink>
          </w:p>
        </w:tc>
        <w:tc>
          <w:tcPr>
            <w:tcW w:w="8340" w:type="dxa"/>
            <w:vAlign w:val="bottom"/>
            <w:gridSpan w:val="2"/>
          </w:tcPr>
          <w:p>
            <w:pPr>
              <w:spacing w:after="0"/>
              <w:rPr>
                <w:sz w:val="11"/>
                <w:szCs w:val="11"/>
                <w:color w:val="auto"/>
              </w:rPr>
            </w:pPr>
          </w:p>
        </w:tc>
        <w:tc>
          <w:tcPr>
            <w:tcW w:w="240" w:type="dxa"/>
            <w:vAlign w:val="bottom"/>
          </w:tcPr>
          <w:p>
            <w:pPr>
              <w:jc w:val="center"/>
              <w:spacing w:after="0" w:line="130" w:lineRule="exact"/>
              <w:rPr>
                <w:sz w:val="20"/>
                <w:szCs w:val="20"/>
                <w:color w:val="auto"/>
              </w:rPr>
            </w:pPr>
            <w:r>
              <w:rPr>
                <w:rFonts w:ascii="Arial" w:cs="Arial" w:eastAsia="Arial" w:hAnsi="Arial"/>
                <w:sz w:val="14"/>
                <w:szCs w:val="14"/>
                <w:color w:val="auto"/>
              </w:rPr>
              <w:t>40</w:t>
            </w:r>
          </w:p>
        </w:tc>
        <w:tc>
          <w:tcPr>
            <w:tcW w:w="200" w:type="dxa"/>
            <w:vAlign w:val="bottom"/>
          </w:tcPr>
          <w:p>
            <w:pPr>
              <w:spacing w:after="0"/>
              <w:rPr>
                <w:sz w:val="11"/>
                <w:szCs w:val="11"/>
                <w:color w:val="auto"/>
              </w:rPr>
            </w:pPr>
          </w:p>
        </w:tc>
      </w:tr>
      <w:tr>
        <w:trPr>
          <w:trHeight w:val="132"/>
        </w:trPr>
        <w:tc>
          <w:tcPr>
            <w:tcW w:w="20" w:type="dxa"/>
            <w:vAlign w:val="bottom"/>
            <w:shd w:val="clear" w:color="auto" w:fill="CCEEFF"/>
          </w:tcPr>
          <w:p>
            <w:pPr>
              <w:spacing w:after="0"/>
              <w:rPr>
                <w:sz w:val="11"/>
                <w:szCs w:val="11"/>
                <w:color w:val="auto"/>
              </w:rPr>
            </w:pPr>
          </w:p>
        </w:tc>
        <w:tc>
          <w:tcPr>
            <w:tcW w:w="10820" w:type="dxa"/>
            <w:vAlign w:val="bottom"/>
            <w:gridSpan w:val="10"/>
            <w:shd w:val="clear" w:color="auto" w:fill="CCEEFF"/>
          </w:tcPr>
          <w:p>
            <w:pPr>
              <w:spacing w:after="0" w:line="130" w:lineRule="exact"/>
              <w:rPr>
                <w:rFonts w:ascii="Arial" w:cs="Arial" w:eastAsia="Arial" w:hAnsi="Arial"/>
                <w:sz w:val="14"/>
                <w:szCs w:val="14"/>
                <w:color w:val="0000FF"/>
              </w:rPr>
            </w:pPr>
            <w:hyperlink w:anchor="page47">
              <w:r>
                <w:rPr>
                  <w:rFonts w:ascii="Arial" w:cs="Arial" w:eastAsia="Arial" w:hAnsi="Arial"/>
                  <w:sz w:val="14"/>
                  <w:szCs w:val="14"/>
                  <w:color w:val="0000FF"/>
                </w:rPr>
                <w:t>Non-Segment Results – 2021 vs. 2020</w:t>
              </w:r>
            </w:hyperlink>
          </w:p>
        </w:tc>
        <w:tc>
          <w:tcPr>
            <w:tcW w:w="2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46</w:t>
            </w:r>
          </w:p>
        </w:tc>
        <w:tc>
          <w:tcPr>
            <w:tcW w:w="200" w:type="dxa"/>
            <w:vAlign w:val="bottom"/>
            <w:shd w:val="clear" w:color="auto" w:fill="CCEEFF"/>
          </w:tcPr>
          <w:p>
            <w:pPr>
              <w:spacing w:after="0"/>
              <w:rPr>
                <w:sz w:val="11"/>
                <w:szCs w:val="11"/>
                <w:color w:val="auto"/>
              </w:rPr>
            </w:pPr>
          </w:p>
        </w:tc>
      </w:tr>
      <w:tr>
        <w:trPr>
          <w:trHeight w:val="130"/>
        </w:trPr>
        <w:tc>
          <w:tcPr>
            <w:tcW w:w="20" w:type="dxa"/>
            <w:vAlign w:val="bottom"/>
            <w:tcBorders>
              <w:top w:val="single" w:sz="8" w:color="CCEEFF"/>
            </w:tcBorders>
          </w:tcPr>
          <w:p>
            <w:pPr>
              <w:spacing w:after="0"/>
              <w:rPr>
                <w:sz w:val="11"/>
                <w:szCs w:val="11"/>
                <w:color w:val="auto"/>
              </w:rPr>
            </w:pPr>
          </w:p>
        </w:tc>
        <w:tc>
          <w:tcPr>
            <w:tcW w:w="2220" w:type="dxa"/>
            <w:vAlign w:val="bottom"/>
            <w:tcBorders>
              <w:top w:val="single" w:sz="8" w:color="0000FF"/>
            </w:tcBorders>
            <w:gridSpan w:val="7"/>
          </w:tcPr>
          <w:p>
            <w:pPr>
              <w:spacing w:after="0" w:line="130" w:lineRule="exact"/>
              <w:rPr>
                <w:rFonts w:ascii="Arial" w:cs="Arial" w:eastAsia="Arial" w:hAnsi="Arial"/>
                <w:sz w:val="14"/>
                <w:szCs w:val="14"/>
                <w:color w:val="0000FF"/>
              </w:rPr>
            </w:pPr>
            <w:hyperlink w:anchor="page49">
              <w:r>
                <w:rPr>
                  <w:rFonts w:ascii="Arial" w:cs="Arial" w:eastAsia="Arial" w:hAnsi="Arial"/>
                  <w:sz w:val="14"/>
                  <w:szCs w:val="14"/>
                  <w:color w:val="0000FF"/>
                </w:rPr>
                <w:t>Liquidity and Capital Resources</w:t>
              </w:r>
            </w:hyperlink>
          </w:p>
        </w:tc>
        <w:tc>
          <w:tcPr>
            <w:tcW w:w="8600" w:type="dxa"/>
            <w:vAlign w:val="bottom"/>
            <w:tcBorders>
              <w:top w:val="single" w:sz="8" w:color="CCEEFF"/>
            </w:tcBorders>
            <w:gridSpan w:val="3"/>
          </w:tcPr>
          <w:p>
            <w:pPr>
              <w:spacing w:after="0"/>
              <w:rPr>
                <w:sz w:val="11"/>
                <w:szCs w:val="11"/>
                <w:color w:val="auto"/>
              </w:rPr>
            </w:pPr>
          </w:p>
        </w:tc>
        <w:tc>
          <w:tcPr>
            <w:tcW w:w="240" w:type="dxa"/>
            <w:vAlign w:val="bottom"/>
            <w:tcBorders>
              <w:top w:val="single" w:sz="8" w:color="CCEEFF"/>
            </w:tcBorders>
          </w:tcPr>
          <w:p>
            <w:pPr>
              <w:jc w:val="center"/>
              <w:spacing w:after="0" w:line="130" w:lineRule="exact"/>
              <w:rPr>
                <w:sz w:val="20"/>
                <w:szCs w:val="20"/>
                <w:color w:val="auto"/>
              </w:rPr>
            </w:pPr>
            <w:r>
              <w:rPr>
                <w:rFonts w:ascii="Arial" w:cs="Arial" w:eastAsia="Arial" w:hAnsi="Arial"/>
                <w:sz w:val="14"/>
                <w:szCs w:val="14"/>
                <w:color w:val="auto"/>
              </w:rPr>
              <w:t>48</w:t>
            </w:r>
          </w:p>
        </w:tc>
        <w:tc>
          <w:tcPr>
            <w:tcW w:w="200" w:type="dxa"/>
            <w:vAlign w:val="bottom"/>
            <w:tcBorders>
              <w:top w:val="single" w:sz="8" w:color="CCEEFF"/>
            </w:tcBorders>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32"/>
        </w:trPr>
        <w:tc>
          <w:tcPr>
            <w:tcW w:w="20" w:type="dxa"/>
            <w:vAlign w:val="bottom"/>
            <w:shd w:val="clear" w:color="auto" w:fill="CCEEFF"/>
          </w:tcPr>
          <w:p>
            <w:pPr>
              <w:spacing w:after="0"/>
              <w:rPr>
                <w:sz w:val="11"/>
                <w:szCs w:val="11"/>
                <w:color w:val="auto"/>
              </w:rPr>
            </w:pPr>
          </w:p>
        </w:tc>
        <w:tc>
          <w:tcPr>
            <w:tcW w:w="10820" w:type="dxa"/>
            <w:vAlign w:val="bottom"/>
            <w:gridSpan w:val="10"/>
            <w:shd w:val="clear" w:color="auto" w:fill="CCEEFF"/>
          </w:tcPr>
          <w:p>
            <w:pPr>
              <w:spacing w:after="0" w:line="130" w:lineRule="exact"/>
              <w:rPr>
                <w:rFonts w:ascii="Arial" w:cs="Arial" w:eastAsia="Arial" w:hAnsi="Arial"/>
                <w:sz w:val="14"/>
                <w:szCs w:val="14"/>
                <w:color w:val="0000FF"/>
              </w:rPr>
            </w:pPr>
            <w:hyperlink w:anchor="page51">
              <w:r>
                <w:rPr>
                  <w:rFonts w:ascii="Arial" w:cs="Arial" w:eastAsia="Arial" w:hAnsi="Arial"/>
                  <w:sz w:val="14"/>
                  <w:szCs w:val="14"/>
                  <w:color w:val="0000FF"/>
                </w:rPr>
                <w:t>Contractual Obligations, Commitments and Contingencies</w:t>
              </w:r>
            </w:hyperlink>
          </w:p>
        </w:tc>
        <w:tc>
          <w:tcPr>
            <w:tcW w:w="2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50</w:t>
            </w:r>
          </w:p>
        </w:tc>
        <w:tc>
          <w:tcPr>
            <w:tcW w:w="200" w:type="dxa"/>
            <w:vAlign w:val="bottom"/>
            <w:shd w:val="clear" w:color="auto" w:fill="CCEEFF"/>
          </w:tcPr>
          <w:p>
            <w:pPr>
              <w:spacing w:after="0"/>
              <w:rPr>
                <w:sz w:val="11"/>
                <w:szCs w:val="11"/>
                <w:color w:val="auto"/>
              </w:rPr>
            </w:pPr>
          </w:p>
        </w:tc>
      </w:tr>
      <w:tr>
        <w:trPr>
          <w:trHeight w:val="130"/>
        </w:trPr>
        <w:tc>
          <w:tcPr>
            <w:tcW w:w="20" w:type="dxa"/>
            <w:vAlign w:val="bottom"/>
            <w:tcBorders>
              <w:top w:val="single" w:sz="8" w:color="CCEEFF"/>
            </w:tcBorders>
          </w:tcPr>
          <w:p>
            <w:pPr>
              <w:spacing w:after="0"/>
              <w:rPr>
                <w:sz w:val="11"/>
                <w:szCs w:val="11"/>
                <w:color w:val="auto"/>
              </w:rPr>
            </w:pPr>
          </w:p>
        </w:tc>
        <w:tc>
          <w:tcPr>
            <w:tcW w:w="3380" w:type="dxa"/>
            <w:vAlign w:val="bottom"/>
            <w:tcBorders>
              <w:top w:val="single" w:sz="8" w:color="0000FF"/>
            </w:tcBorders>
            <w:gridSpan w:val="9"/>
          </w:tcPr>
          <w:p>
            <w:pPr>
              <w:spacing w:after="0" w:line="130" w:lineRule="exact"/>
              <w:rPr>
                <w:rFonts w:ascii="Arial" w:cs="Arial" w:eastAsia="Arial" w:hAnsi="Arial"/>
                <w:sz w:val="14"/>
                <w:szCs w:val="14"/>
                <w:color w:val="0000FF"/>
              </w:rPr>
            </w:pPr>
            <w:hyperlink w:anchor="page52">
              <w:r>
                <w:rPr>
                  <w:rFonts w:ascii="Arial" w:cs="Arial" w:eastAsia="Arial" w:hAnsi="Arial"/>
                  <w:sz w:val="14"/>
                  <w:szCs w:val="14"/>
                  <w:color w:val="0000FF"/>
                </w:rPr>
                <w:t>Financial Risk Management</w:t>
              </w:r>
            </w:hyperlink>
          </w:p>
        </w:tc>
        <w:tc>
          <w:tcPr>
            <w:tcW w:w="744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jc w:val="center"/>
              <w:spacing w:after="0" w:line="130" w:lineRule="exact"/>
              <w:rPr>
                <w:sz w:val="20"/>
                <w:szCs w:val="20"/>
                <w:color w:val="auto"/>
              </w:rPr>
            </w:pPr>
            <w:r>
              <w:rPr>
                <w:rFonts w:ascii="Arial" w:cs="Arial" w:eastAsia="Arial" w:hAnsi="Arial"/>
                <w:sz w:val="14"/>
                <w:szCs w:val="14"/>
                <w:color w:val="auto"/>
              </w:rPr>
              <w:t>51</w:t>
            </w:r>
          </w:p>
        </w:tc>
        <w:tc>
          <w:tcPr>
            <w:tcW w:w="200" w:type="dxa"/>
            <w:vAlign w:val="bottom"/>
            <w:tcBorders>
              <w:top w:val="single" w:sz="8" w:color="CCEEFF"/>
            </w:tcBorders>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32"/>
        </w:trPr>
        <w:tc>
          <w:tcPr>
            <w:tcW w:w="20" w:type="dxa"/>
            <w:vAlign w:val="bottom"/>
            <w:tcBorders>
              <w:bottom w:val="single" w:sz="8" w:color="CCEEFF"/>
            </w:tcBorders>
            <w:shd w:val="clear" w:color="auto" w:fill="CCEEFF"/>
          </w:tcPr>
          <w:p>
            <w:pPr>
              <w:spacing w:after="0"/>
              <w:rPr>
                <w:sz w:val="11"/>
                <w:szCs w:val="11"/>
                <w:color w:val="auto"/>
              </w:rPr>
            </w:pPr>
          </w:p>
        </w:tc>
        <w:tc>
          <w:tcPr>
            <w:tcW w:w="1740" w:type="dxa"/>
            <w:vAlign w:val="bottom"/>
            <w:tcBorders>
              <w:bottom w:val="single" w:sz="8" w:color="0000FF"/>
            </w:tcBorders>
            <w:gridSpan w:val="5"/>
            <w:shd w:val="clear" w:color="auto" w:fill="CCEEFF"/>
          </w:tcPr>
          <w:p>
            <w:pPr>
              <w:spacing w:after="0" w:line="130" w:lineRule="exact"/>
              <w:rPr>
                <w:rFonts w:ascii="Arial" w:cs="Arial" w:eastAsia="Arial" w:hAnsi="Arial"/>
                <w:sz w:val="14"/>
                <w:szCs w:val="14"/>
                <w:color w:val="0000FF"/>
                <w:w w:val="94"/>
              </w:rPr>
            </w:pPr>
            <w:hyperlink w:anchor="page52">
              <w:r>
                <w:rPr>
                  <w:rFonts w:ascii="Arial" w:cs="Arial" w:eastAsia="Arial" w:hAnsi="Arial"/>
                  <w:sz w:val="14"/>
                  <w:szCs w:val="14"/>
                  <w:color w:val="0000FF"/>
                  <w:w w:val="94"/>
                </w:rPr>
                <w:t>Critical Accounting Estimates</w:t>
              </w:r>
            </w:hyperlink>
          </w:p>
        </w:tc>
        <w:tc>
          <w:tcPr>
            <w:tcW w:w="9080" w:type="dxa"/>
            <w:vAlign w:val="bottom"/>
            <w:tcBorders>
              <w:bottom w:val="single" w:sz="8" w:color="CCEEFF"/>
            </w:tcBorders>
            <w:gridSpan w:val="5"/>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rPr>
              <w:t>51</w:t>
            </w:r>
          </w:p>
        </w:tc>
        <w:tc>
          <w:tcPr>
            <w:tcW w:w="200" w:type="dxa"/>
            <w:vAlign w:val="bottom"/>
            <w:tcBorders>
              <w:bottom w:val="single" w:sz="8" w:color="CCEEFF"/>
            </w:tcBorders>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715962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of the COVID-19 Pandemic</w:t>
      </w:r>
    </w:p>
    <w:p>
      <w:pPr>
        <w:spacing w:after="0" w:line="143" w:lineRule="exact"/>
        <w:rPr>
          <w:sz w:val="20"/>
          <w:szCs w:val="20"/>
          <w:color w:val="auto"/>
        </w:rPr>
      </w:pPr>
    </w:p>
    <w:p>
      <w:pPr>
        <w:ind w:right="120"/>
        <w:spacing w:after="0" w:line="237" w:lineRule="auto"/>
        <w:rPr>
          <w:sz w:val="20"/>
          <w:szCs w:val="20"/>
          <w:color w:val="auto"/>
        </w:rPr>
      </w:pPr>
      <w:r>
        <w:rPr>
          <w:rFonts w:ascii="Arial" w:cs="Arial" w:eastAsia="Arial" w:hAnsi="Arial"/>
          <w:sz w:val="14"/>
          <w:szCs w:val="14"/>
          <w:color w:val="auto"/>
        </w:rPr>
        <w:t>The COVID-19 pandemic has caused considerable economic instability all over the world, affecting our operations in the United States, Australia, and New Zealand. The pandemic has caused patrons to lessen their exposure to others by avoiding our cinemas and retail centers and, in the United States, our live theatres or other public places where large crowds would be in attendance. In March of 2020, we temporarily closed all of our Company’s cinemas in the United States, Australia, and New Zealand in accordance with the directions and recommendations of the relevant local, state and federal authorities. In the U.S., we also temporarily closed our live theatres.</w:t>
      </w:r>
    </w:p>
    <w:p>
      <w:pPr>
        <w:spacing w:after="0" w:line="123" w:lineRule="exact"/>
        <w:rPr>
          <w:sz w:val="20"/>
          <w:szCs w:val="20"/>
          <w:color w:val="auto"/>
        </w:rPr>
      </w:pPr>
    </w:p>
    <w:p>
      <w:pPr>
        <w:ind w:right="80"/>
        <w:spacing w:after="0" w:line="237" w:lineRule="auto"/>
        <w:rPr>
          <w:sz w:val="20"/>
          <w:szCs w:val="20"/>
          <w:color w:val="auto"/>
        </w:rPr>
      </w:pPr>
      <w:r>
        <w:rPr>
          <w:rFonts w:ascii="Arial" w:cs="Arial" w:eastAsia="Arial" w:hAnsi="Arial"/>
          <w:sz w:val="14"/>
          <w:szCs w:val="14"/>
          <w:color w:val="auto"/>
        </w:rPr>
        <w:t xml:space="preserve">Although cinema attendances are still below pre-pandemic levels, the industry has experienced a positive shift in box office results in 2021. The releases of blockbuster films, such as </w:t>
      </w:r>
      <w:r>
        <w:rPr>
          <w:rFonts w:ascii="Arial" w:cs="Arial" w:eastAsia="Arial" w:hAnsi="Arial"/>
          <w:sz w:val="14"/>
          <w:szCs w:val="14"/>
          <w:i w:val="1"/>
          <w:iCs w:val="1"/>
          <w:color w:val="auto"/>
        </w:rPr>
        <w:t>Spider-Man: No Way Home</w:t>
      </w:r>
      <w:r>
        <w:rPr>
          <w:rFonts w:ascii="Arial" w:cs="Arial" w:eastAsia="Arial" w:hAnsi="Arial"/>
          <w:sz w:val="14"/>
          <w:szCs w:val="14"/>
          <w:color w:val="auto"/>
        </w:rPr>
        <w:t>,</w:t>
      </w:r>
      <w:r>
        <w:rPr>
          <w:rFonts w:ascii="Arial" w:cs="Arial" w:eastAsia="Arial" w:hAnsi="Arial"/>
          <w:sz w:val="14"/>
          <w:szCs w:val="14"/>
          <w:i w:val="1"/>
          <w:iCs w:val="1"/>
          <w:color w:val="auto"/>
        </w:rPr>
        <w:t xml:space="preserve"> Venom: There Will Be Carnage</w:t>
      </w:r>
      <w:r>
        <w:rPr>
          <w:rFonts w:ascii="Arial" w:cs="Arial" w:eastAsia="Arial" w:hAnsi="Arial"/>
          <w:sz w:val="14"/>
          <w:szCs w:val="14"/>
          <w:color w:val="auto"/>
        </w:rPr>
        <w:t>, and</w:t>
      </w:r>
      <w:r>
        <w:rPr>
          <w:rFonts w:ascii="Arial" w:cs="Arial" w:eastAsia="Arial" w:hAnsi="Arial"/>
          <w:sz w:val="14"/>
          <w:szCs w:val="14"/>
          <w:i w:val="1"/>
          <w:iCs w:val="1"/>
          <w:color w:val="auto"/>
        </w:rPr>
        <w:t xml:space="preserve"> No Time To Die </w:t>
      </w:r>
      <w:r>
        <w:rPr>
          <w:rFonts w:ascii="Arial" w:cs="Arial" w:eastAsia="Arial" w:hAnsi="Arial"/>
          <w:sz w:val="14"/>
          <w:szCs w:val="14"/>
          <w:color w:val="auto"/>
        </w:rPr>
        <w:t>have provided optimism for the cinema industry. Since the onset of the pandemic, we experienced our first quarter of</w:t>
      </w:r>
      <w:r>
        <w:rPr>
          <w:rFonts w:ascii="Arial" w:cs="Arial" w:eastAsia="Arial" w:hAnsi="Arial"/>
          <w:sz w:val="14"/>
          <w:szCs w:val="14"/>
          <w:i w:val="1"/>
          <w:iCs w:val="1"/>
          <w:color w:val="auto"/>
        </w:rPr>
        <w:t xml:space="preserve"> </w:t>
      </w:r>
      <w:r>
        <w:rPr>
          <w:rFonts w:ascii="Arial" w:cs="Arial" w:eastAsia="Arial" w:hAnsi="Arial"/>
          <w:sz w:val="14"/>
          <w:szCs w:val="14"/>
          <w:color w:val="auto"/>
        </w:rPr>
        <w:t>positive operating results from our cinema operations in the fourth quarter of 2021. However, with the emergence of the Delta and Omicron variants, the uncertainty with the cinema industry has continued.</w:t>
      </w:r>
    </w:p>
    <w:p>
      <w:pPr>
        <w:spacing w:after="0" w:line="123"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No cinemas are currently closed due to the Delta or Omicron variant of COVID-19. As of the date of this 2021 Annual Report, one cinema in the United States and one cinema in New Zealand are closed due to reasons unrelated to the pandemic.</w:t>
      </w:r>
    </w:p>
    <w:p>
      <w:pPr>
        <w:spacing w:after="0" w:line="109" w:lineRule="exact"/>
        <w:rPr>
          <w:sz w:val="20"/>
          <w:szCs w:val="20"/>
          <w:color w:val="auto"/>
        </w:rPr>
      </w:pPr>
    </w:p>
    <w:p>
      <w:pPr>
        <w:ind w:right="40"/>
        <w:spacing w:after="0" w:line="235" w:lineRule="auto"/>
        <w:rPr>
          <w:sz w:val="20"/>
          <w:szCs w:val="20"/>
          <w:color w:val="auto"/>
        </w:rPr>
      </w:pPr>
      <w:r>
        <w:rPr>
          <w:rFonts w:ascii="Arial" w:cs="Arial" w:eastAsia="Arial" w:hAnsi="Arial"/>
          <w:sz w:val="14"/>
          <w:szCs w:val="14"/>
          <w:color w:val="auto"/>
        </w:rPr>
        <w:t>At the start of the spread of the COVID-19 pandemic, various trading restrictions, some enforced by the government, affected many of our unrelated third-party tenants at our ETC’s in Australia and New Zealand. Although there were varied trading restrictions, most of these properties remained open for business through the COVID-19 crisis. As of the date of this 2021 Annual Report, all of our tenants are currently open for business at our Australian and New Zealand properties with continued health and safety measures in place (with the exception of two tenants in Australia completing new fit outs). Most of the rentable retail portions of our Courtenay Central location in New Zealand continue to be closed due to seismic concerns, however, three tenants remain open and are trading as of the date of this 2021 Annual Report.</w:t>
      </w:r>
    </w:p>
    <w:p>
      <w:pPr>
        <w:spacing w:after="0" w:line="122" w:lineRule="exact"/>
        <w:rPr>
          <w:sz w:val="20"/>
          <w:szCs w:val="20"/>
          <w:color w:val="auto"/>
        </w:rPr>
      </w:pPr>
    </w:p>
    <w:p>
      <w:pPr>
        <w:jc w:val="both"/>
        <w:ind w:right="100"/>
        <w:spacing w:after="0" w:line="242" w:lineRule="auto"/>
        <w:rPr>
          <w:sz w:val="20"/>
          <w:szCs w:val="20"/>
          <w:color w:val="auto"/>
        </w:rPr>
      </w:pPr>
      <w:r>
        <w:rPr>
          <w:rFonts w:ascii="Arial" w:cs="Arial" w:eastAsia="Arial" w:hAnsi="Arial"/>
          <w:sz w:val="14"/>
          <w:szCs w:val="14"/>
          <w:color w:val="auto"/>
        </w:rPr>
        <w:t>We have and will continue to experience into 2022 significant impacts on our cinema exhibition and real estate businesses. We have and may continue to experience the negative influence of (i) delayed releases of certain major motion pictures and (ii) recent announcements from certain major exhibitors collaborating with certain major studios in agreements to shorten and/or eliminate the theatrical window.</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62"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color w:val="auto"/>
        </w:rPr>
        <w:t>RECENT DEVELOPMENTS</w:t>
      </w:r>
    </w:p>
    <w:p>
      <w:pPr>
        <w:spacing w:after="0" w:line="147"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 xml:space="preserve">Recent developments in our two business segments are discussed below. For an overview of our two business segments, including a breakdown of assets that we own and/or manage, please see </w:t>
      </w:r>
      <w:r>
        <w:rPr>
          <w:rFonts w:ascii="Arial" w:cs="Arial" w:eastAsia="Arial" w:hAnsi="Arial"/>
          <w:sz w:val="14"/>
          <w:szCs w:val="14"/>
          <w:i w:val="1"/>
          <w:iCs w:val="1"/>
          <w:color w:val="auto"/>
        </w:rPr>
        <w:t xml:space="preserve">Part I, Item 1 – Our Business </w:t>
      </w:r>
      <w:r>
        <w:rPr>
          <w:rFonts w:ascii="Arial" w:cs="Arial" w:eastAsia="Arial" w:hAnsi="Arial"/>
          <w:sz w:val="14"/>
          <w:szCs w:val="14"/>
          <w:color w:val="auto"/>
        </w:rPr>
        <w:t>of this 2021 Form 10-K.</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Cinema Exhibition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Key Performance Indicators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A key performance indicator utilized by management is food and beverage Spend Per Patron (“SPP”).</w:t>
      </w:r>
    </w:p>
    <w:p>
      <w:pPr>
        <w:spacing w:after="0" w:line="143"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One of our strategic priorities is upgrading the food and beverage menu at a number of our global cinemas. We use SPP as a measure of our performance as compared to the performance of our competitors, as well as a measure of the performance of our food and beverage operations. While ultimately, the profitability of our food and beverage operations depends on a variety of factors, including labor cost and cost of goods sold, we think that this calculation is important to show how well we are doing on a top line basis.</w:t>
      </w:r>
    </w:p>
    <w:p>
      <w:pPr>
        <w:spacing w:after="0" w:line="120"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Due to the lower attendances resulting from social distancing requirements, competition from other entertainment sources, the lack of new and compelling film product, and the reticence of customers to participate in social gatherings with third parties, management does not currently believe that a discussion of Reading’s key performance indicators will serve as a useful metric for stockholders. management intends to resume providing a discussion of our key performance indicators in future filings.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Cinema Additions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The latest additions to our cinema portfolio over the past three years ended December 31, 2021 are as follows: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Australia and New Zealand</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4"/>
          <w:szCs w:val="14"/>
          <w:i w:val="1"/>
          <w:iCs w:val="1"/>
          <w:u w:val="single" w:color="auto"/>
          <w:color w:val="auto"/>
        </w:rPr>
        <w:t>Traralgon, Victoria, Australia:</w:t>
      </w:r>
      <w:r>
        <w:rPr>
          <w:rFonts w:ascii="Arial" w:cs="Arial" w:eastAsia="Arial" w:hAnsi="Arial"/>
          <w:sz w:val="14"/>
          <w:szCs w:val="14"/>
          <w:i w:val="1"/>
          <w:iCs w:val="1"/>
          <w:color w:val="auto"/>
        </w:rPr>
        <w:t xml:space="preserve"> </w:t>
      </w:r>
      <w:r>
        <w:rPr>
          <w:rFonts w:ascii="Arial" w:cs="Arial" w:eastAsia="Arial" w:hAnsi="Arial"/>
          <w:sz w:val="14"/>
          <w:szCs w:val="14"/>
          <w:color w:val="auto"/>
        </w:rPr>
        <w:t>On December 15, 2021, we opened a new state-of-the-art five-screen Reading Cinemas in Traralgon, Victoria.</w:t>
      </w:r>
    </w:p>
    <w:p>
      <w:pPr>
        <w:spacing w:after="0" w:line="56" w:lineRule="exact"/>
        <w:rPr>
          <w:sz w:val="20"/>
          <w:szCs w:val="20"/>
          <w:color w:val="auto"/>
        </w:rPr>
      </w:pPr>
    </w:p>
    <w:p>
      <w:pPr>
        <w:ind w:left="520" w:right="200"/>
        <w:spacing w:after="0" w:line="258" w:lineRule="auto"/>
        <w:rPr>
          <w:sz w:val="20"/>
          <w:szCs w:val="20"/>
          <w:color w:val="auto"/>
        </w:rPr>
      </w:pPr>
      <w:r>
        <w:rPr>
          <w:rFonts w:ascii="Arial" w:cs="Arial" w:eastAsia="Arial" w:hAnsi="Arial"/>
          <w:sz w:val="14"/>
          <w:szCs w:val="14"/>
          <w:i w:val="1"/>
          <w:iCs w:val="1"/>
          <w:u w:val="single" w:color="auto"/>
          <w:color w:val="auto"/>
        </w:rPr>
        <w:t>Millers Junction, Victoria, Australia:</w:t>
      </w:r>
      <w:r>
        <w:rPr>
          <w:rFonts w:ascii="Arial" w:cs="Arial" w:eastAsia="Arial" w:hAnsi="Arial"/>
          <w:sz w:val="14"/>
          <w:szCs w:val="14"/>
          <w:i w:val="1"/>
          <w:iCs w:val="1"/>
          <w:color w:val="auto"/>
        </w:rPr>
        <w:t xml:space="preserve"> </w:t>
      </w:r>
      <w:r>
        <w:rPr>
          <w:rFonts w:ascii="Arial" w:cs="Arial" w:eastAsia="Arial" w:hAnsi="Arial"/>
          <w:sz w:val="14"/>
          <w:szCs w:val="14"/>
          <w:color w:val="auto"/>
        </w:rPr>
        <w:t>On June 16, 2021, we opened a new state-of-the-art six screen Reading Cinemas at the expanded Millers Junction Village featuring two TITAN</w:t>
      </w:r>
      <w:r>
        <w:rPr>
          <w:rFonts w:ascii="Arial" w:cs="Arial" w:eastAsia="Arial" w:hAnsi="Arial"/>
          <w:sz w:val="14"/>
          <w:szCs w:val="14"/>
          <w:i w:val="1"/>
          <w:iCs w:val="1"/>
          <w:color w:val="auto"/>
        </w:rPr>
        <w:t xml:space="preserve"> </w:t>
      </w:r>
      <w:r>
        <w:rPr>
          <w:rFonts w:ascii="Arial" w:cs="Arial" w:eastAsia="Arial" w:hAnsi="Arial"/>
          <w:sz w:val="14"/>
          <w:szCs w:val="14"/>
          <w:color w:val="auto"/>
        </w:rPr>
        <w:t>LUXE auditoriums with DOLBY ATMOS immersive sound, luxury recliner seating in all auditoriums, and an enhanced F&amp;B offering.</w:t>
      </w:r>
    </w:p>
    <w:p>
      <w:pPr>
        <w:spacing w:after="0" w:line="33" w:lineRule="exact"/>
        <w:rPr>
          <w:sz w:val="20"/>
          <w:szCs w:val="20"/>
          <w:color w:val="auto"/>
        </w:rPr>
      </w:pPr>
    </w:p>
    <w:p>
      <w:pPr>
        <w:ind w:left="520" w:right="200"/>
        <w:spacing w:after="0" w:line="258" w:lineRule="auto"/>
        <w:rPr>
          <w:sz w:val="20"/>
          <w:szCs w:val="20"/>
          <w:color w:val="auto"/>
        </w:rPr>
      </w:pPr>
      <w:r>
        <w:rPr>
          <w:rFonts w:ascii="Arial" w:cs="Arial" w:eastAsia="Arial" w:hAnsi="Arial"/>
          <w:sz w:val="14"/>
          <w:szCs w:val="14"/>
          <w:i w:val="1"/>
          <w:iCs w:val="1"/>
          <w:u w:val="single" w:color="auto"/>
          <w:color w:val="auto"/>
        </w:rPr>
        <w:t>Jindalee, Queensland, Australia:</w:t>
      </w:r>
      <w:r>
        <w:rPr>
          <w:rFonts w:ascii="Arial" w:cs="Arial" w:eastAsia="Arial" w:hAnsi="Arial"/>
          <w:sz w:val="14"/>
          <w:szCs w:val="14"/>
          <w:i w:val="1"/>
          <w:iCs w:val="1"/>
          <w:color w:val="auto"/>
        </w:rPr>
        <w:t xml:space="preserve"> </w:t>
      </w:r>
      <w:r>
        <w:rPr>
          <w:rFonts w:ascii="Arial" w:cs="Arial" w:eastAsia="Arial" w:hAnsi="Arial"/>
          <w:sz w:val="14"/>
          <w:szCs w:val="14"/>
          <w:color w:val="auto"/>
        </w:rPr>
        <w:t>On December 22, 2020, we opened a new state-of-the-art six-screen Reading Cinemas at Jindalee featuring a TITAN LUXE with DOLBY ATMOS</w:t>
      </w:r>
      <w:r>
        <w:rPr>
          <w:rFonts w:ascii="Arial" w:cs="Arial" w:eastAsia="Arial" w:hAnsi="Arial"/>
          <w:sz w:val="14"/>
          <w:szCs w:val="14"/>
          <w:i w:val="1"/>
          <w:iCs w:val="1"/>
          <w:color w:val="auto"/>
        </w:rPr>
        <w:t xml:space="preserve"> </w:t>
      </w:r>
      <w:r>
        <w:rPr>
          <w:rFonts w:ascii="Arial" w:cs="Arial" w:eastAsia="Arial" w:hAnsi="Arial"/>
          <w:sz w:val="14"/>
          <w:szCs w:val="14"/>
          <w:color w:val="auto"/>
        </w:rPr>
        <w:t>immersive sound, luxury recliner seating in all auditoriums, and newly curated enhanced food and beverage offering.</w:t>
      </w:r>
    </w:p>
    <w:p>
      <w:pPr>
        <w:spacing w:after="0" w:line="33" w:lineRule="exact"/>
        <w:rPr>
          <w:sz w:val="20"/>
          <w:szCs w:val="20"/>
          <w:color w:val="auto"/>
        </w:rPr>
      </w:pPr>
    </w:p>
    <w:p>
      <w:pPr>
        <w:ind w:left="520" w:right="80"/>
        <w:spacing w:after="0" w:line="258" w:lineRule="auto"/>
        <w:rPr>
          <w:sz w:val="20"/>
          <w:szCs w:val="20"/>
          <w:color w:val="auto"/>
        </w:rPr>
      </w:pPr>
      <w:r>
        <w:rPr>
          <w:rFonts w:ascii="Arial" w:cs="Arial" w:eastAsia="Arial" w:hAnsi="Arial"/>
          <w:sz w:val="14"/>
          <w:szCs w:val="14"/>
          <w:i w:val="1"/>
          <w:iCs w:val="1"/>
          <w:u w:val="single" w:color="auto"/>
          <w:color w:val="auto"/>
        </w:rPr>
        <w:t>Burwood, Melbourne, Victoria, Australia:</w:t>
      </w:r>
      <w:r>
        <w:rPr>
          <w:rFonts w:ascii="Arial" w:cs="Arial" w:eastAsia="Arial" w:hAnsi="Arial"/>
          <w:sz w:val="14"/>
          <w:szCs w:val="14"/>
          <w:i w:val="1"/>
          <w:iCs w:val="1"/>
          <w:color w:val="auto"/>
        </w:rPr>
        <w:t xml:space="preserve"> </w:t>
      </w:r>
      <w:r>
        <w:rPr>
          <w:rFonts w:ascii="Arial" w:cs="Arial" w:eastAsia="Arial" w:hAnsi="Arial"/>
          <w:sz w:val="14"/>
          <w:szCs w:val="14"/>
          <w:color w:val="auto"/>
        </w:rPr>
        <w:t>On December 5, 2019, we opened a new state-of-the-art six-screen Reading Cinemas in the Burwood Brickworks shopping center offering a</w:t>
      </w:r>
      <w:r>
        <w:rPr>
          <w:rFonts w:ascii="Arial" w:cs="Arial" w:eastAsia="Arial" w:hAnsi="Arial"/>
          <w:sz w:val="14"/>
          <w:szCs w:val="14"/>
          <w:i w:val="1"/>
          <w:iCs w:val="1"/>
          <w:color w:val="auto"/>
        </w:rPr>
        <w:t xml:space="preserve"> </w:t>
      </w:r>
      <w:r>
        <w:rPr>
          <w:rFonts w:ascii="Arial" w:cs="Arial" w:eastAsia="Arial" w:hAnsi="Arial"/>
          <w:sz w:val="14"/>
          <w:szCs w:val="14"/>
          <w:color w:val="auto"/>
        </w:rPr>
        <w:t>TITAN LUXE with DOLBY ATMOS immersive sound, enhanced food and beverage offerings, and full recliner seating in all auditoriums.</w:t>
      </w:r>
    </w:p>
    <w:p>
      <w:pPr>
        <w:spacing w:after="0" w:line="22" w:lineRule="exact"/>
        <w:rPr>
          <w:sz w:val="20"/>
          <w:szCs w:val="20"/>
          <w:color w:val="auto"/>
        </w:rPr>
      </w:pPr>
    </w:p>
    <w:p>
      <w:pPr>
        <w:ind w:left="520" w:right="180"/>
        <w:spacing w:after="0" w:line="258" w:lineRule="auto"/>
        <w:rPr>
          <w:sz w:val="20"/>
          <w:szCs w:val="20"/>
          <w:color w:val="auto"/>
        </w:rPr>
      </w:pPr>
      <w:r>
        <w:rPr>
          <w:rFonts w:ascii="Arial" w:cs="Arial" w:eastAsia="Arial" w:hAnsi="Arial"/>
          <w:sz w:val="14"/>
          <w:szCs w:val="14"/>
          <w:i w:val="1"/>
          <w:iCs w:val="1"/>
          <w:u w:val="single" w:color="auto"/>
          <w:color w:val="auto"/>
        </w:rPr>
        <w:t>State Cinema, Hobart, Tasmania, Australia:</w:t>
      </w:r>
      <w:r>
        <w:rPr>
          <w:rFonts w:ascii="Arial" w:cs="Arial" w:eastAsia="Arial" w:hAnsi="Arial"/>
          <w:sz w:val="14"/>
          <w:szCs w:val="14"/>
          <w:i w:val="1"/>
          <w:iCs w:val="1"/>
          <w:color w:val="auto"/>
        </w:rPr>
        <w:t xml:space="preserve"> </w:t>
      </w:r>
      <w:r>
        <w:rPr>
          <w:rFonts w:ascii="Arial" w:cs="Arial" w:eastAsia="Arial" w:hAnsi="Arial"/>
          <w:sz w:val="14"/>
          <w:szCs w:val="14"/>
          <w:color w:val="auto"/>
        </w:rPr>
        <w:t>On December 4, 2019, we acquired the leasehold interest and other operating assets of the iconic State Cinema for $6.2 million (AU$9.0</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This leasehold interest features 10 screens, a roof top cinema and bar, a large café, and a bookstore.</w:t>
      </w:r>
    </w:p>
    <w:p>
      <w:pPr>
        <w:spacing w:after="0" w:line="33" w:lineRule="exact"/>
        <w:rPr>
          <w:sz w:val="20"/>
          <w:szCs w:val="20"/>
          <w:color w:val="auto"/>
        </w:rPr>
      </w:pPr>
    </w:p>
    <w:p>
      <w:pPr>
        <w:ind w:left="520" w:right="140"/>
        <w:spacing w:after="0" w:line="258" w:lineRule="auto"/>
        <w:rPr>
          <w:sz w:val="20"/>
          <w:szCs w:val="20"/>
          <w:color w:val="auto"/>
        </w:rPr>
      </w:pPr>
      <w:r>
        <w:rPr>
          <w:rFonts w:ascii="Arial" w:cs="Arial" w:eastAsia="Arial" w:hAnsi="Arial"/>
          <w:sz w:val="14"/>
          <w:szCs w:val="14"/>
          <w:i w:val="1"/>
          <w:iCs w:val="1"/>
          <w:u w:val="single" w:color="auto"/>
          <w:color w:val="auto"/>
        </w:rPr>
        <w:t>Lower Hutt, Wellington, New Zealand:</w:t>
      </w:r>
      <w:r>
        <w:rPr>
          <w:rFonts w:ascii="Arial" w:cs="Arial" w:eastAsia="Arial" w:hAnsi="Arial"/>
          <w:sz w:val="14"/>
          <w:szCs w:val="14"/>
          <w:i w:val="1"/>
          <w:iCs w:val="1"/>
          <w:color w:val="auto"/>
        </w:rPr>
        <w:t xml:space="preserve"> </w:t>
      </w:r>
      <w:r>
        <w:rPr>
          <w:rFonts w:ascii="Arial" w:cs="Arial" w:eastAsia="Arial" w:hAnsi="Arial"/>
          <w:sz w:val="14"/>
          <w:szCs w:val="14"/>
          <w:color w:val="auto"/>
        </w:rPr>
        <w:t>To mitigate the ongoing temporary closure of Reading Cinemas at Courtenay Central, we opened a three-screen cinema that trades as The Hutt</w:t>
      </w:r>
      <w:r>
        <w:rPr>
          <w:rFonts w:ascii="Arial" w:cs="Arial" w:eastAsia="Arial" w:hAnsi="Arial"/>
          <w:sz w:val="14"/>
          <w:szCs w:val="14"/>
          <w:i w:val="1"/>
          <w:iCs w:val="1"/>
          <w:color w:val="auto"/>
        </w:rPr>
        <w:t xml:space="preserve"> </w:t>
      </w:r>
      <w:r>
        <w:rPr>
          <w:rFonts w:ascii="Arial" w:cs="Arial" w:eastAsia="Arial" w:hAnsi="Arial"/>
          <w:sz w:val="14"/>
          <w:szCs w:val="14"/>
          <w:color w:val="auto"/>
        </w:rPr>
        <w:t>Pop Up by Reading Cinemas in June 2019.</w:t>
      </w:r>
    </w:p>
    <w:p>
      <w:pPr>
        <w:spacing w:after="0" w:line="33" w:lineRule="exact"/>
        <w:rPr>
          <w:sz w:val="20"/>
          <w:szCs w:val="20"/>
          <w:color w:val="auto"/>
        </w:rPr>
      </w:pPr>
    </w:p>
    <w:p>
      <w:pPr>
        <w:ind w:left="520" w:right="140"/>
        <w:spacing w:after="0" w:line="235" w:lineRule="auto"/>
        <w:rPr>
          <w:sz w:val="20"/>
          <w:szCs w:val="20"/>
          <w:color w:val="auto"/>
        </w:rPr>
      </w:pPr>
      <w:r>
        <w:rPr>
          <w:rFonts w:ascii="Arial" w:cs="Arial" w:eastAsia="Arial" w:hAnsi="Arial"/>
          <w:sz w:val="14"/>
          <w:szCs w:val="14"/>
          <w:i w:val="1"/>
          <w:iCs w:val="1"/>
          <w:u w:val="single" w:color="auto"/>
          <w:color w:val="auto"/>
        </w:rPr>
        <w:t>Devonport, Tasmania, Australia:</w:t>
      </w:r>
      <w:r>
        <w:rPr>
          <w:rFonts w:ascii="Arial" w:cs="Arial" w:eastAsia="Arial" w:hAnsi="Arial"/>
          <w:sz w:val="14"/>
          <w:szCs w:val="14"/>
          <w:i w:val="1"/>
          <w:iCs w:val="1"/>
          <w:color w:val="auto"/>
        </w:rPr>
        <w:t xml:space="preserve"> </w:t>
      </w:r>
      <w:r>
        <w:rPr>
          <w:rFonts w:ascii="Arial" w:cs="Arial" w:eastAsia="Arial" w:hAnsi="Arial"/>
          <w:sz w:val="14"/>
          <w:szCs w:val="14"/>
          <w:color w:val="auto"/>
        </w:rPr>
        <w:t>On January 30, 2019, we purchased the tenant’s interest and other operating assets of a well-established four-screen cinema in Devonport, Tasmania,</w:t>
      </w:r>
      <w:r>
        <w:rPr>
          <w:rFonts w:ascii="Arial" w:cs="Arial" w:eastAsia="Arial" w:hAnsi="Arial"/>
          <w:sz w:val="14"/>
          <w:szCs w:val="14"/>
          <w:i w:val="1"/>
          <w:iCs w:val="1"/>
          <w:color w:val="auto"/>
        </w:rPr>
        <w:t xml:space="preserve"> </w:t>
      </w:r>
      <w:r>
        <w:rPr>
          <w:rFonts w:ascii="Arial" w:cs="Arial" w:eastAsia="Arial" w:hAnsi="Arial"/>
          <w:sz w:val="14"/>
          <w:szCs w:val="14"/>
          <w:color w:val="auto"/>
        </w:rPr>
        <w:t>Australia, for $1.4 million (AU$1.95 million). We commenced trading from this new cinema site on January 30, 2019.</w:t>
      </w:r>
    </w:p>
    <w:p>
      <w:pPr>
        <w:jc w:val="center"/>
        <w:ind w:right="-99"/>
        <w:spacing w:after="0"/>
        <w:rPr>
          <w:sz w:val="20"/>
          <w:szCs w:val="20"/>
          <w:color w:val="auto"/>
        </w:rPr>
      </w:pPr>
      <w:r>
        <w:rPr>
          <w:rFonts w:ascii="Arial" w:cs="Arial" w:eastAsia="Arial" w:hAnsi="Arial"/>
          <w:sz w:val="14"/>
          <w:szCs w:val="14"/>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00"/>
          </w:cols>
          <w:pgMar w:left="300" w:top="266" w:right="39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i w:val="1"/>
          <w:iCs w:val="1"/>
          <w:color w:val="auto"/>
        </w:rPr>
        <w:t>Upgrades to our Film Exhibition Technology and Theater Amenities</w:t>
      </w:r>
    </w:p>
    <w:p>
      <w:pPr>
        <w:spacing w:after="0" w:line="67" w:lineRule="exact"/>
        <w:rPr>
          <w:sz w:val="20"/>
          <w:szCs w:val="20"/>
          <w:color w:val="auto"/>
        </w:rPr>
      </w:pPr>
    </w:p>
    <w:p>
      <w:pPr>
        <w:jc w:val="both"/>
        <w:ind w:right="140"/>
        <w:spacing w:after="0" w:line="242" w:lineRule="auto"/>
        <w:rPr>
          <w:sz w:val="20"/>
          <w:szCs w:val="20"/>
          <w:color w:val="auto"/>
        </w:rPr>
      </w:pPr>
      <w:r>
        <w:rPr>
          <w:rFonts w:ascii="Arial" w:cs="Arial" w:eastAsia="Arial" w:hAnsi="Arial"/>
          <w:sz w:val="14"/>
          <w:szCs w:val="14"/>
          <w:color w:val="auto"/>
        </w:rPr>
        <w:t>Prior to COVID-19, we invested in both (i) the upgrading of our existing cinemas and (ii) the development of new cinemas to provide our customers with premium offerings, including state-of-the-art presentation (including sound, lounges, and bar service) and luxury recliner seating. As of December 31, 2021, all of the upgrades to our theater circuits’ film exhibition technology and amenities over the years are as summarized in the following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640" w:type="dxa"/>
            <w:vAlign w:val="bottom"/>
          </w:tcPr>
          <w:p>
            <w:pPr>
              <w:spacing w:after="0"/>
              <w:rPr>
                <w:sz w:val="12"/>
                <w:szCs w:val="12"/>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Location</w:t>
            </w: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79"/>
              </w:rPr>
              <w:t>Screen</w:t>
            </w:r>
          </w:p>
        </w:tc>
        <w:tc>
          <w:tcPr>
            <w:tcW w:w="0" w:type="dxa"/>
            <w:vAlign w:val="bottom"/>
          </w:tcPr>
          <w:p>
            <w:pPr>
              <w:spacing w:after="0"/>
              <w:rPr>
                <w:sz w:val="1"/>
                <w:szCs w:val="1"/>
                <w:color w:val="auto"/>
              </w:rPr>
            </w:pPr>
          </w:p>
        </w:tc>
      </w:tr>
      <w:tr>
        <w:trPr>
          <w:trHeight w:val="138"/>
        </w:trPr>
        <w:tc>
          <w:tcPr>
            <w:tcW w:w="8640" w:type="dxa"/>
            <w:vAlign w:val="bottom"/>
            <w:vMerge w:val="restart"/>
          </w:tcPr>
          <w:p>
            <w:pPr>
              <w:spacing w:after="0"/>
              <w:rPr>
                <w:sz w:val="20"/>
                <w:szCs w:val="20"/>
                <w:color w:val="auto"/>
              </w:rPr>
            </w:pPr>
            <w:r>
              <w:rPr>
                <w:rFonts w:ascii="Arial" w:cs="Arial" w:eastAsia="Arial" w:hAnsi="Arial"/>
                <w:sz w:val="14"/>
                <w:szCs w:val="14"/>
                <w:i w:val="1"/>
                <w:iCs w:val="1"/>
                <w:color w:val="auto"/>
              </w:rPr>
              <w:t>Screen Format</w:t>
            </w:r>
          </w:p>
        </w:tc>
        <w:tc>
          <w:tcPr>
            <w:tcW w:w="1400" w:type="dxa"/>
            <w:vAlign w:val="bottom"/>
            <w:gridSpan w:val="2"/>
          </w:tcPr>
          <w:p>
            <w:pPr>
              <w:jc w:val="center"/>
              <w:ind w:right="180"/>
              <w:spacing w:after="0" w:line="137" w:lineRule="exact"/>
              <w:rPr>
                <w:sz w:val="20"/>
                <w:szCs w:val="20"/>
                <w:color w:val="auto"/>
              </w:rPr>
            </w:pPr>
            <w:r>
              <w:rPr>
                <w:rFonts w:ascii="Arial" w:cs="Arial" w:eastAsia="Arial" w:hAnsi="Arial"/>
                <w:sz w:val="12"/>
                <w:szCs w:val="12"/>
                <w:b w:val="1"/>
                <w:bCs w:val="1"/>
                <w:color w:val="auto"/>
                <w:w w:val="86"/>
              </w:rPr>
              <w:t>Count</w:t>
            </w:r>
          </w:p>
        </w:tc>
        <w:tc>
          <w:tcPr>
            <w:tcW w:w="124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2"/>
              </w:rPr>
              <w:t>Count</w:t>
            </w:r>
          </w:p>
        </w:tc>
        <w:tc>
          <w:tcPr>
            <w:tcW w:w="0" w:type="dxa"/>
            <w:vAlign w:val="bottom"/>
          </w:tcPr>
          <w:p>
            <w:pPr>
              <w:spacing w:after="0"/>
              <w:rPr>
                <w:sz w:val="1"/>
                <w:szCs w:val="1"/>
                <w:color w:val="auto"/>
              </w:rPr>
            </w:pPr>
          </w:p>
        </w:tc>
      </w:tr>
      <w:tr>
        <w:trPr>
          <w:trHeight w:val="152"/>
        </w:trPr>
        <w:tc>
          <w:tcPr>
            <w:tcW w:w="8640" w:type="dxa"/>
            <w:vAlign w:val="bottom"/>
            <w:vMerge w:val="continue"/>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640" w:type="dxa"/>
            <w:vAlign w:val="bottom"/>
            <w:shd w:val="clear" w:color="auto" w:fill="CCEEFF"/>
          </w:tcPr>
          <w:p>
            <w:pPr>
              <w:ind w:left="180"/>
              <w:spacing w:after="0" w:line="152" w:lineRule="exact"/>
              <w:rPr>
                <w:sz w:val="20"/>
                <w:szCs w:val="20"/>
                <w:color w:val="auto"/>
              </w:rPr>
            </w:pPr>
            <w:r>
              <w:rPr>
                <w:rFonts w:ascii="Arial" w:cs="Arial" w:eastAsia="Arial" w:hAnsi="Arial"/>
                <w:sz w:val="14"/>
                <w:szCs w:val="14"/>
                <w:color w:val="auto"/>
              </w:rPr>
              <w:t>Digital (all cinemas in our theater circuit)</w:t>
            </w:r>
          </w:p>
        </w:tc>
        <w:tc>
          <w:tcPr>
            <w:tcW w:w="1240" w:type="dxa"/>
            <w:vAlign w:val="bottom"/>
            <w:shd w:val="clear" w:color="auto" w:fill="CCEEFF"/>
          </w:tcPr>
          <w:p>
            <w:pPr>
              <w:jc w:val="center"/>
              <w:spacing w:after="0" w:line="152" w:lineRule="exact"/>
              <w:rPr>
                <w:sz w:val="20"/>
                <w:szCs w:val="20"/>
                <w:color w:val="auto"/>
              </w:rPr>
            </w:pPr>
            <w:r>
              <w:rPr>
                <w:rFonts w:ascii="Arial" w:cs="Arial" w:eastAsia="Arial" w:hAnsi="Arial"/>
                <w:sz w:val="14"/>
                <w:szCs w:val="14"/>
                <w:color w:val="auto"/>
                <w:w w:val="89"/>
              </w:rPr>
              <w:t>63</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2" w:lineRule="exact"/>
              <w:rPr>
                <w:sz w:val="20"/>
                <w:szCs w:val="20"/>
                <w:color w:val="auto"/>
              </w:rPr>
            </w:pPr>
            <w:r>
              <w:rPr>
                <w:rFonts w:ascii="Arial" w:cs="Arial" w:eastAsia="Arial" w:hAnsi="Arial"/>
                <w:sz w:val="14"/>
                <w:szCs w:val="14"/>
                <w:color w:val="auto"/>
                <w:w w:val="94"/>
              </w:rPr>
              <w:t>515</w:t>
            </w:r>
          </w:p>
        </w:tc>
        <w:tc>
          <w:tcPr>
            <w:tcW w:w="0" w:type="dxa"/>
            <w:vAlign w:val="bottom"/>
          </w:tcPr>
          <w:p>
            <w:pPr>
              <w:spacing w:after="0"/>
              <w:rPr>
                <w:sz w:val="1"/>
                <w:szCs w:val="1"/>
                <w:color w:val="auto"/>
              </w:rPr>
            </w:pPr>
          </w:p>
        </w:tc>
      </w:tr>
      <w:tr>
        <w:trPr>
          <w:trHeight w:val="152"/>
        </w:trPr>
        <w:tc>
          <w:tcPr>
            <w:tcW w:w="8640" w:type="dxa"/>
            <w:vAlign w:val="bottom"/>
          </w:tcPr>
          <w:p>
            <w:pPr>
              <w:ind w:left="180"/>
              <w:spacing w:after="0" w:line="152" w:lineRule="exact"/>
              <w:rPr>
                <w:sz w:val="20"/>
                <w:szCs w:val="20"/>
                <w:color w:val="auto"/>
              </w:rPr>
            </w:pPr>
            <w:r>
              <w:rPr>
                <w:rFonts w:ascii="Arial" w:cs="Arial" w:eastAsia="Arial" w:hAnsi="Arial"/>
                <w:sz w:val="14"/>
                <w:szCs w:val="14"/>
                <w:color w:val="auto"/>
              </w:rPr>
              <w:t>IMAX</w:t>
            </w:r>
          </w:p>
        </w:tc>
        <w:tc>
          <w:tcPr>
            <w:tcW w:w="1240" w:type="dxa"/>
            <w:vAlign w:val="bottom"/>
          </w:tcPr>
          <w:p>
            <w:pPr>
              <w:jc w:val="center"/>
              <w:spacing w:after="0" w:line="152"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1240" w:type="dxa"/>
            <w:vAlign w:val="bottom"/>
          </w:tcPr>
          <w:p>
            <w:pPr>
              <w:jc w:val="center"/>
              <w:spacing w:after="0" w:line="152"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2"/>
        </w:trPr>
        <w:tc>
          <w:tcPr>
            <w:tcW w:w="8640" w:type="dxa"/>
            <w:vAlign w:val="bottom"/>
            <w:shd w:val="clear" w:color="auto" w:fill="CCEEFF"/>
          </w:tcPr>
          <w:p>
            <w:pPr>
              <w:ind w:left="180"/>
              <w:spacing w:after="0" w:line="152" w:lineRule="exact"/>
              <w:rPr>
                <w:sz w:val="20"/>
                <w:szCs w:val="20"/>
                <w:color w:val="auto"/>
              </w:rPr>
            </w:pPr>
            <w:r>
              <w:rPr>
                <w:rFonts w:ascii="Arial" w:cs="Arial" w:eastAsia="Arial" w:hAnsi="Arial"/>
                <w:sz w:val="14"/>
                <w:szCs w:val="14"/>
                <w:color w:val="auto"/>
              </w:rPr>
              <w:t>TITAN XC and LUXE</w:t>
            </w:r>
          </w:p>
        </w:tc>
        <w:tc>
          <w:tcPr>
            <w:tcW w:w="1240" w:type="dxa"/>
            <w:vAlign w:val="bottom"/>
            <w:shd w:val="clear" w:color="auto" w:fill="CCEEFF"/>
          </w:tcPr>
          <w:p>
            <w:pPr>
              <w:jc w:val="center"/>
              <w:spacing w:after="0" w:line="152" w:lineRule="exact"/>
              <w:rPr>
                <w:sz w:val="20"/>
                <w:szCs w:val="20"/>
                <w:color w:val="auto"/>
              </w:rPr>
            </w:pPr>
            <w:r>
              <w:rPr>
                <w:rFonts w:ascii="Arial" w:cs="Arial" w:eastAsia="Arial" w:hAnsi="Arial"/>
                <w:sz w:val="14"/>
                <w:szCs w:val="14"/>
                <w:color w:val="auto"/>
                <w:w w:val="89"/>
              </w:rPr>
              <w:t>26</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2" w:lineRule="exact"/>
              <w:rPr>
                <w:sz w:val="20"/>
                <w:szCs w:val="20"/>
                <w:color w:val="auto"/>
              </w:rPr>
            </w:pPr>
            <w:r>
              <w:rPr>
                <w:rFonts w:ascii="Arial" w:cs="Arial" w:eastAsia="Arial" w:hAnsi="Arial"/>
                <w:sz w:val="14"/>
                <w:szCs w:val="14"/>
                <w:color w:val="auto"/>
                <w:w w:val="89"/>
              </w:rPr>
              <w:t>32</w:t>
            </w:r>
          </w:p>
        </w:tc>
        <w:tc>
          <w:tcPr>
            <w:tcW w:w="0" w:type="dxa"/>
            <w:vAlign w:val="bottom"/>
          </w:tcPr>
          <w:p>
            <w:pPr>
              <w:spacing w:after="0"/>
              <w:rPr>
                <w:sz w:val="1"/>
                <w:szCs w:val="1"/>
                <w:color w:val="auto"/>
              </w:rPr>
            </w:pPr>
          </w:p>
        </w:tc>
      </w:tr>
      <w:tr>
        <w:trPr>
          <w:trHeight w:val="152"/>
        </w:trPr>
        <w:tc>
          <w:tcPr>
            <w:tcW w:w="8640" w:type="dxa"/>
            <w:vAlign w:val="bottom"/>
          </w:tcPr>
          <w:p>
            <w:pPr>
              <w:spacing w:after="0" w:line="152" w:lineRule="exact"/>
              <w:rPr>
                <w:sz w:val="20"/>
                <w:szCs w:val="20"/>
                <w:color w:val="auto"/>
              </w:rPr>
            </w:pPr>
            <w:r>
              <w:rPr>
                <w:rFonts w:ascii="Arial" w:cs="Arial" w:eastAsia="Arial" w:hAnsi="Arial"/>
                <w:sz w:val="14"/>
                <w:szCs w:val="14"/>
                <w:i w:val="1"/>
                <w:iCs w:val="1"/>
                <w:color w:val="auto"/>
              </w:rPr>
              <w:t>Dine-in Service</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640" w:type="dxa"/>
            <w:vAlign w:val="bottom"/>
            <w:shd w:val="clear" w:color="auto" w:fill="CCEEFF"/>
          </w:tcPr>
          <w:p>
            <w:pPr>
              <w:ind w:left="180"/>
              <w:spacing w:after="0" w:line="205" w:lineRule="exact"/>
              <w:rPr>
                <w:sz w:val="20"/>
                <w:szCs w:val="20"/>
                <w:color w:val="auto"/>
              </w:rPr>
            </w:pPr>
            <w:r>
              <w:rPr>
                <w:rFonts w:ascii="Arial" w:cs="Arial" w:eastAsia="Arial" w:hAnsi="Arial"/>
                <w:sz w:val="14"/>
                <w:szCs w:val="14"/>
                <w:color w:val="auto"/>
              </w:rPr>
              <w:t>Gold Lounge (AU/NZ)</w:t>
            </w:r>
            <w:r>
              <w:rPr>
                <w:rFonts w:ascii="Arial" w:cs="Arial" w:eastAsia="Arial" w:hAnsi="Arial"/>
                <w:sz w:val="23"/>
                <w:szCs w:val="23"/>
                <w:color w:val="auto"/>
                <w:vertAlign w:val="superscript"/>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24</w:t>
            </w:r>
          </w:p>
        </w:tc>
        <w:tc>
          <w:tcPr>
            <w:tcW w:w="0" w:type="dxa"/>
            <w:vAlign w:val="bottom"/>
          </w:tcPr>
          <w:p>
            <w:pPr>
              <w:spacing w:after="0"/>
              <w:rPr>
                <w:sz w:val="1"/>
                <w:szCs w:val="1"/>
                <w:color w:val="auto"/>
              </w:rPr>
            </w:pPr>
          </w:p>
        </w:tc>
      </w:tr>
      <w:tr>
        <w:trPr>
          <w:trHeight w:val="206"/>
        </w:trPr>
        <w:tc>
          <w:tcPr>
            <w:tcW w:w="8640" w:type="dxa"/>
            <w:vAlign w:val="bottom"/>
          </w:tcPr>
          <w:p>
            <w:pPr>
              <w:ind w:left="180"/>
              <w:spacing w:after="0" w:line="205" w:lineRule="exact"/>
              <w:rPr>
                <w:sz w:val="20"/>
                <w:szCs w:val="20"/>
                <w:color w:val="auto"/>
              </w:rPr>
            </w:pPr>
            <w:r>
              <w:rPr>
                <w:rFonts w:ascii="Arial" w:cs="Arial" w:eastAsia="Arial" w:hAnsi="Arial"/>
                <w:sz w:val="14"/>
                <w:szCs w:val="14"/>
                <w:color w:val="auto"/>
              </w:rPr>
              <w:t>Premium (AU/NZ)</w:t>
            </w:r>
            <w:r>
              <w:rPr>
                <w:rFonts w:ascii="Arial" w:cs="Arial" w:eastAsia="Arial" w:hAnsi="Arial"/>
                <w:sz w:val="23"/>
                <w:szCs w:val="23"/>
                <w:color w:val="auto"/>
                <w:vertAlign w:val="superscript"/>
              </w:rPr>
              <w:t>(2)</w:t>
            </w:r>
          </w:p>
        </w:tc>
        <w:tc>
          <w:tcPr>
            <w:tcW w:w="1240" w:type="dxa"/>
            <w:vAlign w:val="bottom"/>
          </w:tcPr>
          <w:p>
            <w:pPr>
              <w:jc w:val="center"/>
              <w:spacing w:after="0"/>
              <w:rPr>
                <w:sz w:val="20"/>
                <w:szCs w:val="20"/>
                <w:color w:val="auto"/>
              </w:rPr>
            </w:pPr>
            <w:r>
              <w:rPr>
                <w:rFonts w:ascii="Arial" w:cs="Arial" w:eastAsia="Arial" w:hAnsi="Arial"/>
                <w:sz w:val="14"/>
                <w:szCs w:val="14"/>
                <w:color w:val="auto"/>
                <w:w w:val="89"/>
              </w:rPr>
              <w:t>16</w:t>
            </w:r>
          </w:p>
        </w:tc>
        <w:tc>
          <w:tcPr>
            <w:tcW w:w="1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9"/>
              </w:rPr>
              <w:t>42</w:t>
            </w:r>
          </w:p>
        </w:tc>
        <w:tc>
          <w:tcPr>
            <w:tcW w:w="0" w:type="dxa"/>
            <w:vAlign w:val="bottom"/>
          </w:tcPr>
          <w:p>
            <w:pPr>
              <w:spacing w:after="0"/>
              <w:rPr>
                <w:sz w:val="1"/>
                <w:szCs w:val="1"/>
                <w:color w:val="auto"/>
              </w:rPr>
            </w:pPr>
          </w:p>
        </w:tc>
      </w:tr>
      <w:tr>
        <w:trPr>
          <w:trHeight w:val="206"/>
        </w:trPr>
        <w:tc>
          <w:tcPr>
            <w:tcW w:w="8640" w:type="dxa"/>
            <w:vAlign w:val="bottom"/>
            <w:shd w:val="clear" w:color="auto" w:fill="CCEEFF"/>
          </w:tcPr>
          <w:p>
            <w:pPr>
              <w:ind w:left="180"/>
              <w:spacing w:after="0" w:line="205" w:lineRule="exact"/>
              <w:rPr>
                <w:sz w:val="20"/>
                <w:szCs w:val="20"/>
                <w:color w:val="auto"/>
              </w:rPr>
            </w:pPr>
            <w:r>
              <w:rPr>
                <w:rFonts w:ascii="Arial" w:cs="Arial" w:eastAsia="Arial" w:hAnsi="Arial"/>
                <w:sz w:val="14"/>
                <w:szCs w:val="14"/>
                <w:color w:val="auto"/>
              </w:rPr>
              <w:t>Spotlight (U.S.)</w:t>
            </w:r>
            <w:r>
              <w:rPr>
                <w:rFonts w:ascii="Arial" w:cs="Arial" w:eastAsia="Arial" w:hAnsi="Arial"/>
                <w:sz w:val="23"/>
                <w:szCs w:val="23"/>
                <w:color w:val="auto"/>
                <w:vertAlign w:val="superscript"/>
              </w:rPr>
              <w:t>(3)</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6"/>
        </w:trPr>
        <w:tc>
          <w:tcPr>
            <w:tcW w:w="8640" w:type="dxa"/>
            <w:vAlign w:val="bottom"/>
          </w:tcPr>
          <w:p>
            <w:pPr>
              <w:spacing w:after="0" w:line="205" w:lineRule="exact"/>
              <w:rPr>
                <w:sz w:val="20"/>
                <w:szCs w:val="20"/>
                <w:color w:val="auto"/>
              </w:rPr>
            </w:pPr>
            <w:r>
              <w:rPr>
                <w:rFonts w:ascii="Arial" w:cs="Arial" w:eastAsia="Arial" w:hAnsi="Arial"/>
                <w:sz w:val="14"/>
                <w:szCs w:val="14"/>
                <w:i w:val="1"/>
                <w:iCs w:val="1"/>
                <w:color w:val="auto"/>
              </w:rPr>
              <w:t>Upgraded Food &amp; Beverage menu (U.S.)</w:t>
            </w:r>
            <w:r>
              <w:rPr>
                <w:rFonts w:ascii="Arial" w:cs="Arial" w:eastAsia="Arial" w:hAnsi="Arial"/>
                <w:sz w:val="23"/>
                <w:szCs w:val="23"/>
                <w:color w:val="auto"/>
                <w:vertAlign w:val="superscript"/>
              </w:rPr>
              <w:t>(4)</w:t>
            </w:r>
          </w:p>
        </w:tc>
        <w:tc>
          <w:tcPr>
            <w:tcW w:w="1240" w:type="dxa"/>
            <w:vAlign w:val="bottom"/>
          </w:tcPr>
          <w:p>
            <w:pPr>
              <w:jc w:val="center"/>
              <w:spacing w:after="0"/>
              <w:rPr>
                <w:sz w:val="20"/>
                <w:szCs w:val="20"/>
                <w:color w:val="auto"/>
              </w:rPr>
            </w:pPr>
            <w:r>
              <w:rPr>
                <w:rFonts w:ascii="Arial" w:cs="Arial" w:eastAsia="Arial" w:hAnsi="Arial"/>
                <w:sz w:val="14"/>
                <w:szCs w:val="14"/>
                <w:color w:val="auto"/>
                <w:w w:val="89"/>
              </w:rPr>
              <w:t>17</w:t>
            </w:r>
          </w:p>
        </w:tc>
        <w:tc>
          <w:tcPr>
            <w:tcW w:w="1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4"/>
                <w:szCs w:val="14"/>
                <w:i w:val="1"/>
                <w:iCs w:val="1"/>
                <w:color w:val="auto"/>
                <w:w w:val="92"/>
              </w:rPr>
              <w:t>n/a</w:t>
            </w:r>
          </w:p>
        </w:tc>
        <w:tc>
          <w:tcPr>
            <w:tcW w:w="0" w:type="dxa"/>
            <w:vAlign w:val="bottom"/>
          </w:tcPr>
          <w:p>
            <w:pPr>
              <w:spacing w:after="0"/>
              <w:rPr>
                <w:sz w:val="1"/>
                <w:szCs w:val="1"/>
                <w:color w:val="auto"/>
              </w:rPr>
            </w:pPr>
          </w:p>
        </w:tc>
      </w:tr>
      <w:tr>
        <w:trPr>
          <w:trHeight w:val="152"/>
        </w:trPr>
        <w:tc>
          <w:tcPr>
            <w:tcW w:w="8640" w:type="dxa"/>
            <w:vAlign w:val="bottom"/>
            <w:shd w:val="clear" w:color="auto" w:fill="CCEEFF"/>
          </w:tcPr>
          <w:p>
            <w:pPr>
              <w:spacing w:after="0" w:line="152" w:lineRule="exact"/>
              <w:rPr>
                <w:sz w:val="20"/>
                <w:szCs w:val="20"/>
                <w:color w:val="auto"/>
              </w:rPr>
            </w:pPr>
            <w:r>
              <w:rPr>
                <w:rFonts w:ascii="Arial" w:cs="Arial" w:eastAsia="Arial" w:hAnsi="Arial"/>
                <w:sz w:val="14"/>
                <w:szCs w:val="14"/>
                <w:i w:val="1"/>
                <w:iCs w:val="1"/>
                <w:color w:val="auto"/>
              </w:rPr>
              <w:t>Premium Seating (features recliner seating)</w:t>
            </w:r>
          </w:p>
        </w:tc>
        <w:tc>
          <w:tcPr>
            <w:tcW w:w="1240" w:type="dxa"/>
            <w:vAlign w:val="bottom"/>
            <w:shd w:val="clear" w:color="auto" w:fill="CCEEFF"/>
          </w:tcPr>
          <w:p>
            <w:pPr>
              <w:jc w:val="center"/>
              <w:spacing w:after="0" w:line="152" w:lineRule="exact"/>
              <w:rPr>
                <w:sz w:val="20"/>
                <w:szCs w:val="20"/>
                <w:color w:val="auto"/>
              </w:rPr>
            </w:pPr>
            <w:r>
              <w:rPr>
                <w:rFonts w:ascii="Arial" w:cs="Arial" w:eastAsia="Arial" w:hAnsi="Arial"/>
                <w:sz w:val="14"/>
                <w:szCs w:val="14"/>
                <w:color w:val="auto"/>
                <w:w w:val="89"/>
              </w:rPr>
              <w:t>29</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2" w:lineRule="exact"/>
              <w:rPr>
                <w:sz w:val="20"/>
                <w:szCs w:val="20"/>
                <w:color w:val="auto"/>
              </w:rPr>
            </w:pPr>
            <w:r>
              <w:rPr>
                <w:rFonts w:ascii="Arial" w:cs="Arial" w:eastAsia="Arial" w:hAnsi="Arial"/>
                <w:sz w:val="14"/>
                <w:szCs w:val="14"/>
                <w:color w:val="auto"/>
                <w:w w:val="94"/>
              </w:rPr>
              <w:t>181</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i w:val="1"/>
                <w:iCs w:val="1"/>
                <w:color w:val="auto"/>
              </w:rPr>
              <w:t>Liquor Licenses in Use</w:t>
            </w:r>
            <w:r>
              <w:rPr>
                <w:rFonts w:ascii="Arial" w:cs="Arial" w:eastAsia="Arial" w:hAnsi="Arial"/>
                <w:sz w:val="24"/>
                <w:szCs w:val="24"/>
                <w:i w:val="1"/>
                <w:iCs w:val="1"/>
                <w:color w:val="auto"/>
                <w:vertAlign w:val="superscript"/>
              </w:rPr>
              <w:t>(5)</w:t>
            </w:r>
          </w:p>
        </w:tc>
        <w:tc>
          <w:tcPr>
            <w:tcW w:w="1240" w:type="dxa"/>
            <w:vAlign w:val="bottom"/>
          </w:tcPr>
          <w:p>
            <w:pPr>
              <w:jc w:val="center"/>
              <w:spacing w:after="0"/>
              <w:rPr>
                <w:sz w:val="20"/>
                <w:szCs w:val="20"/>
                <w:color w:val="auto"/>
              </w:rPr>
            </w:pPr>
            <w:r>
              <w:rPr>
                <w:rFonts w:ascii="Arial" w:cs="Arial" w:eastAsia="Arial" w:hAnsi="Arial"/>
                <w:sz w:val="14"/>
                <w:szCs w:val="14"/>
                <w:color w:val="auto"/>
                <w:w w:val="89"/>
              </w:rPr>
              <w:t>37</w:t>
            </w:r>
          </w:p>
        </w:tc>
        <w:tc>
          <w:tcPr>
            <w:tcW w:w="1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4"/>
                <w:szCs w:val="14"/>
                <w:i w:val="1"/>
                <w:iCs w:val="1"/>
                <w:color w:val="auto"/>
                <w:w w:val="92"/>
              </w:rPr>
              <w:t>n/a</w:t>
            </w:r>
          </w:p>
        </w:tc>
        <w:tc>
          <w:tcPr>
            <w:tcW w:w="0" w:type="dxa"/>
            <w:vAlign w:val="bottom"/>
          </w:tcPr>
          <w:p>
            <w:pPr>
              <w:spacing w:after="0"/>
              <w:rPr>
                <w:sz w:val="1"/>
                <w:szCs w:val="1"/>
                <w:color w:val="auto"/>
              </w:rPr>
            </w:pPr>
          </w:p>
        </w:tc>
      </w:tr>
    </w:tbl>
    <w:p>
      <w:pPr>
        <w:ind w:left="520" w:right="300" w:hanging="253"/>
        <w:spacing w:after="0" w:line="207" w:lineRule="auto"/>
        <w:tabs>
          <w:tab w:leader="none" w:pos="520"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Gold Lounge</w:t>
      </w:r>
      <w:r>
        <w:rPr>
          <w:rFonts w:ascii="Arial" w:cs="Arial" w:eastAsia="Arial" w:hAnsi="Arial"/>
          <w:sz w:val="12"/>
          <w:szCs w:val="12"/>
          <w:color w:val="auto"/>
        </w:rPr>
        <w:t>: This is our "First Class Full Dine-in Service" in our Australian and New Zealand cinemas, which includes an upgraded F&amp;B menu (with alcoholic beverages), luxury recliner seating features (intimate 25-50 seat</w:t>
      </w:r>
      <w:r>
        <w:rPr>
          <w:rFonts w:ascii="Arial" w:cs="Arial" w:eastAsia="Arial" w:hAnsi="Arial"/>
          <w:sz w:val="12"/>
          <w:szCs w:val="12"/>
          <w:b w:val="1"/>
          <w:bCs w:val="1"/>
          <w:color w:val="auto"/>
        </w:rPr>
        <w:t xml:space="preserve"> </w:t>
      </w:r>
      <w:r>
        <w:rPr>
          <w:rFonts w:ascii="Arial" w:cs="Arial" w:eastAsia="Arial" w:hAnsi="Arial"/>
          <w:sz w:val="12"/>
          <w:szCs w:val="12"/>
          <w:color w:val="auto"/>
        </w:rPr>
        <w:t>cinemas) and waiter service.</w:t>
      </w:r>
    </w:p>
    <w:p>
      <w:pPr>
        <w:ind w:left="520" w:right="140" w:hanging="253"/>
        <w:spacing w:after="0" w:line="207" w:lineRule="auto"/>
        <w:tabs>
          <w:tab w:leader="none" w:pos="520"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Premium Service</w:t>
      </w:r>
      <w:r>
        <w:rPr>
          <w:rFonts w:ascii="Arial" w:cs="Arial" w:eastAsia="Arial" w:hAnsi="Arial"/>
          <w:sz w:val="12"/>
          <w:szCs w:val="12"/>
          <w:color w:val="auto"/>
        </w:rPr>
        <w:t>: This is our "Business Class Dine-in Service" in our Australian and New Zealand cinemas, which typically includes upgraded F&amp;B menu (some with alcoholic beverages) and may include luxury recliner seating</w:t>
      </w:r>
      <w:r>
        <w:rPr>
          <w:rFonts w:ascii="Arial" w:cs="Arial" w:eastAsia="Arial" w:hAnsi="Arial"/>
          <w:sz w:val="12"/>
          <w:szCs w:val="12"/>
          <w:b w:val="1"/>
          <w:bCs w:val="1"/>
          <w:color w:val="auto"/>
        </w:rPr>
        <w:t xml:space="preserve"> </w:t>
      </w:r>
      <w:r>
        <w:rPr>
          <w:rFonts w:ascii="Arial" w:cs="Arial" w:eastAsia="Arial" w:hAnsi="Arial"/>
          <w:sz w:val="12"/>
          <w:szCs w:val="12"/>
          <w:color w:val="auto"/>
        </w:rPr>
        <w:t>features (less intimate 80-seat cinemas), but no waiter service.</w:t>
      </w:r>
    </w:p>
    <w:p>
      <w:pPr>
        <w:ind w:left="520" w:right="20" w:hanging="253"/>
        <w:spacing w:after="0" w:line="207" w:lineRule="auto"/>
        <w:tabs>
          <w:tab w:leader="none" w:pos="520"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Spotlight Service</w:t>
      </w:r>
      <w:r>
        <w:rPr>
          <w:rFonts w:ascii="Arial" w:cs="Arial" w:eastAsia="Arial" w:hAnsi="Arial"/>
          <w:sz w:val="12"/>
          <w:szCs w:val="12"/>
          <w:color w:val="auto"/>
        </w:rPr>
        <w:t>: “Spotlight” is our first dine-in cinema concept in the U.S. at Reading Cinemas in Murrieta, California. Six of our 17 auditoriums at this theater feature waiter service before the movie begins with a full F&amp;B menu,</w:t>
      </w:r>
      <w:r>
        <w:rPr>
          <w:rFonts w:ascii="Arial" w:cs="Arial" w:eastAsia="Arial" w:hAnsi="Arial"/>
          <w:sz w:val="12"/>
          <w:szCs w:val="12"/>
          <w:b w:val="1"/>
          <w:bCs w:val="1"/>
          <w:color w:val="auto"/>
        </w:rPr>
        <w:t xml:space="preserve"> </w:t>
      </w:r>
      <w:r>
        <w:rPr>
          <w:rFonts w:ascii="Arial" w:cs="Arial" w:eastAsia="Arial" w:hAnsi="Arial"/>
          <w:sz w:val="12"/>
          <w:szCs w:val="12"/>
          <w:color w:val="auto"/>
        </w:rPr>
        <w:t>luxury recliner seating, and laser focus on customer service.</w:t>
      </w:r>
    </w:p>
    <w:p>
      <w:pPr>
        <w:ind w:left="520" w:right="340" w:hanging="253"/>
        <w:spacing w:after="0" w:line="207" w:lineRule="auto"/>
        <w:tabs>
          <w:tab w:leader="none" w:pos="520"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Upgraded Food &amp; Beverage Menu</w:t>
      </w:r>
      <w:r>
        <w:rPr>
          <w:rFonts w:ascii="Arial" w:cs="Arial" w:eastAsia="Arial" w:hAnsi="Arial"/>
          <w:sz w:val="12"/>
          <w:szCs w:val="12"/>
          <w:color w:val="auto"/>
        </w:rPr>
        <w:t>: Features an elevated F&amp;B menu including a menu of locally inspired and freshly prepared items that go beyond traditional concessions, which we have worked with former Food Network</w:t>
      </w:r>
      <w:r>
        <w:rPr>
          <w:rFonts w:ascii="Arial" w:cs="Arial" w:eastAsia="Arial" w:hAnsi="Arial"/>
          <w:sz w:val="12"/>
          <w:szCs w:val="12"/>
          <w:b w:val="1"/>
          <w:bCs w:val="1"/>
          <w:color w:val="auto"/>
        </w:rPr>
        <w:t xml:space="preserve"> </w:t>
      </w:r>
      <w:r>
        <w:rPr>
          <w:rFonts w:ascii="Arial" w:cs="Arial" w:eastAsia="Arial" w:hAnsi="Arial"/>
          <w:sz w:val="12"/>
          <w:szCs w:val="12"/>
          <w:color w:val="auto"/>
        </w:rPr>
        <w:t>executives to create. The elevated menu also includes beer, wine and/or spirits at most of our locations.</w:t>
      </w:r>
    </w:p>
    <w:p>
      <w:pPr>
        <w:ind w:left="520" w:right="20" w:hanging="253"/>
        <w:spacing w:after="0" w:line="217" w:lineRule="auto"/>
        <w:tabs>
          <w:tab w:leader="none" w:pos="520"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 xml:space="preserve">Liquor Licenses: </w:t>
      </w:r>
      <w:r>
        <w:rPr>
          <w:rFonts w:ascii="Arial" w:cs="Arial" w:eastAsia="Arial" w:hAnsi="Arial"/>
          <w:sz w:val="12"/>
          <w:szCs w:val="12"/>
          <w:color w:val="auto"/>
        </w:rPr>
        <w:t>Licenses are applicable at each cinema location, rather than each theater auditorium. For accounting purposes, we capitalize the cost of successfully purchasing or applying for liquor licenses meeting certain</w:t>
      </w:r>
      <w:r>
        <w:rPr>
          <w:rFonts w:ascii="Arial" w:cs="Arial" w:eastAsia="Arial" w:hAnsi="Arial"/>
          <w:sz w:val="12"/>
          <w:szCs w:val="12"/>
          <w:b w:val="1"/>
          <w:bCs w:val="1"/>
          <w:color w:val="auto"/>
        </w:rPr>
        <w:t xml:space="preserve"> </w:t>
      </w:r>
      <w:r>
        <w:rPr>
          <w:rFonts w:ascii="Arial" w:cs="Arial" w:eastAsia="Arial" w:hAnsi="Arial"/>
          <w:sz w:val="12"/>
          <w:szCs w:val="12"/>
          <w:color w:val="auto"/>
        </w:rPr>
        <w:t>thresholds as an intangible asset due to long-term economic benefits derived on future sales of alcoholic beverages. As of December 31, 2021, we have pending applications for additional liquor licenses for eleven theaters in the U.S. and one in Australia.</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United States</w:t>
      </w:r>
    </w:p>
    <w:p>
      <w:pPr>
        <w:spacing w:after="0" w:line="67" w:lineRule="exact"/>
        <w:rPr>
          <w:sz w:val="20"/>
          <w:szCs w:val="20"/>
          <w:color w:val="auto"/>
        </w:rPr>
      </w:pPr>
    </w:p>
    <w:p>
      <w:pPr>
        <w:ind w:left="520" w:right="20"/>
        <w:spacing w:after="0" w:line="242" w:lineRule="auto"/>
        <w:rPr>
          <w:sz w:val="20"/>
          <w:szCs w:val="20"/>
          <w:color w:val="auto"/>
        </w:rPr>
      </w:pPr>
      <w:r>
        <w:rPr>
          <w:rFonts w:ascii="Arial" w:cs="Arial" w:eastAsia="Arial" w:hAnsi="Arial"/>
          <w:sz w:val="14"/>
          <w:szCs w:val="14"/>
          <w:i w:val="1"/>
          <w:iCs w:val="1"/>
          <w:u w:val="single" w:color="auto"/>
          <w:color w:val="auto"/>
        </w:rPr>
        <w:t>Kahala Mall renovation:</w:t>
      </w:r>
      <w:r>
        <w:rPr>
          <w:rFonts w:ascii="Arial" w:cs="Arial" w:eastAsia="Arial" w:hAnsi="Arial"/>
          <w:sz w:val="14"/>
          <w:szCs w:val="14"/>
          <w:i w:val="1"/>
          <w:iCs w:val="1"/>
          <w:color w:val="auto"/>
        </w:rPr>
        <w:t xml:space="preserve"> </w:t>
      </w:r>
      <w:r>
        <w:rPr>
          <w:rFonts w:ascii="Arial" w:cs="Arial" w:eastAsia="Arial" w:hAnsi="Arial"/>
          <w:sz w:val="14"/>
          <w:szCs w:val="14"/>
          <w:color w:val="auto"/>
        </w:rPr>
        <w:t>In late 2019, we commenced the renovation of our Consolidated Theatre at the Kahala Mall in Honolulu. The renovation work was suspended at the end of the</w:t>
      </w:r>
      <w:r>
        <w:rPr>
          <w:rFonts w:ascii="Arial" w:cs="Arial" w:eastAsia="Arial" w:hAnsi="Arial"/>
          <w:sz w:val="14"/>
          <w:szCs w:val="14"/>
          <w:i w:val="1"/>
          <w:iCs w:val="1"/>
          <w:color w:val="auto"/>
        </w:rPr>
        <w:t xml:space="preserve"> </w:t>
      </w:r>
      <w:r>
        <w:rPr>
          <w:rFonts w:ascii="Arial" w:cs="Arial" w:eastAsia="Arial" w:hAnsi="Arial"/>
          <w:sz w:val="14"/>
          <w:szCs w:val="14"/>
          <w:color w:val="auto"/>
        </w:rPr>
        <w:t>first quarter in 2020 as a result of the initial COVID-19 shutdown. This cinema reopened on November 5, 2021, with the opening of the Hawaii International Film Festival. The theatre features recliner seating throughout along with a state-of-the-art kitchen and an elevated F&amp;B menu.</w:t>
      </w:r>
    </w:p>
    <w:p>
      <w:pPr>
        <w:spacing w:after="0" w:line="33" w:lineRule="exact"/>
        <w:rPr>
          <w:sz w:val="20"/>
          <w:szCs w:val="20"/>
          <w:color w:val="auto"/>
        </w:rPr>
      </w:pPr>
    </w:p>
    <w:p>
      <w:pPr>
        <w:ind w:left="520" w:right="100"/>
        <w:spacing w:after="0" w:line="274" w:lineRule="auto"/>
        <w:rPr>
          <w:sz w:val="20"/>
          <w:szCs w:val="20"/>
          <w:color w:val="auto"/>
        </w:rPr>
      </w:pPr>
      <w:r>
        <w:rPr>
          <w:rFonts w:ascii="Arial" w:cs="Arial" w:eastAsia="Arial" w:hAnsi="Arial"/>
          <w:sz w:val="14"/>
          <w:szCs w:val="14"/>
          <w:i w:val="1"/>
          <w:iCs w:val="1"/>
          <w:u w:val="single" w:color="auto"/>
          <w:color w:val="auto"/>
        </w:rPr>
        <w:t>Kapolei renovation:</w:t>
      </w:r>
      <w:r>
        <w:rPr>
          <w:rFonts w:ascii="Arial" w:cs="Arial" w:eastAsia="Arial" w:hAnsi="Arial"/>
          <w:sz w:val="14"/>
          <w:szCs w:val="14"/>
          <w:i w:val="1"/>
          <w:iCs w:val="1"/>
          <w:color w:val="auto"/>
        </w:rPr>
        <w:t xml:space="preserve"> </w:t>
      </w:r>
      <w:r>
        <w:rPr>
          <w:rFonts w:ascii="Arial" w:cs="Arial" w:eastAsia="Arial" w:hAnsi="Arial"/>
          <w:sz w:val="14"/>
          <w:szCs w:val="14"/>
          <w:color w:val="auto"/>
        </w:rPr>
        <w:t>During the fourth quarter of 2021, we commenced the renovation of our Consolidated Theatre in Kapolei, in Western Oahu, Hawaii, which relaunched on March 3,</w:t>
      </w:r>
      <w:r>
        <w:rPr>
          <w:rFonts w:ascii="Arial" w:cs="Arial" w:eastAsia="Arial" w:hAnsi="Arial"/>
          <w:sz w:val="14"/>
          <w:szCs w:val="14"/>
          <w:i w:val="1"/>
          <w:iCs w:val="1"/>
          <w:color w:val="auto"/>
        </w:rPr>
        <w:t xml:space="preserve"> </w:t>
      </w:r>
      <w:r>
        <w:rPr>
          <w:rFonts w:ascii="Arial" w:cs="Arial" w:eastAsia="Arial" w:hAnsi="Arial"/>
          <w:sz w:val="14"/>
          <w:szCs w:val="14"/>
          <w:color w:val="auto"/>
        </w:rPr>
        <w:t>2022, with eight screens featuring recliner seating and a renovation of the lobby areas.</w:t>
      </w:r>
    </w:p>
    <w:p>
      <w:pPr>
        <w:spacing w:after="0" w:line="25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the date of this Report, we have converted 110 of our 238 U.S. auditoriums to luxury recliner seating.</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Australia and New Zealand</w:t>
      </w:r>
    </w:p>
    <w:p>
      <w:pPr>
        <w:spacing w:after="0" w:line="56" w:lineRule="exact"/>
        <w:rPr>
          <w:sz w:val="20"/>
          <w:szCs w:val="20"/>
          <w:color w:val="auto"/>
        </w:rPr>
      </w:pPr>
    </w:p>
    <w:p>
      <w:pPr>
        <w:ind w:left="520" w:right="40"/>
        <w:spacing w:after="0" w:line="274" w:lineRule="auto"/>
        <w:rPr>
          <w:sz w:val="20"/>
          <w:szCs w:val="20"/>
          <w:color w:val="auto"/>
        </w:rPr>
      </w:pPr>
      <w:r>
        <w:rPr>
          <w:rFonts w:ascii="Arial" w:cs="Arial" w:eastAsia="Arial" w:hAnsi="Arial"/>
          <w:sz w:val="14"/>
          <w:szCs w:val="14"/>
          <w:i w:val="1"/>
          <w:iCs w:val="1"/>
          <w:u w:val="single" w:color="auto"/>
          <w:color w:val="auto"/>
        </w:rPr>
        <w:t>AU and NZ Renovations:</w:t>
      </w:r>
      <w:r>
        <w:rPr>
          <w:rFonts w:ascii="Arial" w:cs="Arial" w:eastAsia="Arial" w:hAnsi="Arial"/>
          <w:sz w:val="14"/>
          <w:szCs w:val="14"/>
          <w:i w:val="1"/>
          <w:iCs w:val="1"/>
          <w:color w:val="auto"/>
        </w:rPr>
        <w:t xml:space="preserve"> </w:t>
      </w:r>
      <w:r>
        <w:rPr>
          <w:rFonts w:ascii="Arial" w:cs="Arial" w:eastAsia="Arial" w:hAnsi="Arial"/>
          <w:sz w:val="14"/>
          <w:szCs w:val="14"/>
          <w:color w:val="auto"/>
        </w:rPr>
        <w:t>From 2019 to 2021, we improved eight theaters: Harbour Town, Waurn Ponds, Maitland, West Lakes, Rhodes, Chirnside, and Dandenong in Australia, and The</w:t>
      </w:r>
      <w:r>
        <w:rPr>
          <w:rFonts w:ascii="Arial" w:cs="Arial" w:eastAsia="Arial" w:hAnsi="Arial"/>
          <w:sz w:val="14"/>
          <w:szCs w:val="14"/>
          <w:i w:val="1"/>
          <w:iCs w:val="1"/>
          <w:color w:val="auto"/>
        </w:rPr>
        <w:t xml:space="preserve"> </w:t>
      </w:r>
      <w:r>
        <w:rPr>
          <w:rFonts w:ascii="Arial" w:cs="Arial" w:eastAsia="Arial" w:hAnsi="Arial"/>
          <w:sz w:val="14"/>
          <w:szCs w:val="14"/>
          <w:color w:val="auto"/>
        </w:rPr>
        <w:t>Palms in New Zealand.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Plans for 2022 and Our Cinema Business</w:t>
      </w:r>
    </w:p>
    <w:p>
      <w:pPr>
        <w:spacing w:after="0" w:line="143" w:lineRule="exact"/>
        <w:rPr>
          <w:sz w:val="20"/>
          <w:szCs w:val="20"/>
          <w:color w:val="auto"/>
        </w:rPr>
      </w:pPr>
    </w:p>
    <w:p>
      <w:pPr>
        <w:ind w:right="300"/>
        <w:spacing w:after="0" w:line="242" w:lineRule="auto"/>
        <w:rPr>
          <w:sz w:val="20"/>
          <w:szCs w:val="20"/>
          <w:color w:val="auto"/>
        </w:rPr>
      </w:pPr>
      <w:r>
        <w:rPr>
          <w:rFonts w:ascii="Arial" w:cs="Arial" w:eastAsia="Arial" w:hAnsi="Arial"/>
          <w:sz w:val="14"/>
          <w:szCs w:val="14"/>
          <w:color w:val="auto"/>
        </w:rPr>
        <w:t>By the end of 2022, we anticipate adding two new cinemas, totaling 13 screens, to our Australian cinema circuit. South City Square in Brisbane, QLD is an eight-screen complex, which will operate under the Angelika Film Center brand, and Busselton in Western Australia is a five-screen Reading Cinema. Both new cinema complexes are part of broader shopping center developments currently under construction.</w:t>
      </w:r>
    </w:p>
    <w:p>
      <w:pPr>
        <w:spacing w:after="0" w:line="120" w:lineRule="exact"/>
        <w:rPr>
          <w:sz w:val="20"/>
          <w:szCs w:val="20"/>
          <w:color w:val="auto"/>
        </w:rPr>
      </w:pPr>
    </w:p>
    <w:p>
      <w:pPr>
        <w:jc w:val="center"/>
        <w:ind w:right="40"/>
        <w:spacing w:after="0" w:line="242" w:lineRule="auto"/>
        <w:rPr>
          <w:sz w:val="20"/>
          <w:szCs w:val="20"/>
          <w:color w:val="auto"/>
        </w:rPr>
      </w:pPr>
      <w:r>
        <w:rPr>
          <w:rFonts w:ascii="Arial" w:cs="Arial" w:eastAsia="Arial" w:hAnsi="Arial"/>
          <w:sz w:val="14"/>
          <w:szCs w:val="14"/>
          <w:color w:val="auto"/>
        </w:rPr>
        <w:t>Our focus with respect to new cinemas includes state-of-the-art projection and sound, luxury recliner seating, enhanced F&amp;B (typically including alcohol service), and typically at least one major TITAN-type presentation screen. Our focus is on providing best-in-class services and amenities that will differentiate us from in-home and mobile viewing options. We believe that a night at the - 37 -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85025"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22"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auto"/>
        </w:rPr>
        <w:t>movies should be a special and premium experience and, indeed, that it must be able to compete with the variety of options being offered to consumers through other platforms.</w:t>
      </w:r>
    </w:p>
    <w:p>
      <w:pPr>
        <w:spacing w:after="0" w:line="143" w:lineRule="exact"/>
        <w:rPr>
          <w:sz w:val="20"/>
          <w:szCs w:val="20"/>
          <w:color w:val="auto"/>
        </w:rPr>
      </w:pPr>
    </w:p>
    <w:p>
      <w:pPr>
        <w:ind w:right="300"/>
        <w:spacing w:after="0" w:line="242" w:lineRule="auto"/>
        <w:rPr>
          <w:sz w:val="20"/>
          <w:szCs w:val="20"/>
          <w:color w:val="auto"/>
        </w:rPr>
      </w:pPr>
      <w:r>
        <w:rPr>
          <w:rFonts w:ascii="Arial" w:cs="Arial" w:eastAsia="Arial" w:hAnsi="Arial"/>
          <w:sz w:val="14"/>
          <w:szCs w:val="14"/>
          <w:color w:val="auto"/>
        </w:rPr>
        <w:t>During 2022, we will continue to focus on the enhancement of our proprietary online ticketing capabilities and social media interfaces. These are intended to enhance the convenience of our offerings and to promote guest affinity with the experiences and products that we are offering. We will also be focusing on post-COVID-19 technology improvements and contactless experiences.</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Expanding our online capabilities, in the third quarter of 2020 and fourth quarter of 2021, respectively, we launched the online ordering of a full F&amp;B menu for our Angelika brand in the U.S. and launched a full F&amp;B menu for our Reading Cinemas in Australia and New Zealand. In December 2020 and December 2021, respectively, we launched our very own streaming service, Angelika Anywhere, in the U.S. and Australia, which is curated for film lovers of independent and foreign film, documentaries, and the more specialized movies from the major studios.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Real Estate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Strategic Acquisitions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3"/>
          <w:szCs w:val="13"/>
          <w:i w:val="1"/>
          <w:iCs w:val="1"/>
          <w:u w:val="single" w:color="auto"/>
          <w:color w:val="auto"/>
        </w:rPr>
        <w:t>Exercise of Option to Acquire Ground Lessee’s interest in Ground Lease and Improvements Constituting the Village East Cinema</w:t>
      </w:r>
      <w:r>
        <w:rPr>
          <w:rFonts w:ascii="Arial" w:cs="Arial" w:eastAsia="Arial" w:hAnsi="Arial"/>
          <w:sz w:val="13"/>
          <w:szCs w:val="13"/>
          <w:i w:val="1"/>
          <w:iCs w:val="1"/>
          <w:color w:val="auto"/>
        </w:rPr>
        <w:t xml:space="preserve"> – </w:t>
      </w:r>
      <w:r>
        <w:rPr>
          <w:rFonts w:ascii="Arial" w:cs="Arial" w:eastAsia="Arial" w:hAnsi="Arial"/>
          <w:sz w:val="13"/>
          <w:szCs w:val="13"/>
          <w:color w:val="auto"/>
        </w:rPr>
        <w:t>On August 28, 2019, we exercised our option to</w:t>
      </w:r>
    </w:p>
    <w:p>
      <w:pPr>
        <w:spacing w:after="0" w:line="25" w:lineRule="exact"/>
        <w:rPr>
          <w:sz w:val="20"/>
          <w:szCs w:val="20"/>
          <w:color w:val="auto"/>
        </w:rPr>
      </w:pPr>
    </w:p>
    <w:p>
      <w:pPr>
        <w:jc w:val="both"/>
        <w:ind w:left="520"/>
        <w:spacing w:after="0" w:line="235" w:lineRule="auto"/>
        <w:rPr>
          <w:sz w:val="20"/>
          <w:szCs w:val="20"/>
          <w:color w:val="auto"/>
        </w:rPr>
      </w:pPr>
      <w:r>
        <w:rPr>
          <w:rFonts w:ascii="Arial" w:cs="Arial" w:eastAsia="Arial" w:hAnsi="Arial"/>
          <w:sz w:val="14"/>
          <w:szCs w:val="14"/>
          <w:color w:val="auto"/>
        </w:rPr>
        <w:t xml:space="preserve">acquire the ground lessee’s interest in the ground lease underlying and the real property assets constituting our Village East Cinema in Manhattan. The purchase price under the option is $5.9 million. The transaction is currently scheduled to close on January 1, 2023. See </w:t>
      </w:r>
      <w:r>
        <w:rPr>
          <w:rFonts w:ascii="Arial" w:cs="Arial" w:eastAsia="Arial" w:hAnsi="Arial"/>
          <w:sz w:val="14"/>
          <w:szCs w:val="14"/>
          <w:i w:val="1"/>
          <w:iCs w:val="1"/>
          <w:color w:val="auto"/>
        </w:rPr>
        <w:t>Part II, Item 8 – Financial Statements and Supplementary Data—Notes to Consolidated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Statements-- Note 12 – Pension and Other Liabilities </w:t>
      </w:r>
      <w:r>
        <w:rPr>
          <w:rFonts w:ascii="Arial" w:cs="Arial" w:eastAsia="Arial" w:hAnsi="Arial"/>
          <w:sz w:val="14"/>
          <w:szCs w:val="14"/>
          <w:color w:val="auto"/>
        </w:rPr>
        <w:t>and</w:t>
      </w:r>
      <w:r>
        <w:rPr>
          <w:rFonts w:ascii="Arial" w:cs="Arial" w:eastAsia="Arial" w:hAnsi="Arial"/>
          <w:sz w:val="14"/>
          <w:szCs w:val="14"/>
          <w:i w:val="1"/>
          <w:iCs w:val="1"/>
          <w:color w:val="auto"/>
        </w:rPr>
        <w:t xml:space="preserve"> Note 21 – Related Parties </w:t>
      </w:r>
      <w:r>
        <w:rPr>
          <w:rFonts w:ascii="Arial" w:cs="Arial" w:eastAsia="Arial" w:hAnsi="Arial"/>
          <w:sz w:val="14"/>
          <w:szCs w:val="14"/>
          <w:color w:val="auto"/>
        </w:rPr>
        <w:t>for further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Strategic Asset Monetizations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United States:</w:t>
      </w:r>
    </w:p>
    <w:p>
      <w:pPr>
        <w:spacing w:after="0" w:line="67" w:lineRule="exact"/>
        <w:rPr>
          <w:sz w:val="20"/>
          <w:szCs w:val="20"/>
          <w:color w:val="auto"/>
        </w:rPr>
      </w:pPr>
    </w:p>
    <w:p>
      <w:pPr>
        <w:jc w:val="both"/>
        <w:ind w:left="520" w:right="120"/>
        <w:spacing w:after="0" w:line="270" w:lineRule="auto"/>
        <w:rPr>
          <w:sz w:val="20"/>
          <w:szCs w:val="20"/>
          <w:color w:val="auto"/>
        </w:rPr>
      </w:pPr>
      <w:r>
        <w:rPr>
          <w:rFonts w:ascii="Arial" w:cs="Arial" w:eastAsia="Arial" w:hAnsi="Arial"/>
          <w:sz w:val="13"/>
          <w:szCs w:val="13"/>
          <w:color w:val="auto"/>
        </w:rPr>
        <w:t>On March 5, 2021, we monetized our approximately 202-acre raw land holdings in Coachella, California for $11.0 million (recognizing a gain on sale after costs to sell of $6.3 million over our $4.4 million net book value). As a 50% member of Shadow View Land and Farming LLC, the entity that owned the property, our Company received 50% of the sale proceeds, being $5.3 million. As raw land, this asset produced no operating income while continuing to generate carrying costs, such as taxes, insurance, and maintenance.</w:t>
      </w:r>
    </w:p>
    <w:p>
      <w:pPr>
        <w:spacing w:after="0" w:line="276" w:lineRule="exact"/>
        <w:rPr>
          <w:sz w:val="20"/>
          <w:szCs w:val="20"/>
          <w:color w:val="auto"/>
        </w:rPr>
      </w:pPr>
    </w:p>
    <w:p>
      <w:pPr>
        <w:ind w:left="520" w:right="200"/>
        <w:spacing w:after="0" w:line="258" w:lineRule="auto"/>
        <w:rPr>
          <w:sz w:val="20"/>
          <w:szCs w:val="20"/>
          <w:color w:val="auto"/>
        </w:rPr>
      </w:pPr>
      <w:r>
        <w:rPr>
          <w:rFonts w:ascii="Arial" w:cs="Arial" w:eastAsia="Arial" w:hAnsi="Arial"/>
          <w:sz w:val="14"/>
          <w:szCs w:val="14"/>
          <w:color w:val="auto"/>
        </w:rPr>
        <w:t>On June 30, 2021, we monetized our Royal George Theatre property in Chicago for $7.1 million. We realized a gain on sale after costs to sell of $5.0 million over our $1.8 million net book value.</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Australia:</w:t>
      </w:r>
    </w:p>
    <w:p>
      <w:pPr>
        <w:spacing w:after="0" w:line="56" w:lineRule="exact"/>
        <w:rPr>
          <w:sz w:val="20"/>
          <w:szCs w:val="20"/>
          <w:color w:val="auto"/>
        </w:rPr>
      </w:pPr>
    </w:p>
    <w:p>
      <w:pPr>
        <w:ind w:left="520" w:right="320"/>
        <w:spacing w:after="0" w:line="242" w:lineRule="auto"/>
        <w:rPr>
          <w:sz w:val="20"/>
          <w:szCs w:val="20"/>
          <w:color w:val="auto"/>
        </w:rPr>
      </w:pPr>
      <w:r>
        <w:rPr>
          <w:rFonts w:ascii="Arial" w:cs="Arial" w:eastAsia="Arial" w:hAnsi="Arial"/>
          <w:sz w:val="14"/>
          <w:szCs w:val="14"/>
          <w:color w:val="auto"/>
        </w:rPr>
        <w:t>On June 9, 2021, we monetized our Auburn/Redyard Center (including 114,000 square feet of undeveloped land) located in Auburn, New South Wales for $69.6 million (AU$90.0 million). We recognized a gain on sale after costs to sell of $38.7 million (AU$50.1 million) over our $30.2 million (AU$39.1 million) net book value. As part of the transaction, we entered into a lease with the purchaser to continue to operate the cinema at that location.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New Zealand:</w:t>
      </w:r>
    </w:p>
    <w:p>
      <w:pPr>
        <w:spacing w:after="0" w:line="67" w:lineRule="exact"/>
        <w:rPr>
          <w:sz w:val="20"/>
          <w:szCs w:val="20"/>
          <w:color w:val="auto"/>
        </w:rPr>
      </w:pPr>
    </w:p>
    <w:p>
      <w:pPr>
        <w:jc w:val="both"/>
        <w:ind w:left="520" w:right="100"/>
        <w:spacing w:after="0" w:line="242" w:lineRule="auto"/>
        <w:rPr>
          <w:sz w:val="20"/>
          <w:szCs w:val="20"/>
          <w:color w:val="auto"/>
        </w:rPr>
      </w:pPr>
      <w:r>
        <w:rPr>
          <w:rFonts w:ascii="Arial" w:cs="Arial" w:eastAsia="Arial" w:hAnsi="Arial"/>
          <w:sz w:val="14"/>
          <w:szCs w:val="14"/>
          <w:color w:val="auto"/>
        </w:rPr>
        <w:t>On March 4, 2021, we monetized our two industrial properties adjacent to the Auckland Airport in Manukau/Wiri in New Zealand, representing 70.4 acres, for $56.1 million (NZ $77.2 million). We recognized a gain on sale after costs to sell of $41.0 million (NZ$56.3 million) over our $13.6 million (NZ$18.7 million) net book value. As raw land, this asset produced no operating income while continuing to generate carrying costs, such as property taxes, insurance, and maintenance.</w:t>
      </w:r>
    </w:p>
    <w:p>
      <w:pPr>
        <w:spacing w:after="0" w:line="44" w:lineRule="exact"/>
        <w:rPr>
          <w:sz w:val="20"/>
          <w:szCs w:val="20"/>
          <w:color w:val="auto"/>
        </w:rPr>
      </w:pPr>
    </w:p>
    <w:p>
      <w:pPr>
        <w:jc w:val="both"/>
        <w:ind w:left="520" w:right="360"/>
        <w:spacing w:after="0" w:line="232" w:lineRule="auto"/>
        <w:rPr>
          <w:sz w:val="20"/>
          <w:szCs w:val="20"/>
          <w:color w:val="auto"/>
        </w:rPr>
      </w:pPr>
      <w:r>
        <w:rPr>
          <w:rFonts w:ascii="Arial" w:cs="Arial" w:eastAsia="Arial" w:hAnsi="Arial"/>
          <w:sz w:val="14"/>
          <w:szCs w:val="14"/>
          <w:color w:val="auto"/>
        </w:rPr>
        <w:t>On August 30, 2021, we monetized our cinema building and land in Invercargill for $3.8 million (NZ$5.4 million) to the owner of the adjacent shopping center, which is currently undergoing a major redevelopment. As part of the transaction, we entered into a lease with the purchaser to continue to operate the cinema at that location and integrate the existing cinema within that newly redeveloped shopping center.</w:t>
      </w:r>
    </w:p>
    <w:p>
      <w:pPr>
        <w:jc w:val="center"/>
        <w:spacing w:after="0"/>
        <w:rPr>
          <w:sz w:val="20"/>
          <w:szCs w:val="20"/>
          <w:color w:val="auto"/>
        </w:rPr>
      </w:pPr>
      <w:r>
        <w:rPr>
          <w:rFonts w:ascii="Arial" w:cs="Arial" w:eastAsia="Arial" w:hAnsi="Arial"/>
          <w:sz w:val="14"/>
          <w:szCs w:val="14"/>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i w:val="1"/>
          <w:iCs w:val="1"/>
          <w:color w:val="auto"/>
        </w:rPr>
        <w:t>Value-creating Opportunities</w:t>
      </w:r>
    </w:p>
    <w:p>
      <w:pPr>
        <w:spacing w:after="0" w:line="143" w:lineRule="exact"/>
        <w:rPr>
          <w:sz w:val="20"/>
          <w:szCs w:val="20"/>
          <w:color w:val="auto"/>
        </w:rPr>
      </w:pPr>
    </w:p>
    <w:p>
      <w:pPr>
        <w:ind w:right="160"/>
        <w:spacing w:after="0" w:line="242" w:lineRule="auto"/>
        <w:rPr>
          <w:sz w:val="20"/>
          <w:szCs w:val="20"/>
          <w:color w:val="auto"/>
        </w:rPr>
      </w:pPr>
      <w:r>
        <w:rPr>
          <w:rFonts w:ascii="Arial" w:cs="Arial" w:eastAsia="Arial" w:hAnsi="Arial"/>
          <w:sz w:val="14"/>
          <w:szCs w:val="14"/>
          <w:color w:val="auto"/>
        </w:rPr>
        <w:t>The implementation of most of our real estate development plans has been delayed due to COVID-19 and the need to conserve capital. However, we continue to believe that our Company’s strong real estate asset base will provide (i) increased financial security through the potential sale of certain non-core real estate assets or (ii) provide collateral for strategic re-financing, in each case to meet liquidity demands. We intend to continue to emphasize the prudent development of our real estate assets.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United States:</w:t>
      </w:r>
    </w:p>
    <w:p>
      <w:pPr>
        <w:spacing w:after="0" w:line="67" w:lineRule="exact"/>
        <w:rPr>
          <w:sz w:val="20"/>
          <w:szCs w:val="20"/>
          <w:color w:val="auto"/>
        </w:rPr>
      </w:pPr>
    </w:p>
    <w:p>
      <w:pPr>
        <w:jc w:val="both"/>
        <w:ind w:left="520"/>
        <w:spacing w:after="0" w:line="242" w:lineRule="auto"/>
        <w:rPr>
          <w:sz w:val="20"/>
          <w:szCs w:val="20"/>
          <w:color w:val="auto"/>
        </w:rPr>
      </w:pPr>
      <w:r>
        <w:rPr>
          <w:rFonts w:ascii="Arial" w:cs="Arial" w:eastAsia="Arial" w:hAnsi="Arial"/>
          <w:sz w:val="14"/>
          <w:szCs w:val="14"/>
          <w:i w:val="1"/>
          <w:iCs w:val="1"/>
          <w:u w:val="single" w:color="auto"/>
          <w:color w:val="auto"/>
        </w:rPr>
        <w:t>44 Union Square Redevelopment (New York, N.Y.)</w:t>
      </w:r>
      <w:r>
        <w:rPr>
          <w:rFonts w:ascii="Arial" w:cs="Arial" w:eastAsia="Arial" w:hAnsi="Arial"/>
          <w:sz w:val="14"/>
          <w:szCs w:val="14"/>
          <w:i w:val="1"/>
          <w:iCs w:val="1"/>
          <w:color w:val="auto"/>
        </w:rPr>
        <w:t xml:space="preserve"> </w:t>
      </w:r>
      <w:r>
        <w:rPr>
          <w:rFonts w:ascii="Arial" w:cs="Arial" w:eastAsia="Arial" w:hAnsi="Arial"/>
          <w:sz w:val="14"/>
          <w:szCs w:val="14"/>
          <w:color w:val="auto"/>
        </w:rPr>
        <w:t>– Initially, during the COVID-19 pandemic, New York City shut down non-essential construction and businesses, including</w:t>
      </w:r>
      <w:r>
        <w:rPr>
          <w:rFonts w:ascii="Arial" w:cs="Arial" w:eastAsia="Arial" w:hAnsi="Arial"/>
          <w:sz w:val="14"/>
          <w:szCs w:val="14"/>
          <w:i w:val="1"/>
          <w:iCs w:val="1"/>
          <w:color w:val="auto"/>
        </w:rPr>
        <w:t xml:space="preserve"> </w:t>
      </w:r>
      <w:r>
        <w:rPr>
          <w:rFonts w:ascii="Arial" w:cs="Arial" w:eastAsia="Arial" w:hAnsi="Arial"/>
          <w:sz w:val="14"/>
          <w:szCs w:val="14"/>
          <w:color w:val="auto"/>
        </w:rPr>
        <w:t>construction work at our site. The shutdown has since been lifted. On August 31, 2020, we received a temporary certificate of occupancy for the core and shell of the building, which has been continuously renewed pending construction of tenant improvements.</w:t>
      </w:r>
    </w:p>
    <w:p>
      <w:pPr>
        <w:spacing w:after="0" w:line="185" w:lineRule="exact"/>
        <w:rPr>
          <w:sz w:val="20"/>
          <w:szCs w:val="20"/>
          <w:color w:val="auto"/>
        </w:rPr>
      </w:pPr>
    </w:p>
    <w:p>
      <w:pPr>
        <w:jc w:val="both"/>
        <w:ind w:left="520"/>
        <w:spacing w:after="0" w:line="270" w:lineRule="auto"/>
        <w:rPr>
          <w:sz w:val="20"/>
          <w:szCs w:val="20"/>
          <w:color w:val="auto"/>
        </w:rPr>
      </w:pPr>
      <w:r>
        <w:rPr>
          <w:rFonts w:ascii="Arial" w:cs="Arial" w:eastAsia="Arial" w:hAnsi="Arial"/>
          <w:sz w:val="13"/>
          <w:szCs w:val="13"/>
          <w:color w:val="auto"/>
        </w:rPr>
        <w:t>On January 27, 2022, we entered into a long-term lease with a national retailer for the lower level, ground floor and second floor of the building. We expect the tenant to take occupancy in 2022, following the completion of certain work for which we are responsible. We have retained CBRE as our leasing agent for the upper floors of the building. Our leasing team continues to pursue potential tenants to fill the remainder of the space, although no assurances can be given that we will be able to lease the space on acceptable terms in the near term.</w:t>
      </w:r>
    </w:p>
    <w:p>
      <w:pPr>
        <w:spacing w:after="0" w:line="250" w:lineRule="exact"/>
        <w:rPr>
          <w:sz w:val="20"/>
          <w:szCs w:val="20"/>
          <w:color w:val="auto"/>
        </w:rPr>
      </w:pPr>
    </w:p>
    <w:p>
      <w:pPr>
        <w:jc w:val="both"/>
        <w:ind w:left="520"/>
        <w:spacing w:after="0" w:line="254" w:lineRule="auto"/>
        <w:rPr>
          <w:sz w:val="20"/>
          <w:szCs w:val="20"/>
          <w:color w:val="auto"/>
        </w:rPr>
      </w:pPr>
      <w:r>
        <w:rPr>
          <w:rFonts w:ascii="Arial" w:cs="Arial" w:eastAsia="Arial" w:hAnsi="Arial"/>
          <w:sz w:val="14"/>
          <w:szCs w:val="14"/>
          <w:i w:val="1"/>
          <w:iCs w:val="1"/>
          <w:u w:val="single" w:color="auto"/>
          <w:color w:val="auto"/>
        </w:rPr>
        <w:t>Sepulveda Office Building (Culver City, C.A.)</w:t>
      </w:r>
      <w:r>
        <w:rPr>
          <w:rFonts w:ascii="Arial" w:cs="Arial" w:eastAsia="Arial" w:hAnsi="Arial"/>
          <w:sz w:val="14"/>
          <w:szCs w:val="14"/>
          <w:i w:val="1"/>
          <w:iCs w:val="1"/>
          <w:color w:val="auto"/>
        </w:rPr>
        <w:t xml:space="preserve"> </w:t>
      </w:r>
      <w:r>
        <w:rPr>
          <w:rFonts w:ascii="Arial" w:cs="Arial" w:eastAsia="Arial" w:hAnsi="Arial"/>
          <w:sz w:val="15"/>
          <w:szCs w:val="15"/>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On May 27, 2020, we leased on a multi-year basis the entire second floor of our office building in Culver City, California (approximately</w:t>
      </w:r>
      <w:r>
        <w:rPr>
          <w:rFonts w:ascii="Arial" w:cs="Arial" w:eastAsia="Arial" w:hAnsi="Arial"/>
          <w:sz w:val="14"/>
          <w:szCs w:val="14"/>
          <w:i w:val="1"/>
          <w:iCs w:val="1"/>
          <w:color w:val="auto"/>
        </w:rPr>
        <w:t xml:space="preserve"> </w:t>
      </w:r>
      <w:r>
        <w:rPr>
          <w:rFonts w:ascii="Arial" w:cs="Arial" w:eastAsia="Arial" w:hAnsi="Arial"/>
          <w:sz w:val="14"/>
          <w:szCs w:val="14"/>
          <w:color w:val="auto"/>
        </w:rPr>
        <w:t>12,000 usable square feet) to WWP Beauty (wwpinc.com), a global company with over 35 years of experience providing the cosmetics and personal care industries with a range of packaging needs. On the date of the lease, possession of the space was turned over to WWP Beauty, which was responsible for building out its space. This work was completed in October 2021.</w:t>
      </w:r>
    </w:p>
    <w:p>
      <w:pPr>
        <w:spacing w:after="0" w:line="253" w:lineRule="exact"/>
        <w:rPr>
          <w:sz w:val="20"/>
          <w:szCs w:val="20"/>
          <w:color w:val="auto"/>
        </w:rPr>
      </w:pPr>
    </w:p>
    <w:p>
      <w:pPr>
        <w:jc w:val="both"/>
        <w:ind w:left="520"/>
        <w:spacing w:after="0" w:line="235" w:lineRule="auto"/>
        <w:rPr>
          <w:sz w:val="20"/>
          <w:szCs w:val="20"/>
          <w:color w:val="auto"/>
        </w:rPr>
      </w:pPr>
      <w:r>
        <w:rPr>
          <w:rFonts w:ascii="Arial" w:cs="Arial" w:eastAsia="Arial" w:hAnsi="Arial"/>
          <w:sz w:val="14"/>
          <w:szCs w:val="14"/>
          <w:i w:val="1"/>
          <w:iCs w:val="1"/>
          <w:u w:val="single" w:color="auto"/>
          <w:color w:val="auto"/>
        </w:rPr>
        <w:t>Minetta Lane Theatre (New York, N.Y.</w:t>
      </w:r>
      <w:r>
        <w:rPr>
          <w:rFonts w:ascii="Arial" w:cs="Arial" w:eastAsia="Arial" w:hAnsi="Arial"/>
          <w:sz w:val="14"/>
          <w:szCs w:val="14"/>
          <w:i w:val="1"/>
          <w:iCs w:val="1"/>
          <w:color w:val="auto"/>
        </w:rPr>
        <w:t xml:space="preserve">) </w:t>
      </w:r>
      <w:r>
        <w:rPr>
          <w:rFonts w:ascii="Arial" w:cs="Arial" w:eastAsia="Arial" w:hAnsi="Arial"/>
          <w:sz w:val="14"/>
          <w:szCs w:val="14"/>
          <w:color w:val="auto"/>
        </w:rPr>
        <w:t>– Prior to COVID-19, our theatre was used by Audible, to present plays featuring a limited cast of one or two characters and special live</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engagements on the Audible streaming service. Due to COVID-19, no shows were presented between March 2020 and October 8, 2021, the date on which public performances resumed. In late 2019, we completed an initial feasibility study for the potential redevelopment of this asset. We will refocus our efforts on this project at a later date as New York City continues to show signs of recovery from the impacts of the COVID-19 pandemic. In the interim, we renewed our license arrangement with Audible which extends through March 15, 2023, with a one-year option to extend held by Audible.</w:t>
      </w:r>
    </w:p>
    <w:p>
      <w:pPr>
        <w:spacing w:after="0" w:line="263" w:lineRule="exact"/>
        <w:rPr>
          <w:sz w:val="20"/>
          <w:szCs w:val="20"/>
          <w:color w:val="auto"/>
        </w:rPr>
      </w:pPr>
    </w:p>
    <w:p>
      <w:pPr>
        <w:jc w:val="both"/>
        <w:ind w:left="520"/>
        <w:spacing w:after="0" w:line="261" w:lineRule="auto"/>
        <w:rPr>
          <w:sz w:val="20"/>
          <w:szCs w:val="20"/>
          <w:color w:val="auto"/>
        </w:rPr>
      </w:pPr>
      <w:r>
        <w:rPr>
          <w:rFonts w:ascii="Arial" w:cs="Arial" w:eastAsia="Arial" w:hAnsi="Arial"/>
          <w:sz w:val="13"/>
          <w:szCs w:val="13"/>
          <w:i w:val="1"/>
          <w:iCs w:val="1"/>
          <w:u w:val="single" w:color="auto"/>
          <w:color w:val="auto"/>
        </w:rPr>
        <w:t>Cinemas 1,2,3 Redevelopment (New York, N.Y.)</w:t>
      </w:r>
      <w:r>
        <w:rPr>
          <w:rFonts w:ascii="Arial" w:cs="Arial" w:eastAsia="Arial" w:hAnsi="Arial"/>
          <w:sz w:val="13"/>
          <w:szCs w:val="13"/>
          <w:i w:val="1"/>
          <w:iCs w:val="1"/>
          <w:color w:val="auto"/>
        </w:rPr>
        <w:t xml:space="preserve"> </w:t>
      </w:r>
      <w:r>
        <w:rPr>
          <w:rFonts w:ascii="Arial" w:cs="Arial" w:eastAsia="Arial" w:hAnsi="Arial"/>
          <w:sz w:val="13"/>
          <w:szCs w:val="13"/>
          <w:color w:val="auto"/>
        </w:rPr>
        <w:t>– We have received the consent of the 25% minority member of the ownership entity for the redevelopment of the property. We continue</w:t>
      </w:r>
      <w:r>
        <w:rPr>
          <w:rFonts w:ascii="Arial" w:cs="Arial" w:eastAsia="Arial" w:hAnsi="Arial"/>
          <w:sz w:val="13"/>
          <w:szCs w:val="13"/>
          <w:i w:val="1"/>
          <w:iCs w:val="1"/>
          <w:color w:val="auto"/>
        </w:rPr>
        <w:t xml:space="preserve"> </w:t>
      </w:r>
      <w:r>
        <w:rPr>
          <w:rFonts w:ascii="Arial" w:cs="Arial" w:eastAsia="Arial" w:hAnsi="Arial"/>
          <w:sz w:val="13"/>
          <w:szCs w:val="13"/>
          <w:color w:val="auto"/>
        </w:rPr>
        <w:t>to evaluate the potential to redevelop the property as a mixed-use property. As our negotiations with our neighbor for a joint development did not bear fruit and given the closure of our two cinemas in New York City’s Upper East Side, we have determined to continue to operate this location as a cinema for at least the near term. All other redevelopment activity related to this location has been suspended, until we are able to develop a better understanding of the ongoing effects of COVID-19 on our assets and the market.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Australia:</w:t>
      </w:r>
    </w:p>
    <w:p>
      <w:pPr>
        <w:spacing w:after="0" w:line="67" w:lineRule="exact"/>
        <w:rPr>
          <w:sz w:val="20"/>
          <w:szCs w:val="20"/>
          <w:color w:val="auto"/>
        </w:rPr>
      </w:pPr>
    </w:p>
    <w:p>
      <w:pPr>
        <w:jc w:val="both"/>
        <w:ind w:left="520"/>
        <w:spacing w:after="0" w:line="297" w:lineRule="auto"/>
        <w:rPr>
          <w:sz w:val="20"/>
          <w:szCs w:val="20"/>
          <w:color w:val="auto"/>
        </w:rPr>
      </w:pPr>
      <w:r>
        <w:rPr>
          <w:rFonts w:ascii="Arial" w:cs="Arial" w:eastAsia="Arial" w:hAnsi="Arial"/>
          <w:sz w:val="13"/>
          <w:szCs w:val="13"/>
          <w:i w:val="1"/>
          <w:iCs w:val="1"/>
          <w:u w:val="single" w:color="auto"/>
          <w:color w:val="auto"/>
        </w:rPr>
        <w:t>Newmarket Village ETC, (Brisbane, Australia)</w:t>
      </w:r>
      <w:r>
        <w:rPr>
          <w:rFonts w:ascii="Arial" w:cs="Arial" w:eastAsia="Arial" w:hAnsi="Arial"/>
          <w:sz w:val="13"/>
          <w:szCs w:val="13"/>
          <w:i w:val="1"/>
          <w:iCs w:val="1"/>
          <w:color w:val="auto"/>
        </w:rPr>
        <w:t xml:space="preserve"> </w:t>
      </w:r>
      <w:r>
        <w:rPr>
          <w:rFonts w:ascii="Arial" w:cs="Arial" w:eastAsia="Arial" w:hAnsi="Arial"/>
          <w:sz w:val="13"/>
          <w:szCs w:val="13"/>
          <w:color w:val="auto"/>
        </w:rPr>
        <w:t>– We continue to work on the expansion and upgrading of our Newmarket Village ETC. The site includes a 23,000 square foot parcel</w:t>
      </w:r>
      <w:r>
        <w:rPr>
          <w:rFonts w:ascii="Arial" w:cs="Arial" w:eastAsia="Arial" w:hAnsi="Arial"/>
          <w:sz w:val="13"/>
          <w:szCs w:val="13"/>
          <w:i w:val="1"/>
          <w:iCs w:val="1"/>
          <w:color w:val="auto"/>
        </w:rPr>
        <w:t xml:space="preserve"> </w:t>
      </w:r>
      <w:r>
        <w:rPr>
          <w:rFonts w:ascii="Arial" w:cs="Arial" w:eastAsia="Arial" w:hAnsi="Arial"/>
          <w:sz w:val="13"/>
          <w:szCs w:val="13"/>
          <w:color w:val="auto"/>
        </w:rPr>
        <w:t>adjacent to the center, improved with an office building. Over the next few years, we will be evaluating development options for this space. The center is currently 96% leased.</w:t>
      </w:r>
    </w:p>
    <w:p>
      <w:pPr>
        <w:spacing w:after="0" w:line="9" w:lineRule="exact"/>
        <w:rPr>
          <w:sz w:val="20"/>
          <w:szCs w:val="20"/>
          <w:color w:val="auto"/>
        </w:rPr>
      </w:pPr>
    </w:p>
    <w:p>
      <w:pPr>
        <w:jc w:val="both"/>
        <w:ind w:left="520"/>
        <w:spacing w:after="0" w:line="232" w:lineRule="auto"/>
        <w:rPr>
          <w:sz w:val="20"/>
          <w:szCs w:val="20"/>
          <w:color w:val="auto"/>
        </w:rPr>
      </w:pPr>
      <w:r>
        <w:rPr>
          <w:rFonts w:ascii="Arial" w:cs="Arial" w:eastAsia="Arial" w:hAnsi="Arial"/>
          <w:sz w:val="14"/>
          <w:szCs w:val="14"/>
          <w:i w:val="1"/>
          <w:iCs w:val="1"/>
          <w:u w:val="single" w:color="auto"/>
          <w:color w:val="auto"/>
        </w:rPr>
        <w:t>Cannon Park ETC, (Queensland, Australia)</w:t>
      </w:r>
      <w:r>
        <w:rPr>
          <w:rFonts w:ascii="Arial" w:cs="Arial" w:eastAsia="Arial" w:hAnsi="Arial"/>
          <w:sz w:val="14"/>
          <w:szCs w:val="14"/>
          <w:i w:val="1"/>
          <w:iCs w:val="1"/>
          <w:color w:val="auto"/>
        </w:rPr>
        <w:t xml:space="preserve"> </w:t>
      </w:r>
      <w:r>
        <w:rPr>
          <w:rFonts w:ascii="Arial" w:cs="Arial" w:eastAsia="Arial" w:hAnsi="Arial"/>
          <w:sz w:val="14"/>
          <w:szCs w:val="14"/>
          <w:color w:val="auto"/>
        </w:rPr>
        <w:t>– we acquired two adjoining properties in Townsville, Queensland, Australia comprising of approximately 9.4-acres in 2015. The total gross</w:t>
      </w:r>
      <w:r>
        <w:rPr>
          <w:rFonts w:ascii="Arial" w:cs="Arial" w:eastAsia="Arial" w:hAnsi="Arial"/>
          <w:sz w:val="14"/>
          <w:szCs w:val="14"/>
          <w:i w:val="1"/>
          <w:iCs w:val="1"/>
          <w:color w:val="auto"/>
        </w:rPr>
        <w:t xml:space="preserve"> </w:t>
      </w:r>
      <w:r>
        <w:rPr>
          <w:rFonts w:ascii="Arial" w:cs="Arial" w:eastAsia="Arial" w:hAnsi="Arial"/>
          <w:sz w:val="14"/>
          <w:szCs w:val="14"/>
          <w:color w:val="auto"/>
        </w:rPr>
        <w:t>leasable area of the Cannon Park City Center and the Cannon Park Discount Center is 105,000 square feet. Our multiplex cinema is the anchor tenant at the Cannon Park City Center, which we continue to work on and improve. This site is currently 87% leased.</w:t>
      </w:r>
    </w:p>
    <w:p>
      <w:pPr>
        <w:jc w:val="center"/>
        <w:spacing w:after="0"/>
        <w:rPr>
          <w:sz w:val="20"/>
          <w:szCs w:val="20"/>
          <w:color w:val="auto"/>
        </w:rPr>
      </w:pPr>
      <w:r>
        <w:rPr>
          <w:rFonts w:ascii="Arial" w:cs="Arial" w:eastAsia="Arial" w:hAnsi="Arial"/>
          <w:sz w:val="14"/>
          <w:szCs w:val="14"/>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70"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color w:val="auto"/>
        </w:rPr>
        <w:t>New Zealand:</w:t>
      </w:r>
    </w:p>
    <w:p>
      <w:pPr>
        <w:spacing w:after="0" w:line="67" w:lineRule="exact"/>
        <w:rPr>
          <w:sz w:val="20"/>
          <w:szCs w:val="20"/>
          <w:color w:val="auto"/>
        </w:rPr>
      </w:pPr>
    </w:p>
    <w:p>
      <w:pPr>
        <w:ind w:left="520" w:right="40"/>
        <w:spacing w:after="0" w:line="252" w:lineRule="auto"/>
        <w:rPr>
          <w:sz w:val="20"/>
          <w:szCs w:val="20"/>
          <w:color w:val="auto"/>
        </w:rPr>
      </w:pPr>
      <w:r>
        <w:rPr>
          <w:rFonts w:ascii="Arial" w:cs="Arial" w:eastAsia="Arial" w:hAnsi="Arial"/>
          <w:sz w:val="13"/>
          <w:szCs w:val="13"/>
          <w:i w:val="1"/>
          <w:iCs w:val="1"/>
          <w:u w:val="single" w:color="auto"/>
          <w:color w:val="auto"/>
        </w:rPr>
        <w:t>Courtenay Central Redevelopment (Wellington, New Zealand)</w:t>
      </w:r>
      <w:r>
        <w:rPr>
          <w:rFonts w:ascii="Arial" w:cs="Arial" w:eastAsia="Arial" w:hAnsi="Arial"/>
          <w:sz w:val="13"/>
          <w:szCs w:val="13"/>
          <w:i w:val="1"/>
          <w:iCs w:val="1"/>
          <w:color w:val="auto"/>
        </w:rPr>
        <w:t xml:space="preserve"> </w:t>
      </w:r>
      <w:r>
        <w:rPr>
          <w:rFonts w:ascii="Arial" w:cs="Arial" w:eastAsia="Arial" w:hAnsi="Arial"/>
          <w:sz w:val="13"/>
          <w:szCs w:val="13"/>
          <w:color w:val="auto"/>
        </w:rPr>
        <w:t>– Damage from the 2016 Kaikoura earthquake necessitated demolition of our nine-story parking garage at the site, and</w:t>
      </w:r>
      <w:r>
        <w:rPr>
          <w:rFonts w:ascii="Arial" w:cs="Arial" w:eastAsia="Arial" w:hAnsi="Arial"/>
          <w:sz w:val="13"/>
          <w:szCs w:val="13"/>
          <w:i w:val="1"/>
          <w:iCs w:val="1"/>
          <w:color w:val="auto"/>
        </w:rPr>
        <w:t xml:space="preserve"> </w:t>
      </w:r>
      <w:r>
        <w:rPr>
          <w:rFonts w:ascii="Arial" w:cs="Arial" w:eastAsia="Arial" w:hAnsi="Arial"/>
          <w:sz w:val="13"/>
          <w:szCs w:val="13"/>
          <w:color w:val="auto"/>
        </w:rPr>
        <w:t>unrelated seismic issues caused us to close major portions of the existing cinema and retail structure in early 2019. Prior to the COVID-19 pandemic, our real estate team had developed a comprehensive plan featuring a variety of uses to complement and build upon the “destination quality” of the Courtenay Central location. Notwithstanding the COVID-19 pandemic, our real estate team is continuing to work with our consultants, tenants, potential tenants, and city representatives to advance our redevelopment plans for this property. Given the uncertainty surrounding the COVID-19 pandemic, we have no fixed time frame for the commencement of the redevelopment of this property. Relatively recent developments, including the near completion of the future Takina Wellington Convention and Exhibition Center (wcec.co.nz), the capital’s first premium conference and exhibition space, the loosening of certain height and density restrictions, and the lack of comparable building sites, have enhanced the value of the assemblage.</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For a complete list of our principal properties, see </w:t>
      </w:r>
      <w:r>
        <w:rPr>
          <w:rFonts w:ascii="Arial" w:cs="Arial" w:eastAsia="Arial" w:hAnsi="Arial"/>
          <w:sz w:val="14"/>
          <w:szCs w:val="14"/>
          <w:i w:val="1"/>
          <w:iCs w:val="1"/>
          <w:color w:val="auto"/>
        </w:rPr>
        <w:t>Part I, Item 2</w:t>
      </w:r>
      <w:r>
        <w:rPr>
          <w:rFonts w:ascii="Arial" w:cs="Arial" w:eastAsia="Arial" w:hAnsi="Arial"/>
          <w:sz w:val="14"/>
          <w:szCs w:val="14"/>
          <w:color w:val="auto"/>
        </w:rPr>
        <w:t xml:space="preserve"> – </w:t>
      </w:r>
      <w:r>
        <w:rPr>
          <w:rFonts w:ascii="Arial" w:cs="Arial" w:eastAsia="Arial" w:hAnsi="Arial"/>
          <w:sz w:val="14"/>
          <w:szCs w:val="14"/>
          <w:i w:val="1"/>
          <w:iCs w:val="1"/>
          <w:color w:val="auto"/>
        </w:rPr>
        <w:t>Properties</w:t>
      </w:r>
      <w:r>
        <w:rPr>
          <w:rFonts w:ascii="Arial" w:cs="Arial" w:eastAsia="Arial" w:hAnsi="Arial"/>
          <w:sz w:val="14"/>
          <w:szCs w:val="14"/>
          <w:color w:val="auto"/>
        </w:rPr>
        <w:t xml:space="preserve"> under the heading “</w:t>
      </w:r>
      <w:r>
        <w:rPr>
          <w:rFonts w:ascii="Arial" w:cs="Arial" w:eastAsia="Arial" w:hAnsi="Arial"/>
          <w:sz w:val="14"/>
          <w:szCs w:val="14"/>
          <w:i w:val="1"/>
          <w:iCs w:val="1"/>
          <w:color w:val="auto"/>
        </w:rPr>
        <w:t>Investment and Development Property.”</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Corporate Matters</w:t>
      </w:r>
    </w:p>
    <w:p>
      <w:pPr>
        <w:spacing w:after="0" w:line="168" w:lineRule="exact"/>
        <w:rPr>
          <w:sz w:val="20"/>
          <w:szCs w:val="20"/>
          <w:color w:val="auto"/>
        </w:rPr>
      </w:pPr>
    </w:p>
    <w:p>
      <w:pPr>
        <w:jc w:val="both"/>
        <w:ind w:left="520"/>
        <w:spacing w:after="0" w:line="267" w:lineRule="auto"/>
        <w:rPr>
          <w:sz w:val="20"/>
          <w:szCs w:val="20"/>
          <w:color w:val="auto"/>
        </w:rPr>
      </w:pPr>
      <w:r>
        <w:rPr>
          <w:rFonts w:ascii="Arial" w:cs="Arial" w:eastAsia="Arial" w:hAnsi="Arial"/>
          <w:sz w:val="13"/>
          <w:szCs w:val="13"/>
          <w:i w:val="1"/>
          <w:iCs w:val="1"/>
          <w:u w:val="single" w:color="auto"/>
          <w:color w:val="auto"/>
        </w:rPr>
        <w:t>Stock Repurchase Program</w:t>
      </w:r>
      <w:r>
        <w:rPr>
          <w:rFonts w:ascii="Arial" w:cs="Arial" w:eastAsia="Arial" w:hAnsi="Arial"/>
          <w:sz w:val="13"/>
          <w:szCs w:val="13"/>
          <w:i w:val="1"/>
          <w:iCs w:val="1"/>
          <w:color w:val="auto"/>
        </w:rPr>
        <w:t xml:space="preserve"> </w:t>
      </w:r>
      <w:r>
        <w:rPr>
          <w:rFonts w:ascii="Arial" w:cs="Arial" w:eastAsia="Arial" w:hAnsi="Arial"/>
          <w:sz w:val="13"/>
          <w:szCs w:val="13"/>
          <w:color w:val="auto"/>
        </w:rPr>
        <w:t>– On March 10, 2020, our Board of Directors authorized a $25.0 million increase to our 2017 stock repurchase program, bringing our total authorized</w:t>
      </w:r>
      <w:r>
        <w:rPr>
          <w:rFonts w:ascii="Arial" w:cs="Arial" w:eastAsia="Arial" w:hAnsi="Arial"/>
          <w:sz w:val="13"/>
          <w:szCs w:val="13"/>
          <w:i w:val="1"/>
          <w:iCs w:val="1"/>
          <w:color w:val="auto"/>
        </w:rPr>
        <w:t xml:space="preserve"> </w:t>
      </w:r>
      <w:r>
        <w:rPr>
          <w:rFonts w:ascii="Arial" w:cs="Arial" w:eastAsia="Arial" w:hAnsi="Arial"/>
          <w:sz w:val="13"/>
          <w:szCs w:val="13"/>
          <w:color w:val="auto"/>
        </w:rPr>
        <w:t>repurchase amount remaining to $26.0 million, and extended the program to March 2, 2022. Through December 31, 2021, we had repurchased 1,792,819 shares of Class A Non-Voting Common Stock at an average price of $13.39 per share (excluding transaction costs). No shares were purchased during the year ended December 31, 2021. Due to the COVID-19 pandemic and its impact on our overall liquidity, our stock repurchase program has and will likely continue to take a lower capital allocation priority for the foreseeable future.</w:t>
      </w:r>
    </w:p>
    <w:p>
      <w:pPr>
        <w:spacing w:after="0" w:line="170" w:lineRule="exact"/>
        <w:rPr>
          <w:sz w:val="20"/>
          <w:szCs w:val="20"/>
          <w:color w:val="auto"/>
        </w:rPr>
      </w:pPr>
    </w:p>
    <w:p>
      <w:pPr>
        <w:ind w:left="520" w:right="80"/>
        <w:spacing w:after="0" w:line="274" w:lineRule="auto"/>
        <w:rPr>
          <w:sz w:val="20"/>
          <w:szCs w:val="20"/>
          <w:color w:val="auto"/>
        </w:rPr>
      </w:pPr>
      <w:r>
        <w:rPr>
          <w:rFonts w:ascii="Arial" w:cs="Arial" w:eastAsia="Arial" w:hAnsi="Arial"/>
          <w:sz w:val="14"/>
          <w:szCs w:val="14"/>
          <w:i w:val="1"/>
          <w:iCs w:val="1"/>
          <w:u w:val="single" w:color="auto"/>
          <w:color w:val="auto"/>
        </w:rPr>
        <w:t>Board Compensation and Stock Options Committee</w:t>
      </w:r>
      <w:r>
        <w:rPr>
          <w:rFonts w:ascii="Arial" w:cs="Arial" w:eastAsia="Arial" w:hAnsi="Arial"/>
          <w:sz w:val="14"/>
          <w:szCs w:val="14"/>
          <w:i w:val="1"/>
          <w:iCs w:val="1"/>
          <w:color w:val="auto"/>
        </w:rPr>
        <w:t xml:space="preserve"> </w:t>
      </w:r>
      <w:r>
        <w:rPr>
          <w:rFonts w:ascii="Arial" w:cs="Arial" w:eastAsia="Arial" w:hAnsi="Arial"/>
          <w:sz w:val="14"/>
          <w:szCs w:val="14"/>
          <w:color w:val="auto"/>
        </w:rPr>
        <w:t>– Refer to</w:t>
      </w:r>
      <w:r>
        <w:rPr>
          <w:rFonts w:ascii="Arial" w:cs="Arial" w:eastAsia="Arial" w:hAnsi="Arial"/>
          <w:sz w:val="14"/>
          <w:szCs w:val="14"/>
          <w:i w:val="1"/>
          <w:iCs w:val="1"/>
          <w:color w:val="auto"/>
        </w:rPr>
        <w:t xml:space="preserve"> Part II, Item 8 – Financial Statements and Supplementary Data—Notes to Consolidated Financial Statements-- Note 15 – Share-Based Compensation and Repurchase Plans </w:t>
      </w:r>
      <w:r>
        <w:rPr>
          <w:rFonts w:ascii="Arial" w:cs="Arial" w:eastAsia="Arial" w:hAnsi="Arial"/>
          <w:sz w:val="14"/>
          <w:szCs w:val="14"/>
          <w:color w:val="auto"/>
        </w:rPr>
        <w:t>for details regarding our Board, Executive and Employee stock-based remuneration programs.</w:t>
      </w: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OVERALL RESULTS OF OPERATIONS</w:t>
      </w:r>
    </w:p>
    <w:p>
      <w:pPr>
        <w:spacing w:after="0" w:line="147" w:lineRule="exact"/>
        <w:rPr>
          <w:sz w:val="20"/>
          <w:szCs w:val="20"/>
          <w:color w:val="auto"/>
        </w:rPr>
      </w:pPr>
    </w:p>
    <w:p>
      <w:pPr>
        <w:jc w:val="both"/>
        <w:ind w:right="160"/>
        <w:spacing w:after="0" w:line="242" w:lineRule="auto"/>
        <w:rPr>
          <w:sz w:val="20"/>
          <w:szCs w:val="20"/>
          <w:color w:val="auto"/>
        </w:rPr>
      </w:pPr>
      <w:r>
        <w:rPr>
          <w:rFonts w:ascii="Arial" w:cs="Arial" w:eastAsia="Arial" w:hAnsi="Arial"/>
          <w:sz w:val="14"/>
          <w:szCs w:val="14"/>
          <w:color w:val="auto"/>
        </w:rPr>
        <w:t xml:space="preserve">In this section, we discuss the results of our operations for the year ended December 31, 2021 compared to the year ended December 31, 2020. For a discussion of the year ended December 31, 2020 compared to the year ended December 31, 2019, please refer to </w:t>
      </w:r>
      <w:r>
        <w:rPr>
          <w:rFonts w:ascii="Arial" w:cs="Arial" w:eastAsia="Arial" w:hAnsi="Arial"/>
          <w:sz w:val="14"/>
          <w:szCs w:val="14"/>
          <w:i w:val="1"/>
          <w:iCs w:val="1"/>
          <w:color w:val="auto"/>
        </w:rPr>
        <w:t>Part II, Item 7, “Management's Discussion and Analysis of Financial Condition and Results of Operations</w:t>
      </w:r>
      <w:r>
        <w:rPr>
          <w:rFonts w:ascii="Arial" w:cs="Arial" w:eastAsia="Arial" w:hAnsi="Arial"/>
          <w:sz w:val="14"/>
          <w:szCs w:val="14"/>
          <w:color w:val="auto"/>
        </w:rPr>
        <w:t>” in our Annual Report on Form 10-K for the year ended December 31, 2020.</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22"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auto"/>
        </w:rPr>
        <w:t>The following table sets forth the overall results of operations for the three years ended December 31,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 Change -</w:t>
            </w: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3"/>
          </w:tcPr>
          <w:p>
            <w:pPr>
              <w:jc w:val="center"/>
              <w:spacing w:after="0" w:line="120" w:lineRule="exact"/>
              <w:rPr>
                <w:sz w:val="20"/>
                <w:szCs w:val="20"/>
                <w:color w:val="auto"/>
              </w:rPr>
            </w:pPr>
            <w:r>
              <w:rPr>
                <w:rFonts w:ascii="Arial" w:cs="Arial" w:eastAsia="Arial" w:hAnsi="Arial"/>
                <w:sz w:val="12"/>
                <w:szCs w:val="12"/>
                <w:b w:val="1"/>
                <w:bCs w:val="1"/>
                <w:color w:val="auto"/>
                <w:w w:val="86"/>
              </w:rPr>
              <w:t>Favorable/</w:t>
            </w:r>
          </w:p>
        </w:tc>
        <w:tc>
          <w:tcPr>
            <w:tcW w:w="0" w:type="dxa"/>
            <w:vAlign w:val="bottom"/>
          </w:tcPr>
          <w:p>
            <w:pPr>
              <w:spacing w:after="0"/>
              <w:rPr>
                <w:sz w:val="1"/>
                <w:szCs w:val="1"/>
                <w:color w:val="auto"/>
              </w:rPr>
            </w:pPr>
          </w:p>
        </w:tc>
      </w:tr>
      <w:tr>
        <w:trPr>
          <w:trHeight w:val="138"/>
        </w:trPr>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right"/>
              <w:ind w:right="242"/>
              <w:spacing w:after="0"/>
              <w:rPr>
                <w:sz w:val="20"/>
                <w:szCs w:val="20"/>
                <w:color w:val="auto"/>
              </w:rPr>
            </w:pPr>
            <w:r>
              <w:rPr>
                <w:rFonts w:ascii="Arial" w:cs="Arial" w:eastAsia="Arial" w:hAnsi="Arial"/>
                <w:sz w:val="12"/>
                <w:szCs w:val="12"/>
                <w:b w:val="1"/>
                <w:bCs w:val="1"/>
                <w:i w:val="1"/>
                <w:iCs w:val="1"/>
                <w:color w:val="auto"/>
              </w:rPr>
              <w:t>% of</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i w:val="1"/>
                <w:iCs w:val="1"/>
                <w:color w:val="auto"/>
                <w:w w:val="86"/>
              </w:rPr>
              <w:t>% of</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i w:val="1"/>
                <w:iCs w:val="1"/>
                <w:color w:val="auto"/>
                <w:w w:val="86"/>
              </w:rPr>
              <w:t>% of</w:t>
            </w:r>
          </w:p>
        </w:tc>
        <w:tc>
          <w:tcPr>
            <w:tcW w:w="1800" w:type="dxa"/>
            <w:vAlign w:val="bottom"/>
            <w:tcBorders>
              <w:bottom w:val="single" w:sz="8" w:color="auto"/>
            </w:tcBorders>
            <w:gridSpan w:val="3"/>
          </w:tcPr>
          <w:p>
            <w:pPr>
              <w:jc w:val="center"/>
              <w:spacing w:after="0" w:line="137" w:lineRule="exact"/>
              <w:rPr>
                <w:sz w:val="20"/>
                <w:szCs w:val="20"/>
                <w:color w:val="auto"/>
              </w:rPr>
            </w:pPr>
            <w:r>
              <w:rPr>
                <w:rFonts w:ascii="Arial" w:cs="Arial" w:eastAsia="Arial" w:hAnsi="Arial"/>
                <w:sz w:val="12"/>
                <w:szCs w:val="12"/>
                <w:b w:val="1"/>
                <w:bCs w:val="1"/>
                <w:color w:val="auto"/>
                <w:w w:val="87"/>
              </w:rPr>
              <w:t>(Unfavorable)</w:t>
            </w:r>
          </w:p>
        </w:tc>
        <w:tc>
          <w:tcPr>
            <w:tcW w:w="0" w:type="dxa"/>
            <w:vAlign w:val="bottom"/>
          </w:tcPr>
          <w:p>
            <w:pPr>
              <w:spacing w:after="0"/>
              <w:rPr>
                <w:sz w:val="1"/>
                <w:szCs w:val="1"/>
                <w:color w:val="auto"/>
              </w:rPr>
            </w:pPr>
          </w:p>
        </w:tc>
      </w:tr>
      <w:tr>
        <w:trPr>
          <w:trHeight w:val="93"/>
        </w:trPr>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vMerge w:val="restart"/>
          </w:tcPr>
          <w:p>
            <w:pPr>
              <w:jc w:val="right"/>
              <w:ind w:right="302"/>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vMerge w:val="restart"/>
          </w:tcPr>
          <w:p>
            <w:pPr>
              <w:jc w:val="right"/>
              <w:ind w:right="362"/>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vMerge w:val="restart"/>
          </w:tcPr>
          <w:p>
            <w:pPr>
              <w:jc w:val="right"/>
              <w:ind w:right="302"/>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2021 vs. 2020</w:t>
            </w:r>
          </w:p>
        </w:tc>
        <w:tc>
          <w:tcPr>
            <w:tcW w:w="86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w w:val="96"/>
              </w:rPr>
              <w:t>2020 vs. 2019</w:t>
            </w:r>
          </w:p>
        </w:tc>
        <w:tc>
          <w:tcPr>
            <w:tcW w:w="0" w:type="dxa"/>
            <w:vAlign w:val="bottom"/>
          </w:tcPr>
          <w:p>
            <w:pPr>
              <w:spacing w:after="0"/>
              <w:rPr>
                <w:sz w:val="1"/>
                <w:szCs w:val="1"/>
                <w:color w:val="auto"/>
              </w:rPr>
            </w:pPr>
          </w:p>
        </w:tc>
      </w:tr>
      <w:tr>
        <w:trPr>
          <w:trHeight w:val="136"/>
        </w:trPr>
        <w:tc>
          <w:tcPr>
            <w:tcW w:w="3420" w:type="dxa"/>
            <w:vAlign w:val="bottom"/>
          </w:tcPr>
          <w:p>
            <w:pPr>
              <w:spacing w:after="0" w:line="135" w:lineRule="exact"/>
              <w:rPr>
                <w:sz w:val="20"/>
                <w:szCs w:val="20"/>
                <w:color w:val="auto"/>
              </w:rPr>
            </w:pPr>
            <w:r>
              <w:rPr>
                <w:rFonts w:ascii="Arial" w:cs="Arial" w:eastAsia="Arial" w:hAnsi="Arial"/>
                <w:sz w:val="12"/>
                <w:szCs w:val="12"/>
                <w:i w:val="1"/>
                <w:iCs w:val="1"/>
                <w:color w:val="auto"/>
              </w:rPr>
              <w:t>(Dollars in thousands)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b w:val="1"/>
                <w:bCs w:val="1"/>
                <w:i w:val="1"/>
                <w:iCs w:val="1"/>
                <w:color w:val="auto"/>
              </w:rPr>
              <w:t>Revenue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i w:val="1"/>
                <w:iCs w:val="1"/>
                <w:color w:val="auto"/>
                <w:w w:val="83"/>
              </w:rPr>
              <w:t>Revenue</w:t>
            </w:r>
          </w:p>
        </w:tc>
        <w:tc>
          <w:tcPr>
            <w:tcW w:w="2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i w:val="1"/>
                <w:iCs w:val="1"/>
                <w:color w:val="auto"/>
                <w:w w:val="79"/>
              </w:rPr>
              <w:t>Revenue</w:t>
            </w:r>
          </w:p>
        </w:tc>
        <w:tc>
          <w:tcPr>
            <w:tcW w:w="94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42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b w:val="1"/>
                <w:bCs w:val="1"/>
                <w:color w:val="auto"/>
              </w:rPr>
              <w:t>SEGMENT RESULTS</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42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Cinema exhibition operating income (loss)</w:t>
            </w:r>
          </w:p>
        </w:tc>
        <w:tc>
          <w:tcPr>
            <w:tcW w:w="280" w:type="dxa"/>
            <w:vAlign w:val="bottom"/>
            <w:gridSpan w:val="2"/>
            <w:shd w:val="clear" w:color="auto" w:fill="CCEEFF"/>
          </w:tcPr>
          <w:p>
            <w:pPr>
              <w:jc w:val="right"/>
              <w:ind w:right="88"/>
              <w:spacing w:after="0" w:line="120" w:lineRule="exact"/>
              <w:rPr>
                <w:sz w:val="20"/>
                <w:szCs w:val="20"/>
                <w:color w:val="auto"/>
              </w:rPr>
            </w:pPr>
            <w:r>
              <w:rPr>
                <w:rFonts w:ascii="Arial" w:cs="Arial" w:eastAsia="Arial" w:hAnsi="Arial"/>
                <w:sz w:val="12"/>
                <w:szCs w:val="12"/>
                <w:b w:val="1"/>
                <w:bCs w:val="1"/>
                <w:color w:val="auto"/>
              </w:rPr>
              <w:t>$</w:t>
            </w:r>
          </w:p>
        </w:tc>
        <w:tc>
          <w:tcPr>
            <w:tcW w:w="82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(18,637)</w:t>
            </w:r>
          </w:p>
        </w:tc>
        <w:tc>
          <w:tcPr>
            <w:tcW w:w="84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i w:val="1"/>
                <w:iCs w:val="1"/>
                <w:color w:val="auto"/>
              </w:rPr>
              <w:t>(13)%</w:t>
            </w:r>
          </w:p>
        </w:tc>
        <w:tc>
          <w:tcPr>
            <w:tcW w:w="320" w:type="dxa"/>
            <w:vAlign w:val="bottom"/>
            <w:gridSpan w:val="2"/>
            <w:shd w:val="clear" w:color="auto" w:fill="CCEEFF"/>
          </w:tcPr>
          <w:p>
            <w:pPr>
              <w:jc w:val="right"/>
              <w:ind w:right="128"/>
              <w:spacing w:after="0" w:line="120"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(45,056)</w:t>
            </w:r>
          </w:p>
        </w:tc>
        <w:tc>
          <w:tcPr>
            <w:tcW w:w="840" w:type="dxa"/>
            <w:vAlign w:val="bottom"/>
            <w:shd w:val="clear" w:color="auto" w:fill="CCEEFF"/>
          </w:tcPr>
          <w:p>
            <w:pPr>
              <w:jc w:val="right"/>
              <w:ind w:right="82"/>
              <w:spacing w:after="0" w:line="120" w:lineRule="exact"/>
              <w:rPr>
                <w:sz w:val="20"/>
                <w:szCs w:val="20"/>
                <w:color w:val="auto"/>
              </w:rPr>
            </w:pPr>
            <w:r>
              <w:rPr>
                <w:rFonts w:ascii="Arial" w:cs="Arial" w:eastAsia="Arial" w:hAnsi="Arial"/>
                <w:sz w:val="12"/>
                <w:szCs w:val="12"/>
                <w:i w:val="1"/>
                <w:iCs w:val="1"/>
                <w:color w:val="auto"/>
              </w:rPr>
              <w:t>(58)%</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13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23,329</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i w:val="1"/>
                <w:iCs w:val="1"/>
                <w:color w:val="auto"/>
              </w:rPr>
              <w:t>8 %</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59%</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(&gt;100)%</w:t>
            </w:r>
          </w:p>
        </w:tc>
        <w:tc>
          <w:tcPr>
            <w:tcW w:w="0" w:type="dxa"/>
            <w:vAlign w:val="bottom"/>
          </w:tcPr>
          <w:p>
            <w:pPr>
              <w:spacing w:after="0"/>
              <w:rPr>
                <w:sz w:val="1"/>
                <w:szCs w:val="1"/>
                <w:color w:val="auto"/>
              </w:rPr>
            </w:pPr>
          </w:p>
        </w:tc>
      </w:tr>
      <w:tr>
        <w:trPr>
          <w:trHeight w:val="119"/>
        </w:trPr>
        <w:tc>
          <w:tcPr>
            <w:tcW w:w="3420" w:type="dxa"/>
            <w:vAlign w:val="bottom"/>
          </w:tcPr>
          <w:p>
            <w:pPr>
              <w:ind w:left="180"/>
              <w:spacing w:after="0" w:line="120" w:lineRule="exact"/>
              <w:rPr>
                <w:sz w:val="20"/>
                <w:szCs w:val="20"/>
                <w:color w:val="auto"/>
              </w:rPr>
            </w:pPr>
            <w:r>
              <w:rPr>
                <w:rFonts w:ascii="Arial" w:cs="Arial" w:eastAsia="Arial" w:hAnsi="Arial"/>
                <w:sz w:val="12"/>
                <w:szCs w:val="12"/>
                <w:color w:val="auto"/>
              </w:rPr>
              <w:t>Real estate operating income (loss)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(5,355)</w:t>
            </w:r>
          </w:p>
        </w:tc>
        <w:tc>
          <w:tcPr>
            <w:tcW w:w="840" w:type="dxa"/>
            <w:vAlign w:val="bottom"/>
          </w:tcPr>
          <w:p>
            <w:pPr>
              <w:jc w:val="right"/>
              <w:ind w:right="102"/>
              <w:spacing w:after="0" w:line="120" w:lineRule="exact"/>
              <w:rPr>
                <w:sz w:val="20"/>
                <w:szCs w:val="20"/>
                <w:color w:val="auto"/>
              </w:rPr>
            </w:pPr>
            <w:r>
              <w:rPr>
                <w:rFonts w:ascii="Arial" w:cs="Arial" w:eastAsia="Arial" w:hAnsi="Arial"/>
                <w:sz w:val="12"/>
                <w:szCs w:val="12"/>
                <w:i w:val="1"/>
                <w:iCs w:val="1"/>
                <w:color w:val="auto"/>
              </w:rPr>
              <w:t>(4)%</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(2,463)</w:t>
            </w:r>
          </w:p>
        </w:tc>
        <w:tc>
          <w:tcPr>
            <w:tcW w:w="840" w:type="dxa"/>
            <w:vAlign w:val="bottom"/>
          </w:tcPr>
          <w:p>
            <w:pPr>
              <w:jc w:val="right"/>
              <w:ind w:right="82"/>
              <w:spacing w:after="0" w:line="120" w:lineRule="exact"/>
              <w:rPr>
                <w:sz w:val="20"/>
                <w:szCs w:val="20"/>
                <w:color w:val="auto"/>
              </w:rPr>
            </w:pPr>
            <w:r>
              <w:rPr>
                <w:rFonts w:ascii="Arial" w:cs="Arial" w:eastAsia="Arial" w:hAnsi="Arial"/>
                <w:sz w:val="12"/>
                <w:szCs w:val="12"/>
                <w:i w:val="1"/>
                <w:iCs w:val="1"/>
                <w:color w:val="auto"/>
              </w:rPr>
              <w:t>(3)%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spacing w:after="0" w:line="120" w:lineRule="exact"/>
              <w:rPr>
                <w:sz w:val="20"/>
                <w:szCs w:val="20"/>
                <w:color w:val="auto"/>
              </w:rPr>
            </w:pPr>
            <w:r>
              <w:rPr>
                <w:rFonts w:ascii="Arial" w:cs="Arial" w:eastAsia="Arial" w:hAnsi="Arial"/>
                <w:sz w:val="12"/>
                <w:szCs w:val="12"/>
                <w:color w:val="auto"/>
              </w:rPr>
              <w:t>5,141</w:t>
            </w:r>
          </w:p>
        </w:tc>
        <w:tc>
          <w:tcPr>
            <w:tcW w:w="80" w:type="dxa"/>
            <w:vAlign w:val="bottom"/>
          </w:tcPr>
          <w:p>
            <w:pPr>
              <w:spacing w:after="0"/>
              <w:rPr>
                <w:sz w:val="10"/>
                <w:szCs w:val="10"/>
                <w:color w:val="auto"/>
              </w:rPr>
            </w:pPr>
          </w:p>
        </w:tc>
        <w:tc>
          <w:tcPr>
            <w:tcW w:w="840" w:type="dxa"/>
            <w:vAlign w:val="bottom"/>
          </w:tcPr>
          <w:p>
            <w:pPr>
              <w:jc w:val="right"/>
              <w:ind w:right="102"/>
              <w:spacing w:after="0" w:line="120" w:lineRule="exact"/>
              <w:rPr>
                <w:sz w:val="20"/>
                <w:szCs w:val="20"/>
                <w:color w:val="auto"/>
              </w:rPr>
            </w:pPr>
            <w:r>
              <w:rPr>
                <w:rFonts w:ascii="Arial" w:cs="Arial" w:eastAsia="Arial" w:hAnsi="Arial"/>
                <w:sz w:val="12"/>
                <w:szCs w:val="12"/>
                <w:i w:val="1"/>
                <w:iCs w:val="1"/>
                <w:color w:val="auto"/>
              </w:rPr>
              <w:t>2 %</w:t>
            </w:r>
          </w:p>
        </w:tc>
        <w:tc>
          <w:tcPr>
            <w:tcW w:w="80" w:type="dxa"/>
            <w:vAlign w:val="bottom"/>
          </w:tcPr>
          <w:p>
            <w:pPr>
              <w:spacing w:after="0"/>
              <w:rPr>
                <w:sz w:val="10"/>
                <w:szCs w:val="10"/>
                <w:color w:val="auto"/>
              </w:rPr>
            </w:pPr>
          </w:p>
        </w:tc>
        <w:tc>
          <w:tcPr>
            <w:tcW w:w="860" w:type="dxa"/>
            <w:vAlign w:val="bottom"/>
          </w:tcPr>
          <w:p>
            <w:pPr>
              <w:jc w:val="right"/>
              <w:ind w:right="102"/>
              <w:spacing w:after="0" w:line="120" w:lineRule="exact"/>
              <w:rPr>
                <w:sz w:val="20"/>
                <w:szCs w:val="20"/>
                <w:color w:val="auto"/>
              </w:rPr>
            </w:pPr>
            <w:r>
              <w:rPr>
                <w:rFonts w:ascii="Arial" w:cs="Arial" w:eastAsia="Arial" w:hAnsi="Arial"/>
                <w:sz w:val="12"/>
                <w:szCs w:val="12"/>
                <w:color w:val="auto"/>
              </w:rPr>
              <w:t>(&gt;100)%</w:t>
            </w:r>
          </w:p>
        </w:tc>
        <w:tc>
          <w:tcPr>
            <w:tcW w:w="80" w:type="dxa"/>
            <w:vAlign w:val="bottom"/>
          </w:tcPr>
          <w:p>
            <w:pPr>
              <w:spacing w:after="0"/>
              <w:rPr>
                <w:sz w:val="10"/>
                <w:szCs w:val="10"/>
                <w:color w:val="auto"/>
              </w:rPr>
            </w:pPr>
          </w:p>
        </w:tc>
        <w:tc>
          <w:tcPr>
            <w:tcW w:w="860" w:type="dxa"/>
            <w:vAlign w:val="bottom"/>
          </w:tcPr>
          <w:p>
            <w:pPr>
              <w:jc w:val="right"/>
              <w:ind w:right="102"/>
              <w:spacing w:after="0" w:line="120" w:lineRule="exact"/>
              <w:rPr>
                <w:sz w:val="20"/>
                <w:szCs w:val="20"/>
                <w:color w:val="auto"/>
              </w:rPr>
            </w:pPr>
            <w:r>
              <w:rPr>
                <w:rFonts w:ascii="Arial" w:cs="Arial" w:eastAsia="Arial" w:hAnsi="Arial"/>
                <w:sz w:val="12"/>
                <w:szCs w:val="12"/>
                <w:color w:val="auto"/>
              </w:rPr>
              <w:t>(&gt;100)%</w:t>
            </w:r>
          </w:p>
        </w:tc>
        <w:tc>
          <w:tcPr>
            <w:tcW w:w="0" w:type="dxa"/>
            <w:vAlign w:val="bottom"/>
          </w:tcPr>
          <w:p>
            <w:pPr>
              <w:spacing w:after="0"/>
              <w:rPr>
                <w:sz w:val="1"/>
                <w:szCs w:val="1"/>
                <w:color w:val="auto"/>
              </w:rPr>
            </w:pPr>
          </w:p>
        </w:tc>
      </w:tr>
      <w:tr>
        <w:trPr>
          <w:trHeight w:val="119"/>
        </w:trPr>
        <w:tc>
          <w:tcPr>
            <w:tcW w:w="3420" w:type="dxa"/>
            <w:vAlign w:val="bottom"/>
            <w:shd w:val="clear" w:color="auto" w:fill="CCEEFF"/>
          </w:tcPr>
          <w:p>
            <w:pPr>
              <w:spacing w:after="0" w:line="120" w:lineRule="exact"/>
              <w:rPr>
                <w:sz w:val="20"/>
                <w:szCs w:val="20"/>
                <w:color w:val="auto"/>
              </w:rPr>
            </w:pPr>
            <w:r>
              <w:rPr>
                <w:rFonts w:ascii="Arial" w:cs="Arial" w:eastAsia="Arial" w:hAnsi="Arial"/>
                <w:sz w:val="12"/>
                <w:szCs w:val="12"/>
                <w:b w:val="1"/>
                <w:bCs w:val="1"/>
                <w:color w:val="auto"/>
              </w:rPr>
              <w:t>NON-SEGMENT RESULTS</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420" w:type="dxa"/>
            <w:vAlign w:val="bottom"/>
          </w:tcPr>
          <w:p>
            <w:pPr>
              <w:ind w:left="180"/>
              <w:spacing w:after="0" w:line="120" w:lineRule="exact"/>
              <w:rPr>
                <w:sz w:val="20"/>
                <w:szCs w:val="20"/>
                <w:color w:val="auto"/>
              </w:rPr>
            </w:pPr>
            <w:r>
              <w:rPr>
                <w:rFonts w:ascii="Arial" w:cs="Arial" w:eastAsia="Arial" w:hAnsi="Arial"/>
                <w:sz w:val="12"/>
                <w:szCs w:val="12"/>
                <w:color w:val="auto"/>
              </w:rPr>
              <w:t>Depreciation and amortization expense</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(1,232)</w:t>
            </w:r>
          </w:p>
        </w:tc>
        <w:tc>
          <w:tcPr>
            <w:tcW w:w="840" w:type="dxa"/>
            <w:vAlign w:val="bottom"/>
          </w:tcPr>
          <w:p>
            <w:pPr>
              <w:jc w:val="right"/>
              <w:ind w:right="102"/>
              <w:spacing w:after="0" w:line="120" w:lineRule="exact"/>
              <w:rPr>
                <w:sz w:val="20"/>
                <w:szCs w:val="20"/>
                <w:color w:val="auto"/>
              </w:rPr>
            </w:pPr>
            <w:r>
              <w:rPr>
                <w:rFonts w:ascii="Arial" w:cs="Arial" w:eastAsia="Arial" w:hAnsi="Arial"/>
                <w:sz w:val="12"/>
                <w:szCs w:val="12"/>
                <w:i w:val="1"/>
                <w:iCs w:val="1"/>
                <w:color w:val="auto"/>
              </w:rPr>
              <w:t>(1)%</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(970)</w:t>
            </w:r>
          </w:p>
        </w:tc>
        <w:tc>
          <w:tcPr>
            <w:tcW w:w="840" w:type="dxa"/>
            <w:vAlign w:val="bottom"/>
          </w:tcPr>
          <w:p>
            <w:pPr>
              <w:jc w:val="right"/>
              <w:ind w:right="82"/>
              <w:spacing w:after="0" w:line="120" w:lineRule="exact"/>
              <w:rPr>
                <w:sz w:val="20"/>
                <w:szCs w:val="20"/>
                <w:color w:val="auto"/>
              </w:rPr>
            </w:pPr>
            <w:r>
              <w:rPr>
                <w:rFonts w:ascii="Arial" w:cs="Arial" w:eastAsia="Arial" w:hAnsi="Arial"/>
                <w:sz w:val="12"/>
                <w:szCs w:val="12"/>
                <w:i w:val="1"/>
                <w:iCs w:val="1"/>
                <w:color w:val="auto"/>
              </w:rPr>
              <w:t>(1)%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(414)</w:t>
            </w:r>
          </w:p>
        </w:tc>
        <w:tc>
          <w:tcPr>
            <w:tcW w:w="920" w:type="dxa"/>
            <w:vAlign w:val="bottom"/>
            <w:gridSpan w:val="2"/>
          </w:tcPr>
          <w:p>
            <w:pPr>
              <w:jc w:val="right"/>
              <w:ind w:right="240"/>
              <w:spacing w:after="0" w:line="120" w:lineRule="exact"/>
              <w:rPr>
                <w:sz w:val="20"/>
                <w:szCs w:val="20"/>
                <w:color w:val="auto"/>
              </w:rPr>
            </w:pPr>
            <w:r>
              <w:rPr>
                <w:rFonts w:ascii="Arial" w:cs="Arial" w:eastAsia="Arial" w:hAnsi="Arial"/>
                <w:sz w:val="12"/>
                <w:szCs w:val="12"/>
                <w:i w:val="1"/>
                <w:iCs w:val="1"/>
                <w:color w:val="auto"/>
              </w:rPr>
              <w:t>—%</w:t>
            </w:r>
          </w:p>
        </w:tc>
        <w:tc>
          <w:tcPr>
            <w:tcW w:w="860" w:type="dxa"/>
            <w:vAlign w:val="bottom"/>
          </w:tcPr>
          <w:p>
            <w:pPr>
              <w:jc w:val="right"/>
              <w:ind w:right="102"/>
              <w:spacing w:after="0" w:line="120" w:lineRule="exact"/>
              <w:rPr>
                <w:sz w:val="20"/>
                <w:szCs w:val="20"/>
                <w:color w:val="auto"/>
              </w:rPr>
            </w:pPr>
            <w:r>
              <w:rPr>
                <w:rFonts w:ascii="Arial" w:cs="Arial" w:eastAsia="Arial" w:hAnsi="Arial"/>
                <w:sz w:val="12"/>
                <w:szCs w:val="12"/>
                <w:color w:val="auto"/>
              </w:rPr>
              <w:t>(27)%</w:t>
            </w:r>
          </w:p>
        </w:tc>
        <w:tc>
          <w:tcPr>
            <w:tcW w:w="80" w:type="dxa"/>
            <w:vAlign w:val="bottom"/>
          </w:tcPr>
          <w:p>
            <w:pPr>
              <w:spacing w:after="0"/>
              <w:rPr>
                <w:sz w:val="10"/>
                <w:szCs w:val="10"/>
                <w:color w:val="auto"/>
              </w:rPr>
            </w:pPr>
          </w:p>
        </w:tc>
        <w:tc>
          <w:tcPr>
            <w:tcW w:w="860" w:type="dxa"/>
            <w:vAlign w:val="bottom"/>
          </w:tcPr>
          <w:p>
            <w:pPr>
              <w:jc w:val="right"/>
              <w:ind w:right="102"/>
              <w:spacing w:after="0" w:line="120" w:lineRule="exact"/>
              <w:rPr>
                <w:sz w:val="20"/>
                <w:szCs w:val="20"/>
                <w:color w:val="auto"/>
              </w:rPr>
            </w:pPr>
            <w:r>
              <w:rPr>
                <w:rFonts w:ascii="Arial" w:cs="Arial" w:eastAsia="Arial" w:hAnsi="Arial"/>
                <w:sz w:val="12"/>
                <w:szCs w:val="12"/>
                <w:color w:val="auto"/>
              </w:rPr>
              <w:t>(&gt;100)%</w:t>
            </w:r>
          </w:p>
        </w:tc>
        <w:tc>
          <w:tcPr>
            <w:tcW w:w="0" w:type="dxa"/>
            <w:vAlign w:val="bottom"/>
          </w:tcPr>
          <w:p>
            <w:pPr>
              <w:spacing w:after="0"/>
              <w:rPr>
                <w:sz w:val="1"/>
                <w:szCs w:val="1"/>
                <w:color w:val="auto"/>
              </w:rPr>
            </w:pPr>
          </w:p>
        </w:tc>
      </w:tr>
      <w:tr>
        <w:trPr>
          <w:trHeight w:val="119"/>
        </w:trPr>
        <w:tc>
          <w:tcPr>
            <w:tcW w:w="342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General and administrative expense</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(16,569)</w:t>
            </w:r>
          </w:p>
        </w:tc>
        <w:tc>
          <w:tcPr>
            <w:tcW w:w="84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i w:val="1"/>
                <w:iCs w:val="1"/>
                <w:color w:val="auto"/>
              </w:rPr>
              <w:t>(12)%</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(12,824)</w:t>
            </w:r>
          </w:p>
        </w:tc>
        <w:tc>
          <w:tcPr>
            <w:tcW w:w="840" w:type="dxa"/>
            <w:vAlign w:val="bottom"/>
            <w:shd w:val="clear" w:color="auto" w:fill="CCEEFF"/>
          </w:tcPr>
          <w:p>
            <w:pPr>
              <w:jc w:val="right"/>
              <w:ind w:right="82"/>
              <w:spacing w:after="0" w:line="120" w:lineRule="exact"/>
              <w:rPr>
                <w:sz w:val="20"/>
                <w:szCs w:val="20"/>
                <w:color w:val="auto"/>
              </w:rPr>
            </w:pPr>
            <w:r>
              <w:rPr>
                <w:rFonts w:ascii="Arial" w:cs="Arial" w:eastAsia="Arial" w:hAnsi="Arial"/>
                <w:sz w:val="12"/>
                <w:szCs w:val="12"/>
                <w:i w:val="1"/>
                <w:iCs w:val="1"/>
                <w:color w:val="auto"/>
              </w:rPr>
              <w:t>(16)%</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(18,933)</w:t>
            </w:r>
          </w:p>
        </w:tc>
        <w:tc>
          <w:tcPr>
            <w:tcW w:w="84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i w:val="1"/>
                <w:iCs w:val="1"/>
                <w:color w:val="auto"/>
              </w:rPr>
              <w:t>(7)%</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32 %</w:t>
            </w:r>
          </w:p>
        </w:tc>
        <w:tc>
          <w:tcPr>
            <w:tcW w:w="0" w:type="dxa"/>
            <w:vAlign w:val="bottom"/>
          </w:tcPr>
          <w:p>
            <w:pPr>
              <w:spacing w:after="0"/>
              <w:rPr>
                <w:sz w:val="1"/>
                <w:szCs w:val="1"/>
                <w:color w:val="auto"/>
              </w:rPr>
            </w:pPr>
          </w:p>
        </w:tc>
      </w:tr>
      <w:tr>
        <w:trPr>
          <w:trHeight w:val="119"/>
        </w:trPr>
        <w:tc>
          <w:tcPr>
            <w:tcW w:w="3420" w:type="dxa"/>
            <w:vAlign w:val="bottom"/>
          </w:tcPr>
          <w:p>
            <w:pPr>
              <w:ind w:left="180"/>
              <w:spacing w:after="0" w:line="120" w:lineRule="exact"/>
              <w:rPr>
                <w:sz w:val="20"/>
                <w:szCs w:val="20"/>
                <w:color w:val="auto"/>
              </w:rPr>
            </w:pPr>
            <w:r>
              <w:rPr>
                <w:rFonts w:ascii="Arial" w:cs="Arial" w:eastAsia="Arial" w:hAnsi="Arial"/>
                <w:sz w:val="12"/>
                <w:szCs w:val="12"/>
                <w:color w:val="auto"/>
              </w:rPr>
              <w:t>Interest expense, net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(13,688)</w:t>
            </w:r>
          </w:p>
        </w:tc>
        <w:tc>
          <w:tcPr>
            <w:tcW w:w="840" w:type="dxa"/>
            <w:vAlign w:val="bottom"/>
          </w:tcPr>
          <w:p>
            <w:pPr>
              <w:jc w:val="right"/>
              <w:ind w:right="102"/>
              <w:spacing w:after="0" w:line="120" w:lineRule="exact"/>
              <w:rPr>
                <w:sz w:val="20"/>
                <w:szCs w:val="20"/>
                <w:color w:val="auto"/>
              </w:rPr>
            </w:pPr>
            <w:r>
              <w:rPr>
                <w:rFonts w:ascii="Arial" w:cs="Arial" w:eastAsia="Arial" w:hAnsi="Arial"/>
                <w:sz w:val="12"/>
                <w:szCs w:val="12"/>
                <w:i w:val="1"/>
                <w:iCs w:val="1"/>
                <w:color w:val="auto"/>
              </w:rPr>
              <w:t>(10)%</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(9,354)</w:t>
            </w:r>
          </w:p>
        </w:tc>
        <w:tc>
          <w:tcPr>
            <w:tcW w:w="840" w:type="dxa"/>
            <w:vAlign w:val="bottom"/>
          </w:tcPr>
          <w:p>
            <w:pPr>
              <w:jc w:val="right"/>
              <w:ind w:right="82"/>
              <w:spacing w:after="0" w:line="120" w:lineRule="exact"/>
              <w:rPr>
                <w:sz w:val="20"/>
                <w:szCs w:val="20"/>
                <w:color w:val="auto"/>
              </w:rPr>
            </w:pPr>
            <w:r>
              <w:rPr>
                <w:rFonts w:ascii="Arial" w:cs="Arial" w:eastAsia="Arial" w:hAnsi="Arial"/>
                <w:sz w:val="12"/>
                <w:szCs w:val="12"/>
                <w:i w:val="1"/>
                <w:iCs w:val="1"/>
                <w:color w:val="auto"/>
              </w:rPr>
              <w:t>(12)%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(7,904)</w:t>
            </w:r>
          </w:p>
        </w:tc>
        <w:tc>
          <w:tcPr>
            <w:tcW w:w="840" w:type="dxa"/>
            <w:vAlign w:val="bottom"/>
          </w:tcPr>
          <w:p>
            <w:pPr>
              <w:jc w:val="right"/>
              <w:ind w:right="102"/>
              <w:spacing w:after="0" w:line="120" w:lineRule="exact"/>
              <w:rPr>
                <w:sz w:val="20"/>
                <w:szCs w:val="20"/>
                <w:color w:val="auto"/>
              </w:rPr>
            </w:pPr>
            <w:r>
              <w:rPr>
                <w:rFonts w:ascii="Arial" w:cs="Arial" w:eastAsia="Arial" w:hAnsi="Arial"/>
                <w:sz w:val="12"/>
                <w:szCs w:val="12"/>
                <w:i w:val="1"/>
                <w:iCs w:val="1"/>
                <w:color w:val="auto"/>
              </w:rPr>
              <w:t>(3)%</w:t>
            </w:r>
          </w:p>
        </w:tc>
        <w:tc>
          <w:tcPr>
            <w:tcW w:w="80" w:type="dxa"/>
            <w:vAlign w:val="bottom"/>
          </w:tcPr>
          <w:p>
            <w:pPr>
              <w:spacing w:after="0"/>
              <w:rPr>
                <w:sz w:val="10"/>
                <w:szCs w:val="10"/>
                <w:color w:val="auto"/>
              </w:rPr>
            </w:pPr>
          </w:p>
        </w:tc>
        <w:tc>
          <w:tcPr>
            <w:tcW w:w="860" w:type="dxa"/>
            <w:vAlign w:val="bottom"/>
          </w:tcPr>
          <w:p>
            <w:pPr>
              <w:jc w:val="right"/>
              <w:ind w:right="102"/>
              <w:spacing w:after="0" w:line="120" w:lineRule="exact"/>
              <w:rPr>
                <w:sz w:val="20"/>
                <w:szCs w:val="20"/>
                <w:color w:val="auto"/>
              </w:rPr>
            </w:pPr>
            <w:r>
              <w:rPr>
                <w:rFonts w:ascii="Arial" w:cs="Arial" w:eastAsia="Arial" w:hAnsi="Arial"/>
                <w:sz w:val="12"/>
                <w:szCs w:val="12"/>
                <w:color w:val="auto"/>
              </w:rPr>
              <w:t>(46)%</w:t>
            </w:r>
          </w:p>
        </w:tc>
        <w:tc>
          <w:tcPr>
            <w:tcW w:w="80" w:type="dxa"/>
            <w:vAlign w:val="bottom"/>
          </w:tcPr>
          <w:p>
            <w:pPr>
              <w:spacing w:after="0"/>
              <w:rPr>
                <w:sz w:val="10"/>
                <w:szCs w:val="10"/>
                <w:color w:val="auto"/>
              </w:rPr>
            </w:pPr>
          </w:p>
        </w:tc>
        <w:tc>
          <w:tcPr>
            <w:tcW w:w="860" w:type="dxa"/>
            <w:vAlign w:val="bottom"/>
          </w:tcPr>
          <w:p>
            <w:pPr>
              <w:jc w:val="right"/>
              <w:ind w:right="102"/>
              <w:spacing w:after="0" w:line="120" w:lineRule="exact"/>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19"/>
        </w:trPr>
        <w:tc>
          <w:tcPr>
            <w:tcW w:w="342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Equity earnings of unconsolidated joint ventures</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258</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i w:val="1"/>
                <w:iCs w:val="1"/>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(449)</w:t>
            </w:r>
          </w:p>
        </w:tc>
        <w:tc>
          <w:tcPr>
            <w:tcW w:w="840" w:type="dxa"/>
            <w:vAlign w:val="bottom"/>
            <w:shd w:val="clear" w:color="auto" w:fill="CCEEFF"/>
          </w:tcPr>
          <w:p>
            <w:pPr>
              <w:jc w:val="right"/>
              <w:ind w:right="82"/>
              <w:spacing w:after="0" w:line="120" w:lineRule="exact"/>
              <w:rPr>
                <w:sz w:val="20"/>
                <w:szCs w:val="20"/>
                <w:color w:val="auto"/>
              </w:rPr>
            </w:pPr>
            <w:r>
              <w:rPr>
                <w:rFonts w:ascii="Arial" w:cs="Arial" w:eastAsia="Arial" w:hAnsi="Arial"/>
                <w:sz w:val="12"/>
                <w:szCs w:val="12"/>
                <w:i w:val="1"/>
                <w:iCs w:val="1"/>
                <w:color w:val="auto"/>
              </w:rPr>
              <w:t>(1)%</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792</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2"/>
                <w:szCs w:val="12"/>
                <w:i w:val="1"/>
                <w:iCs w:val="1"/>
                <w:color w:val="auto"/>
              </w:rPr>
              <w:t>—%</w:t>
            </w:r>
          </w:p>
        </w:tc>
        <w:tc>
          <w:tcPr>
            <w:tcW w:w="86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&gt;100%</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(&gt;100)%</w:t>
            </w:r>
          </w:p>
        </w:tc>
        <w:tc>
          <w:tcPr>
            <w:tcW w:w="0" w:type="dxa"/>
            <w:vAlign w:val="bottom"/>
          </w:tcPr>
          <w:p>
            <w:pPr>
              <w:spacing w:after="0"/>
              <w:rPr>
                <w:sz w:val="1"/>
                <w:szCs w:val="1"/>
                <w:color w:val="auto"/>
              </w:rPr>
            </w:pPr>
          </w:p>
        </w:tc>
      </w:tr>
      <w:tr>
        <w:trPr>
          <w:trHeight w:val="119"/>
        </w:trPr>
        <w:tc>
          <w:tcPr>
            <w:tcW w:w="3420" w:type="dxa"/>
            <w:vAlign w:val="bottom"/>
          </w:tcPr>
          <w:p>
            <w:pPr>
              <w:ind w:left="180"/>
              <w:spacing w:after="0" w:line="120" w:lineRule="exact"/>
              <w:rPr>
                <w:sz w:val="20"/>
                <w:szCs w:val="20"/>
                <w:color w:val="auto"/>
              </w:rPr>
            </w:pPr>
            <w:r>
              <w:rPr>
                <w:rFonts w:ascii="Arial" w:cs="Arial" w:eastAsia="Arial" w:hAnsi="Arial"/>
                <w:sz w:val="12"/>
                <w:szCs w:val="12"/>
                <w:color w:val="auto"/>
              </w:rPr>
              <w:t>Gain (loss) on sale of assets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spacing w:after="0" w:line="120" w:lineRule="exact"/>
              <w:rPr>
                <w:sz w:val="20"/>
                <w:szCs w:val="20"/>
                <w:color w:val="auto"/>
              </w:rPr>
            </w:pPr>
            <w:r>
              <w:rPr>
                <w:rFonts w:ascii="Arial" w:cs="Arial" w:eastAsia="Arial" w:hAnsi="Arial"/>
                <w:sz w:val="12"/>
                <w:szCs w:val="12"/>
                <w:color w:val="auto"/>
              </w:rPr>
              <w:t>92,219</w:t>
            </w:r>
          </w:p>
        </w:tc>
        <w:tc>
          <w:tcPr>
            <w:tcW w:w="80" w:type="dxa"/>
            <w:vAlign w:val="bottom"/>
          </w:tcPr>
          <w:p>
            <w:pPr>
              <w:spacing w:after="0"/>
              <w:rPr>
                <w:sz w:val="10"/>
                <w:szCs w:val="10"/>
                <w:color w:val="auto"/>
              </w:rPr>
            </w:pPr>
          </w:p>
        </w:tc>
        <w:tc>
          <w:tcPr>
            <w:tcW w:w="840" w:type="dxa"/>
            <w:vAlign w:val="bottom"/>
          </w:tcPr>
          <w:p>
            <w:pPr>
              <w:jc w:val="right"/>
              <w:ind w:right="102"/>
              <w:spacing w:after="0" w:line="120" w:lineRule="exact"/>
              <w:rPr>
                <w:sz w:val="20"/>
                <w:szCs w:val="20"/>
                <w:color w:val="auto"/>
              </w:rPr>
            </w:pPr>
            <w:r>
              <w:rPr>
                <w:rFonts w:ascii="Arial" w:cs="Arial" w:eastAsia="Arial" w:hAnsi="Arial"/>
                <w:sz w:val="12"/>
                <w:szCs w:val="12"/>
                <w:i w:val="1"/>
                <w:iCs w:val="1"/>
                <w:color w:val="auto"/>
              </w:rPr>
              <w:t>66 %</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(1)</w:t>
            </w:r>
          </w:p>
        </w:tc>
        <w:tc>
          <w:tcPr>
            <w:tcW w:w="840" w:type="dxa"/>
            <w:vAlign w:val="bottom"/>
          </w:tcPr>
          <w:p>
            <w:pPr>
              <w:jc w:val="right"/>
              <w:ind w:right="82"/>
              <w:spacing w:after="0" w:line="120" w:lineRule="exact"/>
              <w:rPr>
                <w:sz w:val="20"/>
                <w:szCs w:val="20"/>
                <w:color w:val="auto"/>
              </w:rPr>
            </w:pPr>
            <w:r>
              <w:rPr>
                <w:rFonts w:ascii="Arial" w:cs="Arial" w:eastAsia="Arial" w:hAnsi="Arial"/>
                <w:sz w:val="12"/>
                <w:szCs w:val="12"/>
                <w:i w:val="1"/>
                <w:iCs w:val="1"/>
                <w:color w:val="auto"/>
              </w:rPr>
              <w:t>(0)%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(2)</w:t>
            </w:r>
          </w:p>
        </w:tc>
        <w:tc>
          <w:tcPr>
            <w:tcW w:w="920" w:type="dxa"/>
            <w:vAlign w:val="bottom"/>
            <w:gridSpan w:val="2"/>
          </w:tcPr>
          <w:p>
            <w:pPr>
              <w:jc w:val="right"/>
              <w:ind w:right="240"/>
              <w:spacing w:after="0" w:line="120" w:lineRule="exact"/>
              <w:rPr>
                <w:sz w:val="20"/>
                <w:szCs w:val="20"/>
                <w:color w:val="auto"/>
              </w:rPr>
            </w:pPr>
            <w:r>
              <w:rPr>
                <w:rFonts w:ascii="Arial" w:cs="Arial" w:eastAsia="Arial" w:hAnsi="Arial"/>
                <w:sz w:val="12"/>
                <w:szCs w:val="12"/>
                <w:i w:val="1"/>
                <w:iCs w:val="1"/>
                <w:color w:val="auto"/>
              </w:rPr>
              <w:t>—%</w:t>
            </w:r>
          </w:p>
        </w:tc>
        <w:tc>
          <w:tcPr>
            <w:tcW w:w="860" w:type="dxa"/>
            <w:vAlign w:val="bottom"/>
          </w:tcPr>
          <w:p>
            <w:pPr>
              <w:jc w:val="right"/>
              <w:ind w:right="102"/>
              <w:spacing w:after="0" w:line="120" w:lineRule="exact"/>
              <w:rPr>
                <w:sz w:val="20"/>
                <w:szCs w:val="20"/>
                <w:color w:val="auto"/>
              </w:rPr>
            </w:pPr>
            <w:r>
              <w:rPr>
                <w:rFonts w:ascii="Arial" w:cs="Arial" w:eastAsia="Arial" w:hAnsi="Arial"/>
                <w:sz w:val="12"/>
                <w:szCs w:val="12"/>
                <w:color w:val="auto"/>
              </w:rPr>
              <w:t>&gt;100%</w:t>
            </w:r>
          </w:p>
        </w:tc>
        <w:tc>
          <w:tcPr>
            <w:tcW w:w="80" w:type="dxa"/>
            <w:vAlign w:val="bottom"/>
          </w:tcPr>
          <w:p>
            <w:pPr>
              <w:spacing w:after="0"/>
              <w:rPr>
                <w:sz w:val="10"/>
                <w:szCs w:val="10"/>
                <w:color w:val="auto"/>
              </w:rPr>
            </w:pPr>
          </w:p>
        </w:tc>
        <w:tc>
          <w:tcPr>
            <w:tcW w:w="860" w:type="dxa"/>
            <w:vAlign w:val="bottom"/>
          </w:tcPr>
          <w:p>
            <w:pPr>
              <w:jc w:val="right"/>
              <w:ind w:right="102"/>
              <w:spacing w:after="0" w:line="120" w:lineRule="exact"/>
              <w:rPr>
                <w:sz w:val="20"/>
                <w:szCs w:val="20"/>
                <w:color w:val="auto"/>
              </w:rPr>
            </w:pPr>
            <w:r>
              <w:rPr>
                <w:rFonts w:ascii="Arial" w:cs="Arial" w:eastAsia="Arial" w:hAnsi="Arial"/>
                <w:sz w:val="12"/>
                <w:szCs w:val="12"/>
                <w:color w:val="auto"/>
              </w:rPr>
              <w:t>50 %</w:t>
            </w:r>
          </w:p>
        </w:tc>
        <w:tc>
          <w:tcPr>
            <w:tcW w:w="0" w:type="dxa"/>
            <w:vAlign w:val="bottom"/>
          </w:tcPr>
          <w:p>
            <w:pPr>
              <w:spacing w:after="0"/>
              <w:rPr>
                <w:sz w:val="1"/>
                <w:szCs w:val="1"/>
                <w:color w:val="auto"/>
              </w:rPr>
            </w:pPr>
          </w:p>
        </w:tc>
      </w:tr>
      <w:tr>
        <w:trPr>
          <w:trHeight w:val="119"/>
        </w:trPr>
        <w:tc>
          <w:tcPr>
            <w:tcW w:w="342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Other income (expense)</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3,762</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i w:val="1"/>
                <w:iCs w:val="1"/>
                <w:color w:val="auto"/>
              </w:rPr>
              <w:t>3%</w:t>
            </w:r>
          </w:p>
        </w:tc>
        <w:tc>
          <w:tcPr>
            <w:tcW w:w="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293</w:t>
            </w: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2"/>
                <w:szCs w:val="12"/>
                <w:i w:val="1"/>
                <w:iCs w:val="1"/>
                <w:color w:val="auto"/>
              </w:rPr>
              <w:t>—%</w:t>
            </w:r>
          </w:p>
        </w:tc>
        <w:tc>
          <w:tcPr>
            <w:tcW w:w="20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325</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2"/>
                <w:szCs w:val="12"/>
                <w:i w:val="1"/>
                <w:iCs w:val="1"/>
                <w:color w:val="auto"/>
              </w:rPr>
              <w:t>—%</w:t>
            </w:r>
          </w:p>
        </w:tc>
        <w:tc>
          <w:tcPr>
            <w:tcW w:w="86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&gt;100%</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10"/>
        </w:trPr>
        <w:tc>
          <w:tcPr>
            <w:tcW w:w="3420" w:type="dxa"/>
            <w:vAlign w:val="bottom"/>
          </w:tcPr>
          <w:p>
            <w:pPr>
              <w:spacing w:after="0" w:line="110" w:lineRule="exact"/>
              <w:rPr>
                <w:sz w:val="20"/>
                <w:szCs w:val="20"/>
                <w:color w:val="auto"/>
              </w:rPr>
            </w:pPr>
            <w:r>
              <w:rPr>
                <w:rFonts w:ascii="Arial" w:cs="Arial" w:eastAsia="Arial" w:hAnsi="Arial"/>
                <w:sz w:val="12"/>
                <w:szCs w:val="12"/>
                <w:color w:val="auto"/>
              </w:rPr>
              <w:t>Income (loss) before income taxes</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jc w:val="right"/>
              <w:spacing w:after="0" w:line="110" w:lineRule="exact"/>
              <w:rPr>
                <w:sz w:val="20"/>
                <w:szCs w:val="20"/>
                <w:color w:val="auto"/>
              </w:rPr>
            </w:pPr>
            <w:r>
              <w:rPr>
                <w:rFonts w:ascii="Arial" w:cs="Arial" w:eastAsia="Arial" w:hAnsi="Arial"/>
                <w:sz w:val="12"/>
                <w:szCs w:val="12"/>
                <w:color w:val="auto"/>
              </w:rPr>
              <w:t>40,758</w:t>
            </w:r>
          </w:p>
        </w:tc>
        <w:tc>
          <w:tcPr>
            <w:tcW w:w="80" w:type="dxa"/>
            <w:vAlign w:val="bottom"/>
          </w:tcPr>
          <w:p>
            <w:pPr>
              <w:spacing w:after="0"/>
              <w:rPr>
                <w:sz w:val="9"/>
                <w:szCs w:val="9"/>
                <w:color w:val="auto"/>
              </w:rPr>
            </w:pPr>
          </w:p>
        </w:tc>
        <w:tc>
          <w:tcPr>
            <w:tcW w:w="840" w:type="dxa"/>
            <w:vAlign w:val="bottom"/>
          </w:tcPr>
          <w:p>
            <w:pPr>
              <w:jc w:val="right"/>
              <w:ind w:right="102"/>
              <w:spacing w:after="0" w:line="110" w:lineRule="exact"/>
              <w:rPr>
                <w:sz w:val="20"/>
                <w:szCs w:val="20"/>
                <w:color w:val="auto"/>
              </w:rPr>
            </w:pPr>
            <w:r>
              <w:rPr>
                <w:rFonts w:ascii="Arial" w:cs="Arial" w:eastAsia="Arial" w:hAnsi="Arial"/>
                <w:sz w:val="12"/>
                <w:szCs w:val="12"/>
                <w:i w:val="1"/>
                <w:iCs w:val="1"/>
                <w:color w:val="auto"/>
              </w:rPr>
              <w:t>29%</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jc w:val="right"/>
              <w:spacing w:after="0" w:line="110" w:lineRule="exact"/>
              <w:rPr>
                <w:sz w:val="20"/>
                <w:szCs w:val="20"/>
                <w:color w:val="auto"/>
              </w:rPr>
            </w:pPr>
            <w:r>
              <w:rPr>
                <w:rFonts w:ascii="Arial" w:cs="Arial" w:eastAsia="Arial" w:hAnsi="Arial"/>
                <w:sz w:val="12"/>
                <w:szCs w:val="12"/>
                <w:color w:val="auto"/>
              </w:rPr>
              <w:t>(70,824)</w:t>
            </w:r>
          </w:p>
        </w:tc>
        <w:tc>
          <w:tcPr>
            <w:tcW w:w="80" w:type="dxa"/>
            <w:vAlign w:val="bottom"/>
          </w:tcPr>
          <w:p>
            <w:pPr>
              <w:spacing w:after="0"/>
              <w:rPr>
                <w:sz w:val="9"/>
                <w:szCs w:val="9"/>
                <w:color w:val="auto"/>
              </w:rPr>
            </w:pPr>
          </w:p>
        </w:tc>
        <w:tc>
          <w:tcPr>
            <w:tcW w:w="840" w:type="dxa"/>
            <w:vAlign w:val="bottom"/>
          </w:tcPr>
          <w:p>
            <w:pPr>
              <w:jc w:val="right"/>
              <w:ind w:right="82"/>
              <w:spacing w:after="0" w:line="110" w:lineRule="exact"/>
              <w:rPr>
                <w:sz w:val="20"/>
                <w:szCs w:val="20"/>
                <w:color w:val="auto"/>
              </w:rPr>
            </w:pPr>
            <w:r>
              <w:rPr>
                <w:rFonts w:ascii="Arial" w:cs="Arial" w:eastAsia="Arial" w:hAnsi="Arial"/>
                <w:sz w:val="12"/>
                <w:szCs w:val="12"/>
                <w:i w:val="1"/>
                <w:iCs w:val="1"/>
                <w:color w:val="auto"/>
              </w:rPr>
              <w:t>(91)%</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jc w:val="right"/>
              <w:spacing w:after="0" w:line="110" w:lineRule="exact"/>
              <w:rPr>
                <w:sz w:val="20"/>
                <w:szCs w:val="20"/>
                <w:color w:val="auto"/>
              </w:rPr>
            </w:pPr>
            <w:r>
              <w:rPr>
                <w:rFonts w:ascii="Arial" w:cs="Arial" w:eastAsia="Arial" w:hAnsi="Arial"/>
                <w:sz w:val="12"/>
                <w:szCs w:val="12"/>
                <w:color w:val="auto"/>
              </w:rPr>
              <w:t>2,334</w:t>
            </w:r>
          </w:p>
        </w:tc>
        <w:tc>
          <w:tcPr>
            <w:tcW w:w="80" w:type="dxa"/>
            <w:vAlign w:val="bottom"/>
          </w:tcPr>
          <w:p>
            <w:pPr>
              <w:spacing w:after="0"/>
              <w:rPr>
                <w:sz w:val="9"/>
                <w:szCs w:val="9"/>
                <w:color w:val="auto"/>
              </w:rPr>
            </w:pPr>
          </w:p>
        </w:tc>
        <w:tc>
          <w:tcPr>
            <w:tcW w:w="840" w:type="dxa"/>
            <w:vAlign w:val="bottom"/>
          </w:tcPr>
          <w:p>
            <w:pPr>
              <w:jc w:val="right"/>
              <w:ind w:right="102"/>
              <w:spacing w:after="0" w:line="110" w:lineRule="exact"/>
              <w:rPr>
                <w:sz w:val="20"/>
                <w:szCs w:val="20"/>
                <w:color w:val="auto"/>
              </w:rPr>
            </w:pPr>
            <w:r>
              <w:rPr>
                <w:rFonts w:ascii="Arial" w:cs="Arial" w:eastAsia="Arial" w:hAnsi="Arial"/>
                <w:sz w:val="12"/>
                <w:szCs w:val="12"/>
                <w:i w:val="1"/>
                <w:iCs w:val="1"/>
                <w:color w:val="auto"/>
              </w:rPr>
              <w:t>1 %</w:t>
            </w:r>
          </w:p>
        </w:tc>
        <w:tc>
          <w:tcPr>
            <w:tcW w:w="80" w:type="dxa"/>
            <w:vAlign w:val="bottom"/>
          </w:tcPr>
          <w:p>
            <w:pPr>
              <w:spacing w:after="0"/>
              <w:rPr>
                <w:sz w:val="9"/>
                <w:szCs w:val="9"/>
                <w:color w:val="auto"/>
              </w:rPr>
            </w:pPr>
          </w:p>
        </w:tc>
        <w:tc>
          <w:tcPr>
            <w:tcW w:w="860" w:type="dxa"/>
            <w:vAlign w:val="bottom"/>
          </w:tcPr>
          <w:p>
            <w:pPr>
              <w:jc w:val="right"/>
              <w:ind w:right="102"/>
              <w:spacing w:after="0" w:line="110" w:lineRule="exact"/>
              <w:rPr>
                <w:sz w:val="20"/>
                <w:szCs w:val="20"/>
                <w:color w:val="auto"/>
              </w:rPr>
            </w:pPr>
            <w:r>
              <w:rPr>
                <w:rFonts w:ascii="Arial" w:cs="Arial" w:eastAsia="Arial" w:hAnsi="Arial"/>
                <w:sz w:val="12"/>
                <w:szCs w:val="12"/>
                <w:color w:val="auto"/>
              </w:rPr>
              <w:t>&gt;100%</w:t>
            </w:r>
          </w:p>
        </w:tc>
        <w:tc>
          <w:tcPr>
            <w:tcW w:w="80" w:type="dxa"/>
            <w:vAlign w:val="bottom"/>
          </w:tcPr>
          <w:p>
            <w:pPr>
              <w:spacing w:after="0"/>
              <w:rPr>
                <w:sz w:val="9"/>
                <w:szCs w:val="9"/>
                <w:color w:val="auto"/>
              </w:rPr>
            </w:pPr>
          </w:p>
        </w:tc>
        <w:tc>
          <w:tcPr>
            <w:tcW w:w="860" w:type="dxa"/>
            <w:vAlign w:val="bottom"/>
          </w:tcPr>
          <w:p>
            <w:pPr>
              <w:jc w:val="right"/>
              <w:ind w:right="102"/>
              <w:spacing w:after="0" w:line="110" w:lineRule="exact"/>
              <w:rPr>
                <w:sz w:val="20"/>
                <w:szCs w:val="20"/>
                <w:color w:val="auto"/>
              </w:rPr>
            </w:pPr>
            <w:r>
              <w:rPr>
                <w:rFonts w:ascii="Arial" w:cs="Arial" w:eastAsia="Arial" w:hAnsi="Arial"/>
                <w:sz w:val="12"/>
                <w:szCs w:val="12"/>
                <w:color w:val="auto"/>
              </w:rPr>
              <w:t>(&gt;100)%</w:t>
            </w:r>
          </w:p>
        </w:tc>
        <w:tc>
          <w:tcPr>
            <w:tcW w:w="0" w:type="dxa"/>
            <w:vAlign w:val="bottom"/>
          </w:tcPr>
          <w:p>
            <w:pPr>
              <w:spacing w:after="0"/>
              <w:rPr>
                <w:sz w:val="1"/>
                <w:szCs w:val="1"/>
                <w:color w:val="auto"/>
              </w:rPr>
            </w:pPr>
          </w:p>
        </w:tc>
      </w:tr>
      <w:tr>
        <w:trPr>
          <w:trHeight w:val="119"/>
        </w:trPr>
        <w:tc>
          <w:tcPr>
            <w:tcW w:w="342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Income tax benefit (expense)</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(5,944)</w:t>
            </w:r>
          </w:p>
        </w:tc>
        <w:tc>
          <w:tcPr>
            <w:tcW w:w="84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i w:val="1"/>
                <w:iCs w:val="1"/>
                <w:color w:val="auto"/>
              </w:rPr>
              <w:t>(4)%</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4,967</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82"/>
              <w:spacing w:after="0" w:line="120" w:lineRule="exact"/>
              <w:rPr>
                <w:sz w:val="20"/>
                <w:szCs w:val="20"/>
                <w:color w:val="auto"/>
              </w:rPr>
            </w:pPr>
            <w:r>
              <w:rPr>
                <w:rFonts w:ascii="Arial" w:cs="Arial" w:eastAsia="Arial" w:hAnsi="Arial"/>
                <w:sz w:val="12"/>
                <w:szCs w:val="12"/>
                <w:i w:val="1"/>
                <w:iCs w:val="1"/>
                <w:color w:val="auto"/>
              </w:rPr>
              <w:t>6 %</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(28,837)</w:t>
            </w:r>
          </w:p>
        </w:tc>
        <w:tc>
          <w:tcPr>
            <w:tcW w:w="84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i w:val="1"/>
                <w:iCs w:val="1"/>
                <w:color w:val="auto"/>
              </w:rPr>
              <w:t>(10)%</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(&gt;100)%</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&gt;100%</w:t>
            </w:r>
          </w:p>
        </w:tc>
        <w:tc>
          <w:tcPr>
            <w:tcW w:w="0" w:type="dxa"/>
            <w:vAlign w:val="bottom"/>
          </w:tcPr>
          <w:p>
            <w:pPr>
              <w:spacing w:after="0"/>
              <w:rPr>
                <w:sz w:val="1"/>
                <w:szCs w:val="1"/>
                <w:color w:val="auto"/>
              </w:rPr>
            </w:pPr>
          </w:p>
        </w:tc>
      </w:tr>
      <w:tr>
        <w:trPr>
          <w:trHeight w:val="110"/>
        </w:trPr>
        <w:tc>
          <w:tcPr>
            <w:tcW w:w="3420" w:type="dxa"/>
            <w:vAlign w:val="bottom"/>
          </w:tcPr>
          <w:p>
            <w:pPr>
              <w:spacing w:after="0" w:line="110" w:lineRule="exact"/>
              <w:rPr>
                <w:sz w:val="20"/>
                <w:szCs w:val="20"/>
                <w:color w:val="auto"/>
              </w:rPr>
            </w:pPr>
            <w:r>
              <w:rPr>
                <w:rFonts w:ascii="Arial" w:cs="Arial" w:eastAsia="Arial" w:hAnsi="Arial"/>
                <w:sz w:val="12"/>
                <w:szCs w:val="12"/>
                <w:color w:val="auto"/>
              </w:rPr>
              <w:t>Net income (loss)</w:t>
            </w: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2"/>
                <w:szCs w:val="12"/>
                <w:color w:val="auto"/>
              </w:rPr>
              <w:t>34,814</w:t>
            </w:r>
          </w:p>
        </w:tc>
        <w:tc>
          <w:tcPr>
            <w:tcW w:w="80" w:type="dxa"/>
            <w:vAlign w:val="bottom"/>
          </w:tcPr>
          <w:p>
            <w:pPr>
              <w:spacing w:after="0"/>
              <w:rPr>
                <w:sz w:val="9"/>
                <w:szCs w:val="9"/>
                <w:color w:val="auto"/>
              </w:rPr>
            </w:pPr>
          </w:p>
        </w:tc>
        <w:tc>
          <w:tcPr>
            <w:tcW w:w="840" w:type="dxa"/>
            <w:vAlign w:val="bottom"/>
          </w:tcPr>
          <w:p>
            <w:pPr>
              <w:jc w:val="right"/>
              <w:ind w:right="102"/>
              <w:spacing w:after="0" w:line="110" w:lineRule="exact"/>
              <w:rPr>
                <w:sz w:val="20"/>
                <w:szCs w:val="20"/>
                <w:color w:val="auto"/>
              </w:rPr>
            </w:pPr>
            <w:r>
              <w:rPr>
                <w:rFonts w:ascii="Arial" w:cs="Arial" w:eastAsia="Arial" w:hAnsi="Arial"/>
                <w:sz w:val="12"/>
                <w:szCs w:val="12"/>
                <w:i w:val="1"/>
                <w:iCs w:val="1"/>
                <w:color w:val="auto"/>
              </w:rPr>
              <w:t>25%</w:t>
            </w:r>
          </w:p>
        </w:tc>
        <w:tc>
          <w:tcPr>
            <w:tcW w:w="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2"/>
                <w:szCs w:val="12"/>
                <w:color w:val="auto"/>
              </w:rPr>
              <w:t>(65,857)</w:t>
            </w:r>
          </w:p>
        </w:tc>
        <w:tc>
          <w:tcPr>
            <w:tcW w:w="80" w:type="dxa"/>
            <w:vAlign w:val="bottom"/>
          </w:tcPr>
          <w:p>
            <w:pPr>
              <w:spacing w:after="0"/>
              <w:rPr>
                <w:sz w:val="9"/>
                <w:szCs w:val="9"/>
                <w:color w:val="auto"/>
              </w:rPr>
            </w:pPr>
          </w:p>
        </w:tc>
        <w:tc>
          <w:tcPr>
            <w:tcW w:w="840" w:type="dxa"/>
            <w:vAlign w:val="bottom"/>
          </w:tcPr>
          <w:p>
            <w:pPr>
              <w:jc w:val="right"/>
              <w:ind w:right="82"/>
              <w:spacing w:after="0" w:line="110" w:lineRule="exact"/>
              <w:rPr>
                <w:sz w:val="20"/>
                <w:szCs w:val="20"/>
                <w:color w:val="auto"/>
              </w:rPr>
            </w:pPr>
            <w:r>
              <w:rPr>
                <w:rFonts w:ascii="Arial" w:cs="Arial" w:eastAsia="Arial" w:hAnsi="Arial"/>
                <w:sz w:val="12"/>
                <w:szCs w:val="12"/>
                <w:i w:val="1"/>
                <w:iCs w:val="1"/>
                <w:color w:val="auto"/>
              </w:rPr>
              <w:t>(85)%</w:t>
            </w:r>
          </w:p>
        </w:tc>
        <w:tc>
          <w:tcPr>
            <w:tcW w:w="1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2"/>
                <w:szCs w:val="12"/>
                <w:color w:val="auto"/>
              </w:rPr>
              <w:t>(26,503)</w:t>
            </w:r>
          </w:p>
        </w:tc>
        <w:tc>
          <w:tcPr>
            <w:tcW w:w="80" w:type="dxa"/>
            <w:vAlign w:val="bottom"/>
          </w:tcPr>
          <w:p>
            <w:pPr>
              <w:spacing w:after="0"/>
              <w:rPr>
                <w:sz w:val="9"/>
                <w:szCs w:val="9"/>
                <w:color w:val="auto"/>
              </w:rPr>
            </w:pPr>
          </w:p>
        </w:tc>
        <w:tc>
          <w:tcPr>
            <w:tcW w:w="840" w:type="dxa"/>
            <w:vAlign w:val="bottom"/>
          </w:tcPr>
          <w:p>
            <w:pPr>
              <w:jc w:val="right"/>
              <w:ind w:right="102"/>
              <w:spacing w:after="0" w:line="110" w:lineRule="exact"/>
              <w:rPr>
                <w:sz w:val="20"/>
                <w:szCs w:val="20"/>
                <w:color w:val="auto"/>
              </w:rPr>
            </w:pPr>
            <w:r>
              <w:rPr>
                <w:rFonts w:ascii="Arial" w:cs="Arial" w:eastAsia="Arial" w:hAnsi="Arial"/>
                <w:sz w:val="12"/>
                <w:szCs w:val="12"/>
                <w:i w:val="1"/>
                <w:iCs w:val="1"/>
                <w:color w:val="auto"/>
              </w:rPr>
              <w:t>(10)%</w:t>
            </w:r>
          </w:p>
        </w:tc>
        <w:tc>
          <w:tcPr>
            <w:tcW w:w="80" w:type="dxa"/>
            <w:vAlign w:val="bottom"/>
          </w:tcPr>
          <w:p>
            <w:pPr>
              <w:spacing w:after="0"/>
              <w:rPr>
                <w:sz w:val="9"/>
                <w:szCs w:val="9"/>
                <w:color w:val="auto"/>
              </w:rPr>
            </w:pPr>
          </w:p>
        </w:tc>
        <w:tc>
          <w:tcPr>
            <w:tcW w:w="860" w:type="dxa"/>
            <w:vAlign w:val="bottom"/>
          </w:tcPr>
          <w:p>
            <w:pPr>
              <w:jc w:val="right"/>
              <w:ind w:right="102"/>
              <w:spacing w:after="0" w:line="110" w:lineRule="exact"/>
              <w:rPr>
                <w:sz w:val="20"/>
                <w:szCs w:val="20"/>
                <w:color w:val="auto"/>
              </w:rPr>
            </w:pPr>
            <w:r>
              <w:rPr>
                <w:rFonts w:ascii="Arial" w:cs="Arial" w:eastAsia="Arial" w:hAnsi="Arial"/>
                <w:sz w:val="12"/>
                <w:szCs w:val="12"/>
                <w:color w:val="auto"/>
              </w:rPr>
              <w:t>&gt;100%</w:t>
            </w:r>
          </w:p>
        </w:tc>
        <w:tc>
          <w:tcPr>
            <w:tcW w:w="80" w:type="dxa"/>
            <w:vAlign w:val="bottom"/>
          </w:tcPr>
          <w:p>
            <w:pPr>
              <w:spacing w:after="0"/>
              <w:rPr>
                <w:sz w:val="9"/>
                <w:szCs w:val="9"/>
                <w:color w:val="auto"/>
              </w:rPr>
            </w:pPr>
          </w:p>
        </w:tc>
        <w:tc>
          <w:tcPr>
            <w:tcW w:w="860" w:type="dxa"/>
            <w:vAlign w:val="bottom"/>
          </w:tcPr>
          <w:p>
            <w:pPr>
              <w:jc w:val="right"/>
              <w:ind w:right="102"/>
              <w:spacing w:after="0" w:line="110" w:lineRule="exact"/>
              <w:rPr>
                <w:sz w:val="20"/>
                <w:szCs w:val="20"/>
                <w:color w:val="auto"/>
              </w:rPr>
            </w:pPr>
            <w:r>
              <w:rPr>
                <w:rFonts w:ascii="Arial" w:cs="Arial" w:eastAsia="Arial" w:hAnsi="Arial"/>
                <w:sz w:val="12"/>
                <w:szCs w:val="12"/>
                <w:color w:val="auto"/>
              </w:rPr>
              <w:t>(&gt;100)%</w:t>
            </w:r>
          </w:p>
        </w:tc>
        <w:tc>
          <w:tcPr>
            <w:tcW w:w="0" w:type="dxa"/>
            <w:vAlign w:val="bottom"/>
          </w:tcPr>
          <w:p>
            <w:pPr>
              <w:spacing w:after="0"/>
              <w:rPr>
                <w:sz w:val="1"/>
                <w:szCs w:val="1"/>
                <w:color w:val="auto"/>
              </w:rPr>
            </w:pPr>
          </w:p>
        </w:tc>
      </w:tr>
      <w:tr>
        <w:trPr>
          <w:trHeight w:val="119"/>
        </w:trPr>
        <w:tc>
          <w:tcPr>
            <w:tcW w:w="342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w w:val="98"/>
              </w:rPr>
              <w:t>Less: Net income (loss) attributable to noncontrolling interests</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2,893</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i w:val="1"/>
                <w:iCs w:val="1"/>
                <w:color w:val="auto"/>
              </w:rPr>
              <w:t>2 %</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(657)</w:t>
            </w:r>
          </w:p>
        </w:tc>
        <w:tc>
          <w:tcPr>
            <w:tcW w:w="840" w:type="dxa"/>
            <w:vAlign w:val="bottom"/>
            <w:shd w:val="clear" w:color="auto" w:fill="CCEEFF"/>
          </w:tcPr>
          <w:p>
            <w:pPr>
              <w:jc w:val="right"/>
              <w:ind w:right="82"/>
              <w:spacing w:after="0" w:line="120" w:lineRule="exact"/>
              <w:rPr>
                <w:sz w:val="20"/>
                <w:szCs w:val="20"/>
                <w:color w:val="auto"/>
              </w:rPr>
            </w:pPr>
            <w:r>
              <w:rPr>
                <w:rFonts w:ascii="Arial" w:cs="Arial" w:eastAsia="Arial" w:hAnsi="Arial"/>
                <w:sz w:val="12"/>
                <w:szCs w:val="12"/>
                <w:i w:val="1"/>
                <w:iCs w:val="1"/>
                <w:color w:val="auto"/>
              </w:rPr>
              <w:t>(1)%</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(74)</w:t>
            </w:r>
          </w:p>
        </w:tc>
        <w:tc>
          <w:tcPr>
            <w:tcW w:w="92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2"/>
                <w:szCs w:val="12"/>
                <w:i w:val="1"/>
                <w:iCs w:val="1"/>
                <w:color w:val="auto"/>
              </w:rPr>
              <w:t>—%</w:t>
            </w:r>
          </w:p>
        </w:tc>
        <w:tc>
          <w:tcPr>
            <w:tcW w:w="86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&gt;100%</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(&gt;100)%</w:t>
            </w:r>
          </w:p>
        </w:tc>
        <w:tc>
          <w:tcPr>
            <w:tcW w:w="0" w:type="dxa"/>
            <w:vAlign w:val="bottom"/>
          </w:tcPr>
          <w:p>
            <w:pPr>
              <w:spacing w:after="0"/>
              <w:rPr>
                <w:sz w:val="1"/>
                <w:szCs w:val="1"/>
                <w:color w:val="auto"/>
              </w:rPr>
            </w:pPr>
          </w:p>
        </w:tc>
      </w:tr>
      <w:tr>
        <w:trPr>
          <w:trHeight w:val="112"/>
        </w:trPr>
        <w:tc>
          <w:tcPr>
            <w:tcW w:w="3420" w:type="dxa"/>
            <w:vAlign w:val="bottom"/>
            <w:tcBorders>
              <w:bottom w:val="single" w:sz="8" w:color="CCEEFF"/>
            </w:tcBorders>
          </w:tcPr>
          <w:p>
            <w:pPr>
              <w:spacing w:after="0" w:line="110" w:lineRule="exact"/>
              <w:rPr>
                <w:sz w:val="20"/>
                <w:szCs w:val="20"/>
                <w:color w:val="auto"/>
              </w:rPr>
            </w:pPr>
            <w:r>
              <w:rPr>
                <w:rFonts w:ascii="Arial" w:cs="Arial" w:eastAsia="Arial" w:hAnsi="Arial"/>
                <w:sz w:val="12"/>
                <w:szCs w:val="12"/>
                <w:color w:val="auto"/>
              </w:rPr>
              <w:t>Net income (loss) attributable to Reading International, Inc.</w:t>
            </w:r>
          </w:p>
        </w:tc>
        <w:tc>
          <w:tcPr>
            <w:tcW w:w="80" w:type="dxa"/>
            <w:vAlign w:val="bottom"/>
            <w:tcBorders>
              <w:bottom w:val="single" w:sz="8" w:color="CCEEFF"/>
            </w:tcBorders>
          </w:tcPr>
          <w:p>
            <w:pPr>
              <w:spacing w:after="0"/>
              <w:rPr>
                <w:sz w:val="9"/>
                <w:szCs w:val="9"/>
                <w:color w:val="auto"/>
              </w:rPr>
            </w:pPr>
          </w:p>
        </w:tc>
        <w:tc>
          <w:tcPr>
            <w:tcW w:w="200" w:type="dxa"/>
            <w:vAlign w:val="bottom"/>
            <w:tcBorders>
              <w:top w:val="single" w:sz="8" w:color="auto"/>
              <w:bottom w:val="single" w:sz="8" w:color="auto"/>
            </w:tcBorders>
          </w:tcPr>
          <w:p>
            <w:pPr>
              <w:jc w:val="right"/>
              <w:ind w:right="88"/>
              <w:spacing w:after="0" w:line="110" w:lineRule="exact"/>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2"/>
                <w:szCs w:val="12"/>
                <w:color w:val="auto"/>
              </w:rPr>
              <w:t>31,921</w:t>
            </w:r>
          </w:p>
        </w:tc>
        <w:tc>
          <w:tcPr>
            <w:tcW w:w="80" w:type="dxa"/>
            <w:vAlign w:val="bottom"/>
            <w:tcBorders>
              <w:bottom w:val="single" w:sz="8" w:color="CCEEFF"/>
            </w:tcBorders>
          </w:tcPr>
          <w:p>
            <w:pPr>
              <w:spacing w:after="0"/>
              <w:rPr>
                <w:sz w:val="9"/>
                <w:szCs w:val="9"/>
                <w:color w:val="auto"/>
              </w:rPr>
            </w:pPr>
          </w:p>
        </w:tc>
        <w:tc>
          <w:tcPr>
            <w:tcW w:w="840" w:type="dxa"/>
            <w:vAlign w:val="bottom"/>
            <w:tcBorders>
              <w:bottom w:val="single" w:sz="8" w:color="CCEEFF"/>
            </w:tcBorders>
          </w:tcPr>
          <w:p>
            <w:pPr>
              <w:jc w:val="right"/>
              <w:ind w:right="102"/>
              <w:spacing w:after="0" w:line="110" w:lineRule="exact"/>
              <w:rPr>
                <w:sz w:val="20"/>
                <w:szCs w:val="20"/>
                <w:color w:val="auto"/>
              </w:rPr>
            </w:pPr>
            <w:r>
              <w:rPr>
                <w:rFonts w:ascii="Arial" w:cs="Arial" w:eastAsia="Arial" w:hAnsi="Arial"/>
                <w:sz w:val="12"/>
                <w:szCs w:val="12"/>
                <w:i w:val="1"/>
                <w:iCs w:val="1"/>
                <w:color w:val="auto"/>
              </w:rPr>
              <w:t>23%</w:t>
            </w:r>
          </w:p>
        </w:tc>
        <w:tc>
          <w:tcPr>
            <w:tcW w:w="80" w:type="dxa"/>
            <w:vAlign w:val="bottom"/>
            <w:tcBorders>
              <w:bottom w:val="single" w:sz="8" w:color="CCEEFF"/>
            </w:tcBorders>
          </w:tcPr>
          <w:p>
            <w:pPr>
              <w:spacing w:after="0"/>
              <w:rPr>
                <w:sz w:val="9"/>
                <w:szCs w:val="9"/>
                <w:color w:val="auto"/>
              </w:rPr>
            </w:pPr>
          </w:p>
        </w:tc>
        <w:tc>
          <w:tcPr>
            <w:tcW w:w="240" w:type="dxa"/>
            <w:vAlign w:val="bottom"/>
            <w:tcBorders>
              <w:top w:val="single" w:sz="8" w:color="auto"/>
              <w:bottom w:val="single" w:sz="8" w:color="auto"/>
            </w:tcBorders>
          </w:tcPr>
          <w:p>
            <w:pPr>
              <w:jc w:val="right"/>
              <w:ind w:right="128"/>
              <w:spacing w:after="0" w:line="110" w:lineRule="exact"/>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2"/>
                <w:szCs w:val="12"/>
                <w:color w:val="auto"/>
              </w:rPr>
              <w:t>(65,200)</w:t>
            </w:r>
          </w:p>
        </w:tc>
        <w:tc>
          <w:tcPr>
            <w:tcW w:w="80" w:type="dxa"/>
            <w:vAlign w:val="bottom"/>
            <w:tcBorders>
              <w:bottom w:val="single" w:sz="8" w:color="CCEEFF"/>
            </w:tcBorders>
          </w:tcPr>
          <w:p>
            <w:pPr>
              <w:spacing w:after="0"/>
              <w:rPr>
                <w:sz w:val="9"/>
                <w:szCs w:val="9"/>
                <w:color w:val="auto"/>
              </w:rPr>
            </w:pPr>
          </w:p>
        </w:tc>
        <w:tc>
          <w:tcPr>
            <w:tcW w:w="840" w:type="dxa"/>
            <w:vAlign w:val="bottom"/>
            <w:tcBorders>
              <w:bottom w:val="single" w:sz="8" w:color="CCEEFF"/>
            </w:tcBorders>
          </w:tcPr>
          <w:p>
            <w:pPr>
              <w:jc w:val="right"/>
              <w:ind w:right="82"/>
              <w:spacing w:after="0" w:line="110" w:lineRule="exact"/>
              <w:rPr>
                <w:sz w:val="20"/>
                <w:szCs w:val="20"/>
                <w:color w:val="auto"/>
              </w:rPr>
            </w:pPr>
            <w:r>
              <w:rPr>
                <w:rFonts w:ascii="Arial" w:cs="Arial" w:eastAsia="Arial" w:hAnsi="Arial"/>
                <w:sz w:val="12"/>
                <w:szCs w:val="12"/>
                <w:i w:val="1"/>
                <w:iCs w:val="1"/>
                <w:color w:val="auto"/>
              </w:rPr>
              <w:t>(84)%</w:t>
            </w:r>
          </w:p>
        </w:tc>
        <w:tc>
          <w:tcPr>
            <w:tcW w:w="100" w:type="dxa"/>
            <w:vAlign w:val="bottom"/>
            <w:tcBorders>
              <w:bottom w:val="single" w:sz="8" w:color="CCEEFF"/>
            </w:tcBorders>
          </w:tcPr>
          <w:p>
            <w:pPr>
              <w:spacing w:after="0"/>
              <w:rPr>
                <w:sz w:val="9"/>
                <w:szCs w:val="9"/>
                <w:color w:val="auto"/>
              </w:rPr>
            </w:pPr>
          </w:p>
        </w:tc>
        <w:tc>
          <w:tcPr>
            <w:tcW w:w="2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2"/>
                <w:szCs w:val="12"/>
                <w:color w:val="auto"/>
              </w:rPr>
              <w:t>(26,429)</w:t>
            </w:r>
          </w:p>
        </w:tc>
        <w:tc>
          <w:tcPr>
            <w:tcW w:w="80" w:type="dxa"/>
            <w:vAlign w:val="bottom"/>
            <w:tcBorders>
              <w:bottom w:val="single" w:sz="8" w:color="CCEEFF"/>
            </w:tcBorders>
          </w:tcPr>
          <w:p>
            <w:pPr>
              <w:spacing w:after="0"/>
              <w:rPr>
                <w:sz w:val="9"/>
                <w:szCs w:val="9"/>
                <w:color w:val="auto"/>
              </w:rPr>
            </w:pPr>
          </w:p>
        </w:tc>
        <w:tc>
          <w:tcPr>
            <w:tcW w:w="840" w:type="dxa"/>
            <w:vAlign w:val="bottom"/>
            <w:tcBorders>
              <w:bottom w:val="single" w:sz="8" w:color="CCEEFF"/>
            </w:tcBorders>
          </w:tcPr>
          <w:p>
            <w:pPr>
              <w:jc w:val="right"/>
              <w:ind w:right="102"/>
              <w:spacing w:after="0" w:line="110" w:lineRule="exact"/>
              <w:rPr>
                <w:sz w:val="20"/>
                <w:szCs w:val="20"/>
                <w:color w:val="auto"/>
              </w:rPr>
            </w:pPr>
            <w:r>
              <w:rPr>
                <w:rFonts w:ascii="Arial" w:cs="Arial" w:eastAsia="Arial" w:hAnsi="Arial"/>
                <w:sz w:val="12"/>
                <w:szCs w:val="12"/>
                <w:i w:val="1"/>
                <w:iCs w:val="1"/>
                <w:color w:val="auto"/>
              </w:rPr>
              <w:t>(10)%</w:t>
            </w:r>
          </w:p>
        </w:tc>
        <w:tc>
          <w:tcPr>
            <w:tcW w:w="80" w:type="dxa"/>
            <w:vAlign w:val="bottom"/>
            <w:tcBorders>
              <w:bottom w:val="single" w:sz="8" w:color="CCEEFF"/>
            </w:tcBorders>
          </w:tcPr>
          <w:p>
            <w:pPr>
              <w:spacing w:after="0"/>
              <w:rPr>
                <w:sz w:val="9"/>
                <w:szCs w:val="9"/>
                <w:color w:val="auto"/>
              </w:rPr>
            </w:pPr>
          </w:p>
        </w:tc>
        <w:tc>
          <w:tcPr>
            <w:tcW w:w="860" w:type="dxa"/>
            <w:vAlign w:val="bottom"/>
            <w:tcBorders>
              <w:bottom w:val="single" w:sz="8" w:color="CCEEFF"/>
            </w:tcBorders>
          </w:tcPr>
          <w:p>
            <w:pPr>
              <w:jc w:val="right"/>
              <w:ind w:right="102"/>
              <w:spacing w:after="0" w:line="110" w:lineRule="exact"/>
              <w:rPr>
                <w:sz w:val="20"/>
                <w:szCs w:val="20"/>
                <w:color w:val="auto"/>
              </w:rPr>
            </w:pPr>
            <w:r>
              <w:rPr>
                <w:rFonts w:ascii="Arial" w:cs="Arial" w:eastAsia="Arial" w:hAnsi="Arial"/>
                <w:sz w:val="12"/>
                <w:szCs w:val="12"/>
                <w:color w:val="auto"/>
              </w:rPr>
              <w:t>&gt;100%</w:t>
            </w:r>
          </w:p>
        </w:tc>
        <w:tc>
          <w:tcPr>
            <w:tcW w:w="80" w:type="dxa"/>
            <w:vAlign w:val="bottom"/>
            <w:tcBorders>
              <w:bottom w:val="single" w:sz="8" w:color="CCEEFF"/>
            </w:tcBorders>
          </w:tcPr>
          <w:p>
            <w:pPr>
              <w:spacing w:after="0"/>
              <w:rPr>
                <w:sz w:val="9"/>
                <w:szCs w:val="9"/>
                <w:color w:val="auto"/>
              </w:rPr>
            </w:pPr>
          </w:p>
        </w:tc>
        <w:tc>
          <w:tcPr>
            <w:tcW w:w="860" w:type="dxa"/>
            <w:vAlign w:val="bottom"/>
            <w:tcBorders>
              <w:bottom w:val="single" w:sz="8" w:color="CCEEFF"/>
            </w:tcBorders>
          </w:tcPr>
          <w:p>
            <w:pPr>
              <w:jc w:val="right"/>
              <w:ind w:right="102"/>
              <w:spacing w:after="0" w:line="110" w:lineRule="exact"/>
              <w:rPr>
                <w:sz w:val="20"/>
                <w:szCs w:val="20"/>
                <w:color w:val="auto"/>
              </w:rPr>
            </w:pPr>
            <w:r>
              <w:rPr>
                <w:rFonts w:ascii="Arial" w:cs="Arial" w:eastAsia="Arial" w:hAnsi="Arial"/>
                <w:sz w:val="12"/>
                <w:szCs w:val="12"/>
                <w:color w:val="auto"/>
              </w:rPr>
              <w:t>(&gt;100)%</w:t>
            </w:r>
          </w:p>
        </w:tc>
        <w:tc>
          <w:tcPr>
            <w:tcW w:w="0" w:type="dxa"/>
            <w:vAlign w:val="bottom"/>
          </w:tcPr>
          <w:p>
            <w:pPr>
              <w:spacing w:after="0"/>
              <w:rPr>
                <w:sz w:val="1"/>
                <w:szCs w:val="1"/>
                <w:color w:val="auto"/>
              </w:rPr>
            </w:pPr>
          </w:p>
        </w:tc>
      </w:tr>
      <w:tr>
        <w:trPr>
          <w:trHeight w:val="121"/>
        </w:trPr>
        <w:tc>
          <w:tcPr>
            <w:tcW w:w="3420" w:type="dxa"/>
            <w:vAlign w:val="bottom"/>
            <w:tcBorders>
              <w:bottom w:val="single" w:sz="8" w:color="CCEEFF"/>
            </w:tcBorders>
            <w:shd w:val="clear" w:color="auto" w:fill="CCEEFF"/>
          </w:tcPr>
          <w:p>
            <w:pPr>
              <w:spacing w:after="0" w:line="120" w:lineRule="exact"/>
              <w:rPr>
                <w:sz w:val="20"/>
                <w:szCs w:val="20"/>
                <w:color w:val="auto"/>
              </w:rPr>
            </w:pPr>
            <w:r>
              <w:rPr>
                <w:rFonts w:ascii="Arial" w:cs="Arial" w:eastAsia="Arial" w:hAnsi="Arial"/>
                <w:sz w:val="12"/>
                <w:szCs w:val="12"/>
                <w:color w:val="auto"/>
              </w:rPr>
              <w:t>Basic earnings (loss) per share</w:t>
            </w:r>
          </w:p>
        </w:tc>
        <w:tc>
          <w:tcPr>
            <w:tcW w:w="8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1.46</w:t>
            </w:r>
          </w:p>
        </w:tc>
        <w:tc>
          <w:tcPr>
            <w:tcW w:w="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(3.00)</w:t>
            </w:r>
          </w:p>
        </w:tc>
        <w:tc>
          <w:tcPr>
            <w:tcW w:w="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(1.17)</w:t>
            </w:r>
          </w:p>
        </w:tc>
        <w:tc>
          <w:tcPr>
            <w:tcW w:w="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&gt;100%</w:t>
            </w:r>
          </w:p>
        </w:tc>
        <w:tc>
          <w:tcPr>
            <w:tcW w:w="8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(&gt;100)%</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RESULTS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2021 vs. 2020</w:t>
      </w:r>
    </w:p>
    <w:p>
      <w:pPr>
        <w:spacing w:after="0" w:line="147" w:lineRule="exact"/>
        <w:rPr>
          <w:sz w:val="20"/>
          <w:szCs w:val="20"/>
          <w:color w:val="auto"/>
        </w:rPr>
      </w:pPr>
    </w:p>
    <w:p>
      <w:pPr>
        <w:ind w:right="20"/>
        <w:spacing w:after="0" w:line="237" w:lineRule="auto"/>
        <w:rPr>
          <w:sz w:val="20"/>
          <w:szCs w:val="20"/>
          <w:color w:val="auto"/>
        </w:rPr>
      </w:pPr>
      <w:r>
        <w:rPr>
          <w:rFonts w:ascii="Arial" w:cs="Arial" w:eastAsia="Arial" w:hAnsi="Arial"/>
          <w:sz w:val="14"/>
          <w:szCs w:val="14"/>
          <w:color w:val="auto"/>
        </w:rPr>
        <w:t>Net income attributable to Reading International, Inc. increased by $97.1 million to $31.9 million. This increase was due to (i) $92.2 million of gains on sales of assets related to the strategic monetization of our Coachella and Manukau landholdings, Royal George property, Auburn/Redyard Center, and Invercargill property in 2021 in response to the liquidity needs resulting primarily from closure of our cinemas due to the COVID-19 pandemic, (ii) an improvement by $26.4 million in our cinema segment operation results attributable to lower COVID-19 cases and better film product in 2021, and (iii) the resolution of an insurance claim related to damage done by the Kaikoura earthquake.</w:t>
      </w:r>
    </w:p>
    <w:p>
      <w:pPr>
        <w:spacing w:after="0" w:line="123" w:lineRule="exact"/>
        <w:rPr>
          <w:sz w:val="20"/>
          <w:szCs w:val="20"/>
          <w:color w:val="auto"/>
        </w:rPr>
      </w:pPr>
    </w:p>
    <w:p>
      <w:pPr>
        <w:ind w:right="260"/>
        <w:spacing w:after="0" w:line="235" w:lineRule="auto"/>
        <w:rPr>
          <w:sz w:val="20"/>
          <w:szCs w:val="20"/>
          <w:color w:val="auto"/>
        </w:rPr>
      </w:pPr>
      <w:r>
        <w:rPr>
          <w:rFonts w:ascii="Arial" w:cs="Arial" w:eastAsia="Arial" w:hAnsi="Arial"/>
          <w:sz w:val="14"/>
          <w:szCs w:val="14"/>
          <w:color w:val="auto"/>
        </w:rPr>
        <w:t>The increase was offset by a (i) $10.9 million increase in income tax expense to $5.9 million, due to income tax from the monetization of certain real estate assets, (ii) $4.3 million increase in interest expense to $13.7 million related to the completion of our 44 Union Square development, interest prior to completion having been capitalized, (iii) $3.7 million increase in general and administrative expense to $16.6 million related to the payment of bonuses in 2021 (no senior management officer bonuses were paid related to years 2019 or 2020), (iv) the establishment of a $4.0 million accrual of the settlement of certain wage and hour claims, and (v) the non-recurring legal settlement of $0.8 million entered in favor of our Company in the James Cotter Jr. derivative litigation by the Nevada Supreme Court during the third quarter of 2020.</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SEGMENT RESULTS –2021 vs. 2020</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Presented below is the comparison of the segment operating income of our two business segments for the years ended December 31, 2021 and 2020, respectively: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3"/>
              </w:rPr>
              <w:t>% Change</w:t>
            </w: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0" w:type="dxa"/>
            <w:vAlign w:val="bottom"/>
            <w:gridSpan w:val="3"/>
          </w:tcPr>
          <w:p>
            <w:pPr>
              <w:jc w:val="center"/>
              <w:spacing w:after="0" w:line="120" w:lineRule="exact"/>
              <w:rPr>
                <w:sz w:val="20"/>
                <w:szCs w:val="20"/>
                <w:color w:val="auto"/>
              </w:rPr>
            </w:pPr>
            <w:r>
              <w:rPr>
                <w:rFonts w:ascii="Arial" w:cs="Arial" w:eastAsia="Arial" w:hAnsi="Arial"/>
                <w:sz w:val="12"/>
                <w:szCs w:val="12"/>
                <w:b w:val="1"/>
                <w:bCs w:val="1"/>
                <w:color w:val="auto"/>
                <w:w w:val="89"/>
              </w:rPr>
              <w:t>Favorable/</w:t>
            </w:r>
          </w:p>
        </w:tc>
        <w:tc>
          <w:tcPr>
            <w:tcW w:w="0" w:type="dxa"/>
            <w:vAlign w:val="bottom"/>
          </w:tcPr>
          <w:p>
            <w:pPr>
              <w:spacing w:after="0"/>
              <w:rPr>
                <w:sz w:val="1"/>
                <w:szCs w:val="1"/>
                <w:color w:val="auto"/>
              </w:rPr>
            </w:pPr>
          </w:p>
        </w:tc>
      </w:tr>
      <w:tr>
        <w:trPr>
          <w:trHeight w:val="138"/>
        </w:trPr>
        <w:tc>
          <w:tcPr>
            <w:tcW w:w="4740" w:type="dxa"/>
            <w:vAlign w:val="bottom"/>
            <w:gridSpan w:val="2"/>
            <w:vMerge w:val="restart"/>
          </w:tcPr>
          <w:p>
            <w:pPr>
              <w:spacing w:after="0"/>
              <w:rPr>
                <w:sz w:val="20"/>
                <w:szCs w:val="20"/>
                <w:color w:val="auto"/>
              </w:rPr>
            </w:pPr>
            <w:r>
              <w:rPr>
                <w:rFonts w:ascii="Arial" w:cs="Arial" w:eastAsia="Arial" w:hAnsi="Arial"/>
                <w:sz w:val="12"/>
                <w:szCs w:val="12"/>
                <w:i w:val="1"/>
                <w:iCs w:val="1"/>
                <w:color w:val="auto"/>
              </w:rPr>
              <w:t>(Dollars in thousands)</w:t>
            </w: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right"/>
              <w:ind w:right="77"/>
              <w:spacing w:after="0" w:line="137" w:lineRule="exact"/>
              <w:rPr>
                <w:sz w:val="20"/>
                <w:szCs w:val="20"/>
                <w:color w:val="auto"/>
              </w:rPr>
            </w:pPr>
            <w:r>
              <w:rPr>
                <w:rFonts w:ascii="Arial" w:cs="Arial" w:eastAsia="Arial" w:hAnsi="Arial"/>
                <w:sz w:val="12"/>
                <w:szCs w:val="12"/>
                <w:b w:val="1"/>
                <w:bCs w:val="1"/>
                <w:color w:val="auto"/>
              </w:rPr>
              <w:t>2021</w:t>
            </w:r>
          </w:p>
        </w:tc>
        <w:tc>
          <w:tcPr>
            <w:tcW w:w="8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4"/>
          </w:tcPr>
          <w:p>
            <w:pPr>
              <w:jc w:val="right"/>
              <w:ind w:right="28"/>
              <w:spacing w:after="0" w:line="137" w:lineRule="exact"/>
              <w:rPr>
                <w:sz w:val="20"/>
                <w:szCs w:val="20"/>
                <w:color w:val="auto"/>
              </w:rPr>
            </w:pPr>
            <w:r>
              <w:rPr>
                <w:rFonts w:ascii="Arial" w:cs="Arial" w:eastAsia="Arial" w:hAnsi="Arial"/>
                <w:sz w:val="12"/>
                <w:szCs w:val="12"/>
                <w:b w:val="1"/>
                <w:bCs w:val="1"/>
                <w:color w:val="auto"/>
              </w:rPr>
              <w:t>2020</w:t>
            </w:r>
          </w:p>
        </w:tc>
        <w:tc>
          <w:tcPr>
            <w:tcW w:w="9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Borders>
              <w:bottom w:val="single" w:sz="8" w:color="auto"/>
            </w:tcBorders>
            <w:gridSpan w:val="3"/>
          </w:tcPr>
          <w:p>
            <w:pPr>
              <w:jc w:val="center"/>
              <w:spacing w:after="0" w:line="137" w:lineRule="exact"/>
              <w:rPr>
                <w:sz w:val="20"/>
                <w:szCs w:val="20"/>
                <w:color w:val="auto"/>
              </w:rPr>
            </w:pPr>
            <w:r>
              <w:rPr>
                <w:rFonts w:ascii="Arial" w:cs="Arial" w:eastAsia="Arial" w:hAnsi="Arial"/>
                <w:sz w:val="12"/>
                <w:szCs w:val="12"/>
                <w:b w:val="1"/>
                <w:bCs w:val="1"/>
                <w:color w:val="auto"/>
                <w:w w:val="90"/>
              </w:rPr>
              <w:t>(Unfavorable)</w:t>
            </w:r>
          </w:p>
        </w:tc>
        <w:tc>
          <w:tcPr>
            <w:tcW w:w="0" w:type="dxa"/>
            <w:vAlign w:val="bottom"/>
          </w:tcPr>
          <w:p>
            <w:pPr>
              <w:spacing w:after="0"/>
              <w:rPr>
                <w:sz w:val="1"/>
                <w:szCs w:val="1"/>
                <w:color w:val="auto"/>
              </w:rPr>
            </w:pPr>
          </w:p>
        </w:tc>
      </w:tr>
      <w:tr>
        <w:trPr>
          <w:trHeight w:val="121"/>
        </w:trPr>
        <w:tc>
          <w:tcPr>
            <w:tcW w:w="47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right"/>
              <w:ind w:right="360"/>
              <w:spacing w:after="0" w:line="120" w:lineRule="exact"/>
              <w:rPr>
                <w:sz w:val="20"/>
                <w:szCs w:val="20"/>
                <w:color w:val="auto"/>
              </w:rPr>
            </w:pPr>
            <w:r>
              <w:rPr>
                <w:rFonts w:ascii="Arial" w:cs="Arial" w:eastAsia="Arial" w:hAnsi="Arial"/>
                <w:sz w:val="12"/>
                <w:szCs w:val="12"/>
                <w:b w:val="1"/>
                <w:bCs w:val="1"/>
                <w:color w:val="auto"/>
              </w:rPr>
              <w:t>Cinema</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right"/>
              <w:ind w:right="182"/>
              <w:spacing w:after="0" w:line="120" w:lineRule="exact"/>
              <w:rPr>
                <w:sz w:val="20"/>
                <w:szCs w:val="20"/>
                <w:color w:val="auto"/>
              </w:rPr>
            </w:pPr>
            <w:r>
              <w:rPr>
                <w:rFonts w:ascii="Arial" w:cs="Arial" w:eastAsia="Arial" w:hAnsi="Arial"/>
                <w:sz w:val="12"/>
                <w:szCs w:val="12"/>
                <w:b w:val="1"/>
                <w:bCs w:val="1"/>
                <w:color w:val="auto"/>
                <w:w w:val="95"/>
              </w:rPr>
              <w:t>Real Estate</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jc w:val="right"/>
              <w:ind w:right="380"/>
              <w:spacing w:after="0" w:line="120" w:lineRule="exact"/>
              <w:rPr>
                <w:sz w:val="20"/>
                <w:szCs w:val="20"/>
                <w:color w:val="auto"/>
              </w:rPr>
            </w:pPr>
            <w:r>
              <w:rPr>
                <w:rFonts w:ascii="Arial" w:cs="Arial" w:eastAsia="Arial" w:hAnsi="Arial"/>
                <w:sz w:val="12"/>
                <w:szCs w:val="12"/>
                <w:b w:val="1"/>
                <w:bCs w:val="1"/>
                <w:color w:val="auto"/>
              </w:rPr>
              <w:t>Cinema</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ind w:right="182"/>
              <w:spacing w:after="0" w:line="120" w:lineRule="exact"/>
              <w:rPr>
                <w:sz w:val="20"/>
                <w:szCs w:val="20"/>
                <w:color w:val="auto"/>
              </w:rPr>
            </w:pPr>
            <w:r>
              <w:rPr>
                <w:rFonts w:ascii="Arial" w:cs="Arial" w:eastAsia="Arial" w:hAnsi="Arial"/>
                <w:sz w:val="12"/>
                <w:szCs w:val="12"/>
                <w:b w:val="1"/>
                <w:bCs w:val="1"/>
                <w:color w:val="auto"/>
                <w:w w:val="98"/>
              </w:rPr>
              <w:t>Real Estate</w:t>
            </w:r>
          </w:p>
        </w:tc>
        <w:tc>
          <w:tcPr>
            <w:tcW w:w="80" w:type="dxa"/>
            <w:vAlign w:val="bottom"/>
          </w:tcPr>
          <w:p>
            <w:pPr>
              <w:spacing w:after="0"/>
              <w:rPr>
                <w:sz w:val="10"/>
                <w:szCs w:val="10"/>
                <w:color w:val="auto"/>
              </w:rPr>
            </w:pPr>
          </w:p>
        </w:tc>
        <w:tc>
          <w:tcPr>
            <w:tcW w:w="1040" w:type="dxa"/>
            <w:vAlign w:val="bottom"/>
            <w:gridSpan w:val="2"/>
          </w:tcPr>
          <w:p>
            <w:pPr>
              <w:ind w:left="300"/>
              <w:spacing w:after="0" w:line="120" w:lineRule="exact"/>
              <w:rPr>
                <w:sz w:val="20"/>
                <w:szCs w:val="20"/>
                <w:color w:val="auto"/>
              </w:rPr>
            </w:pPr>
            <w:r>
              <w:rPr>
                <w:rFonts w:ascii="Arial" w:cs="Arial" w:eastAsia="Arial" w:hAnsi="Arial"/>
                <w:sz w:val="12"/>
                <w:szCs w:val="12"/>
                <w:b w:val="1"/>
                <w:bCs w:val="1"/>
                <w:color w:val="auto"/>
              </w:rPr>
              <w:t>Cinema</w:t>
            </w:r>
          </w:p>
        </w:tc>
        <w:tc>
          <w:tcPr>
            <w:tcW w:w="960" w:type="dxa"/>
            <w:vAlign w:val="bottom"/>
          </w:tcPr>
          <w:p>
            <w:pPr>
              <w:jc w:val="right"/>
              <w:ind w:right="142"/>
              <w:spacing w:after="0" w:line="120" w:lineRule="exact"/>
              <w:rPr>
                <w:sz w:val="20"/>
                <w:szCs w:val="20"/>
                <w:color w:val="auto"/>
              </w:rPr>
            </w:pPr>
            <w:r>
              <w:rPr>
                <w:rFonts w:ascii="Arial" w:cs="Arial" w:eastAsia="Arial" w:hAnsi="Arial"/>
                <w:sz w:val="12"/>
                <w:szCs w:val="12"/>
                <w:b w:val="1"/>
                <w:bCs w:val="1"/>
                <w:color w:val="auto"/>
              </w:rPr>
              <w:t>Real Estate</w:t>
            </w:r>
          </w:p>
        </w:tc>
        <w:tc>
          <w:tcPr>
            <w:tcW w:w="0" w:type="dxa"/>
            <w:vAlign w:val="bottom"/>
          </w:tcPr>
          <w:p>
            <w:pPr>
              <w:spacing w:after="0"/>
              <w:rPr>
                <w:sz w:val="1"/>
                <w:szCs w:val="1"/>
                <w:color w:val="auto"/>
              </w:rPr>
            </w:pPr>
          </w:p>
        </w:tc>
      </w:tr>
      <w:tr>
        <w:trPr>
          <w:trHeight w:val="119"/>
        </w:trPr>
        <w:tc>
          <w:tcPr>
            <w:tcW w:w="4640" w:type="dxa"/>
            <w:vAlign w:val="bottom"/>
            <w:tcBorders>
              <w:top w:val="single" w:sz="8" w:color="auto"/>
            </w:tcBorders>
            <w:shd w:val="clear" w:color="auto" w:fill="CCEEFF"/>
          </w:tcPr>
          <w:p>
            <w:pPr>
              <w:spacing w:after="0" w:line="120" w:lineRule="exact"/>
              <w:rPr>
                <w:sz w:val="20"/>
                <w:szCs w:val="20"/>
                <w:color w:val="auto"/>
              </w:rPr>
            </w:pPr>
            <w:r>
              <w:rPr>
                <w:rFonts w:ascii="Arial" w:cs="Arial" w:eastAsia="Arial" w:hAnsi="Arial"/>
                <w:sz w:val="12"/>
                <w:szCs w:val="12"/>
                <w:b w:val="1"/>
                <w:bCs w:val="1"/>
                <w:color w:val="auto"/>
              </w:rPr>
              <w:t>Segment Revenues</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126,812</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12,763</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67,014</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12,963</w:t>
            </w:r>
          </w:p>
        </w:tc>
        <w:tc>
          <w:tcPr>
            <w:tcW w:w="8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89 %</w:t>
            </w:r>
          </w:p>
        </w:tc>
        <w:tc>
          <w:tcPr>
            <w:tcW w:w="8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19"/>
        </w:trPr>
        <w:tc>
          <w:tcPr>
            <w:tcW w:w="4740" w:type="dxa"/>
            <w:vAlign w:val="bottom"/>
            <w:gridSpan w:val="2"/>
          </w:tcPr>
          <w:p>
            <w:pPr>
              <w:spacing w:after="0" w:line="120" w:lineRule="exact"/>
              <w:rPr>
                <w:sz w:val="20"/>
                <w:szCs w:val="20"/>
                <w:color w:val="auto"/>
              </w:rPr>
            </w:pPr>
            <w:r>
              <w:rPr>
                <w:rFonts w:ascii="Arial" w:cs="Arial" w:eastAsia="Arial" w:hAnsi="Arial"/>
                <w:sz w:val="12"/>
                <w:szCs w:val="12"/>
                <w:b w:val="1"/>
                <w:bCs w:val="1"/>
                <w:color w:val="auto"/>
              </w:rPr>
              <w:t>Segment Operating Expenses</w:t>
            </w: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740" w:type="dxa"/>
            <w:vAlign w:val="bottom"/>
            <w:gridSpan w:val="2"/>
            <w:shd w:val="clear" w:color="auto" w:fill="CCEEFF"/>
          </w:tcPr>
          <w:p>
            <w:pPr>
              <w:ind w:left="80"/>
              <w:spacing w:after="0" w:line="120" w:lineRule="exact"/>
              <w:rPr>
                <w:sz w:val="20"/>
                <w:szCs w:val="20"/>
                <w:color w:val="auto"/>
              </w:rPr>
            </w:pPr>
            <w:r>
              <w:rPr>
                <w:rFonts w:ascii="Arial" w:cs="Arial" w:eastAsia="Arial" w:hAnsi="Arial"/>
                <w:sz w:val="12"/>
                <w:szCs w:val="12"/>
                <w:color w:val="auto"/>
              </w:rPr>
              <w:t>Operating Expense</w:t>
            </w:r>
          </w:p>
        </w:tc>
        <w:tc>
          <w:tcPr>
            <w:tcW w:w="1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2"/>
                <w:szCs w:val="12"/>
                <w:color w:val="auto"/>
              </w:rPr>
              <w:t>(123,416)</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(10,106)</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2"/>
                <w:szCs w:val="12"/>
                <w:color w:val="auto"/>
              </w:rPr>
              <w:t>(93,180)</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(8,578)</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(32)%</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19"/>
        </w:trPr>
        <w:tc>
          <w:tcPr>
            <w:tcW w:w="4740" w:type="dxa"/>
            <w:vAlign w:val="bottom"/>
            <w:gridSpan w:val="2"/>
          </w:tcPr>
          <w:p>
            <w:pPr>
              <w:ind w:left="80"/>
              <w:spacing w:after="0" w:line="120" w:lineRule="exact"/>
              <w:rPr>
                <w:sz w:val="20"/>
                <w:szCs w:val="20"/>
                <w:color w:val="auto"/>
              </w:rPr>
            </w:pPr>
            <w:r>
              <w:rPr>
                <w:rFonts w:ascii="Arial" w:cs="Arial" w:eastAsia="Arial" w:hAnsi="Arial"/>
                <w:sz w:val="12"/>
                <w:szCs w:val="12"/>
                <w:color w:val="auto"/>
              </w:rPr>
              <w:t>Depreciation and amortization</w:t>
            </w:r>
          </w:p>
        </w:tc>
        <w:tc>
          <w:tcPr>
            <w:tcW w:w="180" w:type="dxa"/>
            <w:vAlign w:val="bottom"/>
          </w:tcPr>
          <w:p>
            <w:pPr>
              <w:spacing w:after="0"/>
              <w:rPr>
                <w:sz w:val="10"/>
                <w:szCs w:val="10"/>
                <w:color w:val="auto"/>
              </w:rPr>
            </w:pPr>
          </w:p>
        </w:tc>
        <w:tc>
          <w:tcPr>
            <w:tcW w:w="900" w:type="dxa"/>
            <w:vAlign w:val="bottom"/>
            <w:gridSpan w:val="2"/>
          </w:tcPr>
          <w:p>
            <w:pPr>
              <w:jc w:val="right"/>
              <w:ind w:right="40"/>
              <w:spacing w:after="0" w:line="120" w:lineRule="exact"/>
              <w:rPr>
                <w:sz w:val="20"/>
                <w:szCs w:val="20"/>
                <w:color w:val="auto"/>
              </w:rPr>
            </w:pPr>
            <w:r>
              <w:rPr>
                <w:rFonts w:ascii="Arial" w:cs="Arial" w:eastAsia="Arial" w:hAnsi="Arial"/>
                <w:sz w:val="12"/>
                <w:szCs w:val="12"/>
                <w:color w:val="auto"/>
              </w:rPr>
              <w:t>(14,422)</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right"/>
              <w:spacing w:after="0" w:line="120" w:lineRule="exact"/>
              <w:rPr>
                <w:sz w:val="20"/>
                <w:szCs w:val="20"/>
                <w:color w:val="auto"/>
              </w:rPr>
            </w:pPr>
            <w:r>
              <w:rPr>
                <w:rFonts w:ascii="Arial" w:cs="Arial" w:eastAsia="Arial" w:hAnsi="Arial"/>
                <w:sz w:val="12"/>
                <w:szCs w:val="12"/>
                <w:color w:val="auto"/>
              </w:rPr>
              <w:t>(7,092)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jc w:val="right"/>
              <w:ind w:right="40"/>
              <w:spacing w:after="0" w:line="120" w:lineRule="exact"/>
              <w:rPr>
                <w:sz w:val="20"/>
                <w:szCs w:val="20"/>
                <w:color w:val="auto"/>
              </w:rPr>
            </w:pPr>
            <w:r>
              <w:rPr>
                <w:rFonts w:ascii="Arial" w:cs="Arial" w:eastAsia="Arial" w:hAnsi="Arial"/>
                <w:sz w:val="12"/>
                <w:szCs w:val="12"/>
                <w:color w:val="auto"/>
              </w:rPr>
              <w:t>(15,246)</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spacing w:after="0" w:line="120" w:lineRule="exact"/>
              <w:rPr>
                <w:sz w:val="20"/>
                <w:szCs w:val="20"/>
                <w:color w:val="auto"/>
              </w:rPr>
            </w:pPr>
            <w:r>
              <w:rPr>
                <w:rFonts w:ascii="Arial" w:cs="Arial" w:eastAsia="Arial" w:hAnsi="Arial"/>
                <w:sz w:val="12"/>
                <w:szCs w:val="12"/>
                <w:color w:val="auto"/>
              </w:rPr>
              <w:t>(6,101)</w:t>
            </w:r>
          </w:p>
        </w:tc>
        <w:tc>
          <w:tcPr>
            <w:tcW w:w="80" w:type="dxa"/>
            <w:vAlign w:val="bottom"/>
          </w:tcPr>
          <w:p>
            <w:pPr>
              <w:spacing w:after="0"/>
              <w:rPr>
                <w:sz w:val="10"/>
                <w:szCs w:val="10"/>
                <w:color w:val="auto"/>
              </w:rPr>
            </w:pPr>
          </w:p>
        </w:tc>
        <w:tc>
          <w:tcPr>
            <w:tcW w:w="960" w:type="dxa"/>
            <w:vAlign w:val="bottom"/>
          </w:tcPr>
          <w:p>
            <w:pPr>
              <w:jc w:val="right"/>
              <w:ind w:right="102"/>
              <w:spacing w:after="0" w:line="120" w:lineRule="exact"/>
              <w:rPr>
                <w:sz w:val="20"/>
                <w:szCs w:val="20"/>
                <w:color w:val="auto"/>
              </w:rPr>
            </w:pPr>
            <w:r>
              <w:rPr>
                <w:rFonts w:ascii="Arial" w:cs="Arial" w:eastAsia="Arial" w:hAnsi="Arial"/>
                <w:sz w:val="12"/>
                <w:szCs w:val="12"/>
                <w:color w:val="auto"/>
              </w:rPr>
              <w:t>5 %</w:t>
            </w:r>
          </w:p>
        </w:tc>
        <w:tc>
          <w:tcPr>
            <w:tcW w:w="80" w:type="dxa"/>
            <w:vAlign w:val="bottom"/>
          </w:tcPr>
          <w:p>
            <w:pPr>
              <w:spacing w:after="0"/>
              <w:rPr>
                <w:sz w:val="10"/>
                <w:szCs w:val="10"/>
                <w:color w:val="auto"/>
              </w:rPr>
            </w:pPr>
          </w:p>
        </w:tc>
        <w:tc>
          <w:tcPr>
            <w:tcW w:w="960" w:type="dxa"/>
            <w:vAlign w:val="bottom"/>
          </w:tcPr>
          <w:p>
            <w:pPr>
              <w:jc w:val="right"/>
              <w:ind w:right="102"/>
              <w:spacing w:after="0" w:line="120" w:lineRule="exact"/>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19"/>
        </w:trPr>
        <w:tc>
          <w:tcPr>
            <w:tcW w:w="4740" w:type="dxa"/>
            <w:vAlign w:val="bottom"/>
            <w:gridSpan w:val="2"/>
            <w:shd w:val="clear" w:color="auto" w:fill="CCEEFF"/>
          </w:tcPr>
          <w:p>
            <w:pPr>
              <w:ind w:left="80"/>
              <w:spacing w:after="0" w:line="120" w:lineRule="exact"/>
              <w:rPr>
                <w:sz w:val="20"/>
                <w:szCs w:val="20"/>
                <w:color w:val="auto"/>
              </w:rPr>
            </w:pPr>
            <w:r>
              <w:rPr>
                <w:rFonts w:ascii="Arial" w:cs="Arial" w:eastAsia="Arial" w:hAnsi="Arial"/>
                <w:sz w:val="12"/>
                <w:szCs w:val="12"/>
                <w:color w:val="auto"/>
              </w:rPr>
              <w:t>General and administrative expense</w:t>
            </w:r>
          </w:p>
        </w:tc>
        <w:tc>
          <w:tcPr>
            <w:tcW w:w="1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2"/>
                <w:szCs w:val="12"/>
                <w:color w:val="auto"/>
              </w:rPr>
              <w:t>(7,611)</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(920)</w:t>
            </w:r>
          </w:p>
        </w:tc>
        <w:tc>
          <w:tcPr>
            <w:tcW w:w="20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2"/>
                <w:szCs w:val="12"/>
                <w:color w:val="auto"/>
              </w:rPr>
              <w:t>(3,427)</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(747)</w:t>
            </w:r>
          </w:p>
        </w:tc>
        <w:tc>
          <w:tcPr>
            <w:tcW w:w="96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(&gt;100)%</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19"/>
        </w:trPr>
        <w:tc>
          <w:tcPr>
            <w:tcW w:w="4740" w:type="dxa"/>
            <w:vAlign w:val="bottom"/>
            <w:gridSpan w:val="2"/>
          </w:tcPr>
          <w:p>
            <w:pPr>
              <w:ind w:left="80"/>
              <w:spacing w:after="0" w:line="120" w:lineRule="exact"/>
              <w:rPr>
                <w:sz w:val="20"/>
                <w:szCs w:val="20"/>
                <w:color w:val="auto"/>
              </w:rPr>
            </w:pPr>
            <w:r>
              <w:rPr>
                <w:rFonts w:ascii="Arial" w:cs="Arial" w:eastAsia="Arial" w:hAnsi="Arial"/>
                <w:sz w:val="12"/>
                <w:szCs w:val="12"/>
                <w:color w:val="auto"/>
              </w:rPr>
              <w:t>Impairment of long-lived assets</w:t>
            </w:r>
          </w:p>
        </w:tc>
        <w:tc>
          <w:tcPr>
            <w:tcW w:w="180" w:type="dxa"/>
            <w:vAlign w:val="bottom"/>
          </w:tcPr>
          <w:p>
            <w:pPr>
              <w:spacing w:after="0"/>
              <w:rPr>
                <w:sz w:val="10"/>
                <w:szCs w:val="10"/>
                <w:color w:val="auto"/>
              </w:rPr>
            </w:pPr>
          </w:p>
        </w:tc>
        <w:tc>
          <w:tcPr>
            <w:tcW w:w="900" w:type="dxa"/>
            <w:vAlign w:val="bottom"/>
            <w:gridSpan w:val="2"/>
          </w:tcPr>
          <w:p>
            <w:pPr>
              <w:jc w:val="right"/>
              <w:ind w:right="40"/>
              <w:spacing w:after="0" w:line="120"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900" w:type="dxa"/>
            <w:vAlign w:val="bottom"/>
            <w:gridSpan w:val="2"/>
          </w:tcPr>
          <w:p>
            <w:pPr>
              <w:jc w:val="right"/>
              <w:ind w:right="40"/>
              <w:spacing w:after="0" w:line="120" w:lineRule="exact"/>
              <w:rPr>
                <w:sz w:val="20"/>
                <w:szCs w:val="20"/>
                <w:color w:val="auto"/>
              </w:rPr>
            </w:pPr>
            <w:r>
              <w:rPr>
                <w:rFonts w:ascii="Arial" w:cs="Arial" w:eastAsia="Arial" w:hAnsi="Arial"/>
                <w:sz w:val="12"/>
                <w:szCs w:val="12"/>
                <w:color w:val="auto"/>
              </w:rPr>
              <w:t>(217)</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02"/>
              <w:spacing w:after="0" w:line="120" w:lineRule="exact"/>
              <w:rPr>
                <w:sz w:val="20"/>
                <w:szCs w:val="20"/>
                <w:color w:val="auto"/>
              </w:rPr>
            </w:pPr>
            <w:r>
              <w:rPr>
                <w:rFonts w:ascii="Arial" w:cs="Arial" w:eastAsia="Arial" w:hAnsi="Arial"/>
                <w:sz w:val="12"/>
                <w:szCs w:val="12"/>
                <w:color w:val="auto"/>
              </w:rPr>
              <w:t>100%</w:t>
            </w:r>
          </w:p>
        </w:tc>
        <w:tc>
          <w:tcPr>
            <w:tcW w:w="80" w:type="dxa"/>
            <w:vAlign w:val="bottom"/>
          </w:tcPr>
          <w:p>
            <w:pPr>
              <w:spacing w:after="0"/>
              <w:rPr>
                <w:sz w:val="10"/>
                <w:szCs w:val="10"/>
                <w:color w:val="auto"/>
              </w:rPr>
            </w:pPr>
          </w:p>
        </w:tc>
        <w:tc>
          <w:tcPr>
            <w:tcW w:w="960" w:type="dxa"/>
            <w:vAlign w:val="bottom"/>
          </w:tcPr>
          <w:p>
            <w:pPr>
              <w:jc w:val="right"/>
              <w:ind w:right="102"/>
              <w:spacing w:after="0" w:line="12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0"/>
        </w:trPr>
        <w:tc>
          <w:tcPr>
            <w:tcW w:w="4740" w:type="dxa"/>
            <w:vAlign w:val="bottom"/>
            <w:tcBorders>
              <w:top w:val="single" w:sz="8" w:color="CCEEFF"/>
            </w:tcBorders>
            <w:gridSpan w:val="2"/>
            <w:shd w:val="clear" w:color="auto" w:fill="CCEEFF"/>
          </w:tcPr>
          <w:p>
            <w:pPr>
              <w:spacing w:after="0" w:line="110" w:lineRule="exact"/>
              <w:rPr>
                <w:sz w:val="20"/>
                <w:szCs w:val="20"/>
                <w:color w:val="auto"/>
              </w:rPr>
            </w:pPr>
            <w:r>
              <w:rPr>
                <w:rFonts w:ascii="Arial" w:cs="Arial" w:eastAsia="Arial" w:hAnsi="Arial"/>
                <w:sz w:val="12"/>
                <w:szCs w:val="12"/>
                <w:color w:val="auto"/>
              </w:rPr>
              <w:t>Total segment expenses</w:t>
            </w:r>
          </w:p>
        </w:tc>
        <w:tc>
          <w:tcPr>
            <w:tcW w:w="180" w:type="dxa"/>
            <w:vAlign w:val="bottom"/>
            <w:tcBorders>
              <w:top w:val="single" w:sz="8" w:color="auto"/>
              <w:bottom w:val="single" w:sz="8" w:color="auto"/>
            </w:tcBorders>
            <w:shd w:val="clear" w:color="auto" w:fill="CCEEFF"/>
          </w:tcPr>
          <w:p>
            <w:pPr>
              <w:spacing w:after="0"/>
              <w:rPr>
                <w:sz w:val="9"/>
                <w:szCs w:val="9"/>
                <w:color w:val="auto"/>
              </w:rPr>
            </w:pPr>
          </w:p>
        </w:tc>
        <w:tc>
          <w:tcPr>
            <w:tcW w:w="86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2"/>
                <w:szCs w:val="12"/>
                <w:color w:val="auto"/>
              </w:rPr>
              <w:t>(145,449)</w:t>
            </w: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spacing w:after="0"/>
              <w:rPr>
                <w:sz w:val="9"/>
                <w:szCs w:val="9"/>
                <w:color w:val="auto"/>
              </w:rPr>
            </w:pPr>
          </w:p>
        </w:tc>
        <w:tc>
          <w:tcPr>
            <w:tcW w:w="88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2"/>
                <w:szCs w:val="12"/>
                <w:color w:val="auto"/>
              </w:rPr>
              <w:t>(18,118)</w:t>
            </w: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bottom w:val="single" w:sz="8" w:color="auto"/>
            </w:tcBorders>
            <w:shd w:val="clear" w:color="auto" w:fill="CCEEFF"/>
          </w:tcPr>
          <w:p>
            <w:pPr>
              <w:spacing w:after="0"/>
              <w:rPr>
                <w:sz w:val="9"/>
                <w:szCs w:val="9"/>
                <w:color w:val="auto"/>
              </w:rPr>
            </w:pPr>
          </w:p>
        </w:tc>
        <w:tc>
          <w:tcPr>
            <w:tcW w:w="86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2"/>
                <w:szCs w:val="12"/>
                <w:color w:val="auto"/>
              </w:rPr>
              <w:t>(112,070)</w:t>
            </w: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spacing w:after="0"/>
              <w:rPr>
                <w:sz w:val="9"/>
                <w:szCs w:val="9"/>
                <w:color w:val="auto"/>
              </w:rPr>
            </w:pPr>
          </w:p>
        </w:tc>
        <w:tc>
          <w:tcPr>
            <w:tcW w:w="90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2"/>
                <w:szCs w:val="12"/>
                <w:color w:val="auto"/>
              </w:rPr>
              <w:t>(15,426)</w:t>
            </w:r>
          </w:p>
        </w:tc>
        <w:tc>
          <w:tcPr>
            <w:tcW w:w="8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CCEEFF"/>
            </w:tcBorders>
            <w:shd w:val="clear" w:color="auto" w:fill="CCEEFF"/>
          </w:tcPr>
          <w:p>
            <w:pPr>
              <w:jc w:val="right"/>
              <w:ind w:right="102"/>
              <w:spacing w:after="0" w:line="110" w:lineRule="exact"/>
              <w:rPr>
                <w:sz w:val="20"/>
                <w:szCs w:val="20"/>
                <w:color w:val="auto"/>
              </w:rPr>
            </w:pPr>
            <w:r>
              <w:rPr>
                <w:rFonts w:ascii="Arial" w:cs="Arial" w:eastAsia="Arial" w:hAnsi="Arial"/>
                <w:sz w:val="12"/>
                <w:szCs w:val="12"/>
                <w:color w:val="auto"/>
              </w:rPr>
              <w:t>(30)%</w:t>
            </w:r>
          </w:p>
        </w:tc>
        <w:tc>
          <w:tcPr>
            <w:tcW w:w="8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CCEEFF"/>
            </w:tcBorders>
            <w:shd w:val="clear" w:color="auto" w:fill="CCEEFF"/>
          </w:tcPr>
          <w:p>
            <w:pPr>
              <w:jc w:val="right"/>
              <w:ind w:right="102"/>
              <w:spacing w:after="0" w:line="110" w:lineRule="exact"/>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12"/>
        </w:trPr>
        <w:tc>
          <w:tcPr>
            <w:tcW w:w="4740" w:type="dxa"/>
            <w:vAlign w:val="bottom"/>
            <w:tcBorders>
              <w:bottom w:val="single" w:sz="8" w:color="CCEEFF"/>
            </w:tcBorders>
            <w:gridSpan w:val="2"/>
          </w:tcPr>
          <w:p>
            <w:pPr>
              <w:spacing w:after="0" w:line="110" w:lineRule="exact"/>
              <w:rPr>
                <w:sz w:val="20"/>
                <w:szCs w:val="20"/>
                <w:color w:val="auto"/>
              </w:rPr>
            </w:pPr>
            <w:r>
              <w:rPr>
                <w:rFonts w:ascii="Arial" w:cs="Arial" w:eastAsia="Arial" w:hAnsi="Arial"/>
                <w:sz w:val="12"/>
                <w:szCs w:val="12"/>
                <w:b w:val="1"/>
                <w:bCs w:val="1"/>
                <w:color w:val="auto"/>
              </w:rPr>
              <w:t>Segment operating income (loss)</w:t>
            </w:r>
          </w:p>
        </w:tc>
        <w:tc>
          <w:tcPr>
            <w:tcW w:w="180" w:type="dxa"/>
            <w:vAlign w:val="bottom"/>
            <w:tcBorders>
              <w:bottom w:val="single" w:sz="8" w:color="auto"/>
            </w:tcBorders>
          </w:tcPr>
          <w:p>
            <w:pPr>
              <w:jc w:val="right"/>
              <w:ind w:right="68"/>
              <w:spacing w:after="0" w:line="110" w:lineRule="exact"/>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2"/>
                <w:szCs w:val="12"/>
                <w:b w:val="1"/>
                <w:bCs w:val="1"/>
                <w:color w:val="auto"/>
              </w:rPr>
              <w:t>(18,637)</w:t>
            </w:r>
          </w:p>
        </w:tc>
        <w:tc>
          <w:tcPr>
            <w:tcW w:w="4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jc w:val="right"/>
              <w:ind w:right="97"/>
              <w:spacing w:after="0"/>
              <w:rPr>
                <w:sz w:val="20"/>
                <w:szCs w:val="20"/>
                <w:color w:val="auto"/>
              </w:rPr>
            </w:pPr>
            <w:r>
              <w:rPr>
                <w:rFonts w:ascii="Arial" w:cs="Arial" w:eastAsia="Arial" w:hAnsi="Arial"/>
                <w:sz w:val="5"/>
                <w:szCs w:val="5"/>
                <w:b w:val="1"/>
                <w:bCs w:val="1"/>
                <w:color w:val="auto"/>
                <w:w w:val="70"/>
              </w:rPr>
              <w:t>$</w:t>
            </w:r>
          </w:p>
        </w:tc>
        <w:tc>
          <w:tcPr>
            <w:tcW w:w="8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2"/>
                <w:szCs w:val="12"/>
                <w:b w:val="1"/>
                <w:bCs w:val="1"/>
                <w:color w:val="auto"/>
              </w:rPr>
              <w:t>(5,355)</w:t>
            </w: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jc w:val="right"/>
              <w:ind w:right="88"/>
              <w:spacing w:after="0" w:line="110" w:lineRule="exact"/>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2"/>
                <w:szCs w:val="12"/>
                <w:b w:val="1"/>
                <w:bCs w:val="1"/>
                <w:color w:val="auto"/>
              </w:rPr>
              <w:t>(45,056)</w:t>
            </w:r>
          </w:p>
        </w:tc>
        <w:tc>
          <w:tcPr>
            <w:tcW w:w="4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jc w:val="right"/>
              <w:ind w:right="48"/>
              <w:spacing w:after="0" w:line="110" w:lineRule="exact"/>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2"/>
                <w:szCs w:val="12"/>
                <w:b w:val="1"/>
                <w:bCs w:val="1"/>
                <w:color w:val="auto"/>
              </w:rPr>
              <w:t>(2,463)</w:t>
            </w:r>
          </w:p>
        </w:tc>
        <w:tc>
          <w:tcPr>
            <w:tcW w:w="80" w:type="dxa"/>
            <w:vAlign w:val="bottom"/>
            <w:tcBorders>
              <w:bottom w:val="single" w:sz="8" w:color="CCEEFF"/>
            </w:tcBorders>
          </w:tcPr>
          <w:p>
            <w:pPr>
              <w:spacing w:after="0"/>
              <w:rPr>
                <w:sz w:val="9"/>
                <w:szCs w:val="9"/>
                <w:color w:val="auto"/>
              </w:rPr>
            </w:pPr>
          </w:p>
        </w:tc>
        <w:tc>
          <w:tcPr>
            <w:tcW w:w="960" w:type="dxa"/>
            <w:vAlign w:val="bottom"/>
            <w:tcBorders>
              <w:bottom w:val="single" w:sz="8" w:color="CCEEFF"/>
            </w:tcBorders>
          </w:tcPr>
          <w:p>
            <w:pPr>
              <w:jc w:val="right"/>
              <w:ind w:right="82"/>
              <w:spacing w:after="0" w:line="110" w:lineRule="exact"/>
              <w:rPr>
                <w:sz w:val="20"/>
                <w:szCs w:val="20"/>
                <w:color w:val="auto"/>
              </w:rPr>
            </w:pPr>
            <w:r>
              <w:rPr>
                <w:rFonts w:ascii="Arial" w:cs="Arial" w:eastAsia="Arial" w:hAnsi="Arial"/>
                <w:sz w:val="12"/>
                <w:szCs w:val="12"/>
                <w:b w:val="1"/>
                <w:bCs w:val="1"/>
                <w:color w:val="auto"/>
              </w:rPr>
              <w:t>59%</w:t>
            </w:r>
          </w:p>
        </w:tc>
        <w:tc>
          <w:tcPr>
            <w:tcW w:w="80" w:type="dxa"/>
            <w:vAlign w:val="bottom"/>
            <w:tcBorders>
              <w:bottom w:val="single" w:sz="8" w:color="CCEEFF"/>
            </w:tcBorders>
          </w:tcPr>
          <w:p>
            <w:pPr>
              <w:spacing w:after="0"/>
              <w:rPr>
                <w:sz w:val="9"/>
                <w:szCs w:val="9"/>
                <w:color w:val="auto"/>
              </w:rPr>
            </w:pPr>
          </w:p>
        </w:tc>
        <w:tc>
          <w:tcPr>
            <w:tcW w:w="960" w:type="dxa"/>
            <w:vAlign w:val="bottom"/>
            <w:tcBorders>
              <w:bottom w:val="single" w:sz="8" w:color="CCEEFF"/>
            </w:tcBorders>
          </w:tcPr>
          <w:p>
            <w:pPr>
              <w:jc w:val="right"/>
              <w:ind w:right="82"/>
              <w:spacing w:after="0" w:line="110" w:lineRule="exact"/>
              <w:rPr>
                <w:sz w:val="20"/>
                <w:szCs w:val="20"/>
                <w:color w:val="auto"/>
              </w:rPr>
            </w:pPr>
            <w:r>
              <w:rPr>
                <w:rFonts w:ascii="Arial" w:cs="Arial" w:eastAsia="Arial" w:hAnsi="Arial"/>
                <w:sz w:val="12"/>
                <w:szCs w:val="12"/>
                <w:b w:val="1"/>
                <w:bCs w:val="1"/>
                <w:color w:val="auto"/>
              </w:rPr>
              <w:t>(&gt;100)%</w:t>
            </w:r>
          </w:p>
        </w:tc>
        <w:tc>
          <w:tcPr>
            <w:tcW w:w="0" w:type="dxa"/>
            <w:vAlign w:val="bottom"/>
          </w:tcPr>
          <w:p>
            <w:pPr>
              <w:spacing w:after="0"/>
              <w:rPr>
                <w:sz w:val="1"/>
                <w:szCs w:val="1"/>
                <w:color w:val="auto"/>
              </w:rPr>
            </w:pPr>
          </w:p>
        </w:tc>
      </w:tr>
      <w:tr>
        <w:trPr>
          <w:trHeight w:val="119"/>
        </w:trPr>
        <w:tc>
          <w:tcPr>
            <w:tcW w:w="4740" w:type="dxa"/>
            <w:vAlign w:val="bottom"/>
            <w:gridSpan w:val="2"/>
            <w:shd w:val="clear" w:color="auto" w:fill="CCEEFF"/>
          </w:tcPr>
          <w:p>
            <w:pPr>
              <w:ind w:left="260"/>
              <w:spacing w:after="0" w:line="120" w:lineRule="exact"/>
              <w:rPr>
                <w:sz w:val="20"/>
                <w:szCs w:val="20"/>
                <w:color w:val="auto"/>
              </w:rPr>
            </w:pPr>
            <w:r>
              <w:rPr>
                <w:rFonts w:ascii="Arial" w:cs="Arial" w:eastAsia="Arial" w:hAnsi="Arial"/>
                <w:sz w:val="12"/>
                <w:szCs w:val="12"/>
                <w:b w:val="1"/>
                <w:bCs w:val="1"/>
                <w:i w:val="1"/>
                <w:iCs w:val="1"/>
                <w:color w:val="auto"/>
              </w:rPr>
              <w:t>Breakdown by country:</w:t>
            </w: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740" w:type="dxa"/>
            <w:vAlign w:val="bottom"/>
            <w:gridSpan w:val="2"/>
          </w:tcPr>
          <w:p>
            <w:pPr>
              <w:ind w:left="440"/>
              <w:spacing w:after="0" w:line="120" w:lineRule="exact"/>
              <w:rPr>
                <w:sz w:val="20"/>
                <w:szCs w:val="20"/>
                <w:color w:val="auto"/>
              </w:rPr>
            </w:pPr>
            <w:r>
              <w:rPr>
                <w:rFonts w:ascii="Arial" w:cs="Arial" w:eastAsia="Arial" w:hAnsi="Arial"/>
                <w:sz w:val="12"/>
                <w:szCs w:val="12"/>
                <w:color w:val="auto"/>
              </w:rPr>
              <w:t>United States</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line="120" w:lineRule="exact"/>
              <w:rPr>
                <w:sz w:val="20"/>
                <w:szCs w:val="20"/>
                <w:color w:val="auto"/>
              </w:rPr>
            </w:pPr>
            <w:r>
              <w:rPr>
                <w:rFonts w:ascii="Arial" w:cs="Arial" w:eastAsia="Arial" w:hAnsi="Arial"/>
                <w:sz w:val="12"/>
                <w:szCs w:val="12"/>
                <w:color w:val="auto"/>
              </w:rPr>
              <w:t>(21,145)</w:t>
            </w:r>
          </w:p>
        </w:tc>
        <w:tc>
          <w:tcPr>
            <w:tcW w:w="220" w:type="dxa"/>
            <w:vAlign w:val="bottom"/>
            <w:gridSpan w:val="2"/>
          </w:tcPr>
          <w:p>
            <w:pPr>
              <w:jc w:val="right"/>
              <w:ind w:right="97"/>
              <w:spacing w:after="0" w:line="120" w:lineRule="exact"/>
              <w:rPr>
                <w:sz w:val="20"/>
                <w:szCs w:val="20"/>
                <w:color w:val="auto"/>
              </w:rPr>
            </w:pPr>
            <w:r>
              <w:rPr>
                <w:rFonts w:ascii="Arial" w:cs="Arial" w:eastAsia="Arial" w:hAnsi="Arial"/>
                <w:sz w:val="12"/>
                <w:szCs w:val="12"/>
                <w:color w:val="auto"/>
              </w:rPr>
              <w:t>$</w:t>
            </w:r>
          </w:p>
        </w:tc>
        <w:tc>
          <w:tcPr>
            <w:tcW w:w="880" w:type="dxa"/>
            <w:vAlign w:val="bottom"/>
          </w:tcPr>
          <w:p>
            <w:pPr>
              <w:jc w:val="right"/>
              <w:spacing w:after="0" w:line="120" w:lineRule="exact"/>
              <w:rPr>
                <w:sz w:val="20"/>
                <w:szCs w:val="20"/>
                <w:color w:val="auto"/>
              </w:rPr>
            </w:pPr>
            <w:r>
              <w:rPr>
                <w:rFonts w:ascii="Arial" w:cs="Arial" w:eastAsia="Arial" w:hAnsi="Arial"/>
                <w:sz w:val="12"/>
                <w:szCs w:val="12"/>
                <w:color w:val="auto"/>
              </w:rPr>
              <w:t>(5,083)</w:t>
            </w:r>
          </w:p>
        </w:tc>
        <w:tc>
          <w:tcPr>
            <w:tcW w:w="80" w:type="dxa"/>
            <w:vAlign w:val="bottom"/>
          </w:tcPr>
          <w:p>
            <w:pPr>
              <w:spacing w:after="0"/>
              <w:rPr>
                <w:sz w:val="10"/>
                <w:szCs w:val="10"/>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line="120" w:lineRule="exact"/>
              <w:rPr>
                <w:sz w:val="20"/>
                <w:szCs w:val="20"/>
                <w:color w:val="auto"/>
              </w:rPr>
            </w:pPr>
            <w:r>
              <w:rPr>
                <w:rFonts w:ascii="Arial" w:cs="Arial" w:eastAsia="Arial" w:hAnsi="Arial"/>
                <w:sz w:val="12"/>
                <w:szCs w:val="12"/>
                <w:color w:val="auto"/>
              </w:rPr>
              <w:t>(39,371)</w:t>
            </w:r>
          </w:p>
        </w:tc>
        <w:tc>
          <w:tcPr>
            <w:tcW w:w="200" w:type="dxa"/>
            <w:vAlign w:val="bottom"/>
            <w:gridSpan w:val="2"/>
          </w:tcPr>
          <w:p>
            <w:pPr>
              <w:jc w:val="right"/>
              <w:ind w:right="48"/>
              <w:spacing w:after="0" w:line="120" w:lineRule="exact"/>
              <w:rPr>
                <w:sz w:val="20"/>
                <w:szCs w:val="20"/>
                <w:color w:val="auto"/>
              </w:rPr>
            </w:pPr>
            <w:r>
              <w:rPr>
                <w:rFonts w:ascii="Arial" w:cs="Arial" w:eastAsia="Arial" w:hAnsi="Arial"/>
                <w:sz w:val="12"/>
                <w:szCs w:val="12"/>
                <w:color w:val="auto"/>
              </w:rPr>
              <w:t>$</w:t>
            </w:r>
          </w:p>
        </w:tc>
        <w:tc>
          <w:tcPr>
            <w:tcW w:w="900" w:type="dxa"/>
            <w:vAlign w:val="bottom"/>
          </w:tcPr>
          <w:p>
            <w:pPr>
              <w:jc w:val="right"/>
              <w:spacing w:after="0" w:line="120" w:lineRule="exact"/>
              <w:rPr>
                <w:sz w:val="20"/>
                <w:szCs w:val="20"/>
                <w:color w:val="auto"/>
              </w:rPr>
            </w:pPr>
            <w:r>
              <w:rPr>
                <w:rFonts w:ascii="Arial" w:cs="Arial" w:eastAsia="Arial" w:hAnsi="Arial"/>
                <w:sz w:val="12"/>
                <w:szCs w:val="12"/>
                <w:color w:val="auto"/>
              </w:rPr>
              <w:t>(3,399)</w:t>
            </w:r>
          </w:p>
        </w:tc>
        <w:tc>
          <w:tcPr>
            <w:tcW w:w="80" w:type="dxa"/>
            <w:vAlign w:val="bottom"/>
          </w:tcPr>
          <w:p>
            <w:pPr>
              <w:spacing w:after="0"/>
              <w:rPr>
                <w:sz w:val="10"/>
                <w:szCs w:val="10"/>
                <w:color w:val="auto"/>
              </w:rPr>
            </w:pPr>
          </w:p>
        </w:tc>
        <w:tc>
          <w:tcPr>
            <w:tcW w:w="960" w:type="dxa"/>
            <w:vAlign w:val="bottom"/>
          </w:tcPr>
          <w:p>
            <w:pPr>
              <w:jc w:val="right"/>
              <w:ind w:right="102"/>
              <w:spacing w:after="0" w:line="120" w:lineRule="exact"/>
              <w:rPr>
                <w:sz w:val="20"/>
                <w:szCs w:val="20"/>
                <w:color w:val="auto"/>
              </w:rPr>
            </w:pPr>
            <w:r>
              <w:rPr>
                <w:rFonts w:ascii="Arial" w:cs="Arial" w:eastAsia="Arial" w:hAnsi="Arial"/>
                <w:sz w:val="12"/>
                <w:szCs w:val="12"/>
                <w:color w:val="auto"/>
              </w:rPr>
              <w:t>46%</w:t>
            </w:r>
          </w:p>
        </w:tc>
        <w:tc>
          <w:tcPr>
            <w:tcW w:w="80" w:type="dxa"/>
            <w:vAlign w:val="bottom"/>
          </w:tcPr>
          <w:p>
            <w:pPr>
              <w:spacing w:after="0"/>
              <w:rPr>
                <w:sz w:val="10"/>
                <w:szCs w:val="10"/>
                <w:color w:val="auto"/>
              </w:rPr>
            </w:pPr>
          </w:p>
        </w:tc>
        <w:tc>
          <w:tcPr>
            <w:tcW w:w="960" w:type="dxa"/>
            <w:vAlign w:val="bottom"/>
          </w:tcPr>
          <w:p>
            <w:pPr>
              <w:jc w:val="right"/>
              <w:ind w:right="102"/>
              <w:spacing w:after="0" w:line="120" w:lineRule="exact"/>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19"/>
        </w:trPr>
        <w:tc>
          <w:tcPr>
            <w:tcW w:w="47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2"/>
                <w:szCs w:val="12"/>
                <w:color w:val="auto"/>
              </w:rPr>
              <w:t>Australia</w:t>
            </w:r>
          </w:p>
        </w:tc>
        <w:tc>
          <w:tcPr>
            <w:tcW w:w="1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2"/>
                <w:szCs w:val="12"/>
                <w:color w:val="auto"/>
              </w:rPr>
              <w:t>2,054</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1,645</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2"/>
                <w:szCs w:val="12"/>
                <w:color w:val="auto"/>
              </w:rPr>
              <w:t>(4,267)</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2,336</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&gt;100%</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19"/>
        </w:trPr>
        <w:tc>
          <w:tcPr>
            <w:tcW w:w="4740" w:type="dxa"/>
            <w:vAlign w:val="bottom"/>
            <w:gridSpan w:val="2"/>
          </w:tcPr>
          <w:p>
            <w:pPr>
              <w:ind w:left="440"/>
              <w:spacing w:after="0" w:line="120" w:lineRule="exact"/>
              <w:rPr>
                <w:sz w:val="20"/>
                <w:szCs w:val="20"/>
                <w:color w:val="auto"/>
              </w:rPr>
            </w:pPr>
            <w:r>
              <w:rPr>
                <w:rFonts w:ascii="Arial" w:cs="Arial" w:eastAsia="Arial" w:hAnsi="Arial"/>
                <w:sz w:val="12"/>
                <w:szCs w:val="12"/>
                <w:color w:val="auto"/>
              </w:rPr>
              <w:t>New Zealand</w:t>
            </w:r>
          </w:p>
        </w:tc>
        <w:tc>
          <w:tcPr>
            <w:tcW w:w="180" w:type="dxa"/>
            <w:vAlign w:val="bottom"/>
          </w:tcPr>
          <w:p>
            <w:pPr>
              <w:spacing w:after="0"/>
              <w:rPr>
                <w:sz w:val="10"/>
                <w:szCs w:val="10"/>
                <w:color w:val="auto"/>
              </w:rPr>
            </w:pPr>
          </w:p>
        </w:tc>
        <w:tc>
          <w:tcPr>
            <w:tcW w:w="860" w:type="dxa"/>
            <w:vAlign w:val="bottom"/>
          </w:tcPr>
          <w:p>
            <w:pPr>
              <w:jc w:val="right"/>
              <w:spacing w:after="0" w:line="120" w:lineRule="exact"/>
              <w:rPr>
                <w:sz w:val="20"/>
                <w:szCs w:val="20"/>
                <w:color w:val="auto"/>
              </w:rPr>
            </w:pPr>
            <w:r>
              <w:rPr>
                <w:rFonts w:ascii="Arial" w:cs="Arial" w:eastAsia="Arial" w:hAnsi="Arial"/>
                <w:sz w:val="12"/>
                <w:szCs w:val="12"/>
                <w:color w:val="auto"/>
              </w:rPr>
              <w:t>454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right"/>
              <w:spacing w:after="0" w:line="120" w:lineRule="exact"/>
              <w:rPr>
                <w:sz w:val="20"/>
                <w:szCs w:val="20"/>
                <w:color w:val="auto"/>
              </w:rPr>
            </w:pPr>
            <w:r>
              <w:rPr>
                <w:rFonts w:ascii="Arial" w:cs="Arial" w:eastAsia="Arial" w:hAnsi="Arial"/>
                <w:sz w:val="12"/>
                <w:szCs w:val="12"/>
                <w:color w:val="auto"/>
              </w:rPr>
              <w:t>(1,917)</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jc w:val="right"/>
              <w:ind w:right="40"/>
              <w:spacing w:after="0" w:line="120" w:lineRule="exact"/>
              <w:rPr>
                <w:sz w:val="20"/>
                <w:szCs w:val="20"/>
                <w:color w:val="auto"/>
              </w:rPr>
            </w:pPr>
            <w:r>
              <w:rPr>
                <w:rFonts w:ascii="Arial" w:cs="Arial" w:eastAsia="Arial" w:hAnsi="Arial"/>
                <w:sz w:val="12"/>
                <w:szCs w:val="12"/>
                <w:color w:val="auto"/>
              </w:rPr>
              <w:t>(1,418)</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spacing w:after="0" w:line="120" w:lineRule="exact"/>
              <w:rPr>
                <w:sz w:val="20"/>
                <w:szCs w:val="20"/>
                <w:color w:val="auto"/>
              </w:rPr>
            </w:pPr>
            <w:r>
              <w:rPr>
                <w:rFonts w:ascii="Arial" w:cs="Arial" w:eastAsia="Arial" w:hAnsi="Arial"/>
                <w:sz w:val="12"/>
                <w:szCs w:val="12"/>
                <w:color w:val="auto"/>
              </w:rPr>
              <w:t>(1,400)</w:t>
            </w:r>
          </w:p>
        </w:tc>
        <w:tc>
          <w:tcPr>
            <w:tcW w:w="80" w:type="dxa"/>
            <w:vAlign w:val="bottom"/>
          </w:tcPr>
          <w:p>
            <w:pPr>
              <w:spacing w:after="0"/>
              <w:rPr>
                <w:sz w:val="10"/>
                <w:szCs w:val="10"/>
                <w:color w:val="auto"/>
              </w:rPr>
            </w:pPr>
          </w:p>
        </w:tc>
        <w:tc>
          <w:tcPr>
            <w:tcW w:w="960" w:type="dxa"/>
            <w:vAlign w:val="bottom"/>
          </w:tcPr>
          <w:p>
            <w:pPr>
              <w:jc w:val="right"/>
              <w:ind w:right="102"/>
              <w:spacing w:after="0" w:line="120" w:lineRule="exact"/>
              <w:rPr>
                <w:sz w:val="20"/>
                <w:szCs w:val="20"/>
                <w:color w:val="auto"/>
              </w:rPr>
            </w:pPr>
            <w:r>
              <w:rPr>
                <w:rFonts w:ascii="Arial" w:cs="Arial" w:eastAsia="Arial" w:hAnsi="Arial"/>
                <w:sz w:val="12"/>
                <w:szCs w:val="12"/>
                <w:color w:val="auto"/>
              </w:rPr>
              <w:t>&gt;100%</w:t>
            </w:r>
          </w:p>
        </w:tc>
        <w:tc>
          <w:tcPr>
            <w:tcW w:w="80" w:type="dxa"/>
            <w:vAlign w:val="bottom"/>
          </w:tcPr>
          <w:p>
            <w:pPr>
              <w:spacing w:after="0"/>
              <w:rPr>
                <w:sz w:val="10"/>
                <w:szCs w:val="10"/>
                <w:color w:val="auto"/>
              </w:rPr>
            </w:pPr>
          </w:p>
        </w:tc>
        <w:tc>
          <w:tcPr>
            <w:tcW w:w="960" w:type="dxa"/>
            <w:vAlign w:val="bottom"/>
          </w:tcPr>
          <w:p>
            <w:pPr>
              <w:jc w:val="right"/>
              <w:ind w:right="102"/>
              <w:spacing w:after="0" w:line="120" w:lineRule="exact"/>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12"/>
        </w:trPr>
        <w:tc>
          <w:tcPr>
            <w:tcW w:w="464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jc w:val="right"/>
              <w:ind w:right="68"/>
              <w:spacing w:after="0" w:line="110" w:lineRule="exact"/>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2"/>
                <w:szCs w:val="12"/>
                <w:b w:val="1"/>
                <w:bCs w:val="1"/>
                <w:color w:val="auto"/>
              </w:rPr>
              <w:t>(18,637)</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5"/>
                <w:szCs w:val="5"/>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2"/>
                <w:szCs w:val="12"/>
                <w:b w:val="1"/>
                <w:bCs w:val="1"/>
                <w:color w:val="auto"/>
              </w:rPr>
              <w:t>(5,355)</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200" w:type="dxa"/>
            <w:vAlign w:val="bottom"/>
            <w:tcBorders>
              <w:top w:val="single" w:sz="8" w:color="auto"/>
              <w:bottom w:val="single" w:sz="8" w:color="auto"/>
            </w:tcBorders>
            <w:shd w:val="clear" w:color="auto" w:fill="CCEEFF"/>
          </w:tcPr>
          <w:p>
            <w:pPr>
              <w:jc w:val="right"/>
              <w:ind w:right="88"/>
              <w:spacing w:after="0" w:line="110" w:lineRule="exact"/>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2"/>
                <w:szCs w:val="12"/>
                <w:b w:val="1"/>
                <w:bCs w:val="1"/>
                <w:color w:val="auto"/>
              </w:rPr>
              <w:t>(45,056)</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jc w:val="right"/>
              <w:ind w:right="48"/>
              <w:spacing w:after="0" w:line="110" w:lineRule="exact"/>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2"/>
                <w:szCs w:val="12"/>
                <w:b w:val="1"/>
                <w:bCs w:val="1"/>
                <w:color w:val="auto"/>
              </w:rPr>
              <w:t>(2,463)</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960" w:type="dxa"/>
            <w:vAlign w:val="bottom"/>
            <w:tcBorders>
              <w:top w:val="single" w:sz="8" w:color="CCEEFF"/>
              <w:bottom w:val="single" w:sz="8" w:color="CCEEFF"/>
            </w:tcBorders>
            <w:shd w:val="clear" w:color="auto" w:fill="CCEEFF"/>
          </w:tcPr>
          <w:p>
            <w:pPr>
              <w:jc w:val="right"/>
              <w:ind w:right="82"/>
              <w:spacing w:after="0" w:line="110" w:lineRule="exact"/>
              <w:rPr>
                <w:sz w:val="20"/>
                <w:szCs w:val="20"/>
                <w:color w:val="auto"/>
              </w:rPr>
            </w:pPr>
            <w:r>
              <w:rPr>
                <w:rFonts w:ascii="Arial" w:cs="Arial" w:eastAsia="Arial" w:hAnsi="Arial"/>
                <w:sz w:val="12"/>
                <w:szCs w:val="12"/>
                <w:b w:val="1"/>
                <w:bCs w:val="1"/>
                <w:color w:val="auto"/>
              </w:rPr>
              <w:t>59%</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960" w:type="dxa"/>
            <w:vAlign w:val="bottom"/>
            <w:tcBorders>
              <w:top w:val="single" w:sz="8" w:color="CCEEFF"/>
              <w:bottom w:val="single" w:sz="8" w:color="CCEEFF"/>
            </w:tcBorders>
            <w:shd w:val="clear" w:color="auto" w:fill="CCEEFF"/>
          </w:tcPr>
          <w:p>
            <w:pPr>
              <w:jc w:val="right"/>
              <w:ind w:right="82"/>
              <w:spacing w:after="0" w:line="110" w:lineRule="exact"/>
              <w:rPr>
                <w:sz w:val="20"/>
                <w:szCs w:val="20"/>
                <w:color w:val="auto"/>
              </w:rPr>
            </w:pPr>
            <w:r>
              <w:rPr>
                <w:rFonts w:ascii="Arial" w:cs="Arial" w:eastAsia="Arial" w:hAnsi="Arial"/>
                <w:sz w:val="12"/>
                <w:szCs w:val="12"/>
                <w:b w:val="1"/>
                <w:bCs w:val="1"/>
                <w:color w:val="auto"/>
              </w:rPr>
              <w:t>(&gt;100)%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70"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auto"/>
        </w:rPr>
        <w:t>A discussion for each segment follows: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Cinema Exhibition</w:t>
      </w:r>
      <w:r>
        <w:rPr>
          <w:rFonts w:ascii="Arial" w:cs="Arial" w:eastAsia="Arial" w:hAnsi="Arial"/>
          <w:sz w:val="14"/>
          <w:szCs w:val="14"/>
          <w:b w:val="1"/>
          <w:bCs w:val="1"/>
          <w:color w:val="auto"/>
        </w:rPr>
        <w:t xml:space="preserve"> – </w:t>
      </w:r>
      <w:r>
        <w:rPr>
          <w:rFonts w:ascii="Arial" w:cs="Arial" w:eastAsia="Arial" w:hAnsi="Arial"/>
          <w:sz w:val="14"/>
          <w:szCs w:val="14"/>
          <w:b w:val="1"/>
          <w:bCs w:val="1"/>
          <w:i w:val="1"/>
          <w:iCs w:val="1"/>
          <w:color w:val="auto"/>
        </w:rPr>
        <w:t>The following table details our Cinema Exhibition segment operating results for the years ended</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December 31, 2021 and 2020,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5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0"/>
              </w:rPr>
              <w:t>2021 vs. 2020</w:t>
            </w:r>
          </w:p>
        </w:tc>
      </w:tr>
      <w:tr>
        <w:trPr>
          <w:trHeight w:val="108"/>
        </w:trPr>
        <w:tc>
          <w:tcPr>
            <w:tcW w:w="15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w w:val="91"/>
              </w:rPr>
              <w:t>Favorable/</w:t>
            </w:r>
          </w:p>
        </w:tc>
      </w:tr>
      <w:tr>
        <w:trPr>
          <w:trHeight w:val="123"/>
        </w:trPr>
        <w:tc>
          <w:tcPr>
            <w:tcW w:w="1520" w:type="dxa"/>
            <w:vAlign w:val="bottom"/>
          </w:tcPr>
          <w:p>
            <w:pPr>
              <w:spacing w:after="0"/>
              <w:rPr>
                <w:sz w:val="20"/>
                <w:szCs w:val="20"/>
                <w:color w:val="auto"/>
              </w:rPr>
            </w:pPr>
            <w:r>
              <w:rPr>
                <w:rFonts w:ascii="Arial" w:cs="Arial" w:eastAsia="Arial" w:hAnsi="Arial"/>
                <w:sz w:val="10"/>
                <w:szCs w:val="10"/>
                <w:i w:val="1"/>
                <w:iCs w:val="1"/>
                <w:color w:val="auto"/>
              </w:rPr>
              <w:t>(Dollars in thousands)</w:t>
            </w:r>
          </w:p>
        </w:tc>
        <w:tc>
          <w:tcPr>
            <w:tcW w:w="3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jc w:val="right"/>
              <w:ind w:right="489"/>
              <w:spacing w:after="0"/>
              <w:rPr>
                <w:sz w:val="20"/>
                <w:szCs w:val="20"/>
                <w:color w:val="auto"/>
              </w:rPr>
            </w:pPr>
            <w:r>
              <w:rPr>
                <w:rFonts w:ascii="Arial" w:cs="Arial" w:eastAsia="Arial" w:hAnsi="Arial"/>
                <w:sz w:val="10"/>
                <w:szCs w:val="10"/>
                <w:b w:val="1"/>
                <w:bCs w:val="1"/>
                <w:color w:val="auto"/>
              </w:rPr>
              <w:t>2021</w:t>
            </w:r>
          </w:p>
        </w:tc>
        <w:tc>
          <w:tcPr>
            <w:tcW w:w="220" w:type="dxa"/>
            <w:vAlign w:val="bottom"/>
          </w:tcPr>
          <w:p>
            <w:pPr>
              <w:spacing w:after="0"/>
              <w:rPr>
                <w:sz w:val="10"/>
                <w:szCs w:val="10"/>
                <w:color w:val="auto"/>
              </w:rPr>
            </w:pPr>
          </w:p>
        </w:tc>
        <w:tc>
          <w:tcPr>
            <w:tcW w:w="1160" w:type="dxa"/>
            <w:vAlign w:val="bottom"/>
            <w:gridSpan w:val="2"/>
          </w:tcPr>
          <w:p>
            <w:pPr>
              <w:ind w:left="200"/>
              <w:spacing w:after="0"/>
              <w:rPr>
                <w:sz w:val="20"/>
                <w:szCs w:val="20"/>
                <w:color w:val="auto"/>
              </w:rPr>
            </w:pPr>
            <w:r>
              <w:rPr>
                <w:rFonts w:ascii="Arial" w:cs="Arial" w:eastAsia="Arial" w:hAnsi="Arial"/>
                <w:sz w:val="10"/>
                <w:szCs w:val="10"/>
                <w:i w:val="1"/>
                <w:iCs w:val="1"/>
                <w:color w:val="auto"/>
              </w:rPr>
              <w:t>% of Revenue</w:t>
            </w:r>
          </w:p>
        </w:tc>
        <w:tc>
          <w:tcPr>
            <w:tcW w:w="160" w:type="dxa"/>
            <w:vAlign w:val="bottom"/>
          </w:tcPr>
          <w:p>
            <w:pPr>
              <w:spacing w:after="0"/>
              <w:rPr>
                <w:sz w:val="10"/>
                <w:szCs w:val="10"/>
                <w:color w:val="auto"/>
              </w:rPr>
            </w:pPr>
          </w:p>
        </w:tc>
        <w:tc>
          <w:tcPr>
            <w:tcW w:w="1100" w:type="dxa"/>
            <w:vAlign w:val="bottom"/>
          </w:tcPr>
          <w:p>
            <w:pPr>
              <w:jc w:val="right"/>
              <w:ind w:right="489"/>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ind w:left="160"/>
              <w:spacing w:after="0"/>
              <w:rPr>
                <w:sz w:val="20"/>
                <w:szCs w:val="20"/>
                <w:color w:val="auto"/>
              </w:rPr>
            </w:pPr>
            <w:r>
              <w:rPr>
                <w:rFonts w:ascii="Arial" w:cs="Arial" w:eastAsia="Arial" w:hAnsi="Arial"/>
                <w:sz w:val="10"/>
                <w:szCs w:val="10"/>
                <w:i w:val="1"/>
                <w:iCs w:val="1"/>
                <w:color w:val="auto"/>
              </w:rPr>
              <w:t>% of Revenue</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3"/>
              </w:rPr>
              <w:t>(Unfavorable)</w:t>
            </w:r>
          </w:p>
        </w:tc>
      </w:tr>
      <w:tr>
        <w:trPr>
          <w:trHeight w:val="108"/>
        </w:trPr>
        <w:tc>
          <w:tcPr>
            <w:tcW w:w="1520" w:type="dxa"/>
            <w:vAlign w:val="bottom"/>
            <w:tcBorders>
              <w:top w:val="single" w:sz="8" w:color="auto"/>
            </w:tcBorders>
          </w:tcPr>
          <w:p>
            <w:pPr>
              <w:spacing w:after="0" w:line="109" w:lineRule="exact"/>
              <w:rPr>
                <w:sz w:val="20"/>
                <w:szCs w:val="20"/>
                <w:color w:val="auto"/>
              </w:rPr>
            </w:pPr>
            <w:r>
              <w:rPr>
                <w:rFonts w:ascii="Arial" w:cs="Arial" w:eastAsia="Arial" w:hAnsi="Arial"/>
                <w:sz w:val="10"/>
                <w:szCs w:val="10"/>
                <w:b w:val="1"/>
                <w:bCs w:val="1"/>
                <w:color w:val="auto"/>
              </w:rPr>
              <w:t>REVENUE</w:t>
            </w:r>
          </w:p>
        </w:tc>
        <w:tc>
          <w:tcPr>
            <w:tcW w:w="33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r>
      <w:tr>
        <w:trPr>
          <w:trHeight w:val="108"/>
        </w:trPr>
        <w:tc>
          <w:tcPr>
            <w:tcW w:w="1520" w:type="dxa"/>
            <w:vAlign w:val="bottom"/>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United States</w:t>
            </w:r>
          </w:p>
        </w:tc>
        <w:tc>
          <w:tcPr>
            <w:tcW w:w="3520" w:type="dxa"/>
            <w:vAlign w:val="bottom"/>
            <w:gridSpan w:val="2"/>
            <w:shd w:val="clear" w:color="auto" w:fill="CCEEFF"/>
          </w:tcPr>
          <w:p>
            <w:pPr>
              <w:ind w:left="40"/>
              <w:spacing w:after="0" w:line="109" w:lineRule="exact"/>
              <w:rPr>
                <w:sz w:val="20"/>
                <w:szCs w:val="20"/>
                <w:color w:val="auto"/>
              </w:rPr>
            </w:pPr>
            <w:r>
              <w:rPr>
                <w:rFonts w:ascii="Arial" w:cs="Arial" w:eastAsia="Arial" w:hAnsi="Arial"/>
                <w:sz w:val="10"/>
                <w:szCs w:val="10"/>
                <w:color w:val="auto"/>
              </w:rPr>
              <w:t>Admission revenue</w:t>
            </w:r>
          </w:p>
        </w:tc>
        <w:tc>
          <w:tcPr>
            <w:tcW w:w="30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33,173</w:t>
            </w:r>
          </w:p>
        </w:tc>
        <w:tc>
          <w:tcPr>
            <w:tcW w:w="940" w:type="dxa"/>
            <w:vAlign w:val="bottom"/>
            <w:shd w:val="clear" w:color="auto" w:fill="CCEEFF"/>
          </w:tcPr>
          <w:p>
            <w:pPr>
              <w:jc w:val="right"/>
              <w:ind w:right="209"/>
              <w:spacing w:after="0" w:line="109" w:lineRule="exact"/>
              <w:rPr>
                <w:sz w:val="20"/>
                <w:szCs w:val="20"/>
                <w:color w:val="auto"/>
              </w:rPr>
            </w:pPr>
            <w:r>
              <w:rPr>
                <w:rFonts w:ascii="Arial" w:cs="Arial" w:eastAsia="Arial" w:hAnsi="Arial"/>
                <w:sz w:val="10"/>
                <w:szCs w:val="10"/>
                <w:i w:val="1"/>
                <w:iCs w:val="1"/>
                <w:color w:val="auto"/>
              </w:rPr>
              <w:t>55%</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jc w:val="right"/>
              <w:ind w:right="95"/>
              <w:spacing w:after="0"/>
              <w:rPr>
                <w:sz w:val="20"/>
                <w:szCs w:val="20"/>
                <w:color w:val="auto"/>
              </w:rPr>
            </w:pPr>
            <w:r>
              <w:rPr>
                <w:rFonts w:ascii="Arial" w:cs="Arial" w:eastAsia="Arial" w:hAnsi="Arial"/>
                <w:sz w:val="5"/>
                <w:szCs w:val="5"/>
                <w:color w:val="auto"/>
                <w:w w:val="70"/>
              </w:rPr>
              <w:t>$</w:t>
            </w:r>
          </w:p>
        </w:tc>
        <w:tc>
          <w:tcPr>
            <w:tcW w:w="112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15,593</w:t>
            </w:r>
          </w:p>
        </w:tc>
        <w:tc>
          <w:tcPr>
            <w:tcW w:w="106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57%</w:t>
            </w: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108"/>
        </w:trPr>
        <w:tc>
          <w:tcPr>
            <w:tcW w:w="1520" w:type="dxa"/>
            <w:vAlign w:val="bottom"/>
          </w:tcPr>
          <w:p>
            <w:pPr>
              <w:spacing w:after="0"/>
              <w:rPr>
                <w:sz w:val="9"/>
                <w:szCs w:val="9"/>
                <w:color w:val="auto"/>
              </w:rPr>
            </w:pPr>
          </w:p>
        </w:tc>
        <w:tc>
          <w:tcPr>
            <w:tcW w:w="3520" w:type="dxa"/>
            <w:vAlign w:val="bottom"/>
            <w:gridSpan w:val="2"/>
          </w:tcPr>
          <w:p>
            <w:pPr>
              <w:ind w:left="40"/>
              <w:spacing w:after="0" w:line="109" w:lineRule="exact"/>
              <w:rPr>
                <w:sz w:val="20"/>
                <w:szCs w:val="20"/>
                <w:color w:val="auto"/>
              </w:rPr>
            </w:pPr>
            <w:r>
              <w:rPr>
                <w:rFonts w:ascii="Arial" w:cs="Arial" w:eastAsia="Arial" w:hAnsi="Arial"/>
                <w:sz w:val="10"/>
                <w:szCs w:val="10"/>
                <w:color w:val="auto"/>
              </w:rPr>
              <w:t>Food &amp; beverage revenue</w:t>
            </w:r>
          </w:p>
        </w:tc>
        <w:tc>
          <w:tcPr>
            <w:tcW w:w="300" w:type="dxa"/>
            <w:vAlign w:val="bottom"/>
          </w:tcPr>
          <w:p>
            <w:pPr>
              <w:spacing w:after="0"/>
              <w:rPr>
                <w:sz w:val="9"/>
                <w:szCs w:val="9"/>
                <w:color w:val="auto"/>
              </w:rPr>
            </w:pPr>
          </w:p>
        </w:tc>
        <w:tc>
          <w:tcPr>
            <w:tcW w:w="1200" w:type="dxa"/>
            <w:vAlign w:val="bottom"/>
            <w:gridSpan w:val="2"/>
          </w:tcPr>
          <w:p>
            <w:pPr>
              <w:jc w:val="right"/>
              <w:ind w:right="220"/>
              <w:spacing w:after="0" w:line="109" w:lineRule="exact"/>
              <w:rPr>
                <w:sz w:val="20"/>
                <w:szCs w:val="20"/>
                <w:color w:val="auto"/>
              </w:rPr>
            </w:pPr>
            <w:r>
              <w:rPr>
                <w:rFonts w:ascii="Arial" w:cs="Arial" w:eastAsia="Arial" w:hAnsi="Arial"/>
                <w:sz w:val="10"/>
                <w:szCs w:val="10"/>
                <w:color w:val="auto"/>
              </w:rPr>
              <w:t>20,832</w:t>
            </w:r>
          </w:p>
        </w:tc>
        <w:tc>
          <w:tcPr>
            <w:tcW w:w="940" w:type="dxa"/>
            <w:vAlign w:val="bottom"/>
          </w:tcPr>
          <w:p>
            <w:pPr>
              <w:jc w:val="right"/>
              <w:ind w:right="209"/>
              <w:spacing w:after="0" w:line="109" w:lineRule="exact"/>
              <w:rPr>
                <w:sz w:val="20"/>
                <w:szCs w:val="20"/>
                <w:color w:val="auto"/>
              </w:rPr>
            </w:pPr>
            <w:r>
              <w:rPr>
                <w:rFonts w:ascii="Arial" w:cs="Arial" w:eastAsia="Arial" w:hAnsi="Arial"/>
                <w:sz w:val="10"/>
                <w:szCs w:val="10"/>
                <w:i w:val="1"/>
                <w:iCs w:val="1"/>
                <w:color w:val="auto"/>
              </w:rPr>
              <w:t>35%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8,245</w:t>
            </w:r>
          </w:p>
        </w:tc>
        <w:tc>
          <w:tcPr>
            <w:tcW w:w="106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30%</w:t>
            </w:r>
          </w:p>
        </w:tc>
        <w:tc>
          <w:tcPr>
            <w:tcW w:w="22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108"/>
        </w:trPr>
        <w:tc>
          <w:tcPr>
            <w:tcW w:w="1520" w:type="dxa"/>
            <w:vAlign w:val="bottom"/>
            <w:shd w:val="clear" w:color="auto" w:fill="CCEEFF"/>
          </w:tcPr>
          <w:p>
            <w:pPr>
              <w:spacing w:after="0"/>
              <w:rPr>
                <w:sz w:val="9"/>
                <w:szCs w:val="9"/>
                <w:color w:val="auto"/>
              </w:rPr>
            </w:pPr>
          </w:p>
        </w:tc>
        <w:tc>
          <w:tcPr>
            <w:tcW w:w="3520" w:type="dxa"/>
            <w:vAlign w:val="bottom"/>
            <w:gridSpan w:val="2"/>
            <w:shd w:val="clear" w:color="auto" w:fill="CCEEFF"/>
          </w:tcPr>
          <w:p>
            <w:pPr>
              <w:ind w:left="40"/>
              <w:spacing w:after="0" w:line="109" w:lineRule="exact"/>
              <w:rPr>
                <w:sz w:val="20"/>
                <w:szCs w:val="20"/>
                <w:color w:val="auto"/>
              </w:rPr>
            </w:pPr>
            <w:r>
              <w:rPr>
                <w:rFonts w:ascii="Arial" w:cs="Arial" w:eastAsia="Arial" w:hAnsi="Arial"/>
                <w:sz w:val="10"/>
                <w:szCs w:val="10"/>
                <w:color w:val="auto"/>
              </w:rPr>
              <w:t>Advertising and other revenue</w:t>
            </w:r>
          </w:p>
        </w:tc>
        <w:tc>
          <w:tcPr>
            <w:tcW w:w="30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5,882</w:t>
            </w:r>
          </w:p>
        </w:tc>
        <w:tc>
          <w:tcPr>
            <w:tcW w:w="940" w:type="dxa"/>
            <w:vAlign w:val="bottom"/>
            <w:shd w:val="clear" w:color="auto" w:fill="CCEEFF"/>
          </w:tcPr>
          <w:p>
            <w:pPr>
              <w:jc w:val="right"/>
              <w:ind w:right="209"/>
              <w:spacing w:after="0" w:line="109" w:lineRule="exact"/>
              <w:rPr>
                <w:sz w:val="20"/>
                <w:szCs w:val="20"/>
                <w:color w:val="auto"/>
              </w:rPr>
            </w:pPr>
            <w:r>
              <w:rPr>
                <w:rFonts w:ascii="Arial" w:cs="Arial" w:eastAsia="Arial" w:hAnsi="Arial"/>
                <w:sz w:val="10"/>
                <w:szCs w:val="10"/>
                <w:i w:val="1"/>
                <w:iCs w:val="1"/>
                <w:color w:val="auto"/>
              </w:rPr>
              <w:t>10%</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3,584</w:t>
            </w:r>
          </w:p>
        </w:tc>
        <w:tc>
          <w:tcPr>
            <w:tcW w:w="106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13%</w:t>
            </w: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64 %</w:t>
            </w:r>
          </w:p>
        </w:tc>
      </w:tr>
      <w:tr>
        <w:trPr>
          <w:trHeight w:val="99"/>
        </w:trPr>
        <w:tc>
          <w:tcPr>
            <w:tcW w:w="15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ind w:right="189"/>
              <w:spacing w:after="0" w:line="100" w:lineRule="exact"/>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59,887</w:t>
            </w:r>
          </w:p>
        </w:tc>
        <w:tc>
          <w:tcPr>
            <w:tcW w:w="220" w:type="dxa"/>
            <w:vAlign w:val="bottom"/>
          </w:tcPr>
          <w:p>
            <w:pPr>
              <w:spacing w:after="0"/>
              <w:rPr>
                <w:sz w:val="8"/>
                <w:szCs w:val="8"/>
                <w:color w:val="auto"/>
              </w:rPr>
            </w:pPr>
          </w:p>
        </w:tc>
        <w:tc>
          <w:tcPr>
            <w:tcW w:w="940" w:type="dxa"/>
            <w:vAlign w:val="bottom"/>
          </w:tcPr>
          <w:p>
            <w:pPr>
              <w:jc w:val="right"/>
              <w:ind w:right="209"/>
              <w:spacing w:after="0" w:line="100" w:lineRule="exact"/>
              <w:rPr>
                <w:sz w:val="20"/>
                <w:szCs w:val="20"/>
                <w:color w:val="auto"/>
              </w:rPr>
            </w:pPr>
            <w:r>
              <w:rPr>
                <w:rFonts w:ascii="Arial" w:cs="Arial" w:eastAsia="Arial" w:hAnsi="Arial"/>
                <w:sz w:val="10"/>
                <w:szCs w:val="10"/>
                <w:i w:val="1"/>
                <w:iCs w:val="1"/>
                <w:color w:val="auto"/>
              </w:rPr>
              <w:t>100%</w:t>
            </w:r>
          </w:p>
        </w:tc>
        <w:tc>
          <w:tcPr>
            <w:tcW w:w="220" w:type="dxa"/>
            <w:vAlign w:val="bottom"/>
          </w:tcPr>
          <w:p>
            <w:pPr>
              <w:spacing w:after="0"/>
              <w:rPr>
                <w:sz w:val="8"/>
                <w:szCs w:val="8"/>
                <w:color w:val="auto"/>
              </w:rPr>
            </w:pPr>
          </w:p>
        </w:tc>
        <w:tc>
          <w:tcPr>
            <w:tcW w:w="160" w:type="dxa"/>
            <w:vAlign w:val="bottom"/>
            <w:tcBorders>
              <w:top w:val="single" w:sz="8" w:color="auto"/>
            </w:tcBorders>
          </w:tcPr>
          <w:p>
            <w:pPr>
              <w:jc w:val="right"/>
              <w:ind w:right="95"/>
              <w:spacing w:after="0"/>
              <w:rPr>
                <w:sz w:val="20"/>
                <w:szCs w:val="20"/>
                <w:color w:val="auto"/>
              </w:rPr>
            </w:pPr>
            <w:r>
              <w:rPr>
                <w:rFonts w:ascii="Arial" w:cs="Arial" w:eastAsia="Arial" w:hAnsi="Arial"/>
                <w:sz w:val="5"/>
                <w:szCs w:val="5"/>
                <w:b w:val="1"/>
                <w:bCs w:val="1"/>
                <w:color w:val="auto"/>
                <w:w w:val="70"/>
              </w:rPr>
              <w:t>$</w:t>
            </w:r>
          </w:p>
        </w:tc>
        <w:tc>
          <w:tcPr>
            <w:tcW w:w="110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27,422</w:t>
            </w:r>
          </w:p>
        </w:tc>
        <w:tc>
          <w:tcPr>
            <w:tcW w:w="20" w:type="dxa"/>
            <w:vAlign w:val="bottom"/>
          </w:tcPr>
          <w:p>
            <w:pPr>
              <w:spacing w:after="0"/>
              <w:rPr>
                <w:sz w:val="8"/>
                <w:szCs w:val="8"/>
                <w:color w:val="auto"/>
              </w:rPr>
            </w:pPr>
          </w:p>
        </w:tc>
        <w:tc>
          <w:tcPr>
            <w:tcW w:w="1060" w:type="dxa"/>
            <w:vAlign w:val="bottom"/>
            <w:gridSpan w:val="2"/>
          </w:tcPr>
          <w:p>
            <w:pPr>
              <w:jc w:val="right"/>
              <w:ind w:right="149"/>
              <w:spacing w:after="0" w:line="100" w:lineRule="exact"/>
              <w:rPr>
                <w:sz w:val="20"/>
                <w:szCs w:val="20"/>
                <w:color w:val="auto"/>
              </w:rPr>
            </w:pPr>
            <w:r>
              <w:rPr>
                <w:rFonts w:ascii="Arial" w:cs="Arial" w:eastAsia="Arial" w:hAnsi="Arial"/>
                <w:sz w:val="10"/>
                <w:szCs w:val="10"/>
                <w:i w:val="1"/>
                <w:iCs w:val="1"/>
                <w:color w:val="auto"/>
              </w:rPr>
              <w:t>100%</w:t>
            </w:r>
          </w:p>
        </w:tc>
        <w:tc>
          <w:tcPr>
            <w:tcW w:w="220" w:type="dxa"/>
            <w:vAlign w:val="bottom"/>
          </w:tcPr>
          <w:p>
            <w:pPr>
              <w:spacing w:after="0"/>
              <w:rPr>
                <w:sz w:val="8"/>
                <w:szCs w:val="8"/>
                <w:color w:val="auto"/>
              </w:rPr>
            </w:pPr>
          </w:p>
        </w:tc>
        <w:tc>
          <w:tcPr>
            <w:tcW w:w="1020" w:type="dxa"/>
            <w:vAlign w:val="bottom"/>
          </w:tcPr>
          <w:p>
            <w:pPr>
              <w:jc w:val="right"/>
              <w:ind w:right="69"/>
              <w:spacing w:after="0" w:line="100" w:lineRule="exact"/>
              <w:rPr>
                <w:sz w:val="20"/>
                <w:szCs w:val="20"/>
                <w:color w:val="auto"/>
              </w:rPr>
            </w:pPr>
            <w:r>
              <w:rPr>
                <w:rFonts w:ascii="Arial" w:cs="Arial" w:eastAsia="Arial" w:hAnsi="Arial"/>
                <w:sz w:val="10"/>
                <w:szCs w:val="10"/>
                <w:color w:val="auto"/>
              </w:rPr>
              <w:t>&gt;100 %</w:t>
            </w:r>
          </w:p>
        </w:tc>
      </w:tr>
      <w:tr>
        <w:trPr>
          <w:trHeight w:val="108"/>
        </w:trPr>
        <w:tc>
          <w:tcPr>
            <w:tcW w:w="1520" w:type="dxa"/>
            <w:vAlign w:val="bottom"/>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Australia</w:t>
            </w:r>
          </w:p>
        </w:tc>
        <w:tc>
          <w:tcPr>
            <w:tcW w:w="3520" w:type="dxa"/>
            <w:vAlign w:val="bottom"/>
            <w:gridSpan w:val="2"/>
            <w:shd w:val="clear" w:color="auto" w:fill="CCEEFF"/>
          </w:tcPr>
          <w:p>
            <w:pPr>
              <w:ind w:left="40"/>
              <w:spacing w:after="0" w:line="109" w:lineRule="exact"/>
              <w:rPr>
                <w:sz w:val="20"/>
                <w:szCs w:val="20"/>
                <w:color w:val="auto"/>
              </w:rPr>
            </w:pPr>
            <w:r>
              <w:rPr>
                <w:rFonts w:ascii="Arial" w:cs="Arial" w:eastAsia="Arial" w:hAnsi="Arial"/>
                <w:sz w:val="10"/>
                <w:szCs w:val="10"/>
                <w:color w:val="auto"/>
              </w:rPr>
              <w:t>Admission revenue</w:t>
            </w:r>
          </w:p>
        </w:tc>
        <w:tc>
          <w:tcPr>
            <w:tcW w:w="30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33,485</w:t>
            </w:r>
          </w:p>
        </w:tc>
        <w:tc>
          <w:tcPr>
            <w:tcW w:w="940" w:type="dxa"/>
            <w:vAlign w:val="bottom"/>
            <w:shd w:val="clear" w:color="auto" w:fill="CCEEFF"/>
          </w:tcPr>
          <w:p>
            <w:pPr>
              <w:jc w:val="right"/>
              <w:ind w:right="209"/>
              <w:spacing w:after="0" w:line="109" w:lineRule="exact"/>
              <w:rPr>
                <w:sz w:val="20"/>
                <w:szCs w:val="20"/>
                <w:color w:val="auto"/>
              </w:rPr>
            </w:pPr>
            <w:r>
              <w:rPr>
                <w:rFonts w:ascii="Arial" w:cs="Arial" w:eastAsia="Arial" w:hAnsi="Arial"/>
                <w:sz w:val="10"/>
                <w:szCs w:val="10"/>
                <w:i w:val="1"/>
                <w:iCs w:val="1"/>
                <w:color w:val="auto"/>
              </w:rPr>
              <w:t>61%</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jc w:val="right"/>
              <w:ind w:right="95"/>
              <w:spacing w:after="0"/>
              <w:rPr>
                <w:sz w:val="20"/>
                <w:szCs w:val="20"/>
                <w:color w:val="auto"/>
              </w:rPr>
            </w:pPr>
            <w:r>
              <w:rPr>
                <w:rFonts w:ascii="Arial" w:cs="Arial" w:eastAsia="Arial" w:hAnsi="Arial"/>
                <w:sz w:val="5"/>
                <w:szCs w:val="5"/>
                <w:color w:val="auto"/>
                <w:w w:val="70"/>
              </w:rPr>
              <w:t>$</w:t>
            </w:r>
          </w:p>
        </w:tc>
        <w:tc>
          <w:tcPr>
            <w:tcW w:w="112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20,137</w:t>
            </w:r>
          </w:p>
        </w:tc>
        <w:tc>
          <w:tcPr>
            <w:tcW w:w="106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62%</w:t>
            </w: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66 %</w:t>
            </w:r>
          </w:p>
        </w:tc>
      </w:tr>
      <w:tr>
        <w:trPr>
          <w:trHeight w:val="108"/>
        </w:trPr>
        <w:tc>
          <w:tcPr>
            <w:tcW w:w="1520" w:type="dxa"/>
            <w:vAlign w:val="bottom"/>
          </w:tcPr>
          <w:p>
            <w:pPr>
              <w:spacing w:after="0"/>
              <w:rPr>
                <w:sz w:val="9"/>
                <w:szCs w:val="9"/>
                <w:color w:val="auto"/>
              </w:rPr>
            </w:pPr>
          </w:p>
        </w:tc>
        <w:tc>
          <w:tcPr>
            <w:tcW w:w="3520" w:type="dxa"/>
            <w:vAlign w:val="bottom"/>
            <w:gridSpan w:val="2"/>
          </w:tcPr>
          <w:p>
            <w:pPr>
              <w:ind w:left="40"/>
              <w:spacing w:after="0" w:line="109" w:lineRule="exact"/>
              <w:rPr>
                <w:sz w:val="20"/>
                <w:szCs w:val="20"/>
                <w:color w:val="auto"/>
              </w:rPr>
            </w:pPr>
            <w:r>
              <w:rPr>
                <w:rFonts w:ascii="Arial" w:cs="Arial" w:eastAsia="Arial" w:hAnsi="Arial"/>
                <w:sz w:val="10"/>
                <w:szCs w:val="10"/>
                <w:color w:val="auto"/>
              </w:rPr>
              <w:t>Food &amp; beverage revenue</w:t>
            </w:r>
          </w:p>
        </w:tc>
        <w:tc>
          <w:tcPr>
            <w:tcW w:w="300" w:type="dxa"/>
            <w:vAlign w:val="bottom"/>
          </w:tcPr>
          <w:p>
            <w:pPr>
              <w:spacing w:after="0"/>
              <w:rPr>
                <w:sz w:val="9"/>
                <w:szCs w:val="9"/>
                <w:color w:val="auto"/>
              </w:rPr>
            </w:pPr>
          </w:p>
        </w:tc>
        <w:tc>
          <w:tcPr>
            <w:tcW w:w="1200" w:type="dxa"/>
            <w:vAlign w:val="bottom"/>
            <w:gridSpan w:val="2"/>
          </w:tcPr>
          <w:p>
            <w:pPr>
              <w:jc w:val="right"/>
              <w:ind w:right="220"/>
              <w:spacing w:after="0" w:line="109" w:lineRule="exact"/>
              <w:rPr>
                <w:sz w:val="20"/>
                <w:szCs w:val="20"/>
                <w:color w:val="auto"/>
              </w:rPr>
            </w:pPr>
            <w:r>
              <w:rPr>
                <w:rFonts w:ascii="Arial" w:cs="Arial" w:eastAsia="Arial" w:hAnsi="Arial"/>
                <w:sz w:val="10"/>
                <w:szCs w:val="10"/>
                <w:color w:val="auto"/>
              </w:rPr>
              <w:t>17,900</w:t>
            </w:r>
          </w:p>
        </w:tc>
        <w:tc>
          <w:tcPr>
            <w:tcW w:w="940" w:type="dxa"/>
            <w:vAlign w:val="bottom"/>
          </w:tcPr>
          <w:p>
            <w:pPr>
              <w:jc w:val="right"/>
              <w:ind w:right="209"/>
              <w:spacing w:after="0" w:line="109" w:lineRule="exact"/>
              <w:rPr>
                <w:sz w:val="20"/>
                <w:szCs w:val="20"/>
                <w:color w:val="auto"/>
              </w:rPr>
            </w:pPr>
            <w:r>
              <w:rPr>
                <w:rFonts w:ascii="Arial" w:cs="Arial" w:eastAsia="Arial" w:hAnsi="Arial"/>
                <w:sz w:val="10"/>
                <w:szCs w:val="10"/>
                <w:i w:val="1"/>
                <w:iCs w:val="1"/>
                <w:color w:val="auto"/>
              </w:rPr>
              <w:t>32%</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9,590</w:t>
            </w:r>
          </w:p>
        </w:tc>
        <w:tc>
          <w:tcPr>
            <w:tcW w:w="106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29%</w:t>
            </w:r>
          </w:p>
        </w:tc>
        <w:tc>
          <w:tcPr>
            <w:tcW w:w="22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87 %</w:t>
            </w:r>
          </w:p>
        </w:tc>
      </w:tr>
      <w:tr>
        <w:trPr>
          <w:trHeight w:val="108"/>
        </w:trPr>
        <w:tc>
          <w:tcPr>
            <w:tcW w:w="1520" w:type="dxa"/>
            <w:vAlign w:val="bottom"/>
            <w:shd w:val="clear" w:color="auto" w:fill="CCEEFF"/>
          </w:tcPr>
          <w:p>
            <w:pPr>
              <w:spacing w:after="0"/>
              <w:rPr>
                <w:sz w:val="9"/>
                <w:szCs w:val="9"/>
                <w:color w:val="auto"/>
              </w:rPr>
            </w:pPr>
          </w:p>
        </w:tc>
        <w:tc>
          <w:tcPr>
            <w:tcW w:w="3520" w:type="dxa"/>
            <w:vAlign w:val="bottom"/>
            <w:gridSpan w:val="2"/>
            <w:shd w:val="clear" w:color="auto" w:fill="CCEEFF"/>
          </w:tcPr>
          <w:p>
            <w:pPr>
              <w:ind w:left="40"/>
              <w:spacing w:after="0" w:line="109" w:lineRule="exact"/>
              <w:rPr>
                <w:sz w:val="20"/>
                <w:szCs w:val="20"/>
                <w:color w:val="auto"/>
              </w:rPr>
            </w:pPr>
            <w:r>
              <w:rPr>
                <w:rFonts w:ascii="Arial" w:cs="Arial" w:eastAsia="Arial" w:hAnsi="Arial"/>
                <w:sz w:val="10"/>
                <w:szCs w:val="10"/>
                <w:color w:val="auto"/>
              </w:rPr>
              <w:t>Advertising and other revenue</w:t>
            </w:r>
          </w:p>
        </w:tc>
        <w:tc>
          <w:tcPr>
            <w:tcW w:w="30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3,932</w:t>
            </w:r>
          </w:p>
        </w:tc>
        <w:tc>
          <w:tcPr>
            <w:tcW w:w="940" w:type="dxa"/>
            <w:vAlign w:val="bottom"/>
            <w:shd w:val="clear" w:color="auto" w:fill="CCEEFF"/>
          </w:tcPr>
          <w:p>
            <w:pPr>
              <w:jc w:val="right"/>
              <w:ind w:right="209"/>
              <w:spacing w:after="0" w:line="109" w:lineRule="exact"/>
              <w:rPr>
                <w:sz w:val="20"/>
                <w:szCs w:val="20"/>
                <w:color w:val="auto"/>
              </w:rPr>
            </w:pPr>
            <w:r>
              <w:rPr>
                <w:rFonts w:ascii="Arial" w:cs="Arial" w:eastAsia="Arial" w:hAnsi="Arial"/>
                <w:sz w:val="10"/>
                <w:szCs w:val="10"/>
                <w:i w:val="1"/>
                <w:iCs w:val="1"/>
                <w:color w:val="auto"/>
              </w:rPr>
              <w:t>7%</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2,788</w:t>
            </w:r>
          </w:p>
        </w:tc>
        <w:tc>
          <w:tcPr>
            <w:tcW w:w="106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9%</w:t>
            </w: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41 %</w:t>
            </w:r>
          </w:p>
        </w:tc>
      </w:tr>
      <w:tr>
        <w:trPr>
          <w:trHeight w:val="99"/>
        </w:trPr>
        <w:tc>
          <w:tcPr>
            <w:tcW w:w="15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ind w:right="189"/>
              <w:spacing w:after="0" w:line="100" w:lineRule="exact"/>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55,317</w:t>
            </w:r>
          </w:p>
        </w:tc>
        <w:tc>
          <w:tcPr>
            <w:tcW w:w="220" w:type="dxa"/>
            <w:vAlign w:val="bottom"/>
          </w:tcPr>
          <w:p>
            <w:pPr>
              <w:spacing w:after="0"/>
              <w:rPr>
                <w:sz w:val="8"/>
                <w:szCs w:val="8"/>
                <w:color w:val="auto"/>
              </w:rPr>
            </w:pPr>
          </w:p>
        </w:tc>
        <w:tc>
          <w:tcPr>
            <w:tcW w:w="940" w:type="dxa"/>
            <w:vAlign w:val="bottom"/>
          </w:tcPr>
          <w:p>
            <w:pPr>
              <w:jc w:val="right"/>
              <w:ind w:right="209"/>
              <w:spacing w:after="0" w:line="100" w:lineRule="exact"/>
              <w:rPr>
                <w:sz w:val="20"/>
                <w:szCs w:val="20"/>
                <w:color w:val="auto"/>
              </w:rPr>
            </w:pPr>
            <w:r>
              <w:rPr>
                <w:rFonts w:ascii="Arial" w:cs="Arial" w:eastAsia="Arial" w:hAnsi="Arial"/>
                <w:sz w:val="10"/>
                <w:szCs w:val="10"/>
                <w:i w:val="1"/>
                <w:iCs w:val="1"/>
                <w:color w:val="auto"/>
              </w:rPr>
              <w:t>100%</w:t>
            </w:r>
          </w:p>
        </w:tc>
        <w:tc>
          <w:tcPr>
            <w:tcW w:w="220" w:type="dxa"/>
            <w:vAlign w:val="bottom"/>
          </w:tcPr>
          <w:p>
            <w:pPr>
              <w:spacing w:after="0"/>
              <w:rPr>
                <w:sz w:val="8"/>
                <w:szCs w:val="8"/>
                <w:color w:val="auto"/>
              </w:rPr>
            </w:pPr>
          </w:p>
        </w:tc>
        <w:tc>
          <w:tcPr>
            <w:tcW w:w="160" w:type="dxa"/>
            <w:vAlign w:val="bottom"/>
            <w:tcBorders>
              <w:top w:val="single" w:sz="8" w:color="auto"/>
            </w:tcBorders>
          </w:tcPr>
          <w:p>
            <w:pPr>
              <w:jc w:val="right"/>
              <w:ind w:right="95"/>
              <w:spacing w:after="0"/>
              <w:rPr>
                <w:sz w:val="20"/>
                <w:szCs w:val="20"/>
                <w:color w:val="auto"/>
              </w:rPr>
            </w:pPr>
            <w:r>
              <w:rPr>
                <w:rFonts w:ascii="Arial" w:cs="Arial" w:eastAsia="Arial" w:hAnsi="Arial"/>
                <w:sz w:val="5"/>
                <w:szCs w:val="5"/>
                <w:b w:val="1"/>
                <w:bCs w:val="1"/>
                <w:color w:val="auto"/>
                <w:w w:val="70"/>
              </w:rPr>
              <w:t>$</w:t>
            </w:r>
          </w:p>
        </w:tc>
        <w:tc>
          <w:tcPr>
            <w:tcW w:w="110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32,515</w:t>
            </w:r>
          </w:p>
        </w:tc>
        <w:tc>
          <w:tcPr>
            <w:tcW w:w="20" w:type="dxa"/>
            <w:vAlign w:val="bottom"/>
          </w:tcPr>
          <w:p>
            <w:pPr>
              <w:spacing w:after="0"/>
              <w:rPr>
                <w:sz w:val="8"/>
                <w:szCs w:val="8"/>
                <w:color w:val="auto"/>
              </w:rPr>
            </w:pPr>
          </w:p>
        </w:tc>
        <w:tc>
          <w:tcPr>
            <w:tcW w:w="1060" w:type="dxa"/>
            <w:vAlign w:val="bottom"/>
            <w:gridSpan w:val="2"/>
          </w:tcPr>
          <w:p>
            <w:pPr>
              <w:jc w:val="right"/>
              <w:ind w:right="149"/>
              <w:spacing w:after="0" w:line="100" w:lineRule="exact"/>
              <w:rPr>
                <w:sz w:val="20"/>
                <w:szCs w:val="20"/>
                <w:color w:val="auto"/>
              </w:rPr>
            </w:pPr>
            <w:r>
              <w:rPr>
                <w:rFonts w:ascii="Arial" w:cs="Arial" w:eastAsia="Arial" w:hAnsi="Arial"/>
                <w:sz w:val="10"/>
                <w:szCs w:val="10"/>
                <w:i w:val="1"/>
                <w:iCs w:val="1"/>
                <w:color w:val="auto"/>
              </w:rPr>
              <w:t>100%</w:t>
            </w:r>
          </w:p>
        </w:tc>
        <w:tc>
          <w:tcPr>
            <w:tcW w:w="220" w:type="dxa"/>
            <w:vAlign w:val="bottom"/>
          </w:tcPr>
          <w:p>
            <w:pPr>
              <w:spacing w:after="0"/>
              <w:rPr>
                <w:sz w:val="8"/>
                <w:szCs w:val="8"/>
                <w:color w:val="auto"/>
              </w:rPr>
            </w:pPr>
          </w:p>
        </w:tc>
        <w:tc>
          <w:tcPr>
            <w:tcW w:w="1020" w:type="dxa"/>
            <w:vAlign w:val="bottom"/>
          </w:tcPr>
          <w:p>
            <w:pPr>
              <w:jc w:val="right"/>
              <w:ind w:right="69"/>
              <w:spacing w:after="0" w:line="100" w:lineRule="exact"/>
              <w:rPr>
                <w:sz w:val="20"/>
                <w:szCs w:val="20"/>
                <w:color w:val="auto"/>
              </w:rPr>
            </w:pPr>
            <w:r>
              <w:rPr>
                <w:rFonts w:ascii="Arial" w:cs="Arial" w:eastAsia="Arial" w:hAnsi="Arial"/>
                <w:sz w:val="10"/>
                <w:szCs w:val="10"/>
                <w:color w:val="auto"/>
              </w:rPr>
              <w:t>70 %</w:t>
            </w:r>
          </w:p>
        </w:tc>
      </w:tr>
      <w:tr>
        <w:trPr>
          <w:trHeight w:val="108"/>
        </w:trPr>
        <w:tc>
          <w:tcPr>
            <w:tcW w:w="1520" w:type="dxa"/>
            <w:vAlign w:val="bottom"/>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New Zealand</w:t>
            </w:r>
          </w:p>
        </w:tc>
        <w:tc>
          <w:tcPr>
            <w:tcW w:w="3520" w:type="dxa"/>
            <w:vAlign w:val="bottom"/>
            <w:gridSpan w:val="2"/>
            <w:shd w:val="clear" w:color="auto" w:fill="CCEEFF"/>
          </w:tcPr>
          <w:p>
            <w:pPr>
              <w:ind w:left="40"/>
              <w:spacing w:after="0" w:line="109" w:lineRule="exact"/>
              <w:rPr>
                <w:sz w:val="20"/>
                <w:szCs w:val="20"/>
                <w:color w:val="auto"/>
              </w:rPr>
            </w:pPr>
            <w:r>
              <w:rPr>
                <w:rFonts w:ascii="Arial" w:cs="Arial" w:eastAsia="Arial" w:hAnsi="Arial"/>
                <w:sz w:val="10"/>
                <w:szCs w:val="10"/>
                <w:color w:val="auto"/>
              </w:rPr>
              <w:t>Admission revenue</w:t>
            </w:r>
          </w:p>
        </w:tc>
        <w:tc>
          <w:tcPr>
            <w:tcW w:w="30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7,281</w:t>
            </w:r>
          </w:p>
        </w:tc>
        <w:tc>
          <w:tcPr>
            <w:tcW w:w="940" w:type="dxa"/>
            <w:vAlign w:val="bottom"/>
            <w:shd w:val="clear" w:color="auto" w:fill="CCEEFF"/>
          </w:tcPr>
          <w:p>
            <w:pPr>
              <w:jc w:val="right"/>
              <w:ind w:right="209"/>
              <w:spacing w:after="0" w:line="109" w:lineRule="exact"/>
              <w:rPr>
                <w:sz w:val="20"/>
                <w:szCs w:val="20"/>
                <w:color w:val="auto"/>
              </w:rPr>
            </w:pPr>
            <w:r>
              <w:rPr>
                <w:rFonts w:ascii="Arial" w:cs="Arial" w:eastAsia="Arial" w:hAnsi="Arial"/>
                <w:sz w:val="10"/>
                <w:szCs w:val="10"/>
                <w:i w:val="1"/>
                <w:iCs w:val="1"/>
                <w:color w:val="auto"/>
              </w:rPr>
              <w:t>63%</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jc w:val="right"/>
              <w:ind w:right="95"/>
              <w:spacing w:after="0"/>
              <w:rPr>
                <w:sz w:val="20"/>
                <w:szCs w:val="20"/>
                <w:color w:val="auto"/>
              </w:rPr>
            </w:pPr>
            <w:r>
              <w:rPr>
                <w:rFonts w:ascii="Arial" w:cs="Arial" w:eastAsia="Arial" w:hAnsi="Arial"/>
                <w:sz w:val="5"/>
                <w:szCs w:val="5"/>
                <w:color w:val="auto"/>
                <w:w w:val="70"/>
              </w:rPr>
              <w:t>$</w:t>
            </w:r>
          </w:p>
        </w:tc>
        <w:tc>
          <w:tcPr>
            <w:tcW w:w="112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4,569</w:t>
            </w:r>
          </w:p>
        </w:tc>
        <w:tc>
          <w:tcPr>
            <w:tcW w:w="106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65%</w:t>
            </w: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59 %</w:t>
            </w:r>
          </w:p>
        </w:tc>
      </w:tr>
      <w:tr>
        <w:trPr>
          <w:trHeight w:val="108"/>
        </w:trPr>
        <w:tc>
          <w:tcPr>
            <w:tcW w:w="1520" w:type="dxa"/>
            <w:vAlign w:val="bottom"/>
          </w:tcPr>
          <w:p>
            <w:pPr>
              <w:spacing w:after="0"/>
              <w:rPr>
                <w:sz w:val="9"/>
                <w:szCs w:val="9"/>
                <w:color w:val="auto"/>
              </w:rPr>
            </w:pPr>
          </w:p>
        </w:tc>
        <w:tc>
          <w:tcPr>
            <w:tcW w:w="3520" w:type="dxa"/>
            <w:vAlign w:val="bottom"/>
            <w:gridSpan w:val="2"/>
          </w:tcPr>
          <w:p>
            <w:pPr>
              <w:ind w:left="40"/>
              <w:spacing w:after="0" w:line="109" w:lineRule="exact"/>
              <w:rPr>
                <w:sz w:val="20"/>
                <w:szCs w:val="20"/>
                <w:color w:val="auto"/>
              </w:rPr>
            </w:pPr>
            <w:r>
              <w:rPr>
                <w:rFonts w:ascii="Arial" w:cs="Arial" w:eastAsia="Arial" w:hAnsi="Arial"/>
                <w:sz w:val="10"/>
                <w:szCs w:val="10"/>
                <w:color w:val="auto"/>
              </w:rPr>
              <w:t>Food &amp; beverage revenue</w:t>
            </w:r>
          </w:p>
        </w:tc>
        <w:tc>
          <w:tcPr>
            <w:tcW w:w="300" w:type="dxa"/>
            <w:vAlign w:val="bottom"/>
          </w:tcPr>
          <w:p>
            <w:pPr>
              <w:spacing w:after="0"/>
              <w:rPr>
                <w:sz w:val="9"/>
                <w:szCs w:val="9"/>
                <w:color w:val="auto"/>
              </w:rPr>
            </w:pPr>
          </w:p>
        </w:tc>
        <w:tc>
          <w:tcPr>
            <w:tcW w:w="1200" w:type="dxa"/>
            <w:vAlign w:val="bottom"/>
            <w:gridSpan w:val="2"/>
          </w:tcPr>
          <w:p>
            <w:pPr>
              <w:jc w:val="right"/>
              <w:ind w:right="220"/>
              <w:spacing w:after="0" w:line="109" w:lineRule="exact"/>
              <w:rPr>
                <w:sz w:val="20"/>
                <w:szCs w:val="20"/>
                <w:color w:val="auto"/>
              </w:rPr>
            </w:pPr>
            <w:r>
              <w:rPr>
                <w:rFonts w:ascii="Arial" w:cs="Arial" w:eastAsia="Arial" w:hAnsi="Arial"/>
                <w:sz w:val="10"/>
                <w:szCs w:val="10"/>
                <w:color w:val="auto"/>
              </w:rPr>
              <w:t>3,641</w:t>
            </w:r>
          </w:p>
        </w:tc>
        <w:tc>
          <w:tcPr>
            <w:tcW w:w="940" w:type="dxa"/>
            <w:vAlign w:val="bottom"/>
          </w:tcPr>
          <w:p>
            <w:pPr>
              <w:jc w:val="right"/>
              <w:ind w:right="209"/>
              <w:spacing w:after="0" w:line="109" w:lineRule="exact"/>
              <w:rPr>
                <w:sz w:val="20"/>
                <w:szCs w:val="20"/>
                <w:color w:val="auto"/>
              </w:rPr>
            </w:pPr>
            <w:r>
              <w:rPr>
                <w:rFonts w:ascii="Arial" w:cs="Arial" w:eastAsia="Arial" w:hAnsi="Arial"/>
                <w:sz w:val="10"/>
                <w:szCs w:val="10"/>
                <w:i w:val="1"/>
                <w:iCs w:val="1"/>
                <w:color w:val="auto"/>
              </w:rPr>
              <w:t>31%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2,066</w:t>
            </w:r>
          </w:p>
        </w:tc>
        <w:tc>
          <w:tcPr>
            <w:tcW w:w="106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29%</w:t>
            </w:r>
          </w:p>
        </w:tc>
        <w:tc>
          <w:tcPr>
            <w:tcW w:w="22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76 %</w:t>
            </w:r>
          </w:p>
        </w:tc>
      </w:tr>
      <w:tr>
        <w:trPr>
          <w:trHeight w:val="108"/>
        </w:trPr>
        <w:tc>
          <w:tcPr>
            <w:tcW w:w="1520" w:type="dxa"/>
            <w:vAlign w:val="bottom"/>
            <w:shd w:val="clear" w:color="auto" w:fill="CCEEFF"/>
          </w:tcPr>
          <w:p>
            <w:pPr>
              <w:spacing w:after="0"/>
              <w:rPr>
                <w:sz w:val="9"/>
                <w:szCs w:val="9"/>
                <w:color w:val="auto"/>
              </w:rPr>
            </w:pPr>
          </w:p>
        </w:tc>
        <w:tc>
          <w:tcPr>
            <w:tcW w:w="3520" w:type="dxa"/>
            <w:vAlign w:val="bottom"/>
            <w:gridSpan w:val="2"/>
            <w:shd w:val="clear" w:color="auto" w:fill="CCEEFF"/>
          </w:tcPr>
          <w:p>
            <w:pPr>
              <w:ind w:left="40"/>
              <w:spacing w:after="0" w:line="109" w:lineRule="exact"/>
              <w:rPr>
                <w:sz w:val="20"/>
                <w:szCs w:val="20"/>
                <w:color w:val="auto"/>
              </w:rPr>
            </w:pPr>
            <w:r>
              <w:rPr>
                <w:rFonts w:ascii="Arial" w:cs="Arial" w:eastAsia="Arial" w:hAnsi="Arial"/>
                <w:sz w:val="10"/>
                <w:szCs w:val="10"/>
                <w:color w:val="auto"/>
              </w:rPr>
              <w:t>Advertising and other revenue</w:t>
            </w:r>
          </w:p>
        </w:tc>
        <w:tc>
          <w:tcPr>
            <w:tcW w:w="30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686</w:t>
            </w:r>
          </w:p>
        </w:tc>
        <w:tc>
          <w:tcPr>
            <w:tcW w:w="940" w:type="dxa"/>
            <w:vAlign w:val="bottom"/>
            <w:shd w:val="clear" w:color="auto" w:fill="CCEEFF"/>
          </w:tcPr>
          <w:p>
            <w:pPr>
              <w:jc w:val="right"/>
              <w:ind w:right="209"/>
              <w:spacing w:after="0" w:line="109" w:lineRule="exact"/>
              <w:rPr>
                <w:sz w:val="20"/>
                <w:szCs w:val="20"/>
                <w:color w:val="auto"/>
              </w:rPr>
            </w:pPr>
            <w:r>
              <w:rPr>
                <w:rFonts w:ascii="Arial" w:cs="Arial" w:eastAsia="Arial" w:hAnsi="Arial"/>
                <w:sz w:val="10"/>
                <w:szCs w:val="10"/>
                <w:i w:val="1"/>
                <w:iCs w:val="1"/>
                <w:color w:val="auto"/>
              </w:rPr>
              <w:t>6%</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442</w:t>
            </w:r>
          </w:p>
        </w:tc>
        <w:tc>
          <w:tcPr>
            <w:tcW w:w="106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6%</w:t>
            </w: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55 %</w:t>
            </w:r>
          </w:p>
        </w:tc>
      </w:tr>
      <w:tr>
        <w:trPr>
          <w:trHeight w:val="99"/>
        </w:trPr>
        <w:tc>
          <w:tcPr>
            <w:tcW w:w="15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ind w:right="189"/>
              <w:spacing w:after="0" w:line="100" w:lineRule="exact"/>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11,608</w:t>
            </w:r>
          </w:p>
        </w:tc>
        <w:tc>
          <w:tcPr>
            <w:tcW w:w="220" w:type="dxa"/>
            <w:vAlign w:val="bottom"/>
          </w:tcPr>
          <w:p>
            <w:pPr>
              <w:spacing w:after="0"/>
              <w:rPr>
                <w:sz w:val="8"/>
                <w:szCs w:val="8"/>
                <w:color w:val="auto"/>
              </w:rPr>
            </w:pPr>
          </w:p>
        </w:tc>
        <w:tc>
          <w:tcPr>
            <w:tcW w:w="940" w:type="dxa"/>
            <w:vAlign w:val="bottom"/>
          </w:tcPr>
          <w:p>
            <w:pPr>
              <w:jc w:val="right"/>
              <w:ind w:right="209"/>
              <w:spacing w:after="0" w:line="100" w:lineRule="exact"/>
              <w:rPr>
                <w:sz w:val="20"/>
                <w:szCs w:val="20"/>
                <w:color w:val="auto"/>
              </w:rPr>
            </w:pPr>
            <w:r>
              <w:rPr>
                <w:rFonts w:ascii="Arial" w:cs="Arial" w:eastAsia="Arial" w:hAnsi="Arial"/>
                <w:sz w:val="10"/>
                <w:szCs w:val="10"/>
                <w:i w:val="1"/>
                <w:iCs w:val="1"/>
                <w:color w:val="auto"/>
              </w:rPr>
              <w:t>100%</w:t>
            </w:r>
          </w:p>
        </w:tc>
        <w:tc>
          <w:tcPr>
            <w:tcW w:w="220" w:type="dxa"/>
            <w:vAlign w:val="bottom"/>
          </w:tcPr>
          <w:p>
            <w:pPr>
              <w:spacing w:after="0"/>
              <w:rPr>
                <w:sz w:val="8"/>
                <w:szCs w:val="8"/>
                <w:color w:val="auto"/>
              </w:rPr>
            </w:pPr>
          </w:p>
        </w:tc>
        <w:tc>
          <w:tcPr>
            <w:tcW w:w="160" w:type="dxa"/>
            <w:vAlign w:val="bottom"/>
            <w:tcBorders>
              <w:top w:val="single" w:sz="8" w:color="auto"/>
            </w:tcBorders>
          </w:tcPr>
          <w:p>
            <w:pPr>
              <w:jc w:val="right"/>
              <w:ind w:right="95"/>
              <w:spacing w:after="0"/>
              <w:rPr>
                <w:sz w:val="20"/>
                <w:szCs w:val="20"/>
                <w:color w:val="auto"/>
              </w:rPr>
            </w:pPr>
            <w:r>
              <w:rPr>
                <w:rFonts w:ascii="Arial" w:cs="Arial" w:eastAsia="Arial" w:hAnsi="Arial"/>
                <w:sz w:val="5"/>
                <w:szCs w:val="5"/>
                <w:b w:val="1"/>
                <w:bCs w:val="1"/>
                <w:color w:val="auto"/>
                <w:w w:val="70"/>
              </w:rPr>
              <w:t>$</w:t>
            </w:r>
          </w:p>
        </w:tc>
        <w:tc>
          <w:tcPr>
            <w:tcW w:w="110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7,077</w:t>
            </w:r>
          </w:p>
        </w:tc>
        <w:tc>
          <w:tcPr>
            <w:tcW w:w="20" w:type="dxa"/>
            <w:vAlign w:val="bottom"/>
          </w:tcPr>
          <w:p>
            <w:pPr>
              <w:spacing w:after="0"/>
              <w:rPr>
                <w:sz w:val="8"/>
                <w:szCs w:val="8"/>
                <w:color w:val="auto"/>
              </w:rPr>
            </w:pPr>
          </w:p>
        </w:tc>
        <w:tc>
          <w:tcPr>
            <w:tcW w:w="1060" w:type="dxa"/>
            <w:vAlign w:val="bottom"/>
            <w:gridSpan w:val="2"/>
          </w:tcPr>
          <w:p>
            <w:pPr>
              <w:jc w:val="right"/>
              <w:ind w:right="149"/>
              <w:spacing w:after="0" w:line="100" w:lineRule="exact"/>
              <w:rPr>
                <w:sz w:val="20"/>
                <w:szCs w:val="20"/>
                <w:color w:val="auto"/>
              </w:rPr>
            </w:pPr>
            <w:r>
              <w:rPr>
                <w:rFonts w:ascii="Arial" w:cs="Arial" w:eastAsia="Arial" w:hAnsi="Arial"/>
                <w:sz w:val="10"/>
                <w:szCs w:val="10"/>
                <w:i w:val="1"/>
                <w:iCs w:val="1"/>
                <w:color w:val="auto"/>
              </w:rPr>
              <w:t>100%</w:t>
            </w:r>
          </w:p>
        </w:tc>
        <w:tc>
          <w:tcPr>
            <w:tcW w:w="220" w:type="dxa"/>
            <w:vAlign w:val="bottom"/>
          </w:tcPr>
          <w:p>
            <w:pPr>
              <w:spacing w:after="0"/>
              <w:rPr>
                <w:sz w:val="8"/>
                <w:szCs w:val="8"/>
                <w:color w:val="auto"/>
              </w:rPr>
            </w:pPr>
          </w:p>
        </w:tc>
        <w:tc>
          <w:tcPr>
            <w:tcW w:w="1020" w:type="dxa"/>
            <w:vAlign w:val="bottom"/>
          </w:tcPr>
          <w:p>
            <w:pPr>
              <w:jc w:val="right"/>
              <w:ind w:right="69"/>
              <w:spacing w:after="0" w:line="100" w:lineRule="exact"/>
              <w:rPr>
                <w:sz w:val="20"/>
                <w:szCs w:val="20"/>
                <w:color w:val="auto"/>
              </w:rPr>
            </w:pPr>
            <w:r>
              <w:rPr>
                <w:rFonts w:ascii="Arial" w:cs="Arial" w:eastAsia="Arial" w:hAnsi="Arial"/>
                <w:sz w:val="10"/>
                <w:szCs w:val="10"/>
                <w:color w:val="auto"/>
              </w:rPr>
              <w:t>64 %</w:t>
            </w:r>
          </w:p>
        </w:tc>
      </w:tr>
      <w:tr>
        <w:trPr>
          <w:trHeight w:val="128"/>
        </w:trPr>
        <w:tc>
          <w:tcPr>
            <w:tcW w:w="1520" w:type="dxa"/>
            <w:vAlign w:val="bottom"/>
            <w:tcBorders>
              <w:bottom w:val="single" w:sz="8" w:color="CCEEFF"/>
            </w:tcBorders>
            <w:shd w:val="clear" w:color="auto" w:fill="CCEEFF"/>
          </w:tcPr>
          <w:p>
            <w:pPr>
              <w:spacing w:after="0"/>
              <w:rPr>
                <w:sz w:val="11"/>
                <w:szCs w:val="11"/>
                <w:color w:val="auto"/>
              </w:rPr>
            </w:pPr>
          </w:p>
        </w:tc>
        <w:tc>
          <w:tcPr>
            <w:tcW w:w="33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r>
      <w:tr>
        <w:trPr>
          <w:trHeight w:val="92"/>
        </w:trPr>
        <w:tc>
          <w:tcPr>
            <w:tcW w:w="1520" w:type="dxa"/>
            <w:vAlign w:val="bottom"/>
            <w:tcBorders>
              <w:bottom w:val="single" w:sz="8" w:color="CCEEFF"/>
            </w:tcBorders>
          </w:tcPr>
          <w:p>
            <w:pPr>
              <w:ind w:left="220"/>
              <w:spacing w:after="0" w:line="91" w:lineRule="exact"/>
              <w:rPr>
                <w:sz w:val="20"/>
                <w:szCs w:val="20"/>
                <w:color w:val="auto"/>
              </w:rPr>
            </w:pPr>
            <w:r>
              <w:rPr>
                <w:rFonts w:ascii="Arial" w:cs="Arial" w:eastAsia="Arial" w:hAnsi="Arial"/>
                <w:sz w:val="10"/>
                <w:szCs w:val="10"/>
                <w:b w:val="1"/>
                <w:bCs w:val="1"/>
                <w:color w:val="auto"/>
              </w:rPr>
              <w:t>Total revenue</w:t>
            </w:r>
          </w:p>
        </w:tc>
        <w:tc>
          <w:tcPr>
            <w:tcW w:w="3320" w:type="dxa"/>
            <w:vAlign w:val="bottom"/>
            <w:tcBorders>
              <w:bottom w:val="single" w:sz="8" w:color="CCEEFF"/>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jc w:val="right"/>
              <w:ind w:right="189"/>
              <w:spacing w:after="0" w:line="91" w:lineRule="exact"/>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line="91" w:lineRule="exact"/>
              <w:rPr>
                <w:sz w:val="20"/>
                <w:szCs w:val="20"/>
                <w:color w:val="auto"/>
              </w:rPr>
            </w:pPr>
            <w:r>
              <w:rPr>
                <w:rFonts w:ascii="Arial" w:cs="Arial" w:eastAsia="Arial" w:hAnsi="Arial"/>
                <w:sz w:val="10"/>
                <w:szCs w:val="10"/>
                <w:b w:val="1"/>
                <w:bCs w:val="1"/>
                <w:color w:val="auto"/>
              </w:rPr>
              <w:t>126,812</w:t>
            </w:r>
          </w:p>
        </w:tc>
        <w:tc>
          <w:tcPr>
            <w:tcW w:w="220" w:type="dxa"/>
            <w:vAlign w:val="bottom"/>
            <w:tcBorders>
              <w:bottom w:val="single" w:sz="8" w:color="CCEEFF"/>
            </w:tcBorders>
          </w:tcPr>
          <w:p>
            <w:pPr>
              <w:spacing w:after="0"/>
              <w:rPr>
                <w:sz w:val="7"/>
                <w:szCs w:val="7"/>
                <w:color w:val="auto"/>
              </w:rPr>
            </w:pPr>
          </w:p>
        </w:tc>
        <w:tc>
          <w:tcPr>
            <w:tcW w:w="940" w:type="dxa"/>
            <w:vAlign w:val="bottom"/>
            <w:tcBorders>
              <w:bottom w:val="single" w:sz="8" w:color="CCEEFF"/>
            </w:tcBorders>
          </w:tcPr>
          <w:p>
            <w:pPr>
              <w:jc w:val="right"/>
              <w:ind w:right="209"/>
              <w:spacing w:after="0" w:line="91" w:lineRule="exact"/>
              <w:rPr>
                <w:sz w:val="20"/>
                <w:szCs w:val="20"/>
                <w:color w:val="auto"/>
              </w:rPr>
            </w:pPr>
            <w:r>
              <w:rPr>
                <w:rFonts w:ascii="Arial" w:cs="Arial" w:eastAsia="Arial" w:hAnsi="Arial"/>
                <w:sz w:val="10"/>
                <w:szCs w:val="10"/>
                <w:i w:val="1"/>
                <w:iCs w:val="1"/>
                <w:color w:val="auto"/>
              </w:rPr>
              <w:t>100%</w:t>
            </w:r>
          </w:p>
        </w:tc>
        <w:tc>
          <w:tcPr>
            <w:tcW w:w="2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jc w:val="right"/>
              <w:ind w:right="95"/>
              <w:spacing w:after="0"/>
              <w:rPr>
                <w:sz w:val="20"/>
                <w:szCs w:val="20"/>
                <w:color w:val="auto"/>
              </w:rPr>
            </w:pPr>
            <w:r>
              <w:rPr>
                <w:rFonts w:ascii="Arial" w:cs="Arial" w:eastAsia="Arial" w:hAnsi="Arial"/>
                <w:sz w:val="5"/>
                <w:szCs w:val="5"/>
                <w:b w:val="1"/>
                <w:bCs w:val="1"/>
                <w:color w:val="auto"/>
                <w:w w:val="70"/>
              </w:rPr>
              <w:t>$</w:t>
            </w:r>
          </w:p>
        </w:tc>
        <w:tc>
          <w:tcPr>
            <w:tcW w:w="1100" w:type="dxa"/>
            <w:vAlign w:val="bottom"/>
            <w:tcBorders>
              <w:bottom w:val="single" w:sz="8" w:color="auto"/>
            </w:tcBorders>
          </w:tcPr>
          <w:p>
            <w:pPr>
              <w:jc w:val="right"/>
              <w:spacing w:after="0" w:line="91" w:lineRule="exact"/>
              <w:rPr>
                <w:sz w:val="20"/>
                <w:szCs w:val="20"/>
                <w:color w:val="auto"/>
              </w:rPr>
            </w:pPr>
            <w:r>
              <w:rPr>
                <w:rFonts w:ascii="Arial" w:cs="Arial" w:eastAsia="Arial" w:hAnsi="Arial"/>
                <w:sz w:val="10"/>
                <w:szCs w:val="10"/>
                <w:b w:val="1"/>
                <w:bCs w:val="1"/>
                <w:color w:val="auto"/>
              </w:rPr>
              <w:t>67,014</w:t>
            </w:r>
          </w:p>
        </w:tc>
        <w:tc>
          <w:tcPr>
            <w:tcW w:w="20" w:type="dxa"/>
            <w:vAlign w:val="bottom"/>
            <w:tcBorders>
              <w:bottom w:val="single" w:sz="8" w:color="CCEEFF"/>
            </w:tcBorders>
          </w:tcPr>
          <w:p>
            <w:pPr>
              <w:spacing w:after="0"/>
              <w:rPr>
                <w:sz w:val="7"/>
                <w:szCs w:val="7"/>
                <w:color w:val="auto"/>
              </w:rPr>
            </w:pPr>
          </w:p>
        </w:tc>
        <w:tc>
          <w:tcPr>
            <w:tcW w:w="1060" w:type="dxa"/>
            <w:vAlign w:val="bottom"/>
            <w:tcBorders>
              <w:bottom w:val="single" w:sz="8" w:color="CCEEFF"/>
            </w:tcBorders>
            <w:gridSpan w:val="2"/>
          </w:tcPr>
          <w:p>
            <w:pPr>
              <w:jc w:val="right"/>
              <w:ind w:right="149"/>
              <w:spacing w:after="0" w:line="91" w:lineRule="exact"/>
              <w:rPr>
                <w:sz w:val="20"/>
                <w:szCs w:val="20"/>
                <w:color w:val="auto"/>
              </w:rPr>
            </w:pPr>
            <w:r>
              <w:rPr>
                <w:rFonts w:ascii="Arial" w:cs="Arial" w:eastAsia="Arial" w:hAnsi="Arial"/>
                <w:sz w:val="10"/>
                <w:szCs w:val="10"/>
                <w:i w:val="1"/>
                <w:iCs w:val="1"/>
                <w:color w:val="auto"/>
              </w:rPr>
              <w:t>100%</w:t>
            </w:r>
          </w:p>
        </w:tc>
        <w:tc>
          <w:tcPr>
            <w:tcW w:w="220" w:type="dxa"/>
            <w:vAlign w:val="bottom"/>
            <w:tcBorders>
              <w:bottom w:val="single" w:sz="8" w:color="CCEEFF"/>
            </w:tcBorders>
          </w:tcPr>
          <w:p>
            <w:pPr>
              <w:spacing w:after="0"/>
              <w:rPr>
                <w:sz w:val="7"/>
                <w:szCs w:val="7"/>
                <w:color w:val="auto"/>
              </w:rPr>
            </w:pPr>
          </w:p>
        </w:tc>
        <w:tc>
          <w:tcPr>
            <w:tcW w:w="1020" w:type="dxa"/>
            <w:vAlign w:val="bottom"/>
            <w:tcBorders>
              <w:bottom w:val="single" w:sz="8" w:color="CCEEFF"/>
            </w:tcBorders>
          </w:tcPr>
          <w:p>
            <w:pPr>
              <w:jc w:val="right"/>
              <w:ind w:right="69"/>
              <w:spacing w:after="0" w:line="91" w:lineRule="exact"/>
              <w:rPr>
                <w:sz w:val="20"/>
                <w:szCs w:val="20"/>
                <w:color w:val="auto"/>
              </w:rPr>
            </w:pPr>
            <w:r>
              <w:rPr>
                <w:rFonts w:ascii="Arial" w:cs="Arial" w:eastAsia="Arial" w:hAnsi="Arial"/>
                <w:sz w:val="10"/>
                <w:szCs w:val="10"/>
                <w:color w:val="auto"/>
              </w:rPr>
              <w:t>89 %</w:t>
            </w:r>
          </w:p>
        </w:tc>
      </w:tr>
      <w:tr>
        <w:trPr>
          <w:trHeight w:val="108"/>
        </w:trPr>
        <w:tc>
          <w:tcPr>
            <w:tcW w:w="1520" w:type="dxa"/>
            <w:vAlign w:val="bottom"/>
            <w:shd w:val="clear" w:color="auto" w:fill="CCEEFF"/>
          </w:tcPr>
          <w:p>
            <w:pPr>
              <w:spacing w:after="0" w:line="109" w:lineRule="exact"/>
              <w:rPr>
                <w:sz w:val="20"/>
                <w:szCs w:val="20"/>
                <w:color w:val="auto"/>
              </w:rPr>
            </w:pPr>
            <w:r>
              <w:rPr>
                <w:rFonts w:ascii="Arial" w:cs="Arial" w:eastAsia="Arial" w:hAnsi="Arial"/>
                <w:sz w:val="10"/>
                <w:szCs w:val="10"/>
                <w:b w:val="1"/>
                <w:bCs w:val="1"/>
                <w:color w:val="auto"/>
              </w:rPr>
              <w:t>OPERATING EXPENSE</w:t>
            </w:r>
          </w:p>
        </w:tc>
        <w:tc>
          <w:tcPr>
            <w:tcW w:w="3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108"/>
        </w:trPr>
        <w:tc>
          <w:tcPr>
            <w:tcW w:w="1520" w:type="dxa"/>
            <w:vAlign w:val="bottom"/>
          </w:tcPr>
          <w:p>
            <w:pPr>
              <w:ind w:left="220"/>
              <w:spacing w:after="0" w:line="109" w:lineRule="exact"/>
              <w:rPr>
                <w:sz w:val="20"/>
                <w:szCs w:val="20"/>
                <w:color w:val="auto"/>
              </w:rPr>
            </w:pPr>
            <w:r>
              <w:rPr>
                <w:rFonts w:ascii="Arial" w:cs="Arial" w:eastAsia="Arial" w:hAnsi="Arial"/>
                <w:sz w:val="10"/>
                <w:szCs w:val="10"/>
                <w:b w:val="1"/>
                <w:bCs w:val="1"/>
                <w:color w:val="auto"/>
              </w:rPr>
              <w:t>United States</w:t>
            </w:r>
          </w:p>
        </w:tc>
        <w:tc>
          <w:tcPr>
            <w:tcW w:w="3520" w:type="dxa"/>
            <w:vAlign w:val="bottom"/>
            <w:gridSpan w:val="2"/>
          </w:tcPr>
          <w:p>
            <w:pPr>
              <w:ind w:left="40"/>
              <w:spacing w:after="0" w:line="109" w:lineRule="exact"/>
              <w:rPr>
                <w:sz w:val="20"/>
                <w:szCs w:val="20"/>
                <w:color w:val="auto"/>
              </w:rPr>
            </w:pPr>
            <w:r>
              <w:rPr>
                <w:rFonts w:ascii="Arial" w:cs="Arial" w:eastAsia="Arial" w:hAnsi="Arial"/>
                <w:sz w:val="10"/>
                <w:szCs w:val="10"/>
                <w:color w:val="auto"/>
              </w:rPr>
              <w:t>Film rent and advertising cost</w:t>
            </w:r>
          </w:p>
        </w:tc>
        <w:tc>
          <w:tcPr>
            <w:tcW w:w="300" w:type="dxa"/>
            <w:vAlign w:val="bottom"/>
          </w:tcPr>
          <w:p>
            <w:pPr>
              <w:jc w:val="right"/>
              <w:ind w:right="189"/>
              <w:spacing w:after="0" w:line="109" w:lineRule="exact"/>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20"/>
              <w:spacing w:after="0" w:line="109" w:lineRule="exact"/>
              <w:rPr>
                <w:sz w:val="20"/>
                <w:szCs w:val="20"/>
                <w:color w:val="auto"/>
              </w:rPr>
            </w:pPr>
            <w:r>
              <w:rPr>
                <w:rFonts w:ascii="Arial" w:cs="Arial" w:eastAsia="Arial" w:hAnsi="Arial"/>
                <w:sz w:val="10"/>
                <w:szCs w:val="10"/>
                <w:color w:val="auto"/>
              </w:rPr>
              <w:t>(17,299)</w:t>
            </w:r>
          </w:p>
        </w:tc>
        <w:tc>
          <w:tcPr>
            <w:tcW w:w="940" w:type="dxa"/>
            <w:vAlign w:val="bottom"/>
          </w:tcPr>
          <w:p>
            <w:pPr>
              <w:jc w:val="right"/>
              <w:ind w:right="209"/>
              <w:spacing w:after="0" w:line="109" w:lineRule="exact"/>
              <w:rPr>
                <w:sz w:val="20"/>
                <w:szCs w:val="20"/>
                <w:color w:val="auto"/>
              </w:rPr>
            </w:pPr>
            <w:r>
              <w:rPr>
                <w:rFonts w:ascii="Arial" w:cs="Arial" w:eastAsia="Arial" w:hAnsi="Arial"/>
                <w:sz w:val="10"/>
                <w:szCs w:val="10"/>
                <w:i w:val="1"/>
                <w:iCs w:val="1"/>
                <w:color w:val="auto"/>
              </w:rPr>
              <w:t>(29)%</w:t>
            </w:r>
          </w:p>
        </w:tc>
        <w:tc>
          <w:tcPr>
            <w:tcW w:w="220" w:type="dxa"/>
            <w:vAlign w:val="bottom"/>
          </w:tcPr>
          <w:p>
            <w:pPr>
              <w:spacing w:after="0"/>
              <w:rPr>
                <w:sz w:val="9"/>
                <w:szCs w:val="9"/>
                <w:color w:val="auto"/>
              </w:rPr>
            </w:pPr>
          </w:p>
        </w:tc>
        <w:tc>
          <w:tcPr>
            <w:tcW w:w="160" w:type="dxa"/>
            <w:vAlign w:val="bottom"/>
          </w:tcPr>
          <w:p>
            <w:pPr>
              <w:jc w:val="right"/>
              <w:ind w:right="95"/>
              <w:spacing w:after="0"/>
              <w:rPr>
                <w:sz w:val="20"/>
                <w:szCs w:val="20"/>
                <w:color w:val="auto"/>
              </w:rPr>
            </w:pPr>
            <w:r>
              <w:rPr>
                <w:rFonts w:ascii="Arial" w:cs="Arial" w:eastAsia="Arial" w:hAnsi="Arial"/>
                <w:sz w:val="5"/>
                <w:szCs w:val="5"/>
                <w:color w:val="auto"/>
                <w:w w:val="70"/>
              </w:rPr>
              <w:t>$</w:t>
            </w:r>
          </w:p>
        </w:tc>
        <w:tc>
          <w:tcPr>
            <w:tcW w:w="112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(8,183)</w:t>
            </w:r>
          </w:p>
        </w:tc>
        <w:tc>
          <w:tcPr>
            <w:tcW w:w="106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(30)%</w:t>
            </w:r>
          </w:p>
        </w:tc>
        <w:tc>
          <w:tcPr>
            <w:tcW w:w="22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108"/>
        </w:trPr>
        <w:tc>
          <w:tcPr>
            <w:tcW w:w="1520" w:type="dxa"/>
            <w:vAlign w:val="bottom"/>
            <w:shd w:val="clear" w:color="auto" w:fill="CCEEFF"/>
          </w:tcPr>
          <w:p>
            <w:pPr>
              <w:spacing w:after="0"/>
              <w:rPr>
                <w:sz w:val="9"/>
                <w:szCs w:val="9"/>
                <w:color w:val="auto"/>
              </w:rPr>
            </w:pPr>
          </w:p>
        </w:tc>
        <w:tc>
          <w:tcPr>
            <w:tcW w:w="3520" w:type="dxa"/>
            <w:vAlign w:val="bottom"/>
            <w:gridSpan w:val="2"/>
            <w:shd w:val="clear" w:color="auto" w:fill="CCEEFF"/>
          </w:tcPr>
          <w:p>
            <w:pPr>
              <w:ind w:left="40"/>
              <w:spacing w:after="0" w:line="109" w:lineRule="exact"/>
              <w:rPr>
                <w:sz w:val="20"/>
                <w:szCs w:val="20"/>
                <w:color w:val="auto"/>
              </w:rPr>
            </w:pPr>
            <w:r>
              <w:rPr>
                <w:rFonts w:ascii="Arial" w:cs="Arial" w:eastAsia="Arial" w:hAnsi="Arial"/>
                <w:sz w:val="10"/>
                <w:szCs w:val="10"/>
                <w:color w:val="auto"/>
              </w:rPr>
              <w:t>Food &amp; beverage cost</w:t>
            </w:r>
          </w:p>
        </w:tc>
        <w:tc>
          <w:tcPr>
            <w:tcW w:w="30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(4,930)</w:t>
            </w:r>
          </w:p>
        </w:tc>
        <w:tc>
          <w:tcPr>
            <w:tcW w:w="940" w:type="dxa"/>
            <w:vAlign w:val="bottom"/>
            <w:shd w:val="clear" w:color="auto" w:fill="CCEEFF"/>
          </w:tcPr>
          <w:p>
            <w:pPr>
              <w:jc w:val="right"/>
              <w:ind w:right="209"/>
              <w:spacing w:after="0" w:line="109" w:lineRule="exact"/>
              <w:rPr>
                <w:sz w:val="20"/>
                <w:szCs w:val="20"/>
                <w:color w:val="auto"/>
              </w:rPr>
            </w:pPr>
            <w:r>
              <w:rPr>
                <w:rFonts w:ascii="Arial" w:cs="Arial" w:eastAsia="Arial" w:hAnsi="Arial"/>
                <w:sz w:val="10"/>
                <w:szCs w:val="10"/>
                <w:i w:val="1"/>
                <w:iCs w:val="1"/>
                <w:color w:val="auto"/>
              </w:rPr>
              <w:t>(8)%</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(2,519)</w:t>
            </w:r>
          </w:p>
        </w:tc>
        <w:tc>
          <w:tcPr>
            <w:tcW w:w="106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(9)%</w:t>
            </w: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(96) %</w:t>
            </w:r>
          </w:p>
        </w:tc>
      </w:tr>
      <w:tr>
        <w:trPr>
          <w:trHeight w:val="108"/>
        </w:trPr>
        <w:tc>
          <w:tcPr>
            <w:tcW w:w="1520" w:type="dxa"/>
            <w:vAlign w:val="bottom"/>
          </w:tcPr>
          <w:p>
            <w:pPr>
              <w:spacing w:after="0"/>
              <w:rPr>
                <w:sz w:val="9"/>
                <w:szCs w:val="9"/>
                <w:color w:val="auto"/>
              </w:rPr>
            </w:pPr>
          </w:p>
        </w:tc>
        <w:tc>
          <w:tcPr>
            <w:tcW w:w="3520" w:type="dxa"/>
            <w:vAlign w:val="bottom"/>
            <w:gridSpan w:val="2"/>
          </w:tcPr>
          <w:p>
            <w:pPr>
              <w:ind w:left="40"/>
              <w:spacing w:after="0" w:line="109" w:lineRule="exact"/>
              <w:rPr>
                <w:sz w:val="20"/>
                <w:szCs w:val="20"/>
                <w:color w:val="auto"/>
              </w:rPr>
            </w:pPr>
            <w:r>
              <w:rPr>
                <w:rFonts w:ascii="Arial" w:cs="Arial" w:eastAsia="Arial" w:hAnsi="Arial"/>
                <w:sz w:val="10"/>
                <w:szCs w:val="10"/>
                <w:color w:val="auto"/>
              </w:rPr>
              <w:t>Occupancy expense</w:t>
            </w:r>
          </w:p>
        </w:tc>
        <w:tc>
          <w:tcPr>
            <w:tcW w:w="300" w:type="dxa"/>
            <w:vAlign w:val="bottom"/>
          </w:tcPr>
          <w:p>
            <w:pPr>
              <w:spacing w:after="0"/>
              <w:rPr>
                <w:sz w:val="9"/>
                <w:szCs w:val="9"/>
                <w:color w:val="auto"/>
              </w:rPr>
            </w:pPr>
          </w:p>
        </w:tc>
        <w:tc>
          <w:tcPr>
            <w:tcW w:w="1200" w:type="dxa"/>
            <w:vAlign w:val="bottom"/>
            <w:gridSpan w:val="2"/>
          </w:tcPr>
          <w:p>
            <w:pPr>
              <w:jc w:val="right"/>
              <w:ind w:right="220"/>
              <w:spacing w:after="0" w:line="109" w:lineRule="exact"/>
              <w:rPr>
                <w:sz w:val="20"/>
                <w:szCs w:val="20"/>
                <w:color w:val="auto"/>
              </w:rPr>
            </w:pPr>
            <w:r>
              <w:rPr>
                <w:rFonts w:ascii="Arial" w:cs="Arial" w:eastAsia="Arial" w:hAnsi="Arial"/>
                <w:sz w:val="10"/>
                <w:szCs w:val="10"/>
                <w:color w:val="auto"/>
              </w:rPr>
              <w:t>(21,546)</w:t>
            </w:r>
          </w:p>
        </w:tc>
        <w:tc>
          <w:tcPr>
            <w:tcW w:w="940" w:type="dxa"/>
            <w:vAlign w:val="bottom"/>
          </w:tcPr>
          <w:p>
            <w:pPr>
              <w:jc w:val="right"/>
              <w:ind w:right="209"/>
              <w:spacing w:after="0" w:line="109" w:lineRule="exact"/>
              <w:rPr>
                <w:sz w:val="20"/>
                <w:szCs w:val="20"/>
                <w:color w:val="auto"/>
              </w:rPr>
            </w:pPr>
            <w:r>
              <w:rPr>
                <w:rFonts w:ascii="Arial" w:cs="Arial" w:eastAsia="Arial" w:hAnsi="Arial"/>
                <w:sz w:val="10"/>
                <w:szCs w:val="10"/>
                <w:i w:val="1"/>
                <w:iCs w:val="1"/>
                <w:color w:val="auto"/>
              </w:rPr>
              <w:t>(36)%</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(26,697)</w:t>
            </w:r>
          </w:p>
        </w:tc>
        <w:tc>
          <w:tcPr>
            <w:tcW w:w="106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(97)%</w:t>
            </w:r>
          </w:p>
        </w:tc>
        <w:tc>
          <w:tcPr>
            <w:tcW w:w="22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19 %</w:t>
            </w:r>
          </w:p>
        </w:tc>
      </w:tr>
      <w:tr>
        <w:trPr>
          <w:trHeight w:val="108"/>
        </w:trPr>
        <w:tc>
          <w:tcPr>
            <w:tcW w:w="1520" w:type="dxa"/>
            <w:vAlign w:val="bottom"/>
            <w:shd w:val="clear" w:color="auto" w:fill="CCEEFF"/>
          </w:tcPr>
          <w:p>
            <w:pPr>
              <w:spacing w:after="0"/>
              <w:rPr>
                <w:sz w:val="9"/>
                <w:szCs w:val="9"/>
                <w:color w:val="auto"/>
              </w:rPr>
            </w:pPr>
          </w:p>
        </w:tc>
        <w:tc>
          <w:tcPr>
            <w:tcW w:w="3520" w:type="dxa"/>
            <w:vAlign w:val="bottom"/>
            <w:gridSpan w:val="2"/>
            <w:shd w:val="clear" w:color="auto" w:fill="CCEEFF"/>
          </w:tcPr>
          <w:p>
            <w:pPr>
              <w:ind w:left="40"/>
              <w:spacing w:after="0" w:line="109" w:lineRule="exact"/>
              <w:rPr>
                <w:sz w:val="20"/>
                <w:szCs w:val="20"/>
                <w:color w:val="auto"/>
              </w:rPr>
            </w:pPr>
            <w:r>
              <w:rPr>
                <w:rFonts w:ascii="Arial" w:cs="Arial" w:eastAsia="Arial" w:hAnsi="Arial"/>
                <w:sz w:val="10"/>
                <w:szCs w:val="10"/>
                <w:color w:val="auto"/>
              </w:rPr>
              <w:t>Other operating expense</w:t>
            </w:r>
          </w:p>
        </w:tc>
        <w:tc>
          <w:tcPr>
            <w:tcW w:w="30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(23,636)</w:t>
            </w:r>
          </w:p>
        </w:tc>
        <w:tc>
          <w:tcPr>
            <w:tcW w:w="940" w:type="dxa"/>
            <w:vAlign w:val="bottom"/>
            <w:shd w:val="clear" w:color="auto" w:fill="CCEEFF"/>
          </w:tcPr>
          <w:p>
            <w:pPr>
              <w:jc w:val="right"/>
              <w:ind w:right="209"/>
              <w:spacing w:after="0" w:line="109" w:lineRule="exact"/>
              <w:rPr>
                <w:sz w:val="20"/>
                <w:szCs w:val="20"/>
                <w:color w:val="auto"/>
              </w:rPr>
            </w:pPr>
            <w:r>
              <w:rPr>
                <w:rFonts w:ascii="Arial" w:cs="Arial" w:eastAsia="Arial" w:hAnsi="Arial"/>
                <w:sz w:val="10"/>
                <w:szCs w:val="10"/>
                <w:i w:val="1"/>
                <w:iCs w:val="1"/>
                <w:color w:val="auto"/>
              </w:rPr>
              <w:t>(39)%</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(18,631)</w:t>
            </w:r>
          </w:p>
        </w:tc>
        <w:tc>
          <w:tcPr>
            <w:tcW w:w="106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(69)%</w:t>
            </w: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(27) %</w:t>
            </w:r>
          </w:p>
        </w:tc>
      </w:tr>
      <w:tr>
        <w:trPr>
          <w:trHeight w:val="99"/>
        </w:trPr>
        <w:tc>
          <w:tcPr>
            <w:tcW w:w="15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ind w:right="189"/>
              <w:spacing w:after="0" w:line="100" w:lineRule="exact"/>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(67,411)</w:t>
            </w:r>
          </w:p>
        </w:tc>
        <w:tc>
          <w:tcPr>
            <w:tcW w:w="220" w:type="dxa"/>
            <w:vAlign w:val="bottom"/>
          </w:tcPr>
          <w:p>
            <w:pPr>
              <w:spacing w:after="0"/>
              <w:rPr>
                <w:sz w:val="8"/>
                <w:szCs w:val="8"/>
                <w:color w:val="auto"/>
              </w:rPr>
            </w:pPr>
          </w:p>
        </w:tc>
        <w:tc>
          <w:tcPr>
            <w:tcW w:w="940" w:type="dxa"/>
            <w:vAlign w:val="bottom"/>
          </w:tcPr>
          <w:p>
            <w:pPr>
              <w:jc w:val="right"/>
              <w:ind w:right="209"/>
              <w:spacing w:after="0" w:line="100" w:lineRule="exact"/>
              <w:rPr>
                <w:sz w:val="20"/>
                <w:szCs w:val="20"/>
                <w:color w:val="auto"/>
              </w:rPr>
            </w:pPr>
            <w:r>
              <w:rPr>
                <w:rFonts w:ascii="Arial" w:cs="Arial" w:eastAsia="Arial" w:hAnsi="Arial"/>
                <w:sz w:val="10"/>
                <w:szCs w:val="10"/>
                <w:i w:val="1"/>
                <w:iCs w:val="1"/>
                <w:color w:val="auto"/>
              </w:rPr>
              <w:t>(113)%</w:t>
            </w:r>
          </w:p>
        </w:tc>
        <w:tc>
          <w:tcPr>
            <w:tcW w:w="220" w:type="dxa"/>
            <w:vAlign w:val="bottom"/>
          </w:tcPr>
          <w:p>
            <w:pPr>
              <w:spacing w:after="0"/>
              <w:rPr>
                <w:sz w:val="8"/>
                <w:szCs w:val="8"/>
                <w:color w:val="auto"/>
              </w:rPr>
            </w:pPr>
          </w:p>
        </w:tc>
        <w:tc>
          <w:tcPr>
            <w:tcW w:w="160" w:type="dxa"/>
            <w:vAlign w:val="bottom"/>
            <w:tcBorders>
              <w:top w:val="single" w:sz="8" w:color="auto"/>
            </w:tcBorders>
          </w:tcPr>
          <w:p>
            <w:pPr>
              <w:jc w:val="right"/>
              <w:ind w:right="95"/>
              <w:spacing w:after="0"/>
              <w:rPr>
                <w:sz w:val="20"/>
                <w:szCs w:val="20"/>
                <w:color w:val="auto"/>
              </w:rPr>
            </w:pPr>
            <w:r>
              <w:rPr>
                <w:rFonts w:ascii="Arial" w:cs="Arial" w:eastAsia="Arial" w:hAnsi="Arial"/>
                <w:sz w:val="5"/>
                <w:szCs w:val="5"/>
                <w:b w:val="1"/>
                <w:bCs w:val="1"/>
                <w:color w:val="auto"/>
                <w:w w:val="70"/>
              </w:rPr>
              <w:t>$</w:t>
            </w:r>
          </w:p>
        </w:tc>
        <w:tc>
          <w:tcPr>
            <w:tcW w:w="110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(56,030)</w:t>
            </w:r>
          </w:p>
        </w:tc>
        <w:tc>
          <w:tcPr>
            <w:tcW w:w="20" w:type="dxa"/>
            <w:vAlign w:val="bottom"/>
          </w:tcPr>
          <w:p>
            <w:pPr>
              <w:spacing w:after="0"/>
              <w:rPr>
                <w:sz w:val="8"/>
                <w:szCs w:val="8"/>
                <w:color w:val="auto"/>
              </w:rPr>
            </w:pPr>
          </w:p>
        </w:tc>
        <w:tc>
          <w:tcPr>
            <w:tcW w:w="1060" w:type="dxa"/>
            <w:vAlign w:val="bottom"/>
            <w:gridSpan w:val="2"/>
          </w:tcPr>
          <w:p>
            <w:pPr>
              <w:jc w:val="right"/>
              <w:ind w:right="149"/>
              <w:spacing w:after="0" w:line="100" w:lineRule="exact"/>
              <w:rPr>
                <w:sz w:val="20"/>
                <w:szCs w:val="20"/>
                <w:color w:val="auto"/>
              </w:rPr>
            </w:pPr>
            <w:r>
              <w:rPr>
                <w:rFonts w:ascii="Arial" w:cs="Arial" w:eastAsia="Arial" w:hAnsi="Arial"/>
                <w:sz w:val="10"/>
                <w:szCs w:val="10"/>
                <w:i w:val="1"/>
                <w:iCs w:val="1"/>
                <w:color w:val="auto"/>
              </w:rPr>
              <w:t>(204)%</w:t>
            </w:r>
          </w:p>
        </w:tc>
        <w:tc>
          <w:tcPr>
            <w:tcW w:w="220" w:type="dxa"/>
            <w:vAlign w:val="bottom"/>
          </w:tcPr>
          <w:p>
            <w:pPr>
              <w:spacing w:after="0"/>
              <w:rPr>
                <w:sz w:val="8"/>
                <w:szCs w:val="8"/>
                <w:color w:val="auto"/>
              </w:rPr>
            </w:pPr>
          </w:p>
        </w:tc>
        <w:tc>
          <w:tcPr>
            <w:tcW w:w="1020" w:type="dxa"/>
            <w:vAlign w:val="bottom"/>
          </w:tcPr>
          <w:p>
            <w:pPr>
              <w:jc w:val="right"/>
              <w:ind w:right="69"/>
              <w:spacing w:after="0" w:line="100" w:lineRule="exact"/>
              <w:rPr>
                <w:sz w:val="20"/>
                <w:szCs w:val="20"/>
                <w:color w:val="auto"/>
              </w:rPr>
            </w:pPr>
            <w:r>
              <w:rPr>
                <w:rFonts w:ascii="Arial" w:cs="Arial" w:eastAsia="Arial" w:hAnsi="Arial"/>
                <w:sz w:val="10"/>
                <w:szCs w:val="10"/>
                <w:color w:val="auto"/>
              </w:rPr>
              <w:t>(20) %</w:t>
            </w:r>
          </w:p>
        </w:tc>
      </w:tr>
      <w:tr>
        <w:trPr>
          <w:trHeight w:val="108"/>
        </w:trPr>
        <w:tc>
          <w:tcPr>
            <w:tcW w:w="1520" w:type="dxa"/>
            <w:vAlign w:val="bottom"/>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Australia</w:t>
            </w:r>
          </w:p>
        </w:tc>
        <w:tc>
          <w:tcPr>
            <w:tcW w:w="3520" w:type="dxa"/>
            <w:vAlign w:val="bottom"/>
            <w:gridSpan w:val="2"/>
            <w:shd w:val="clear" w:color="auto" w:fill="CCEEFF"/>
          </w:tcPr>
          <w:p>
            <w:pPr>
              <w:ind w:left="40"/>
              <w:spacing w:after="0" w:line="109" w:lineRule="exact"/>
              <w:rPr>
                <w:sz w:val="20"/>
                <w:szCs w:val="20"/>
                <w:color w:val="auto"/>
              </w:rPr>
            </w:pPr>
            <w:r>
              <w:rPr>
                <w:rFonts w:ascii="Arial" w:cs="Arial" w:eastAsia="Arial" w:hAnsi="Arial"/>
                <w:sz w:val="10"/>
                <w:szCs w:val="10"/>
                <w:color w:val="auto"/>
              </w:rPr>
              <w:t>Film rent and advertising cost</w:t>
            </w:r>
          </w:p>
        </w:tc>
        <w:tc>
          <w:tcPr>
            <w:tcW w:w="30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(14,568)</w:t>
            </w:r>
          </w:p>
        </w:tc>
        <w:tc>
          <w:tcPr>
            <w:tcW w:w="940" w:type="dxa"/>
            <w:vAlign w:val="bottom"/>
            <w:shd w:val="clear" w:color="auto" w:fill="CCEEFF"/>
          </w:tcPr>
          <w:p>
            <w:pPr>
              <w:jc w:val="right"/>
              <w:ind w:right="209"/>
              <w:spacing w:after="0" w:line="109" w:lineRule="exact"/>
              <w:rPr>
                <w:sz w:val="20"/>
                <w:szCs w:val="20"/>
                <w:color w:val="auto"/>
              </w:rPr>
            </w:pPr>
            <w:r>
              <w:rPr>
                <w:rFonts w:ascii="Arial" w:cs="Arial" w:eastAsia="Arial" w:hAnsi="Arial"/>
                <w:sz w:val="10"/>
                <w:szCs w:val="10"/>
                <w:i w:val="1"/>
                <w:iCs w:val="1"/>
                <w:color w:val="auto"/>
              </w:rPr>
              <w:t>(26)%</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jc w:val="right"/>
              <w:ind w:right="95"/>
              <w:spacing w:after="0"/>
              <w:rPr>
                <w:sz w:val="20"/>
                <w:szCs w:val="20"/>
                <w:color w:val="auto"/>
              </w:rPr>
            </w:pPr>
            <w:r>
              <w:rPr>
                <w:rFonts w:ascii="Arial" w:cs="Arial" w:eastAsia="Arial" w:hAnsi="Arial"/>
                <w:sz w:val="5"/>
                <w:szCs w:val="5"/>
                <w:color w:val="auto"/>
                <w:w w:val="70"/>
              </w:rPr>
              <w:t>$</w:t>
            </w:r>
          </w:p>
        </w:tc>
        <w:tc>
          <w:tcPr>
            <w:tcW w:w="112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(8,605)</w:t>
            </w:r>
          </w:p>
        </w:tc>
        <w:tc>
          <w:tcPr>
            <w:tcW w:w="106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(26)%</w:t>
            </w: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(69) %</w:t>
            </w:r>
          </w:p>
        </w:tc>
      </w:tr>
      <w:tr>
        <w:trPr>
          <w:trHeight w:val="108"/>
        </w:trPr>
        <w:tc>
          <w:tcPr>
            <w:tcW w:w="1520" w:type="dxa"/>
            <w:vAlign w:val="bottom"/>
          </w:tcPr>
          <w:p>
            <w:pPr>
              <w:spacing w:after="0"/>
              <w:rPr>
                <w:sz w:val="9"/>
                <w:szCs w:val="9"/>
                <w:color w:val="auto"/>
              </w:rPr>
            </w:pPr>
          </w:p>
        </w:tc>
        <w:tc>
          <w:tcPr>
            <w:tcW w:w="3520" w:type="dxa"/>
            <w:vAlign w:val="bottom"/>
            <w:gridSpan w:val="2"/>
          </w:tcPr>
          <w:p>
            <w:pPr>
              <w:ind w:left="40"/>
              <w:spacing w:after="0" w:line="109" w:lineRule="exact"/>
              <w:rPr>
                <w:sz w:val="20"/>
                <w:szCs w:val="20"/>
                <w:color w:val="auto"/>
              </w:rPr>
            </w:pPr>
            <w:r>
              <w:rPr>
                <w:rFonts w:ascii="Arial" w:cs="Arial" w:eastAsia="Arial" w:hAnsi="Arial"/>
                <w:sz w:val="10"/>
                <w:szCs w:val="10"/>
                <w:color w:val="auto"/>
              </w:rPr>
              <w:t>Food &amp; beverage cost</w:t>
            </w:r>
          </w:p>
        </w:tc>
        <w:tc>
          <w:tcPr>
            <w:tcW w:w="300" w:type="dxa"/>
            <w:vAlign w:val="bottom"/>
          </w:tcPr>
          <w:p>
            <w:pPr>
              <w:spacing w:after="0"/>
              <w:rPr>
                <w:sz w:val="9"/>
                <w:szCs w:val="9"/>
                <w:color w:val="auto"/>
              </w:rPr>
            </w:pPr>
          </w:p>
        </w:tc>
        <w:tc>
          <w:tcPr>
            <w:tcW w:w="1200" w:type="dxa"/>
            <w:vAlign w:val="bottom"/>
            <w:gridSpan w:val="2"/>
          </w:tcPr>
          <w:p>
            <w:pPr>
              <w:jc w:val="right"/>
              <w:ind w:right="220"/>
              <w:spacing w:after="0" w:line="109" w:lineRule="exact"/>
              <w:rPr>
                <w:sz w:val="20"/>
                <w:szCs w:val="20"/>
                <w:color w:val="auto"/>
              </w:rPr>
            </w:pPr>
            <w:r>
              <w:rPr>
                <w:rFonts w:ascii="Arial" w:cs="Arial" w:eastAsia="Arial" w:hAnsi="Arial"/>
                <w:sz w:val="10"/>
                <w:szCs w:val="10"/>
                <w:color w:val="auto"/>
              </w:rPr>
              <w:t>(3,989)</w:t>
            </w:r>
          </w:p>
        </w:tc>
        <w:tc>
          <w:tcPr>
            <w:tcW w:w="940" w:type="dxa"/>
            <w:vAlign w:val="bottom"/>
          </w:tcPr>
          <w:p>
            <w:pPr>
              <w:jc w:val="right"/>
              <w:ind w:right="209"/>
              <w:spacing w:after="0" w:line="109" w:lineRule="exact"/>
              <w:rPr>
                <w:sz w:val="20"/>
                <w:szCs w:val="20"/>
                <w:color w:val="auto"/>
              </w:rPr>
            </w:pPr>
            <w:r>
              <w:rPr>
                <w:rFonts w:ascii="Arial" w:cs="Arial" w:eastAsia="Arial" w:hAnsi="Arial"/>
                <w:sz w:val="10"/>
                <w:szCs w:val="10"/>
                <w:i w:val="1"/>
                <w:iCs w:val="1"/>
                <w:color w:val="auto"/>
              </w:rPr>
              <w:t>(7)%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(2,276)</w:t>
            </w:r>
          </w:p>
        </w:tc>
        <w:tc>
          <w:tcPr>
            <w:tcW w:w="106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(7)%</w:t>
            </w:r>
          </w:p>
        </w:tc>
        <w:tc>
          <w:tcPr>
            <w:tcW w:w="22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(75) %</w:t>
            </w:r>
          </w:p>
        </w:tc>
      </w:tr>
      <w:tr>
        <w:trPr>
          <w:trHeight w:val="108"/>
        </w:trPr>
        <w:tc>
          <w:tcPr>
            <w:tcW w:w="1520" w:type="dxa"/>
            <w:vAlign w:val="bottom"/>
            <w:shd w:val="clear" w:color="auto" w:fill="CCEEFF"/>
          </w:tcPr>
          <w:p>
            <w:pPr>
              <w:spacing w:after="0"/>
              <w:rPr>
                <w:sz w:val="9"/>
                <w:szCs w:val="9"/>
                <w:color w:val="auto"/>
              </w:rPr>
            </w:pPr>
          </w:p>
        </w:tc>
        <w:tc>
          <w:tcPr>
            <w:tcW w:w="3520" w:type="dxa"/>
            <w:vAlign w:val="bottom"/>
            <w:gridSpan w:val="2"/>
            <w:shd w:val="clear" w:color="auto" w:fill="CCEEFF"/>
          </w:tcPr>
          <w:p>
            <w:pPr>
              <w:ind w:left="40"/>
              <w:spacing w:after="0" w:line="109" w:lineRule="exact"/>
              <w:rPr>
                <w:sz w:val="20"/>
                <w:szCs w:val="20"/>
                <w:color w:val="auto"/>
              </w:rPr>
            </w:pPr>
            <w:r>
              <w:rPr>
                <w:rFonts w:ascii="Arial" w:cs="Arial" w:eastAsia="Arial" w:hAnsi="Arial"/>
                <w:sz w:val="10"/>
                <w:szCs w:val="10"/>
                <w:color w:val="auto"/>
              </w:rPr>
              <w:t>Occupancy expense</w:t>
            </w:r>
          </w:p>
        </w:tc>
        <w:tc>
          <w:tcPr>
            <w:tcW w:w="30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(10,036)</w:t>
            </w:r>
          </w:p>
        </w:tc>
        <w:tc>
          <w:tcPr>
            <w:tcW w:w="940" w:type="dxa"/>
            <w:vAlign w:val="bottom"/>
            <w:shd w:val="clear" w:color="auto" w:fill="CCEEFF"/>
          </w:tcPr>
          <w:p>
            <w:pPr>
              <w:jc w:val="right"/>
              <w:ind w:right="209"/>
              <w:spacing w:after="0" w:line="109" w:lineRule="exact"/>
              <w:rPr>
                <w:sz w:val="20"/>
                <w:szCs w:val="20"/>
                <w:color w:val="auto"/>
              </w:rPr>
            </w:pPr>
            <w:r>
              <w:rPr>
                <w:rFonts w:ascii="Arial" w:cs="Arial" w:eastAsia="Arial" w:hAnsi="Arial"/>
                <w:sz w:val="10"/>
                <w:szCs w:val="10"/>
                <w:i w:val="1"/>
                <w:iCs w:val="1"/>
                <w:color w:val="auto"/>
              </w:rPr>
              <w:t>(18)%</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(8,484)</w:t>
            </w:r>
          </w:p>
        </w:tc>
        <w:tc>
          <w:tcPr>
            <w:tcW w:w="106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(26)%</w:t>
            </w: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(18) %</w:t>
            </w:r>
          </w:p>
        </w:tc>
      </w:tr>
      <w:tr>
        <w:trPr>
          <w:trHeight w:val="108"/>
        </w:trPr>
        <w:tc>
          <w:tcPr>
            <w:tcW w:w="1520" w:type="dxa"/>
            <w:vAlign w:val="bottom"/>
          </w:tcPr>
          <w:p>
            <w:pPr>
              <w:spacing w:after="0"/>
              <w:rPr>
                <w:sz w:val="9"/>
                <w:szCs w:val="9"/>
                <w:color w:val="auto"/>
              </w:rPr>
            </w:pPr>
          </w:p>
        </w:tc>
        <w:tc>
          <w:tcPr>
            <w:tcW w:w="3520" w:type="dxa"/>
            <w:vAlign w:val="bottom"/>
            <w:gridSpan w:val="2"/>
          </w:tcPr>
          <w:p>
            <w:pPr>
              <w:ind w:left="40"/>
              <w:spacing w:after="0" w:line="109" w:lineRule="exact"/>
              <w:rPr>
                <w:sz w:val="20"/>
                <w:szCs w:val="20"/>
                <w:color w:val="auto"/>
              </w:rPr>
            </w:pPr>
            <w:r>
              <w:rPr>
                <w:rFonts w:ascii="Arial" w:cs="Arial" w:eastAsia="Arial" w:hAnsi="Arial"/>
                <w:sz w:val="10"/>
                <w:szCs w:val="10"/>
                <w:color w:val="auto"/>
              </w:rPr>
              <w:t>Other operating expense</w:t>
            </w:r>
          </w:p>
        </w:tc>
        <w:tc>
          <w:tcPr>
            <w:tcW w:w="300" w:type="dxa"/>
            <w:vAlign w:val="bottom"/>
          </w:tcPr>
          <w:p>
            <w:pPr>
              <w:spacing w:after="0"/>
              <w:rPr>
                <w:sz w:val="9"/>
                <w:szCs w:val="9"/>
                <w:color w:val="auto"/>
              </w:rPr>
            </w:pPr>
          </w:p>
        </w:tc>
        <w:tc>
          <w:tcPr>
            <w:tcW w:w="1200" w:type="dxa"/>
            <w:vAlign w:val="bottom"/>
            <w:gridSpan w:val="2"/>
          </w:tcPr>
          <w:p>
            <w:pPr>
              <w:jc w:val="right"/>
              <w:ind w:right="220"/>
              <w:spacing w:after="0" w:line="109" w:lineRule="exact"/>
              <w:rPr>
                <w:sz w:val="20"/>
                <w:szCs w:val="20"/>
                <w:color w:val="auto"/>
              </w:rPr>
            </w:pPr>
            <w:r>
              <w:rPr>
                <w:rFonts w:ascii="Arial" w:cs="Arial" w:eastAsia="Arial" w:hAnsi="Arial"/>
                <w:sz w:val="10"/>
                <w:szCs w:val="10"/>
                <w:color w:val="auto"/>
              </w:rPr>
              <w:t>(17,437)</w:t>
            </w:r>
          </w:p>
        </w:tc>
        <w:tc>
          <w:tcPr>
            <w:tcW w:w="940" w:type="dxa"/>
            <w:vAlign w:val="bottom"/>
          </w:tcPr>
          <w:p>
            <w:pPr>
              <w:jc w:val="right"/>
              <w:ind w:right="209"/>
              <w:spacing w:after="0" w:line="109" w:lineRule="exact"/>
              <w:rPr>
                <w:sz w:val="20"/>
                <w:szCs w:val="20"/>
                <w:color w:val="auto"/>
              </w:rPr>
            </w:pPr>
            <w:r>
              <w:rPr>
                <w:rFonts w:ascii="Arial" w:cs="Arial" w:eastAsia="Arial" w:hAnsi="Arial"/>
                <w:sz w:val="10"/>
                <w:szCs w:val="10"/>
                <w:i w:val="1"/>
                <w:iCs w:val="1"/>
                <w:color w:val="auto"/>
              </w:rPr>
              <w:t>(32)%</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(10,705)</w:t>
            </w:r>
          </w:p>
        </w:tc>
        <w:tc>
          <w:tcPr>
            <w:tcW w:w="106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(33)%</w:t>
            </w:r>
          </w:p>
        </w:tc>
        <w:tc>
          <w:tcPr>
            <w:tcW w:w="22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(63) %</w:t>
            </w:r>
          </w:p>
        </w:tc>
      </w:tr>
      <w:tr>
        <w:trPr>
          <w:trHeight w:val="99"/>
        </w:trPr>
        <w:tc>
          <w:tcPr>
            <w:tcW w:w="1520" w:type="dxa"/>
            <w:vAlign w:val="bottom"/>
            <w:tcBorders>
              <w:top w:val="single" w:sz="8" w:color="CCEEFF"/>
            </w:tcBorders>
            <w:shd w:val="clear" w:color="auto" w:fill="CCEEFF"/>
          </w:tcPr>
          <w:p>
            <w:pPr>
              <w:spacing w:after="0"/>
              <w:rPr>
                <w:sz w:val="8"/>
                <w:szCs w:val="8"/>
                <w:color w:val="auto"/>
              </w:rPr>
            </w:pPr>
          </w:p>
        </w:tc>
        <w:tc>
          <w:tcPr>
            <w:tcW w:w="33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jc w:val="right"/>
              <w:ind w:right="189"/>
              <w:spacing w:after="0" w:line="100" w:lineRule="exact"/>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(46,030)</w:t>
            </w:r>
          </w:p>
        </w:tc>
        <w:tc>
          <w:tcPr>
            <w:tcW w:w="22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CCEEFF"/>
            </w:tcBorders>
            <w:shd w:val="clear" w:color="auto" w:fill="CCEEFF"/>
          </w:tcPr>
          <w:p>
            <w:pPr>
              <w:jc w:val="right"/>
              <w:ind w:right="209"/>
              <w:spacing w:after="0" w:line="100" w:lineRule="exact"/>
              <w:rPr>
                <w:sz w:val="20"/>
                <w:szCs w:val="20"/>
                <w:color w:val="auto"/>
              </w:rPr>
            </w:pPr>
            <w:r>
              <w:rPr>
                <w:rFonts w:ascii="Arial" w:cs="Arial" w:eastAsia="Arial" w:hAnsi="Arial"/>
                <w:sz w:val="10"/>
                <w:szCs w:val="10"/>
                <w:i w:val="1"/>
                <w:iCs w:val="1"/>
                <w:color w:val="auto"/>
              </w:rPr>
              <w:t>(82)%</w:t>
            </w:r>
          </w:p>
        </w:tc>
        <w:tc>
          <w:tcPr>
            <w:tcW w:w="2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5"/>
                <w:szCs w:val="5"/>
                <w:b w:val="1"/>
                <w:bCs w:val="1"/>
                <w:color w:val="auto"/>
                <w:w w:val="70"/>
              </w:rPr>
              <w:t>$</w:t>
            </w:r>
          </w:p>
        </w:tc>
        <w:tc>
          <w:tcPr>
            <w:tcW w:w="110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(30,070)</w:t>
            </w:r>
          </w:p>
        </w:tc>
        <w:tc>
          <w:tcPr>
            <w:tcW w:w="2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CCEEFF"/>
            </w:tcBorders>
            <w:gridSpan w:val="2"/>
            <w:shd w:val="clear" w:color="auto" w:fill="CCEEFF"/>
          </w:tcPr>
          <w:p>
            <w:pPr>
              <w:jc w:val="right"/>
              <w:ind w:right="149"/>
              <w:spacing w:after="0" w:line="100" w:lineRule="exact"/>
              <w:rPr>
                <w:sz w:val="20"/>
                <w:szCs w:val="20"/>
                <w:color w:val="auto"/>
              </w:rPr>
            </w:pPr>
            <w:r>
              <w:rPr>
                <w:rFonts w:ascii="Arial" w:cs="Arial" w:eastAsia="Arial" w:hAnsi="Arial"/>
                <w:sz w:val="10"/>
                <w:szCs w:val="10"/>
                <w:i w:val="1"/>
                <w:iCs w:val="1"/>
                <w:color w:val="auto"/>
              </w:rPr>
              <w:t>(93)%</w:t>
            </w:r>
          </w:p>
        </w:tc>
        <w:tc>
          <w:tcPr>
            <w:tcW w:w="22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CCEEFF"/>
            </w:tcBorders>
            <w:shd w:val="clear" w:color="auto" w:fill="CCEEFF"/>
          </w:tcPr>
          <w:p>
            <w:pPr>
              <w:jc w:val="right"/>
              <w:ind w:right="69"/>
              <w:spacing w:after="0" w:line="100" w:lineRule="exact"/>
              <w:rPr>
                <w:sz w:val="20"/>
                <w:szCs w:val="20"/>
                <w:color w:val="auto"/>
              </w:rPr>
            </w:pPr>
            <w:r>
              <w:rPr>
                <w:rFonts w:ascii="Arial" w:cs="Arial" w:eastAsia="Arial" w:hAnsi="Arial"/>
                <w:sz w:val="10"/>
                <w:szCs w:val="10"/>
                <w:color w:val="auto"/>
              </w:rPr>
              <w:t>(53) %</w:t>
            </w:r>
          </w:p>
        </w:tc>
      </w:tr>
      <w:tr>
        <w:trPr>
          <w:trHeight w:val="108"/>
        </w:trPr>
        <w:tc>
          <w:tcPr>
            <w:tcW w:w="1520" w:type="dxa"/>
            <w:vAlign w:val="bottom"/>
          </w:tcPr>
          <w:p>
            <w:pPr>
              <w:ind w:left="220"/>
              <w:spacing w:after="0" w:line="109" w:lineRule="exact"/>
              <w:rPr>
                <w:sz w:val="20"/>
                <w:szCs w:val="20"/>
                <w:color w:val="auto"/>
              </w:rPr>
            </w:pPr>
            <w:r>
              <w:rPr>
                <w:rFonts w:ascii="Arial" w:cs="Arial" w:eastAsia="Arial" w:hAnsi="Arial"/>
                <w:sz w:val="10"/>
                <w:szCs w:val="10"/>
                <w:b w:val="1"/>
                <w:bCs w:val="1"/>
                <w:color w:val="auto"/>
              </w:rPr>
              <w:t>New Zealand</w:t>
            </w:r>
          </w:p>
        </w:tc>
        <w:tc>
          <w:tcPr>
            <w:tcW w:w="3520" w:type="dxa"/>
            <w:vAlign w:val="bottom"/>
            <w:gridSpan w:val="2"/>
          </w:tcPr>
          <w:p>
            <w:pPr>
              <w:ind w:left="40"/>
              <w:spacing w:after="0" w:line="109" w:lineRule="exact"/>
              <w:rPr>
                <w:sz w:val="20"/>
                <w:szCs w:val="20"/>
                <w:color w:val="auto"/>
              </w:rPr>
            </w:pPr>
            <w:r>
              <w:rPr>
                <w:rFonts w:ascii="Arial" w:cs="Arial" w:eastAsia="Arial" w:hAnsi="Arial"/>
                <w:sz w:val="10"/>
                <w:szCs w:val="10"/>
                <w:color w:val="auto"/>
              </w:rPr>
              <w:t>Film rent and advertising cost</w:t>
            </w:r>
          </w:p>
        </w:tc>
        <w:tc>
          <w:tcPr>
            <w:tcW w:w="300" w:type="dxa"/>
            <w:vAlign w:val="bottom"/>
          </w:tcPr>
          <w:p>
            <w:pPr>
              <w:jc w:val="right"/>
              <w:ind w:right="189"/>
              <w:spacing w:after="0" w:line="109" w:lineRule="exact"/>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20"/>
              <w:spacing w:after="0" w:line="109" w:lineRule="exact"/>
              <w:rPr>
                <w:sz w:val="20"/>
                <w:szCs w:val="20"/>
                <w:color w:val="auto"/>
              </w:rPr>
            </w:pPr>
            <w:r>
              <w:rPr>
                <w:rFonts w:ascii="Arial" w:cs="Arial" w:eastAsia="Arial" w:hAnsi="Arial"/>
                <w:sz w:val="10"/>
                <w:szCs w:val="10"/>
                <w:color w:val="auto"/>
              </w:rPr>
              <w:t>(3,220)</w:t>
            </w:r>
          </w:p>
        </w:tc>
        <w:tc>
          <w:tcPr>
            <w:tcW w:w="940" w:type="dxa"/>
            <w:vAlign w:val="bottom"/>
          </w:tcPr>
          <w:p>
            <w:pPr>
              <w:jc w:val="right"/>
              <w:ind w:right="209"/>
              <w:spacing w:after="0" w:line="109" w:lineRule="exact"/>
              <w:rPr>
                <w:sz w:val="20"/>
                <w:szCs w:val="20"/>
                <w:color w:val="auto"/>
              </w:rPr>
            </w:pPr>
            <w:r>
              <w:rPr>
                <w:rFonts w:ascii="Arial" w:cs="Arial" w:eastAsia="Arial" w:hAnsi="Arial"/>
                <w:sz w:val="10"/>
                <w:szCs w:val="10"/>
                <w:i w:val="1"/>
                <w:iCs w:val="1"/>
                <w:color w:val="auto"/>
              </w:rPr>
              <w:t>(28)%</w:t>
            </w:r>
          </w:p>
        </w:tc>
        <w:tc>
          <w:tcPr>
            <w:tcW w:w="220" w:type="dxa"/>
            <w:vAlign w:val="bottom"/>
          </w:tcPr>
          <w:p>
            <w:pPr>
              <w:spacing w:after="0"/>
              <w:rPr>
                <w:sz w:val="9"/>
                <w:szCs w:val="9"/>
                <w:color w:val="auto"/>
              </w:rPr>
            </w:pPr>
          </w:p>
        </w:tc>
        <w:tc>
          <w:tcPr>
            <w:tcW w:w="160" w:type="dxa"/>
            <w:vAlign w:val="bottom"/>
          </w:tcPr>
          <w:p>
            <w:pPr>
              <w:jc w:val="right"/>
              <w:ind w:right="95"/>
              <w:spacing w:after="0"/>
              <w:rPr>
                <w:sz w:val="20"/>
                <w:szCs w:val="20"/>
                <w:color w:val="auto"/>
              </w:rPr>
            </w:pPr>
            <w:r>
              <w:rPr>
                <w:rFonts w:ascii="Arial" w:cs="Arial" w:eastAsia="Arial" w:hAnsi="Arial"/>
                <w:sz w:val="5"/>
                <w:szCs w:val="5"/>
                <w:color w:val="auto"/>
                <w:w w:val="70"/>
              </w:rPr>
              <w:t>$</w:t>
            </w:r>
          </w:p>
        </w:tc>
        <w:tc>
          <w:tcPr>
            <w:tcW w:w="112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(1,991)</w:t>
            </w:r>
          </w:p>
        </w:tc>
        <w:tc>
          <w:tcPr>
            <w:tcW w:w="106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(28)%</w:t>
            </w:r>
          </w:p>
        </w:tc>
        <w:tc>
          <w:tcPr>
            <w:tcW w:w="22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(62) %</w:t>
            </w:r>
          </w:p>
        </w:tc>
      </w:tr>
      <w:tr>
        <w:trPr>
          <w:trHeight w:val="108"/>
        </w:trPr>
        <w:tc>
          <w:tcPr>
            <w:tcW w:w="1520" w:type="dxa"/>
            <w:vAlign w:val="bottom"/>
            <w:shd w:val="clear" w:color="auto" w:fill="CCEEFF"/>
          </w:tcPr>
          <w:p>
            <w:pPr>
              <w:spacing w:after="0"/>
              <w:rPr>
                <w:sz w:val="9"/>
                <w:szCs w:val="9"/>
                <w:color w:val="auto"/>
              </w:rPr>
            </w:pPr>
          </w:p>
        </w:tc>
        <w:tc>
          <w:tcPr>
            <w:tcW w:w="3520" w:type="dxa"/>
            <w:vAlign w:val="bottom"/>
            <w:gridSpan w:val="2"/>
            <w:shd w:val="clear" w:color="auto" w:fill="CCEEFF"/>
          </w:tcPr>
          <w:p>
            <w:pPr>
              <w:ind w:left="40"/>
              <w:spacing w:after="0" w:line="109" w:lineRule="exact"/>
              <w:rPr>
                <w:sz w:val="20"/>
                <w:szCs w:val="20"/>
                <w:color w:val="auto"/>
              </w:rPr>
            </w:pPr>
            <w:r>
              <w:rPr>
                <w:rFonts w:ascii="Arial" w:cs="Arial" w:eastAsia="Arial" w:hAnsi="Arial"/>
                <w:sz w:val="10"/>
                <w:szCs w:val="10"/>
                <w:color w:val="auto"/>
              </w:rPr>
              <w:t>Food &amp; beverage cost</w:t>
            </w:r>
          </w:p>
        </w:tc>
        <w:tc>
          <w:tcPr>
            <w:tcW w:w="30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(737)</w:t>
            </w:r>
          </w:p>
        </w:tc>
        <w:tc>
          <w:tcPr>
            <w:tcW w:w="940" w:type="dxa"/>
            <w:vAlign w:val="bottom"/>
            <w:shd w:val="clear" w:color="auto" w:fill="CCEEFF"/>
          </w:tcPr>
          <w:p>
            <w:pPr>
              <w:jc w:val="right"/>
              <w:ind w:right="209"/>
              <w:spacing w:after="0" w:line="109" w:lineRule="exact"/>
              <w:rPr>
                <w:sz w:val="20"/>
                <w:szCs w:val="20"/>
                <w:color w:val="auto"/>
              </w:rPr>
            </w:pPr>
            <w:r>
              <w:rPr>
                <w:rFonts w:ascii="Arial" w:cs="Arial" w:eastAsia="Arial" w:hAnsi="Arial"/>
                <w:sz w:val="10"/>
                <w:szCs w:val="10"/>
                <w:i w:val="1"/>
                <w:iCs w:val="1"/>
                <w:color w:val="auto"/>
              </w:rPr>
              <w:t>(6)%</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(432)</w:t>
            </w:r>
          </w:p>
        </w:tc>
        <w:tc>
          <w:tcPr>
            <w:tcW w:w="106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(6)%</w:t>
            </w: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(71) %</w:t>
            </w:r>
          </w:p>
        </w:tc>
      </w:tr>
      <w:tr>
        <w:trPr>
          <w:trHeight w:val="108"/>
        </w:trPr>
        <w:tc>
          <w:tcPr>
            <w:tcW w:w="1520" w:type="dxa"/>
            <w:vAlign w:val="bottom"/>
          </w:tcPr>
          <w:p>
            <w:pPr>
              <w:spacing w:after="0"/>
              <w:rPr>
                <w:sz w:val="9"/>
                <w:szCs w:val="9"/>
                <w:color w:val="auto"/>
              </w:rPr>
            </w:pPr>
          </w:p>
        </w:tc>
        <w:tc>
          <w:tcPr>
            <w:tcW w:w="3520" w:type="dxa"/>
            <w:vAlign w:val="bottom"/>
            <w:gridSpan w:val="2"/>
          </w:tcPr>
          <w:p>
            <w:pPr>
              <w:ind w:left="40"/>
              <w:spacing w:after="0" w:line="109" w:lineRule="exact"/>
              <w:rPr>
                <w:sz w:val="20"/>
                <w:szCs w:val="20"/>
                <w:color w:val="auto"/>
              </w:rPr>
            </w:pPr>
            <w:r>
              <w:rPr>
                <w:rFonts w:ascii="Arial" w:cs="Arial" w:eastAsia="Arial" w:hAnsi="Arial"/>
                <w:sz w:val="10"/>
                <w:szCs w:val="10"/>
                <w:color w:val="auto"/>
              </w:rPr>
              <w:t>Occupancy expense</w:t>
            </w:r>
          </w:p>
        </w:tc>
        <w:tc>
          <w:tcPr>
            <w:tcW w:w="300" w:type="dxa"/>
            <w:vAlign w:val="bottom"/>
          </w:tcPr>
          <w:p>
            <w:pPr>
              <w:spacing w:after="0"/>
              <w:rPr>
                <w:sz w:val="9"/>
                <w:szCs w:val="9"/>
                <w:color w:val="auto"/>
              </w:rPr>
            </w:pPr>
          </w:p>
        </w:tc>
        <w:tc>
          <w:tcPr>
            <w:tcW w:w="1200" w:type="dxa"/>
            <w:vAlign w:val="bottom"/>
            <w:gridSpan w:val="2"/>
          </w:tcPr>
          <w:p>
            <w:pPr>
              <w:jc w:val="right"/>
              <w:ind w:right="220"/>
              <w:spacing w:after="0" w:line="109" w:lineRule="exact"/>
              <w:rPr>
                <w:sz w:val="20"/>
                <w:szCs w:val="20"/>
                <w:color w:val="auto"/>
              </w:rPr>
            </w:pPr>
            <w:r>
              <w:rPr>
                <w:rFonts w:ascii="Arial" w:cs="Arial" w:eastAsia="Arial" w:hAnsi="Arial"/>
                <w:sz w:val="10"/>
                <w:szCs w:val="10"/>
                <w:color w:val="auto"/>
              </w:rPr>
              <w:t>(1,957)</w:t>
            </w:r>
          </w:p>
        </w:tc>
        <w:tc>
          <w:tcPr>
            <w:tcW w:w="940" w:type="dxa"/>
            <w:vAlign w:val="bottom"/>
          </w:tcPr>
          <w:p>
            <w:pPr>
              <w:jc w:val="right"/>
              <w:ind w:right="209"/>
              <w:spacing w:after="0" w:line="109" w:lineRule="exact"/>
              <w:rPr>
                <w:sz w:val="20"/>
                <w:szCs w:val="20"/>
                <w:color w:val="auto"/>
              </w:rPr>
            </w:pPr>
            <w:r>
              <w:rPr>
                <w:rFonts w:ascii="Arial" w:cs="Arial" w:eastAsia="Arial" w:hAnsi="Arial"/>
                <w:sz w:val="10"/>
                <w:szCs w:val="10"/>
                <w:i w:val="1"/>
                <w:iCs w:val="1"/>
                <w:color w:val="auto"/>
              </w:rPr>
              <w:t>(17)%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(1,692)</w:t>
            </w:r>
          </w:p>
        </w:tc>
        <w:tc>
          <w:tcPr>
            <w:tcW w:w="106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(24)%</w:t>
            </w:r>
          </w:p>
        </w:tc>
        <w:tc>
          <w:tcPr>
            <w:tcW w:w="22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(16) %</w:t>
            </w:r>
          </w:p>
        </w:tc>
      </w:tr>
      <w:tr>
        <w:trPr>
          <w:trHeight w:val="108"/>
        </w:trPr>
        <w:tc>
          <w:tcPr>
            <w:tcW w:w="1520" w:type="dxa"/>
            <w:vAlign w:val="bottom"/>
            <w:shd w:val="clear" w:color="auto" w:fill="CCEEFF"/>
          </w:tcPr>
          <w:p>
            <w:pPr>
              <w:spacing w:after="0"/>
              <w:rPr>
                <w:sz w:val="9"/>
                <w:szCs w:val="9"/>
                <w:color w:val="auto"/>
              </w:rPr>
            </w:pPr>
          </w:p>
        </w:tc>
        <w:tc>
          <w:tcPr>
            <w:tcW w:w="3520" w:type="dxa"/>
            <w:vAlign w:val="bottom"/>
            <w:gridSpan w:val="2"/>
            <w:shd w:val="clear" w:color="auto" w:fill="CCEEFF"/>
          </w:tcPr>
          <w:p>
            <w:pPr>
              <w:ind w:left="40"/>
              <w:spacing w:after="0" w:line="109" w:lineRule="exact"/>
              <w:rPr>
                <w:sz w:val="20"/>
                <w:szCs w:val="20"/>
                <w:color w:val="auto"/>
              </w:rPr>
            </w:pPr>
            <w:r>
              <w:rPr>
                <w:rFonts w:ascii="Arial" w:cs="Arial" w:eastAsia="Arial" w:hAnsi="Arial"/>
                <w:sz w:val="10"/>
                <w:szCs w:val="10"/>
                <w:color w:val="auto"/>
              </w:rPr>
              <w:t>Other operating expense</w:t>
            </w:r>
          </w:p>
        </w:tc>
        <w:tc>
          <w:tcPr>
            <w:tcW w:w="30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(4,061)</w:t>
            </w:r>
          </w:p>
        </w:tc>
        <w:tc>
          <w:tcPr>
            <w:tcW w:w="940" w:type="dxa"/>
            <w:vAlign w:val="bottom"/>
            <w:shd w:val="clear" w:color="auto" w:fill="CCEEFF"/>
          </w:tcPr>
          <w:p>
            <w:pPr>
              <w:jc w:val="right"/>
              <w:ind w:right="209"/>
              <w:spacing w:after="0" w:line="109" w:lineRule="exact"/>
              <w:rPr>
                <w:sz w:val="20"/>
                <w:szCs w:val="20"/>
                <w:color w:val="auto"/>
              </w:rPr>
            </w:pPr>
            <w:r>
              <w:rPr>
                <w:rFonts w:ascii="Arial" w:cs="Arial" w:eastAsia="Arial" w:hAnsi="Arial"/>
                <w:sz w:val="10"/>
                <w:szCs w:val="10"/>
                <w:i w:val="1"/>
                <w:iCs w:val="1"/>
                <w:color w:val="auto"/>
              </w:rPr>
              <w:t>(35)%</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(2,966)</w:t>
            </w:r>
          </w:p>
        </w:tc>
        <w:tc>
          <w:tcPr>
            <w:tcW w:w="106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(42)%</w:t>
            </w: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(37) %</w:t>
            </w:r>
          </w:p>
        </w:tc>
      </w:tr>
      <w:tr>
        <w:trPr>
          <w:trHeight w:val="99"/>
        </w:trPr>
        <w:tc>
          <w:tcPr>
            <w:tcW w:w="15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ind w:right="189"/>
              <w:spacing w:after="0" w:line="100" w:lineRule="exact"/>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(9,975)</w:t>
            </w:r>
          </w:p>
        </w:tc>
        <w:tc>
          <w:tcPr>
            <w:tcW w:w="220" w:type="dxa"/>
            <w:vAlign w:val="bottom"/>
          </w:tcPr>
          <w:p>
            <w:pPr>
              <w:spacing w:after="0"/>
              <w:rPr>
                <w:sz w:val="8"/>
                <w:szCs w:val="8"/>
                <w:color w:val="auto"/>
              </w:rPr>
            </w:pPr>
          </w:p>
        </w:tc>
        <w:tc>
          <w:tcPr>
            <w:tcW w:w="940" w:type="dxa"/>
            <w:vAlign w:val="bottom"/>
          </w:tcPr>
          <w:p>
            <w:pPr>
              <w:jc w:val="right"/>
              <w:ind w:right="209"/>
              <w:spacing w:after="0" w:line="100" w:lineRule="exact"/>
              <w:rPr>
                <w:sz w:val="20"/>
                <w:szCs w:val="20"/>
                <w:color w:val="auto"/>
              </w:rPr>
            </w:pPr>
            <w:r>
              <w:rPr>
                <w:rFonts w:ascii="Arial" w:cs="Arial" w:eastAsia="Arial" w:hAnsi="Arial"/>
                <w:sz w:val="10"/>
                <w:szCs w:val="10"/>
                <w:i w:val="1"/>
                <w:iCs w:val="1"/>
                <w:color w:val="auto"/>
              </w:rPr>
              <w:t>(86)%</w:t>
            </w:r>
          </w:p>
        </w:tc>
        <w:tc>
          <w:tcPr>
            <w:tcW w:w="220" w:type="dxa"/>
            <w:vAlign w:val="bottom"/>
          </w:tcPr>
          <w:p>
            <w:pPr>
              <w:spacing w:after="0"/>
              <w:rPr>
                <w:sz w:val="8"/>
                <w:szCs w:val="8"/>
                <w:color w:val="auto"/>
              </w:rPr>
            </w:pPr>
          </w:p>
        </w:tc>
        <w:tc>
          <w:tcPr>
            <w:tcW w:w="160" w:type="dxa"/>
            <w:vAlign w:val="bottom"/>
            <w:tcBorders>
              <w:top w:val="single" w:sz="8" w:color="auto"/>
            </w:tcBorders>
          </w:tcPr>
          <w:p>
            <w:pPr>
              <w:jc w:val="right"/>
              <w:ind w:right="95"/>
              <w:spacing w:after="0"/>
              <w:rPr>
                <w:sz w:val="20"/>
                <w:szCs w:val="20"/>
                <w:color w:val="auto"/>
              </w:rPr>
            </w:pPr>
            <w:r>
              <w:rPr>
                <w:rFonts w:ascii="Arial" w:cs="Arial" w:eastAsia="Arial" w:hAnsi="Arial"/>
                <w:sz w:val="5"/>
                <w:szCs w:val="5"/>
                <w:b w:val="1"/>
                <w:bCs w:val="1"/>
                <w:color w:val="auto"/>
                <w:w w:val="70"/>
              </w:rPr>
              <w:t>$</w:t>
            </w:r>
          </w:p>
        </w:tc>
        <w:tc>
          <w:tcPr>
            <w:tcW w:w="110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(7,081)</w:t>
            </w:r>
          </w:p>
        </w:tc>
        <w:tc>
          <w:tcPr>
            <w:tcW w:w="20" w:type="dxa"/>
            <w:vAlign w:val="bottom"/>
          </w:tcPr>
          <w:p>
            <w:pPr>
              <w:spacing w:after="0"/>
              <w:rPr>
                <w:sz w:val="8"/>
                <w:szCs w:val="8"/>
                <w:color w:val="auto"/>
              </w:rPr>
            </w:pPr>
          </w:p>
        </w:tc>
        <w:tc>
          <w:tcPr>
            <w:tcW w:w="1060" w:type="dxa"/>
            <w:vAlign w:val="bottom"/>
            <w:gridSpan w:val="2"/>
          </w:tcPr>
          <w:p>
            <w:pPr>
              <w:jc w:val="right"/>
              <w:ind w:right="149"/>
              <w:spacing w:after="0" w:line="100" w:lineRule="exact"/>
              <w:rPr>
                <w:sz w:val="20"/>
                <w:szCs w:val="20"/>
                <w:color w:val="auto"/>
              </w:rPr>
            </w:pPr>
            <w:r>
              <w:rPr>
                <w:rFonts w:ascii="Arial" w:cs="Arial" w:eastAsia="Arial" w:hAnsi="Arial"/>
                <w:sz w:val="10"/>
                <w:szCs w:val="10"/>
                <w:i w:val="1"/>
                <w:iCs w:val="1"/>
                <w:color w:val="auto"/>
              </w:rPr>
              <w:t>(99)%</w:t>
            </w:r>
          </w:p>
        </w:tc>
        <w:tc>
          <w:tcPr>
            <w:tcW w:w="220" w:type="dxa"/>
            <w:vAlign w:val="bottom"/>
          </w:tcPr>
          <w:p>
            <w:pPr>
              <w:spacing w:after="0"/>
              <w:rPr>
                <w:sz w:val="8"/>
                <w:szCs w:val="8"/>
                <w:color w:val="auto"/>
              </w:rPr>
            </w:pPr>
          </w:p>
        </w:tc>
        <w:tc>
          <w:tcPr>
            <w:tcW w:w="1020" w:type="dxa"/>
            <w:vAlign w:val="bottom"/>
          </w:tcPr>
          <w:p>
            <w:pPr>
              <w:jc w:val="right"/>
              <w:ind w:right="69"/>
              <w:spacing w:after="0" w:line="100" w:lineRule="exact"/>
              <w:rPr>
                <w:sz w:val="20"/>
                <w:szCs w:val="20"/>
                <w:color w:val="auto"/>
              </w:rPr>
            </w:pPr>
            <w:r>
              <w:rPr>
                <w:rFonts w:ascii="Arial" w:cs="Arial" w:eastAsia="Arial" w:hAnsi="Arial"/>
                <w:sz w:val="10"/>
                <w:szCs w:val="10"/>
                <w:color w:val="auto"/>
              </w:rPr>
              <w:t>(41) %</w:t>
            </w:r>
          </w:p>
        </w:tc>
      </w:tr>
      <w:tr>
        <w:trPr>
          <w:trHeight w:val="128"/>
        </w:trPr>
        <w:tc>
          <w:tcPr>
            <w:tcW w:w="1520" w:type="dxa"/>
            <w:vAlign w:val="bottom"/>
            <w:tcBorders>
              <w:bottom w:val="single" w:sz="8" w:color="CCEEFF"/>
            </w:tcBorders>
            <w:shd w:val="clear" w:color="auto" w:fill="CCEEFF"/>
          </w:tcPr>
          <w:p>
            <w:pPr>
              <w:spacing w:after="0"/>
              <w:rPr>
                <w:sz w:val="11"/>
                <w:szCs w:val="11"/>
                <w:color w:val="auto"/>
              </w:rPr>
            </w:pPr>
          </w:p>
        </w:tc>
        <w:tc>
          <w:tcPr>
            <w:tcW w:w="33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r>
      <w:tr>
        <w:trPr>
          <w:trHeight w:val="92"/>
        </w:trPr>
        <w:tc>
          <w:tcPr>
            <w:tcW w:w="1520" w:type="dxa"/>
            <w:vAlign w:val="bottom"/>
            <w:tcBorders>
              <w:bottom w:val="single" w:sz="8" w:color="CCEEFF"/>
            </w:tcBorders>
          </w:tcPr>
          <w:p>
            <w:pPr>
              <w:ind w:left="220"/>
              <w:spacing w:after="0" w:line="91" w:lineRule="exact"/>
              <w:rPr>
                <w:sz w:val="20"/>
                <w:szCs w:val="20"/>
                <w:color w:val="auto"/>
              </w:rPr>
            </w:pPr>
            <w:r>
              <w:rPr>
                <w:rFonts w:ascii="Arial" w:cs="Arial" w:eastAsia="Arial" w:hAnsi="Arial"/>
                <w:sz w:val="10"/>
                <w:szCs w:val="10"/>
                <w:b w:val="1"/>
                <w:bCs w:val="1"/>
                <w:color w:val="auto"/>
              </w:rPr>
              <w:t>Total operating expense</w:t>
            </w:r>
          </w:p>
        </w:tc>
        <w:tc>
          <w:tcPr>
            <w:tcW w:w="3320" w:type="dxa"/>
            <w:vAlign w:val="bottom"/>
            <w:tcBorders>
              <w:bottom w:val="single" w:sz="8" w:color="CCEEFF"/>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jc w:val="right"/>
              <w:ind w:right="189"/>
              <w:spacing w:after="0" w:line="91" w:lineRule="exact"/>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line="91" w:lineRule="exact"/>
              <w:rPr>
                <w:sz w:val="20"/>
                <w:szCs w:val="20"/>
                <w:color w:val="auto"/>
              </w:rPr>
            </w:pPr>
            <w:r>
              <w:rPr>
                <w:rFonts w:ascii="Arial" w:cs="Arial" w:eastAsia="Arial" w:hAnsi="Arial"/>
                <w:sz w:val="10"/>
                <w:szCs w:val="10"/>
                <w:b w:val="1"/>
                <w:bCs w:val="1"/>
                <w:color w:val="auto"/>
              </w:rPr>
              <w:t>(123,416)</w:t>
            </w:r>
          </w:p>
        </w:tc>
        <w:tc>
          <w:tcPr>
            <w:tcW w:w="220" w:type="dxa"/>
            <w:vAlign w:val="bottom"/>
            <w:tcBorders>
              <w:bottom w:val="single" w:sz="8" w:color="CCEEFF"/>
            </w:tcBorders>
          </w:tcPr>
          <w:p>
            <w:pPr>
              <w:spacing w:after="0"/>
              <w:rPr>
                <w:sz w:val="7"/>
                <w:szCs w:val="7"/>
                <w:color w:val="auto"/>
              </w:rPr>
            </w:pPr>
          </w:p>
        </w:tc>
        <w:tc>
          <w:tcPr>
            <w:tcW w:w="940" w:type="dxa"/>
            <w:vAlign w:val="bottom"/>
            <w:tcBorders>
              <w:bottom w:val="single" w:sz="8" w:color="CCEEFF"/>
            </w:tcBorders>
          </w:tcPr>
          <w:p>
            <w:pPr>
              <w:jc w:val="right"/>
              <w:ind w:right="209"/>
              <w:spacing w:after="0" w:line="91" w:lineRule="exact"/>
              <w:rPr>
                <w:sz w:val="20"/>
                <w:szCs w:val="20"/>
                <w:color w:val="auto"/>
              </w:rPr>
            </w:pPr>
            <w:r>
              <w:rPr>
                <w:rFonts w:ascii="Arial" w:cs="Arial" w:eastAsia="Arial" w:hAnsi="Arial"/>
                <w:sz w:val="10"/>
                <w:szCs w:val="10"/>
                <w:i w:val="1"/>
                <w:iCs w:val="1"/>
                <w:color w:val="auto"/>
              </w:rPr>
              <w:t>(97)%</w:t>
            </w:r>
          </w:p>
        </w:tc>
        <w:tc>
          <w:tcPr>
            <w:tcW w:w="2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jc w:val="right"/>
              <w:ind w:right="95"/>
              <w:spacing w:after="0"/>
              <w:rPr>
                <w:sz w:val="20"/>
                <w:szCs w:val="20"/>
                <w:color w:val="auto"/>
              </w:rPr>
            </w:pPr>
            <w:r>
              <w:rPr>
                <w:rFonts w:ascii="Arial" w:cs="Arial" w:eastAsia="Arial" w:hAnsi="Arial"/>
                <w:sz w:val="5"/>
                <w:szCs w:val="5"/>
                <w:b w:val="1"/>
                <w:bCs w:val="1"/>
                <w:color w:val="auto"/>
                <w:w w:val="70"/>
              </w:rPr>
              <w:t>$</w:t>
            </w:r>
          </w:p>
        </w:tc>
        <w:tc>
          <w:tcPr>
            <w:tcW w:w="1100" w:type="dxa"/>
            <w:vAlign w:val="bottom"/>
            <w:tcBorders>
              <w:bottom w:val="single" w:sz="8" w:color="auto"/>
            </w:tcBorders>
          </w:tcPr>
          <w:p>
            <w:pPr>
              <w:jc w:val="right"/>
              <w:spacing w:after="0" w:line="91" w:lineRule="exact"/>
              <w:rPr>
                <w:sz w:val="20"/>
                <w:szCs w:val="20"/>
                <w:color w:val="auto"/>
              </w:rPr>
            </w:pPr>
            <w:r>
              <w:rPr>
                <w:rFonts w:ascii="Arial" w:cs="Arial" w:eastAsia="Arial" w:hAnsi="Arial"/>
                <w:sz w:val="10"/>
                <w:szCs w:val="10"/>
                <w:b w:val="1"/>
                <w:bCs w:val="1"/>
                <w:color w:val="auto"/>
              </w:rPr>
              <w:t>(93,181)</w:t>
            </w:r>
          </w:p>
        </w:tc>
        <w:tc>
          <w:tcPr>
            <w:tcW w:w="20" w:type="dxa"/>
            <w:vAlign w:val="bottom"/>
            <w:tcBorders>
              <w:bottom w:val="single" w:sz="8" w:color="CCEEFF"/>
            </w:tcBorders>
          </w:tcPr>
          <w:p>
            <w:pPr>
              <w:spacing w:after="0"/>
              <w:rPr>
                <w:sz w:val="7"/>
                <w:szCs w:val="7"/>
                <w:color w:val="auto"/>
              </w:rPr>
            </w:pPr>
          </w:p>
        </w:tc>
        <w:tc>
          <w:tcPr>
            <w:tcW w:w="1060" w:type="dxa"/>
            <w:vAlign w:val="bottom"/>
            <w:tcBorders>
              <w:bottom w:val="single" w:sz="8" w:color="CCEEFF"/>
            </w:tcBorders>
            <w:gridSpan w:val="2"/>
          </w:tcPr>
          <w:p>
            <w:pPr>
              <w:jc w:val="right"/>
              <w:ind w:right="149"/>
              <w:spacing w:after="0" w:line="91" w:lineRule="exact"/>
              <w:rPr>
                <w:sz w:val="20"/>
                <w:szCs w:val="20"/>
                <w:color w:val="auto"/>
              </w:rPr>
            </w:pPr>
            <w:r>
              <w:rPr>
                <w:rFonts w:ascii="Arial" w:cs="Arial" w:eastAsia="Arial" w:hAnsi="Arial"/>
                <w:sz w:val="10"/>
                <w:szCs w:val="10"/>
                <w:i w:val="1"/>
                <w:iCs w:val="1"/>
                <w:color w:val="auto"/>
              </w:rPr>
              <w:t>(139)%</w:t>
            </w:r>
          </w:p>
        </w:tc>
        <w:tc>
          <w:tcPr>
            <w:tcW w:w="220" w:type="dxa"/>
            <w:vAlign w:val="bottom"/>
            <w:tcBorders>
              <w:bottom w:val="single" w:sz="8" w:color="CCEEFF"/>
            </w:tcBorders>
          </w:tcPr>
          <w:p>
            <w:pPr>
              <w:spacing w:after="0"/>
              <w:rPr>
                <w:sz w:val="7"/>
                <w:szCs w:val="7"/>
                <w:color w:val="auto"/>
              </w:rPr>
            </w:pPr>
          </w:p>
        </w:tc>
        <w:tc>
          <w:tcPr>
            <w:tcW w:w="1020" w:type="dxa"/>
            <w:vAlign w:val="bottom"/>
            <w:tcBorders>
              <w:bottom w:val="single" w:sz="8" w:color="CCEEFF"/>
            </w:tcBorders>
          </w:tcPr>
          <w:p>
            <w:pPr>
              <w:jc w:val="right"/>
              <w:ind w:right="69"/>
              <w:spacing w:after="0" w:line="91" w:lineRule="exact"/>
              <w:rPr>
                <w:sz w:val="20"/>
                <w:szCs w:val="20"/>
                <w:color w:val="auto"/>
              </w:rPr>
            </w:pPr>
            <w:r>
              <w:rPr>
                <w:rFonts w:ascii="Arial" w:cs="Arial" w:eastAsia="Arial" w:hAnsi="Arial"/>
                <w:sz w:val="10"/>
                <w:szCs w:val="10"/>
                <w:color w:val="auto"/>
              </w:rPr>
              <w:t>(32) %</w:t>
            </w:r>
          </w:p>
        </w:tc>
      </w:tr>
      <w:tr>
        <w:trPr>
          <w:trHeight w:val="108"/>
        </w:trPr>
        <w:tc>
          <w:tcPr>
            <w:tcW w:w="5040" w:type="dxa"/>
            <w:vAlign w:val="bottom"/>
            <w:gridSpan w:val="3"/>
            <w:shd w:val="clear" w:color="auto" w:fill="CCEEFF"/>
          </w:tcPr>
          <w:p>
            <w:pPr>
              <w:spacing w:after="0" w:line="109" w:lineRule="exact"/>
              <w:rPr>
                <w:sz w:val="20"/>
                <w:szCs w:val="20"/>
                <w:color w:val="auto"/>
              </w:rPr>
            </w:pPr>
            <w:r>
              <w:rPr>
                <w:rFonts w:ascii="Arial" w:cs="Arial" w:eastAsia="Arial" w:hAnsi="Arial"/>
                <w:sz w:val="10"/>
                <w:szCs w:val="10"/>
                <w:b w:val="1"/>
                <w:bCs w:val="1"/>
                <w:color w:val="auto"/>
              </w:rPr>
              <w:t>DEPRECIATION, AMORTIZATION, GENERAL AND ADMINISTRATIVE EXPENSE</w:t>
            </w:r>
          </w:p>
        </w:tc>
        <w:tc>
          <w:tcPr>
            <w:tcW w:w="3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108"/>
        </w:trPr>
        <w:tc>
          <w:tcPr>
            <w:tcW w:w="1520" w:type="dxa"/>
            <w:vAlign w:val="bottom"/>
          </w:tcPr>
          <w:p>
            <w:pPr>
              <w:ind w:left="220"/>
              <w:spacing w:after="0" w:line="109" w:lineRule="exact"/>
              <w:rPr>
                <w:sz w:val="20"/>
                <w:szCs w:val="20"/>
                <w:color w:val="auto"/>
              </w:rPr>
            </w:pPr>
            <w:r>
              <w:rPr>
                <w:rFonts w:ascii="Arial" w:cs="Arial" w:eastAsia="Arial" w:hAnsi="Arial"/>
                <w:sz w:val="10"/>
                <w:szCs w:val="10"/>
                <w:b w:val="1"/>
                <w:bCs w:val="1"/>
                <w:color w:val="auto"/>
              </w:rPr>
              <w:t>United States</w:t>
            </w:r>
          </w:p>
        </w:tc>
        <w:tc>
          <w:tcPr>
            <w:tcW w:w="3520" w:type="dxa"/>
            <w:vAlign w:val="bottom"/>
            <w:gridSpan w:val="2"/>
          </w:tcPr>
          <w:p>
            <w:pPr>
              <w:ind w:left="40"/>
              <w:spacing w:after="0" w:line="109" w:lineRule="exact"/>
              <w:rPr>
                <w:sz w:val="20"/>
                <w:szCs w:val="20"/>
                <w:color w:val="auto"/>
              </w:rPr>
            </w:pPr>
            <w:r>
              <w:rPr>
                <w:rFonts w:ascii="Arial" w:cs="Arial" w:eastAsia="Arial" w:hAnsi="Arial"/>
                <w:sz w:val="10"/>
                <w:szCs w:val="10"/>
                <w:color w:val="auto"/>
              </w:rPr>
              <w:t>Depreciation and amortization</w:t>
            </w:r>
          </w:p>
        </w:tc>
        <w:tc>
          <w:tcPr>
            <w:tcW w:w="300" w:type="dxa"/>
            <w:vAlign w:val="bottom"/>
          </w:tcPr>
          <w:p>
            <w:pPr>
              <w:jc w:val="right"/>
              <w:ind w:right="189"/>
              <w:spacing w:after="0" w:line="109" w:lineRule="exact"/>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20"/>
              <w:spacing w:after="0" w:line="109" w:lineRule="exact"/>
              <w:rPr>
                <w:sz w:val="20"/>
                <w:szCs w:val="20"/>
                <w:color w:val="auto"/>
              </w:rPr>
            </w:pPr>
            <w:r>
              <w:rPr>
                <w:rFonts w:ascii="Arial" w:cs="Arial" w:eastAsia="Arial" w:hAnsi="Arial"/>
                <w:sz w:val="10"/>
                <w:szCs w:val="10"/>
                <w:color w:val="auto"/>
              </w:rPr>
              <w:t>(7,300)</w:t>
            </w:r>
          </w:p>
        </w:tc>
        <w:tc>
          <w:tcPr>
            <w:tcW w:w="940" w:type="dxa"/>
            <w:vAlign w:val="bottom"/>
          </w:tcPr>
          <w:p>
            <w:pPr>
              <w:jc w:val="right"/>
              <w:ind w:right="209"/>
              <w:spacing w:after="0" w:line="109" w:lineRule="exact"/>
              <w:rPr>
                <w:sz w:val="20"/>
                <w:szCs w:val="20"/>
                <w:color w:val="auto"/>
              </w:rPr>
            </w:pPr>
            <w:r>
              <w:rPr>
                <w:rFonts w:ascii="Arial" w:cs="Arial" w:eastAsia="Arial" w:hAnsi="Arial"/>
                <w:sz w:val="10"/>
                <w:szCs w:val="10"/>
                <w:i w:val="1"/>
                <w:iCs w:val="1"/>
                <w:color w:val="auto"/>
              </w:rPr>
              <w:t>(12)%</w:t>
            </w:r>
          </w:p>
        </w:tc>
        <w:tc>
          <w:tcPr>
            <w:tcW w:w="220" w:type="dxa"/>
            <w:vAlign w:val="bottom"/>
          </w:tcPr>
          <w:p>
            <w:pPr>
              <w:spacing w:after="0"/>
              <w:rPr>
                <w:sz w:val="9"/>
                <w:szCs w:val="9"/>
                <w:color w:val="auto"/>
              </w:rPr>
            </w:pPr>
          </w:p>
        </w:tc>
        <w:tc>
          <w:tcPr>
            <w:tcW w:w="160" w:type="dxa"/>
            <w:vAlign w:val="bottom"/>
          </w:tcPr>
          <w:p>
            <w:pPr>
              <w:jc w:val="right"/>
              <w:ind w:right="95"/>
              <w:spacing w:after="0"/>
              <w:rPr>
                <w:sz w:val="20"/>
                <w:szCs w:val="20"/>
                <w:color w:val="auto"/>
              </w:rPr>
            </w:pPr>
            <w:r>
              <w:rPr>
                <w:rFonts w:ascii="Arial" w:cs="Arial" w:eastAsia="Arial" w:hAnsi="Arial"/>
                <w:sz w:val="5"/>
                <w:szCs w:val="5"/>
                <w:color w:val="auto"/>
                <w:w w:val="70"/>
              </w:rPr>
              <w:t>$</w:t>
            </w:r>
          </w:p>
        </w:tc>
        <w:tc>
          <w:tcPr>
            <w:tcW w:w="112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(8,060)</w:t>
            </w:r>
          </w:p>
        </w:tc>
        <w:tc>
          <w:tcPr>
            <w:tcW w:w="106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(29)%</w:t>
            </w:r>
          </w:p>
        </w:tc>
        <w:tc>
          <w:tcPr>
            <w:tcW w:w="22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9 %</w:t>
            </w:r>
          </w:p>
        </w:tc>
      </w:tr>
      <w:tr>
        <w:trPr>
          <w:trHeight w:val="108"/>
        </w:trPr>
        <w:tc>
          <w:tcPr>
            <w:tcW w:w="1520" w:type="dxa"/>
            <w:vAlign w:val="bottom"/>
            <w:shd w:val="clear" w:color="auto" w:fill="CCEEFF"/>
          </w:tcPr>
          <w:p>
            <w:pPr>
              <w:spacing w:after="0"/>
              <w:rPr>
                <w:sz w:val="9"/>
                <w:szCs w:val="9"/>
                <w:color w:val="auto"/>
              </w:rPr>
            </w:pPr>
          </w:p>
        </w:tc>
        <w:tc>
          <w:tcPr>
            <w:tcW w:w="3520" w:type="dxa"/>
            <w:vAlign w:val="bottom"/>
            <w:gridSpan w:val="2"/>
            <w:shd w:val="clear" w:color="auto" w:fill="CCEEFF"/>
          </w:tcPr>
          <w:p>
            <w:pPr>
              <w:ind w:left="40"/>
              <w:spacing w:after="0" w:line="109" w:lineRule="exact"/>
              <w:rPr>
                <w:sz w:val="20"/>
                <w:szCs w:val="20"/>
                <w:color w:val="auto"/>
              </w:rPr>
            </w:pPr>
            <w:r>
              <w:rPr>
                <w:rFonts w:ascii="Arial" w:cs="Arial" w:eastAsia="Arial" w:hAnsi="Arial"/>
                <w:sz w:val="10"/>
                <w:szCs w:val="10"/>
                <w:color w:val="auto"/>
              </w:rPr>
              <w:t>Impairment of long-lived assets</w:t>
            </w:r>
          </w:p>
        </w:tc>
        <w:tc>
          <w:tcPr>
            <w:tcW w:w="30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480"/>
              <w:spacing w:after="0" w:line="109" w:lineRule="exact"/>
              <w:rPr>
                <w:sz w:val="20"/>
                <w:szCs w:val="20"/>
                <w:color w:val="auto"/>
              </w:rPr>
            </w:pPr>
            <w:r>
              <w:rPr>
                <w:rFonts w:ascii="Arial" w:cs="Arial" w:eastAsia="Arial" w:hAnsi="Arial"/>
                <w:sz w:val="10"/>
                <w:szCs w:val="10"/>
                <w:i w:val="1"/>
                <w:iCs w:val="1"/>
                <w:color w:val="auto"/>
              </w:rPr>
              <w:t>—%</w:t>
            </w:r>
          </w:p>
        </w:tc>
        <w:tc>
          <w:tcPr>
            <w:tcW w:w="160" w:type="dxa"/>
            <w:vAlign w:val="bottom"/>
            <w:shd w:val="clear" w:color="auto" w:fill="CCEEFF"/>
          </w:tcPr>
          <w:p>
            <w:pPr>
              <w:spacing w:after="0"/>
              <w:rPr>
                <w:sz w:val="9"/>
                <w:szCs w:val="9"/>
                <w:color w:val="auto"/>
              </w:rPr>
            </w:pPr>
          </w:p>
        </w:tc>
        <w:tc>
          <w:tcPr>
            <w:tcW w:w="112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(217)</w:t>
            </w:r>
          </w:p>
        </w:tc>
        <w:tc>
          <w:tcPr>
            <w:tcW w:w="106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(1)%</w:t>
            </w: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108"/>
        </w:trPr>
        <w:tc>
          <w:tcPr>
            <w:tcW w:w="1520" w:type="dxa"/>
            <w:vAlign w:val="bottom"/>
          </w:tcPr>
          <w:p>
            <w:pPr>
              <w:spacing w:after="0"/>
              <w:rPr>
                <w:sz w:val="9"/>
                <w:szCs w:val="9"/>
                <w:color w:val="auto"/>
              </w:rPr>
            </w:pPr>
          </w:p>
        </w:tc>
        <w:tc>
          <w:tcPr>
            <w:tcW w:w="3520" w:type="dxa"/>
            <w:vAlign w:val="bottom"/>
            <w:gridSpan w:val="2"/>
          </w:tcPr>
          <w:p>
            <w:pPr>
              <w:ind w:left="40"/>
              <w:spacing w:after="0" w:line="109" w:lineRule="exact"/>
              <w:rPr>
                <w:sz w:val="20"/>
                <w:szCs w:val="20"/>
                <w:color w:val="auto"/>
              </w:rPr>
            </w:pPr>
            <w:r>
              <w:rPr>
                <w:rFonts w:ascii="Arial" w:cs="Arial" w:eastAsia="Arial" w:hAnsi="Arial"/>
                <w:sz w:val="10"/>
                <w:szCs w:val="10"/>
                <w:color w:val="auto"/>
              </w:rPr>
              <w:t>General and administrative expense</w:t>
            </w:r>
          </w:p>
        </w:tc>
        <w:tc>
          <w:tcPr>
            <w:tcW w:w="300" w:type="dxa"/>
            <w:vAlign w:val="bottom"/>
          </w:tcPr>
          <w:p>
            <w:pPr>
              <w:spacing w:after="0"/>
              <w:rPr>
                <w:sz w:val="9"/>
                <w:szCs w:val="9"/>
                <w:color w:val="auto"/>
              </w:rPr>
            </w:pPr>
          </w:p>
        </w:tc>
        <w:tc>
          <w:tcPr>
            <w:tcW w:w="1200" w:type="dxa"/>
            <w:vAlign w:val="bottom"/>
            <w:gridSpan w:val="2"/>
          </w:tcPr>
          <w:p>
            <w:pPr>
              <w:jc w:val="right"/>
              <w:ind w:right="220"/>
              <w:spacing w:after="0" w:line="109" w:lineRule="exact"/>
              <w:rPr>
                <w:sz w:val="20"/>
                <w:szCs w:val="20"/>
                <w:color w:val="auto"/>
              </w:rPr>
            </w:pPr>
            <w:r>
              <w:rPr>
                <w:rFonts w:ascii="Arial" w:cs="Arial" w:eastAsia="Arial" w:hAnsi="Arial"/>
                <w:sz w:val="10"/>
                <w:szCs w:val="10"/>
                <w:color w:val="auto"/>
              </w:rPr>
              <w:t>(6,321)</w:t>
            </w:r>
          </w:p>
        </w:tc>
        <w:tc>
          <w:tcPr>
            <w:tcW w:w="940" w:type="dxa"/>
            <w:vAlign w:val="bottom"/>
          </w:tcPr>
          <w:p>
            <w:pPr>
              <w:jc w:val="right"/>
              <w:ind w:right="209"/>
              <w:spacing w:after="0" w:line="109" w:lineRule="exact"/>
              <w:rPr>
                <w:sz w:val="20"/>
                <w:szCs w:val="20"/>
                <w:color w:val="auto"/>
              </w:rPr>
            </w:pPr>
            <w:r>
              <w:rPr>
                <w:rFonts w:ascii="Arial" w:cs="Arial" w:eastAsia="Arial" w:hAnsi="Arial"/>
                <w:sz w:val="10"/>
                <w:szCs w:val="10"/>
                <w:i w:val="1"/>
                <w:iCs w:val="1"/>
                <w:color w:val="auto"/>
              </w:rPr>
              <w:t>(11)%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(2,486)</w:t>
            </w:r>
          </w:p>
        </w:tc>
        <w:tc>
          <w:tcPr>
            <w:tcW w:w="106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(9)%</w:t>
            </w:r>
          </w:p>
        </w:tc>
        <w:tc>
          <w:tcPr>
            <w:tcW w:w="22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99"/>
        </w:trPr>
        <w:tc>
          <w:tcPr>
            <w:tcW w:w="1520" w:type="dxa"/>
            <w:vAlign w:val="bottom"/>
            <w:tcBorders>
              <w:top w:val="single" w:sz="8" w:color="CCEEFF"/>
            </w:tcBorders>
            <w:shd w:val="clear" w:color="auto" w:fill="CCEEFF"/>
          </w:tcPr>
          <w:p>
            <w:pPr>
              <w:spacing w:after="0"/>
              <w:rPr>
                <w:sz w:val="8"/>
                <w:szCs w:val="8"/>
                <w:color w:val="auto"/>
              </w:rPr>
            </w:pPr>
          </w:p>
        </w:tc>
        <w:tc>
          <w:tcPr>
            <w:tcW w:w="33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jc w:val="right"/>
              <w:ind w:right="189"/>
              <w:spacing w:after="0" w:line="100" w:lineRule="exact"/>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(13,621)</w:t>
            </w:r>
          </w:p>
        </w:tc>
        <w:tc>
          <w:tcPr>
            <w:tcW w:w="22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CCEEFF"/>
            </w:tcBorders>
            <w:shd w:val="clear" w:color="auto" w:fill="CCEEFF"/>
          </w:tcPr>
          <w:p>
            <w:pPr>
              <w:jc w:val="right"/>
              <w:ind w:right="209"/>
              <w:spacing w:after="0" w:line="100" w:lineRule="exact"/>
              <w:rPr>
                <w:sz w:val="20"/>
                <w:szCs w:val="20"/>
                <w:color w:val="auto"/>
              </w:rPr>
            </w:pPr>
            <w:r>
              <w:rPr>
                <w:rFonts w:ascii="Arial" w:cs="Arial" w:eastAsia="Arial" w:hAnsi="Arial"/>
                <w:sz w:val="10"/>
                <w:szCs w:val="10"/>
                <w:i w:val="1"/>
                <w:iCs w:val="1"/>
                <w:color w:val="auto"/>
              </w:rPr>
              <w:t>(23)%</w:t>
            </w:r>
          </w:p>
        </w:tc>
        <w:tc>
          <w:tcPr>
            <w:tcW w:w="2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5"/>
                <w:szCs w:val="5"/>
                <w:b w:val="1"/>
                <w:bCs w:val="1"/>
                <w:color w:val="auto"/>
                <w:w w:val="70"/>
              </w:rPr>
              <w:t>$</w:t>
            </w:r>
          </w:p>
        </w:tc>
        <w:tc>
          <w:tcPr>
            <w:tcW w:w="110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(10,763)</w:t>
            </w:r>
          </w:p>
        </w:tc>
        <w:tc>
          <w:tcPr>
            <w:tcW w:w="2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CCEEFF"/>
            </w:tcBorders>
            <w:gridSpan w:val="2"/>
            <w:shd w:val="clear" w:color="auto" w:fill="CCEEFF"/>
          </w:tcPr>
          <w:p>
            <w:pPr>
              <w:jc w:val="right"/>
              <w:ind w:right="149"/>
              <w:spacing w:after="0" w:line="100" w:lineRule="exact"/>
              <w:rPr>
                <w:sz w:val="20"/>
                <w:szCs w:val="20"/>
                <w:color w:val="auto"/>
              </w:rPr>
            </w:pPr>
            <w:r>
              <w:rPr>
                <w:rFonts w:ascii="Arial" w:cs="Arial" w:eastAsia="Arial" w:hAnsi="Arial"/>
                <w:sz w:val="10"/>
                <w:szCs w:val="10"/>
                <w:i w:val="1"/>
                <w:iCs w:val="1"/>
                <w:color w:val="auto"/>
              </w:rPr>
              <w:t>(39)%</w:t>
            </w:r>
          </w:p>
        </w:tc>
        <w:tc>
          <w:tcPr>
            <w:tcW w:w="22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CCEEFF"/>
            </w:tcBorders>
            <w:shd w:val="clear" w:color="auto" w:fill="CCEEFF"/>
          </w:tcPr>
          <w:p>
            <w:pPr>
              <w:jc w:val="right"/>
              <w:ind w:right="69"/>
              <w:spacing w:after="0" w:line="100" w:lineRule="exact"/>
              <w:rPr>
                <w:sz w:val="20"/>
                <w:szCs w:val="20"/>
                <w:color w:val="auto"/>
              </w:rPr>
            </w:pPr>
            <w:r>
              <w:rPr>
                <w:rFonts w:ascii="Arial" w:cs="Arial" w:eastAsia="Arial" w:hAnsi="Arial"/>
                <w:sz w:val="10"/>
                <w:szCs w:val="10"/>
                <w:color w:val="auto"/>
              </w:rPr>
              <w:t>(27) %</w:t>
            </w:r>
          </w:p>
        </w:tc>
      </w:tr>
      <w:tr>
        <w:trPr>
          <w:trHeight w:val="108"/>
        </w:trPr>
        <w:tc>
          <w:tcPr>
            <w:tcW w:w="1520" w:type="dxa"/>
            <w:vAlign w:val="bottom"/>
          </w:tcPr>
          <w:p>
            <w:pPr>
              <w:ind w:left="220"/>
              <w:spacing w:after="0" w:line="109" w:lineRule="exact"/>
              <w:rPr>
                <w:sz w:val="20"/>
                <w:szCs w:val="20"/>
                <w:color w:val="auto"/>
              </w:rPr>
            </w:pPr>
            <w:r>
              <w:rPr>
                <w:rFonts w:ascii="Arial" w:cs="Arial" w:eastAsia="Arial" w:hAnsi="Arial"/>
                <w:sz w:val="10"/>
                <w:szCs w:val="10"/>
                <w:b w:val="1"/>
                <w:bCs w:val="1"/>
                <w:color w:val="auto"/>
              </w:rPr>
              <w:t>Australia</w:t>
            </w:r>
          </w:p>
        </w:tc>
        <w:tc>
          <w:tcPr>
            <w:tcW w:w="3520" w:type="dxa"/>
            <w:vAlign w:val="bottom"/>
            <w:gridSpan w:val="2"/>
          </w:tcPr>
          <w:p>
            <w:pPr>
              <w:ind w:left="40"/>
              <w:spacing w:after="0" w:line="109" w:lineRule="exact"/>
              <w:rPr>
                <w:sz w:val="20"/>
                <w:szCs w:val="20"/>
                <w:color w:val="auto"/>
              </w:rPr>
            </w:pPr>
            <w:r>
              <w:rPr>
                <w:rFonts w:ascii="Arial" w:cs="Arial" w:eastAsia="Arial" w:hAnsi="Arial"/>
                <w:sz w:val="10"/>
                <w:szCs w:val="10"/>
                <w:color w:val="auto"/>
              </w:rPr>
              <w:t>Depreciation and amortization</w:t>
            </w:r>
          </w:p>
        </w:tc>
        <w:tc>
          <w:tcPr>
            <w:tcW w:w="300" w:type="dxa"/>
            <w:vAlign w:val="bottom"/>
          </w:tcPr>
          <w:p>
            <w:pPr>
              <w:jc w:val="right"/>
              <w:ind w:right="189"/>
              <w:spacing w:after="0" w:line="109" w:lineRule="exact"/>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20"/>
              <w:spacing w:after="0" w:line="109" w:lineRule="exact"/>
              <w:rPr>
                <w:sz w:val="20"/>
                <w:szCs w:val="20"/>
                <w:color w:val="auto"/>
              </w:rPr>
            </w:pPr>
            <w:r>
              <w:rPr>
                <w:rFonts w:ascii="Arial" w:cs="Arial" w:eastAsia="Arial" w:hAnsi="Arial"/>
                <w:sz w:val="10"/>
                <w:szCs w:val="10"/>
                <w:color w:val="auto"/>
              </w:rPr>
              <w:t>(5,943)</w:t>
            </w:r>
          </w:p>
        </w:tc>
        <w:tc>
          <w:tcPr>
            <w:tcW w:w="940" w:type="dxa"/>
            <w:vAlign w:val="bottom"/>
          </w:tcPr>
          <w:p>
            <w:pPr>
              <w:jc w:val="right"/>
              <w:ind w:right="209"/>
              <w:spacing w:after="0" w:line="109" w:lineRule="exact"/>
              <w:rPr>
                <w:sz w:val="20"/>
                <w:szCs w:val="20"/>
                <w:color w:val="auto"/>
              </w:rPr>
            </w:pPr>
            <w:r>
              <w:rPr>
                <w:rFonts w:ascii="Arial" w:cs="Arial" w:eastAsia="Arial" w:hAnsi="Arial"/>
                <w:sz w:val="10"/>
                <w:szCs w:val="10"/>
                <w:i w:val="1"/>
                <w:iCs w:val="1"/>
                <w:color w:val="auto"/>
              </w:rPr>
              <w:t>(11)%</w:t>
            </w:r>
          </w:p>
        </w:tc>
        <w:tc>
          <w:tcPr>
            <w:tcW w:w="220" w:type="dxa"/>
            <w:vAlign w:val="bottom"/>
          </w:tcPr>
          <w:p>
            <w:pPr>
              <w:spacing w:after="0"/>
              <w:rPr>
                <w:sz w:val="9"/>
                <w:szCs w:val="9"/>
                <w:color w:val="auto"/>
              </w:rPr>
            </w:pPr>
          </w:p>
        </w:tc>
        <w:tc>
          <w:tcPr>
            <w:tcW w:w="160" w:type="dxa"/>
            <w:vAlign w:val="bottom"/>
          </w:tcPr>
          <w:p>
            <w:pPr>
              <w:jc w:val="right"/>
              <w:ind w:right="95"/>
              <w:spacing w:after="0"/>
              <w:rPr>
                <w:sz w:val="20"/>
                <w:szCs w:val="20"/>
                <w:color w:val="auto"/>
              </w:rPr>
            </w:pPr>
            <w:r>
              <w:rPr>
                <w:rFonts w:ascii="Arial" w:cs="Arial" w:eastAsia="Arial" w:hAnsi="Arial"/>
                <w:sz w:val="5"/>
                <w:szCs w:val="5"/>
                <w:color w:val="auto"/>
                <w:w w:val="70"/>
              </w:rPr>
              <w:t>$</w:t>
            </w:r>
          </w:p>
        </w:tc>
        <w:tc>
          <w:tcPr>
            <w:tcW w:w="112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(5,762)</w:t>
            </w:r>
          </w:p>
        </w:tc>
        <w:tc>
          <w:tcPr>
            <w:tcW w:w="106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(18)%</w:t>
            </w:r>
          </w:p>
        </w:tc>
        <w:tc>
          <w:tcPr>
            <w:tcW w:w="22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(3) %</w:t>
            </w:r>
          </w:p>
        </w:tc>
      </w:tr>
      <w:tr>
        <w:trPr>
          <w:trHeight w:val="108"/>
        </w:trPr>
        <w:tc>
          <w:tcPr>
            <w:tcW w:w="1520" w:type="dxa"/>
            <w:vAlign w:val="bottom"/>
            <w:shd w:val="clear" w:color="auto" w:fill="CCEEFF"/>
          </w:tcPr>
          <w:p>
            <w:pPr>
              <w:spacing w:after="0"/>
              <w:rPr>
                <w:sz w:val="9"/>
                <w:szCs w:val="9"/>
                <w:color w:val="auto"/>
              </w:rPr>
            </w:pPr>
          </w:p>
        </w:tc>
        <w:tc>
          <w:tcPr>
            <w:tcW w:w="3520" w:type="dxa"/>
            <w:vAlign w:val="bottom"/>
            <w:gridSpan w:val="2"/>
            <w:shd w:val="clear" w:color="auto" w:fill="CCEEFF"/>
          </w:tcPr>
          <w:p>
            <w:pPr>
              <w:ind w:left="40"/>
              <w:spacing w:after="0" w:line="109" w:lineRule="exact"/>
              <w:rPr>
                <w:sz w:val="20"/>
                <w:szCs w:val="20"/>
                <w:color w:val="auto"/>
              </w:rPr>
            </w:pPr>
            <w:r>
              <w:rPr>
                <w:rFonts w:ascii="Arial" w:cs="Arial" w:eastAsia="Arial" w:hAnsi="Arial"/>
                <w:sz w:val="10"/>
                <w:szCs w:val="10"/>
                <w:color w:val="auto"/>
              </w:rPr>
              <w:t>General and administrative expense</w:t>
            </w:r>
          </w:p>
        </w:tc>
        <w:tc>
          <w:tcPr>
            <w:tcW w:w="30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(1,290)</w:t>
            </w:r>
          </w:p>
        </w:tc>
        <w:tc>
          <w:tcPr>
            <w:tcW w:w="940" w:type="dxa"/>
            <w:vAlign w:val="bottom"/>
            <w:shd w:val="clear" w:color="auto" w:fill="CCEEFF"/>
          </w:tcPr>
          <w:p>
            <w:pPr>
              <w:jc w:val="right"/>
              <w:ind w:right="209"/>
              <w:spacing w:after="0" w:line="109" w:lineRule="exact"/>
              <w:rPr>
                <w:sz w:val="20"/>
                <w:szCs w:val="20"/>
                <w:color w:val="auto"/>
              </w:rPr>
            </w:pPr>
            <w:r>
              <w:rPr>
                <w:rFonts w:ascii="Arial" w:cs="Arial" w:eastAsia="Arial" w:hAnsi="Arial"/>
                <w:sz w:val="10"/>
                <w:szCs w:val="10"/>
                <w:i w:val="1"/>
                <w:iCs w:val="1"/>
                <w:color w:val="auto"/>
              </w:rPr>
              <w:t>(2)%</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(950)</w:t>
            </w:r>
          </w:p>
        </w:tc>
        <w:tc>
          <w:tcPr>
            <w:tcW w:w="106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(3)%</w:t>
            </w: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(36) %</w:t>
            </w:r>
          </w:p>
        </w:tc>
      </w:tr>
      <w:tr>
        <w:trPr>
          <w:trHeight w:val="99"/>
        </w:trPr>
        <w:tc>
          <w:tcPr>
            <w:tcW w:w="15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ind w:right="189"/>
              <w:spacing w:after="0" w:line="100" w:lineRule="exact"/>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(7,233)</w:t>
            </w:r>
          </w:p>
        </w:tc>
        <w:tc>
          <w:tcPr>
            <w:tcW w:w="220" w:type="dxa"/>
            <w:vAlign w:val="bottom"/>
          </w:tcPr>
          <w:p>
            <w:pPr>
              <w:spacing w:after="0"/>
              <w:rPr>
                <w:sz w:val="8"/>
                <w:szCs w:val="8"/>
                <w:color w:val="auto"/>
              </w:rPr>
            </w:pPr>
          </w:p>
        </w:tc>
        <w:tc>
          <w:tcPr>
            <w:tcW w:w="940" w:type="dxa"/>
            <w:vAlign w:val="bottom"/>
          </w:tcPr>
          <w:p>
            <w:pPr>
              <w:jc w:val="right"/>
              <w:ind w:right="209"/>
              <w:spacing w:after="0" w:line="100" w:lineRule="exact"/>
              <w:rPr>
                <w:sz w:val="20"/>
                <w:szCs w:val="20"/>
                <w:color w:val="auto"/>
              </w:rPr>
            </w:pPr>
            <w:r>
              <w:rPr>
                <w:rFonts w:ascii="Arial" w:cs="Arial" w:eastAsia="Arial" w:hAnsi="Arial"/>
                <w:sz w:val="10"/>
                <w:szCs w:val="10"/>
                <w:i w:val="1"/>
                <w:iCs w:val="1"/>
                <w:color w:val="auto"/>
              </w:rPr>
              <w:t>(13)%</w:t>
            </w:r>
          </w:p>
        </w:tc>
        <w:tc>
          <w:tcPr>
            <w:tcW w:w="220" w:type="dxa"/>
            <w:vAlign w:val="bottom"/>
          </w:tcPr>
          <w:p>
            <w:pPr>
              <w:spacing w:after="0"/>
              <w:rPr>
                <w:sz w:val="8"/>
                <w:szCs w:val="8"/>
                <w:color w:val="auto"/>
              </w:rPr>
            </w:pPr>
          </w:p>
        </w:tc>
        <w:tc>
          <w:tcPr>
            <w:tcW w:w="160" w:type="dxa"/>
            <w:vAlign w:val="bottom"/>
            <w:tcBorders>
              <w:top w:val="single" w:sz="8" w:color="auto"/>
            </w:tcBorders>
          </w:tcPr>
          <w:p>
            <w:pPr>
              <w:jc w:val="right"/>
              <w:ind w:right="95"/>
              <w:spacing w:after="0"/>
              <w:rPr>
                <w:sz w:val="20"/>
                <w:szCs w:val="20"/>
                <w:color w:val="auto"/>
              </w:rPr>
            </w:pPr>
            <w:r>
              <w:rPr>
                <w:rFonts w:ascii="Arial" w:cs="Arial" w:eastAsia="Arial" w:hAnsi="Arial"/>
                <w:sz w:val="5"/>
                <w:szCs w:val="5"/>
                <w:b w:val="1"/>
                <w:bCs w:val="1"/>
                <w:color w:val="auto"/>
                <w:w w:val="70"/>
              </w:rPr>
              <w:t>$</w:t>
            </w:r>
          </w:p>
        </w:tc>
        <w:tc>
          <w:tcPr>
            <w:tcW w:w="110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(6,712)</w:t>
            </w:r>
          </w:p>
        </w:tc>
        <w:tc>
          <w:tcPr>
            <w:tcW w:w="20" w:type="dxa"/>
            <w:vAlign w:val="bottom"/>
          </w:tcPr>
          <w:p>
            <w:pPr>
              <w:spacing w:after="0"/>
              <w:rPr>
                <w:sz w:val="8"/>
                <w:szCs w:val="8"/>
                <w:color w:val="auto"/>
              </w:rPr>
            </w:pPr>
          </w:p>
        </w:tc>
        <w:tc>
          <w:tcPr>
            <w:tcW w:w="1060" w:type="dxa"/>
            <w:vAlign w:val="bottom"/>
            <w:gridSpan w:val="2"/>
          </w:tcPr>
          <w:p>
            <w:pPr>
              <w:jc w:val="right"/>
              <w:ind w:right="149"/>
              <w:spacing w:after="0" w:line="100" w:lineRule="exact"/>
              <w:rPr>
                <w:sz w:val="20"/>
                <w:szCs w:val="20"/>
                <w:color w:val="auto"/>
              </w:rPr>
            </w:pPr>
            <w:r>
              <w:rPr>
                <w:rFonts w:ascii="Arial" w:cs="Arial" w:eastAsia="Arial" w:hAnsi="Arial"/>
                <w:sz w:val="10"/>
                <w:szCs w:val="10"/>
                <w:i w:val="1"/>
                <w:iCs w:val="1"/>
                <w:color w:val="auto"/>
              </w:rPr>
              <w:t>(21)%</w:t>
            </w:r>
          </w:p>
        </w:tc>
        <w:tc>
          <w:tcPr>
            <w:tcW w:w="220" w:type="dxa"/>
            <w:vAlign w:val="bottom"/>
          </w:tcPr>
          <w:p>
            <w:pPr>
              <w:spacing w:after="0"/>
              <w:rPr>
                <w:sz w:val="8"/>
                <w:szCs w:val="8"/>
                <w:color w:val="auto"/>
              </w:rPr>
            </w:pPr>
          </w:p>
        </w:tc>
        <w:tc>
          <w:tcPr>
            <w:tcW w:w="1020" w:type="dxa"/>
            <w:vAlign w:val="bottom"/>
          </w:tcPr>
          <w:p>
            <w:pPr>
              <w:jc w:val="right"/>
              <w:ind w:right="69"/>
              <w:spacing w:after="0" w:line="100" w:lineRule="exact"/>
              <w:rPr>
                <w:sz w:val="20"/>
                <w:szCs w:val="20"/>
                <w:color w:val="auto"/>
              </w:rPr>
            </w:pPr>
            <w:r>
              <w:rPr>
                <w:rFonts w:ascii="Arial" w:cs="Arial" w:eastAsia="Arial" w:hAnsi="Arial"/>
                <w:sz w:val="10"/>
                <w:szCs w:val="10"/>
                <w:color w:val="auto"/>
              </w:rPr>
              <w:t>(8) %</w:t>
            </w:r>
          </w:p>
        </w:tc>
      </w:tr>
      <w:tr>
        <w:trPr>
          <w:trHeight w:val="108"/>
        </w:trPr>
        <w:tc>
          <w:tcPr>
            <w:tcW w:w="1520" w:type="dxa"/>
            <w:vAlign w:val="bottom"/>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New Zealand</w:t>
            </w:r>
          </w:p>
        </w:tc>
        <w:tc>
          <w:tcPr>
            <w:tcW w:w="3520" w:type="dxa"/>
            <w:vAlign w:val="bottom"/>
            <w:gridSpan w:val="2"/>
            <w:shd w:val="clear" w:color="auto" w:fill="CCEEFF"/>
          </w:tcPr>
          <w:p>
            <w:pPr>
              <w:ind w:left="40"/>
              <w:spacing w:after="0" w:line="109" w:lineRule="exact"/>
              <w:rPr>
                <w:sz w:val="20"/>
                <w:szCs w:val="20"/>
                <w:color w:val="auto"/>
              </w:rPr>
            </w:pPr>
            <w:r>
              <w:rPr>
                <w:rFonts w:ascii="Arial" w:cs="Arial" w:eastAsia="Arial" w:hAnsi="Arial"/>
                <w:sz w:val="10"/>
                <w:szCs w:val="10"/>
                <w:color w:val="auto"/>
              </w:rPr>
              <w:t>Depreciation and amortization</w:t>
            </w:r>
          </w:p>
        </w:tc>
        <w:tc>
          <w:tcPr>
            <w:tcW w:w="30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(1,179)</w:t>
            </w:r>
          </w:p>
        </w:tc>
        <w:tc>
          <w:tcPr>
            <w:tcW w:w="940" w:type="dxa"/>
            <w:vAlign w:val="bottom"/>
            <w:shd w:val="clear" w:color="auto" w:fill="CCEEFF"/>
          </w:tcPr>
          <w:p>
            <w:pPr>
              <w:jc w:val="right"/>
              <w:ind w:right="209"/>
              <w:spacing w:after="0" w:line="109" w:lineRule="exact"/>
              <w:rPr>
                <w:sz w:val="20"/>
                <w:szCs w:val="20"/>
                <w:color w:val="auto"/>
              </w:rPr>
            </w:pPr>
            <w:r>
              <w:rPr>
                <w:rFonts w:ascii="Arial" w:cs="Arial" w:eastAsia="Arial" w:hAnsi="Arial"/>
                <w:sz w:val="10"/>
                <w:szCs w:val="10"/>
                <w:i w:val="1"/>
                <w:iCs w:val="1"/>
                <w:color w:val="auto"/>
              </w:rPr>
              <w:t>(10)%</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jc w:val="right"/>
              <w:ind w:right="95"/>
              <w:spacing w:after="0"/>
              <w:rPr>
                <w:sz w:val="20"/>
                <w:szCs w:val="20"/>
                <w:color w:val="auto"/>
              </w:rPr>
            </w:pPr>
            <w:r>
              <w:rPr>
                <w:rFonts w:ascii="Arial" w:cs="Arial" w:eastAsia="Arial" w:hAnsi="Arial"/>
                <w:sz w:val="5"/>
                <w:szCs w:val="5"/>
                <w:color w:val="auto"/>
                <w:w w:val="70"/>
              </w:rPr>
              <w:t>$</w:t>
            </w:r>
          </w:p>
        </w:tc>
        <w:tc>
          <w:tcPr>
            <w:tcW w:w="112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(1,423)</w:t>
            </w:r>
          </w:p>
        </w:tc>
        <w:tc>
          <w:tcPr>
            <w:tcW w:w="106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(20)%</w:t>
            </w: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17 %</w:t>
            </w:r>
          </w:p>
        </w:tc>
      </w:tr>
      <w:tr>
        <w:trPr>
          <w:trHeight w:val="108"/>
        </w:trPr>
        <w:tc>
          <w:tcPr>
            <w:tcW w:w="1520" w:type="dxa"/>
            <w:vAlign w:val="bottom"/>
          </w:tcPr>
          <w:p>
            <w:pPr>
              <w:spacing w:after="0"/>
              <w:rPr>
                <w:sz w:val="9"/>
                <w:szCs w:val="9"/>
                <w:color w:val="auto"/>
              </w:rPr>
            </w:pPr>
          </w:p>
        </w:tc>
        <w:tc>
          <w:tcPr>
            <w:tcW w:w="3520" w:type="dxa"/>
            <w:vAlign w:val="bottom"/>
            <w:gridSpan w:val="2"/>
          </w:tcPr>
          <w:p>
            <w:pPr>
              <w:ind w:left="40"/>
              <w:spacing w:after="0" w:line="109" w:lineRule="exact"/>
              <w:rPr>
                <w:sz w:val="20"/>
                <w:szCs w:val="20"/>
                <w:color w:val="auto"/>
              </w:rPr>
            </w:pPr>
            <w:r>
              <w:rPr>
                <w:rFonts w:ascii="Arial" w:cs="Arial" w:eastAsia="Arial" w:hAnsi="Arial"/>
                <w:sz w:val="10"/>
                <w:szCs w:val="10"/>
                <w:color w:val="auto"/>
              </w:rPr>
              <w:t>General and administrative expense</w:t>
            </w:r>
          </w:p>
        </w:tc>
        <w:tc>
          <w:tcPr>
            <w:tcW w:w="300" w:type="dxa"/>
            <w:vAlign w:val="bottom"/>
          </w:tcPr>
          <w:p>
            <w:pPr>
              <w:spacing w:after="0"/>
              <w:rPr>
                <w:sz w:val="9"/>
                <w:szCs w:val="9"/>
                <w:color w:val="auto"/>
              </w:rPr>
            </w:pPr>
          </w:p>
        </w:tc>
        <w:tc>
          <w:tcPr>
            <w:tcW w:w="1200" w:type="dxa"/>
            <w:vAlign w:val="bottom"/>
            <w:gridSpan w:val="2"/>
          </w:tcPr>
          <w:p>
            <w:pPr>
              <w:jc w:val="right"/>
              <w:ind w:right="220"/>
              <w:spacing w:after="0" w:line="109" w:lineRule="exact"/>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480"/>
              <w:spacing w:after="0" w:line="109" w:lineRule="exact"/>
              <w:rPr>
                <w:sz w:val="20"/>
                <w:szCs w:val="20"/>
                <w:color w:val="auto"/>
              </w:rPr>
            </w:pPr>
            <w:r>
              <w:rPr>
                <w:rFonts w:ascii="Arial" w:cs="Arial" w:eastAsia="Arial" w:hAnsi="Arial"/>
                <w:sz w:val="10"/>
                <w:szCs w:val="10"/>
                <w:i w:val="1"/>
                <w:iCs w:val="1"/>
                <w:color w:val="auto"/>
              </w:rPr>
              <w:t>—%</w:t>
            </w:r>
          </w:p>
        </w:tc>
        <w:tc>
          <w:tcPr>
            <w:tcW w:w="160" w:type="dxa"/>
            <w:vAlign w:val="bottom"/>
          </w:tcPr>
          <w:p>
            <w:pPr>
              <w:spacing w:after="0"/>
              <w:rPr>
                <w:sz w:val="9"/>
                <w:szCs w:val="9"/>
                <w:color w:val="auto"/>
              </w:rPr>
            </w:pPr>
          </w:p>
        </w:tc>
        <w:tc>
          <w:tcPr>
            <w:tcW w:w="112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9</w:t>
            </w:r>
          </w:p>
        </w:tc>
        <w:tc>
          <w:tcPr>
            <w:tcW w:w="180" w:type="dxa"/>
            <w:vAlign w:val="bottom"/>
          </w:tcPr>
          <w:p>
            <w:pPr>
              <w:spacing w:after="0"/>
              <w:rPr>
                <w:sz w:val="9"/>
                <w:szCs w:val="9"/>
                <w:color w:val="auto"/>
              </w:rPr>
            </w:pPr>
          </w:p>
        </w:tc>
        <w:tc>
          <w:tcPr>
            <w:tcW w:w="1100" w:type="dxa"/>
            <w:vAlign w:val="bottom"/>
            <w:gridSpan w:val="2"/>
          </w:tcPr>
          <w:p>
            <w:pPr>
              <w:jc w:val="right"/>
              <w:ind w:right="420"/>
              <w:spacing w:after="0" w:line="109" w:lineRule="exact"/>
              <w:rPr>
                <w:sz w:val="20"/>
                <w:szCs w:val="20"/>
                <w:color w:val="auto"/>
              </w:rPr>
            </w:pPr>
            <w:r>
              <w:rPr>
                <w:rFonts w:ascii="Arial" w:cs="Arial" w:eastAsia="Arial" w:hAnsi="Arial"/>
                <w:sz w:val="10"/>
                <w:szCs w:val="10"/>
                <w:i w:val="1"/>
                <w:iCs w:val="1"/>
                <w:color w:val="auto"/>
              </w:rPr>
              <w:t>—%</w:t>
            </w: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100 %</w:t>
            </w:r>
          </w:p>
        </w:tc>
      </w:tr>
      <w:tr>
        <w:trPr>
          <w:trHeight w:val="99"/>
        </w:trPr>
        <w:tc>
          <w:tcPr>
            <w:tcW w:w="1520" w:type="dxa"/>
            <w:vAlign w:val="bottom"/>
            <w:tcBorders>
              <w:top w:val="single" w:sz="8" w:color="CCEEFF"/>
            </w:tcBorders>
            <w:shd w:val="clear" w:color="auto" w:fill="CCEEFF"/>
          </w:tcPr>
          <w:p>
            <w:pPr>
              <w:spacing w:after="0"/>
              <w:rPr>
                <w:sz w:val="8"/>
                <w:szCs w:val="8"/>
                <w:color w:val="auto"/>
              </w:rPr>
            </w:pPr>
          </w:p>
        </w:tc>
        <w:tc>
          <w:tcPr>
            <w:tcW w:w="33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jc w:val="right"/>
              <w:ind w:right="189"/>
              <w:spacing w:after="0" w:line="100" w:lineRule="exact"/>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(1,179)</w:t>
            </w:r>
          </w:p>
        </w:tc>
        <w:tc>
          <w:tcPr>
            <w:tcW w:w="22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CCEEFF"/>
            </w:tcBorders>
            <w:shd w:val="clear" w:color="auto" w:fill="CCEEFF"/>
          </w:tcPr>
          <w:p>
            <w:pPr>
              <w:jc w:val="right"/>
              <w:ind w:right="209"/>
              <w:spacing w:after="0" w:line="100" w:lineRule="exact"/>
              <w:rPr>
                <w:sz w:val="20"/>
                <w:szCs w:val="20"/>
                <w:color w:val="auto"/>
              </w:rPr>
            </w:pPr>
            <w:r>
              <w:rPr>
                <w:rFonts w:ascii="Arial" w:cs="Arial" w:eastAsia="Arial" w:hAnsi="Arial"/>
                <w:sz w:val="10"/>
                <w:szCs w:val="10"/>
                <w:i w:val="1"/>
                <w:iCs w:val="1"/>
                <w:color w:val="auto"/>
              </w:rPr>
              <w:t>(10)%</w:t>
            </w:r>
          </w:p>
        </w:tc>
        <w:tc>
          <w:tcPr>
            <w:tcW w:w="2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5"/>
                <w:szCs w:val="5"/>
                <w:b w:val="1"/>
                <w:bCs w:val="1"/>
                <w:color w:val="auto"/>
                <w:w w:val="70"/>
              </w:rPr>
              <w:t>$</w:t>
            </w:r>
          </w:p>
        </w:tc>
        <w:tc>
          <w:tcPr>
            <w:tcW w:w="110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(1,414)</w:t>
            </w:r>
          </w:p>
        </w:tc>
        <w:tc>
          <w:tcPr>
            <w:tcW w:w="2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CCEEFF"/>
            </w:tcBorders>
            <w:gridSpan w:val="2"/>
            <w:shd w:val="clear" w:color="auto" w:fill="CCEEFF"/>
          </w:tcPr>
          <w:p>
            <w:pPr>
              <w:jc w:val="right"/>
              <w:ind w:right="149"/>
              <w:spacing w:after="0" w:line="100" w:lineRule="exact"/>
              <w:rPr>
                <w:sz w:val="20"/>
                <w:szCs w:val="20"/>
                <w:color w:val="auto"/>
              </w:rPr>
            </w:pPr>
            <w:r>
              <w:rPr>
                <w:rFonts w:ascii="Arial" w:cs="Arial" w:eastAsia="Arial" w:hAnsi="Arial"/>
                <w:sz w:val="10"/>
                <w:szCs w:val="10"/>
                <w:i w:val="1"/>
                <w:iCs w:val="1"/>
                <w:color w:val="auto"/>
              </w:rPr>
              <w:t>(20)%</w:t>
            </w:r>
          </w:p>
        </w:tc>
        <w:tc>
          <w:tcPr>
            <w:tcW w:w="22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CCEEFF"/>
            </w:tcBorders>
            <w:shd w:val="clear" w:color="auto" w:fill="CCEEFF"/>
          </w:tcPr>
          <w:p>
            <w:pPr>
              <w:jc w:val="right"/>
              <w:ind w:right="69"/>
              <w:spacing w:after="0" w:line="100" w:lineRule="exact"/>
              <w:rPr>
                <w:sz w:val="20"/>
                <w:szCs w:val="20"/>
                <w:color w:val="auto"/>
              </w:rPr>
            </w:pPr>
            <w:r>
              <w:rPr>
                <w:rFonts w:ascii="Arial" w:cs="Arial" w:eastAsia="Arial" w:hAnsi="Arial"/>
                <w:sz w:val="10"/>
                <w:szCs w:val="10"/>
                <w:color w:val="auto"/>
              </w:rPr>
              <w:t>17 %</w:t>
            </w:r>
          </w:p>
        </w:tc>
      </w:tr>
      <w:tr>
        <w:trPr>
          <w:trHeight w:val="108"/>
        </w:trPr>
        <w:tc>
          <w:tcPr>
            <w:tcW w:w="484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10"/>
        </w:trPr>
        <w:tc>
          <w:tcPr>
            <w:tcW w:w="5040" w:type="dxa"/>
            <w:vAlign w:val="bottom"/>
            <w:gridSpan w:val="3"/>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Total depreciation, amortization, and general and administrative expense</w:t>
            </w:r>
          </w:p>
        </w:tc>
        <w:tc>
          <w:tcPr>
            <w:tcW w:w="30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b w:val="1"/>
                <w:bCs w:val="1"/>
                <w:color w:val="auto"/>
                <w:w w:val="71"/>
              </w:rPr>
              <w:t>$</w:t>
            </w:r>
          </w:p>
        </w:tc>
        <w:tc>
          <w:tcPr>
            <w:tcW w:w="120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b w:val="1"/>
                <w:bCs w:val="1"/>
                <w:color w:val="auto"/>
              </w:rPr>
              <w:t>(22,033)</w:t>
            </w:r>
          </w:p>
        </w:tc>
        <w:tc>
          <w:tcPr>
            <w:tcW w:w="940" w:type="dxa"/>
            <w:vAlign w:val="bottom"/>
            <w:shd w:val="clear" w:color="auto" w:fill="CCEEFF"/>
          </w:tcPr>
          <w:p>
            <w:pPr>
              <w:jc w:val="right"/>
              <w:ind w:right="209"/>
              <w:spacing w:after="0" w:line="109" w:lineRule="exact"/>
              <w:rPr>
                <w:sz w:val="20"/>
                <w:szCs w:val="20"/>
                <w:color w:val="auto"/>
              </w:rPr>
            </w:pPr>
            <w:r>
              <w:rPr>
                <w:rFonts w:ascii="Arial" w:cs="Arial" w:eastAsia="Arial" w:hAnsi="Arial"/>
                <w:sz w:val="10"/>
                <w:szCs w:val="10"/>
                <w:i w:val="1"/>
                <w:iCs w:val="1"/>
                <w:color w:val="auto"/>
              </w:rPr>
              <w:t>(17)%</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jc w:val="right"/>
              <w:ind w:right="95"/>
              <w:spacing w:after="0"/>
              <w:rPr>
                <w:sz w:val="20"/>
                <w:szCs w:val="20"/>
                <w:color w:val="auto"/>
              </w:rPr>
            </w:pPr>
            <w:r>
              <w:rPr>
                <w:rFonts w:ascii="Arial" w:cs="Arial" w:eastAsia="Arial" w:hAnsi="Arial"/>
                <w:sz w:val="5"/>
                <w:szCs w:val="5"/>
                <w:b w:val="1"/>
                <w:bCs w:val="1"/>
                <w:color w:val="auto"/>
                <w:w w:val="70"/>
              </w:rPr>
              <w:t>$</w:t>
            </w:r>
          </w:p>
        </w:tc>
        <w:tc>
          <w:tcPr>
            <w:tcW w:w="112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b w:val="1"/>
                <w:bCs w:val="1"/>
                <w:color w:val="auto"/>
              </w:rPr>
              <w:t>(18,889)</w:t>
            </w:r>
          </w:p>
        </w:tc>
        <w:tc>
          <w:tcPr>
            <w:tcW w:w="106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(28)%</w:t>
            </w: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(17) %</w:t>
            </w:r>
          </w:p>
        </w:tc>
      </w:tr>
      <w:tr>
        <w:trPr>
          <w:trHeight w:val="110"/>
        </w:trPr>
        <w:tc>
          <w:tcPr>
            <w:tcW w:w="1520" w:type="dxa"/>
            <w:vAlign w:val="bottom"/>
            <w:tcBorders>
              <w:top w:val="single" w:sz="8" w:color="CCEEFF"/>
              <w:bottom w:val="single" w:sz="8" w:color="CCEEFF"/>
            </w:tcBorders>
          </w:tcPr>
          <w:p>
            <w:pPr>
              <w:spacing w:after="0"/>
              <w:rPr>
                <w:sz w:val="9"/>
                <w:szCs w:val="9"/>
                <w:color w:val="auto"/>
              </w:rPr>
            </w:pPr>
          </w:p>
        </w:tc>
        <w:tc>
          <w:tcPr>
            <w:tcW w:w="3320" w:type="dxa"/>
            <w:vAlign w:val="bottom"/>
            <w:tcBorders>
              <w:top w:val="single" w:sz="8" w:color="CCEEFF"/>
              <w:bottom w:val="single" w:sz="8" w:color="CCEEFF"/>
            </w:tcBorders>
          </w:tcPr>
          <w:p>
            <w:pPr>
              <w:spacing w:after="0"/>
              <w:rPr>
                <w:sz w:val="9"/>
                <w:szCs w:val="9"/>
                <w:color w:val="auto"/>
              </w:rPr>
            </w:pPr>
          </w:p>
        </w:tc>
        <w:tc>
          <w:tcPr>
            <w:tcW w:w="200" w:type="dxa"/>
            <w:vAlign w:val="bottom"/>
            <w:tcBorders>
              <w:top w:val="single" w:sz="8" w:color="CCEEFF"/>
              <w:bottom w:val="single" w:sz="8" w:color="CCEEFF"/>
            </w:tcBorders>
          </w:tcPr>
          <w:p>
            <w:pPr>
              <w:spacing w:after="0"/>
              <w:rPr>
                <w:sz w:val="9"/>
                <w:szCs w:val="9"/>
                <w:color w:val="auto"/>
              </w:rPr>
            </w:pPr>
          </w:p>
        </w:tc>
        <w:tc>
          <w:tcPr>
            <w:tcW w:w="300" w:type="dxa"/>
            <w:vAlign w:val="bottom"/>
            <w:tcBorders>
              <w:top w:val="single" w:sz="8" w:color="auto"/>
              <w:bottom w:val="single" w:sz="8" w:color="auto"/>
            </w:tcBorders>
          </w:tcPr>
          <w:p>
            <w:pPr>
              <w:spacing w:after="0"/>
              <w:rPr>
                <w:sz w:val="9"/>
                <w:szCs w:val="9"/>
                <w:color w:val="auto"/>
              </w:rPr>
            </w:pPr>
          </w:p>
        </w:tc>
        <w:tc>
          <w:tcPr>
            <w:tcW w:w="980" w:type="dxa"/>
            <w:vAlign w:val="bottom"/>
            <w:tcBorders>
              <w:top w:val="single" w:sz="8" w:color="auto"/>
              <w:bottom w:val="single" w:sz="8" w:color="auto"/>
            </w:tcBorders>
          </w:tcPr>
          <w:p>
            <w:pPr>
              <w:spacing w:after="0"/>
              <w:rPr>
                <w:sz w:val="9"/>
                <w:szCs w:val="9"/>
                <w:color w:val="auto"/>
              </w:rPr>
            </w:pPr>
          </w:p>
        </w:tc>
        <w:tc>
          <w:tcPr>
            <w:tcW w:w="220" w:type="dxa"/>
            <w:vAlign w:val="bottom"/>
            <w:tcBorders>
              <w:top w:val="single" w:sz="8" w:color="CCEEFF"/>
              <w:bottom w:val="single" w:sz="8" w:color="CCEEFF"/>
            </w:tcBorders>
          </w:tcPr>
          <w:p>
            <w:pPr>
              <w:spacing w:after="0"/>
              <w:rPr>
                <w:sz w:val="9"/>
                <w:szCs w:val="9"/>
                <w:color w:val="auto"/>
              </w:rPr>
            </w:pPr>
          </w:p>
        </w:tc>
        <w:tc>
          <w:tcPr>
            <w:tcW w:w="940" w:type="dxa"/>
            <w:vAlign w:val="bottom"/>
            <w:tcBorders>
              <w:top w:val="single" w:sz="8" w:color="CCEEFF"/>
              <w:bottom w:val="single" w:sz="8" w:color="CCEEFF"/>
            </w:tcBorders>
          </w:tcPr>
          <w:p>
            <w:pPr>
              <w:spacing w:after="0"/>
              <w:rPr>
                <w:sz w:val="9"/>
                <w:szCs w:val="9"/>
                <w:color w:val="auto"/>
              </w:rPr>
            </w:pPr>
          </w:p>
        </w:tc>
        <w:tc>
          <w:tcPr>
            <w:tcW w:w="220" w:type="dxa"/>
            <w:vAlign w:val="bottom"/>
            <w:tcBorders>
              <w:top w:val="single" w:sz="8" w:color="CCEEFF"/>
              <w:bottom w:val="single" w:sz="8" w:color="CCEEFF"/>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1100" w:type="dxa"/>
            <w:vAlign w:val="bottom"/>
            <w:tcBorders>
              <w:top w:val="single" w:sz="8" w:color="auto"/>
              <w:bottom w:val="single" w:sz="8" w:color="auto"/>
            </w:tcBorders>
          </w:tcPr>
          <w:p>
            <w:pPr>
              <w:spacing w:after="0"/>
              <w:rPr>
                <w:sz w:val="9"/>
                <w:szCs w:val="9"/>
                <w:color w:val="auto"/>
              </w:rPr>
            </w:pPr>
          </w:p>
        </w:tc>
        <w:tc>
          <w:tcPr>
            <w:tcW w:w="20" w:type="dxa"/>
            <w:vAlign w:val="bottom"/>
            <w:tcBorders>
              <w:top w:val="single" w:sz="8" w:color="CCEEFF"/>
              <w:bottom w:val="single" w:sz="8" w:color="CCEEFF"/>
            </w:tcBorders>
          </w:tcPr>
          <w:p>
            <w:pPr>
              <w:spacing w:after="0"/>
              <w:rPr>
                <w:sz w:val="9"/>
                <w:szCs w:val="9"/>
                <w:color w:val="auto"/>
              </w:rPr>
            </w:pPr>
          </w:p>
        </w:tc>
        <w:tc>
          <w:tcPr>
            <w:tcW w:w="180" w:type="dxa"/>
            <w:vAlign w:val="bottom"/>
            <w:tcBorders>
              <w:top w:val="single" w:sz="8" w:color="CCEEFF"/>
              <w:bottom w:val="single" w:sz="8" w:color="CCEEFF"/>
            </w:tcBorders>
          </w:tcPr>
          <w:p>
            <w:pPr>
              <w:spacing w:after="0"/>
              <w:rPr>
                <w:sz w:val="9"/>
                <w:szCs w:val="9"/>
                <w:color w:val="auto"/>
              </w:rPr>
            </w:pPr>
          </w:p>
        </w:tc>
        <w:tc>
          <w:tcPr>
            <w:tcW w:w="880" w:type="dxa"/>
            <w:vAlign w:val="bottom"/>
            <w:tcBorders>
              <w:top w:val="single" w:sz="8" w:color="CCEEFF"/>
              <w:bottom w:val="single" w:sz="8" w:color="CCEEFF"/>
            </w:tcBorders>
          </w:tcPr>
          <w:p>
            <w:pPr>
              <w:spacing w:after="0"/>
              <w:rPr>
                <w:sz w:val="9"/>
                <w:szCs w:val="9"/>
                <w:color w:val="auto"/>
              </w:rPr>
            </w:pPr>
          </w:p>
        </w:tc>
        <w:tc>
          <w:tcPr>
            <w:tcW w:w="220" w:type="dxa"/>
            <w:vAlign w:val="bottom"/>
            <w:tcBorders>
              <w:top w:val="single" w:sz="8" w:color="CCEEFF"/>
              <w:bottom w:val="single" w:sz="8" w:color="CCEEFF"/>
            </w:tcBorders>
          </w:tcPr>
          <w:p>
            <w:pPr>
              <w:spacing w:after="0"/>
              <w:rPr>
                <w:sz w:val="9"/>
                <w:szCs w:val="9"/>
                <w:color w:val="auto"/>
              </w:rPr>
            </w:pPr>
          </w:p>
        </w:tc>
        <w:tc>
          <w:tcPr>
            <w:tcW w:w="1020" w:type="dxa"/>
            <w:vAlign w:val="bottom"/>
            <w:tcBorders>
              <w:top w:val="single" w:sz="8" w:color="CCEEFF"/>
              <w:bottom w:val="single" w:sz="8" w:color="CCEEFF"/>
            </w:tcBorders>
          </w:tcPr>
          <w:p>
            <w:pPr>
              <w:spacing w:after="0"/>
              <w:rPr>
                <w:sz w:val="9"/>
                <w:szCs w:val="9"/>
                <w:color w:val="auto"/>
              </w:rPr>
            </w:pPr>
          </w:p>
        </w:tc>
      </w:tr>
      <w:tr>
        <w:trPr>
          <w:trHeight w:val="128"/>
        </w:trPr>
        <w:tc>
          <w:tcPr>
            <w:tcW w:w="1520" w:type="dxa"/>
            <w:vAlign w:val="bottom"/>
            <w:tcBorders>
              <w:bottom w:val="single" w:sz="8" w:color="CCEEFF"/>
            </w:tcBorders>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Total expenses</w:t>
            </w:r>
          </w:p>
        </w:tc>
        <w:tc>
          <w:tcPr>
            <w:tcW w:w="33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89"/>
              <w:spacing w:after="0" w:line="109" w:lineRule="exact"/>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b w:val="1"/>
                <w:bCs w:val="1"/>
                <w:color w:val="auto"/>
              </w:rPr>
              <w:t>(145,449)</w:t>
            </w:r>
          </w:p>
        </w:tc>
        <w:tc>
          <w:tcPr>
            <w:tcW w:w="2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209"/>
              <w:spacing w:after="0" w:line="109" w:lineRule="exact"/>
              <w:rPr>
                <w:sz w:val="20"/>
                <w:szCs w:val="20"/>
                <w:color w:val="auto"/>
              </w:rPr>
            </w:pPr>
            <w:r>
              <w:rPr>
                <w:rFonts w:ascii="Arial" w:cs="Arial" w:eastAsia="Arial" w:hAnsi="Arial"/>
                <w:sz w:val="10"/>
                <w:szCs w:val="10"/>
                <w:i w:val="1"/>
                <w:iCs w:val="1"/>
                <w:color w:val="auto"/>
              </w:rPr>
              <w:t>(115)%</w:t>
            </w:r>
          </w:p>
        </w:tc>
        <w:tc>
          <w:tcPr>
            <w:tcW w:w="2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5"/>
                <w:szCs w:val="5"/>
                <w:b w:val="1"/>
                <w:bCs w:val="1"/>
                <w:color w:val="auto"/>
                <w:w w:val="70"/>
              </w:rPr>
              <w:t>$</w:t>
            </w:r>
          </w:p>
        </w:tc>
        <w:tc>
          <w:tcPr>
            <w:tcW w:w="110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b w:val="1"/>
                <w:bCs w:val="1"/>
                <w:color w:val="auto"/>
              </w:rPr>
              <w:t>(112,070)</w:t>
            </w:r>
          </w:p>
        </w:tc>
        <w:tc>
          <w:tcPr>
            <w:tcW w:w="2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(167)%</w:t>
            </w:r>
          </w:p>
        </w:tc>
        <w:tc>
          <w:tcPr>
            <w:tcW w:w="2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(30) %</w:t>
            </w:r>
          </w:p>
        </w:tc>
      </w:tr>
      <w:tr>
        <w:trPr>
          <w:trHeight w:val="90"/>
        </w:trPr>
        <w:tc>
          <w:tcPr>
            <w:tcW w:w="1520" w:type="dxa"/>
            <w:vAlign w:val="bottom"/>
          </w:tcPr>
          <w:p>
            <w:pPr>
              <w:spacing w:after="0" w:line="91" w:lineRule="exact"/>
              <w:rPr>
                <w:sz w:val="20"/>
                <w:szCs w:val="20"/>
                <w:color w:val="auto"/>
              </w:rPr>
            </w:pPr>
            <w:r>
              <w:rPr>
                <w:rFonts w:ascii="Arial" w:cs="Arial" w:eastAsia="Arial" w:hAnsi="Arial"/>
                <w:sz w:val="10"/>
                <w:szCs w:val="10"/>
                <w:b w:val="1"/>
                <w:bCs w:val="1"/>
                <w:color w:val="auto"/>
              </w:rPr>
              <w:t>OPERATING INCOME (LOSS)</w:t>
            </w:r>
          </w:p>
        </w:tc>
        <w:tc>
          <w:tcPr>
            <w:tcW w:w="3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108"/>
        </w:trPr>
        <w:tc>
          <w:tcPr>
            <w:tcW w:w="1520" w:type="dxa"/>
            <w:vAlign w:val="bottom"/>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United States</w:t>
            </w:r>
          </w:p>
        </w:tc>
        <w:tc>
          <w:tcPr>
            <w:tcW w:w="3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(21,145)</w:t>
            </w:r>
          </w:p>
        </w:tc>
        <w:tc>
          <w:tcPr>
            <w:tcW w:w="940" w:type="dxa"/>
            <w:vAlign w:val="bottom"/>
            <w:shd w:val="clear" w:color="auto" w:fill="CCEEFF"/>
          </w:tcPr>
          <w:p>
            <w:pPr>
              <w:jc w:val="right"/>
              <w:ind w:right="209"/>
              <w:spacing w:after="0" w:line="109" w:lineRule="exact"/>
              <w:rPr>
                <w:sz w:val="20"/>
                <w:szCs w:val="20"/>
                <w:color w:val="auto"/>
              </w:rPr>
            </w:pPr>
            <w:r>
              <w:rPr>
                <w:rFonts w:ascii="Arial" w:cs="Arial" w:eastAsia="Arial" w:hAnsi="Arial"/>
                <w:sz w:val="10"/>
                <w:szCs w:val="10"/>
                <w:i w:val="1"/>
                <w:iCs w:val="1"/>
                <w:color w:val="auto"/>
              </w:rPr>
              <w:t>(35)%</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jc w:val="right"/>
              <w:ind w:right="95"/>
              <w:spacing w:after="0"/>
              <w:rPr>
                <w:sz w:val="20"/>
                <w:szCs w:val="20"/>
                <w:color w:val="auto"/>
              </w:rPr>
            </w:pPr>
            <w:r>
              <w:rPr>
                <w:rFonts w:ascii="Arial" w:cs="Arial" w:eastAsia="Arial" w:hAnsi="Arial"/>
                <w:sz w:val="5"/>
                <w:szCs w:val="5"/>
                <w:color w:val="auto"/>
                <w:w w:val="70"/>
              </w:rPr>
              <w:t>$</w:t>
            </w:r>
          </w:p>
        </w:tc>
        <w:tc>
          <w:tcPr>
            <w:tcW w:w="112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(39,371)</w:t>
            </w:r>
          </w:p>
        </w:tc>
        <w:tc>
          <w:tcPr>
            <w:tcW w:w="106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(144)%</w:t>
            </w: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46 %</w:t>
            </w:r>
          </w:p>
        </w:tc>
      </w:tr>
      <w:tr>
        <w:trPr>
          <w:trHeight w:val="108"/>
        </w:trPr>
        <w:tc>
          <w:tcPr>
            <w:tcW w:w="1520" w:type="dxa"/>
            <w:vAlign w:val="bottom"/>
          </w:tcPr>
          <w:p>
            <w:pPr>
              <w:ind w:left="220"/>
              <w:spacing w:after="0" w:line="109" w:lineRule="exact"/>
              <w:rPr>
                <w:sz w:val="20"/>
                <w:szCs w:val="20"/>
                <w:color w:val="auto"/>
              </w:rPr>
            </w:pPr>
            <w:r>
              <w:rPr>
                <w:rFonts w:ascii="Arial" w:cs="Arial" w:eastAsia="Arial" w:hAnsi="Arial"/>
                <w:sz w:val="10"/>
                <w:szCs w:val="10"/>
                <w:b w:val="1"/>
                <w:bCs w:val="1"/>
                <w:color w:val="auto"/>
              </w:rPr>
              <w:t>Australia</w:t>
            </w: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gridSpan w:val="2"/>
          </w:tcPr>
          <w:p>
            <w:pPr>
              <w:jc w:val="right"/>
              <w:ind w:right="220"/>
              <w:spacing w:after="0" w:line="109" w:lineRule="exact"/>
              <w:rPr>
                <w:sz w:val="20"/>
                <w:szCs w:val="20"/>
                <w:color w:val="auto"/>
              </w:rPr>
            </w:pPr>
            <w:r>
              <w:rPr>
                <w:rFonts w:ascii="Arial" w:cs="Arial" w:eastAsia="Arial" w:hAnsi="Arial"/>
                <w:sz w:val="10"/>
                <w:szCs w:val="10"/>
                <w:color w:val="auto"/>
              </w:rPr>
              <w:t>2,054</w:t>
            </w:r>
          </w:p>
        </w:tc>
        <w:tc>
          <w:tcPr>
            <w:tcW w:w="940" w:type="dxa"/>
            <w:vAlign w:val="bottom"/>
          </w:tcPr>
          <w:p>
            <w:pPr>
              <w:jc w:val="right"/>
              <w:ind w:right="209"/>
              <w:spacing w:after="0" w:line="109" w:lineRule="exact"/>
              <w:rPr>
                <w:sz w:val="20"/>
                <w:szCs w:val="20"/>
                <w:color w:val="auto"/>
              </w:rPr>
            </w:pPr>
            <w:r>
              <w:rPr>
                <w:rFonts w:ascii="Arial" w:cs="Arial" w:eastAsia="Arial" w:hAnsi="Arial"/>
                <w:sz w:val="10"/>
                <w:szCs w:val="10"/>
                <w:i w:val="1"/>
                <w:iCs w:val="1"/>
                <w:color w:val="auto"/>
              </w:rPr>
              <w:t>4%</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(4,267)</w:t>
            </w:r>
          </w:p>
        </w:tc>
        <w:tc>
          <w:tcPr>
            <w:tcW w:w="106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(13)%</w:t>
            </w:r>
          </w:p>
        </w:tc>
        <w:tc>
          <w:tcPr>
            <w:tcW w:w="22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128"/>
        </w:trPr>
        <w:tc>
          <w:tcPr>
            <w:tcW w:w="1520" w:type="dxa"/>
            <w:vAlign w:val="bottom"/>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New Zealand</w:t>
            </w:r>
          </w:p>
        </w:tc>
        <w:tc>
          <w:tcPr>
            <w:tcW w:w="3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20"/>
              <w:spacing w:after="0" w:line="109" w:lineRule="exact"/>
              <w:rPr>
                <w:sz w:val="20"/>
                <w:szCs w:val="20"/>
                <w:color w:val="auto"/>
              </w:rPr>
            </w:pPr>
            <w:r>
              <w:rPr>
                <w:rFonts w:ascii="Arial" w:cs="Arial" w:eastAsia="Arial" w:hAnsi="Arial"/>
                <w:sz w:val="10"/>
                <w:szCs w:val="10"/>
                <w:color w:val="auto"/>
              </w:rPr>
              <w:t>454</w:t>
            </w:r>
          </w:p>
        </w:tc>
        <w:tc>
          <w:tcPr>
            <w:tcW w:w="940" w:type="dxa"/>
            <w:vAlign w:val="bottom"/>
            <w:shd w:val="clear" w:color="auto" w:fill="CCEEFF"/>
          </w:tcPr>
          <w:p>
            <w:pPr>
              <w:jc w:val="right"/>
              <w:ind w:right="209"/>
              <w:spacing w:after="0" w:line="109" w:lineRule="exact"/>
              <w:rPr>
                <w:sz w:val="20"/>
                <w:szCs w:val="20"/>
                <w:color w:val="auto"/>
              </w:rPr>
            </w:pPr>
            <w:r>
              <w:rPr>
                <w:rFonts w:ascii="Arial" w:cs="Arial" w:eastAsia="Arial" w:hAnsi="Arial"/>
                <w:sz w:val="10"/>
                <w:szCs w:val="10"/>
                <w:i w:val="1"/>
                <w:iCs w:val="1"/>
                <w:color w:val="auto"/>
              </w:rPr>
              <w:t>4%</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(1,418)</w:t>
            </w:r>
          </w:p>
        </w:tc>
        <w:tc>
          <w:tcPr>
            <w:tcW w:w="106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(20)%</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90"/>
        </w:trPr>
        <w:tc>
          <w:tcPr>
            <w:tcW w:w="1520" w:type="dxa"/>
            <w:vAlign w:val="bottom"/>
            <w:tcBorders>
              <w:top w:val="single" w:sz="8" w:color="CCEEFF"/>
            </w:tcBorders>
          </w:tcPr>
          <w:p>
            <w:pPr>
              <w:ind w:left="220"/>
              <w:spacing w:after="0" w:line="91" w:lineRule="exact"/>
              <w:rPr>
                <w:sz w:val="20"/>
                <w:szCs w:val="20"/>
                <w:color w:val="auto"/>
              </w:rPr>
            </w:pPr>
            <w:r>
              <w:rPr>
                <w:rFonts w:ascii="Arial" w:cs="Arial" w:eastAsia="Arial" w:hAnsi="Arial"/>
                <w:sz w:val="10"/>
                <w:szCs w:val="10"/>
                <w:b w:val="1"/>
                <w:bCs w:val="1"/>
                <w:color w:val="auto"/>
                <w:w w:val="91"/>
              </w:rPr>
              <w:t>Total operating income (loss)</w:t>
            </w:r>
          </w:p>
        </w:tc>
        <w:tc>
          <w:tcPr>
            <w:tcW w:w="3320" w:type="dxa"/>
            <w:vAlign w:val="bottom"/>
            <w:tcBorders>
              <w:top w:val="single" w:sz="8" w:color="CCEEFF"/>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300" w:type="dxa"/>
            <w:vAlign w:val="bottom"/>
            <w:tcBorders>
              <w:top w:val="single" w:sz="8" w:color="auto"/>
              <w:bottom w:val="single" w:sz="8" w:color="auto"/>
            </w:tcBorders>
          </w:tcPr>
          <w:p>
            <w:pPr>
              <w:jc w:val="right"/>
              <w:ind w:right="189"/>
              <w:spacing w:after="0" w:line="91" w:lineRule="exact"/>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b w:val="1"/>
                <w:bCs w:val="1"/>
                <w:color w:val="auto"/>
              </w:rPr>
              <w:t>(18,637)</w:t>
            </w:r>
          </w:p>
        </w:tc>
        <w:tc>
          <w:tcPr>
            <w:tcW w:w="220" w:type="dxa"/>
            <w:vAlign w:val="bottom"/>
            <w:tcBorders>
              <w:top w:val="single" w:sz="8" w:color="CCEEFF"/>
            </w:tcBorders>
          </w:tcPr>
          <w:p>
            <w:pPr>
              <w:spacing w:after="0"/>
              <w:rPr>
                <w:sz w:val="7"/>
                <w:szCs w:val="7"/>
                <w:color w:val="auto"/>
              </w:rPr>
            </w:pPr>
          </w:p>
        </w:tc>
        <w:tc>
          <w:tcPr>
            <w:tcW w:w="940" w:type="dxa"/>
            <w:vAlign w:val="bottom"/>
            <w:tcBorders>
              <w:top w:val="single" w:sz="8" w:color="CCEEFF"/>
            </w:tcBorders>
          </w:tcPr>
          <w:p>
            <w:pPr>
              <w:jc w:val="right"/>
              <w:ind w:right="209"/>
              <w:spacing w:after="0" w:line="91" w:lineRule="exact"/>
              <w:rPr>
                <w:sz w:val="20"/>
                <w:szCs w:val="20"/>
                <w:color w:val="auto"/>
              </w:rPr>
            </w:pPr>
            <w:r>
              <w:rPr>
                <w:rFonts w:ascii="Arial" w:cs="Arial" w:eastAsia="Arial" w:hAnsi="Arial"/>
                <w:sz w:val="10"/>
                <w:szCs w:val="10"/>
                <w:i w:val="1"/>
                <w:iCs w:val="1"/>
                <w:color w:val="auto"/>
              </w:rPr>
              <w:t>(15)%</w:t>
            </w:r>
          </w:p>
        </w:tc>
        <w:tc>
          <w:tcPr>
            <w:tcW w:w="220" w:type="dxa"/>
            <w:vAlign w:val="bottom"/>
            <w:tcBorders>
              <w:top w:val="single" w:sz="8" w:color="CCEEFF"/>
            </w:tcBorders>
          </w:tcPr>
          <w:p>
            <w:pPr>
              <w:spacing w:after="0"/>
              <w:rPr>
                <w:sz w:val="7"/>
                <w:szCs w:val="7"/>
                <w:color w:val="auto"/>
              </w:rPr>
            </w:pPr>
          </w:p>
        </w:tc>
        <w:tc>
          <w:tcPr>
            <w:tcW w:w="1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5"/>
                <w:szCs w:val="5"/>
                <w:b w:val="1"/>
                <w:bCs w:val="1"/>
                <w:color w:val="auto"/>
                <w:w w:val="70"/>
              </w:rPr>
              <w:t>$</w:t>
            </w:r>
          </w:p>
        </w:tc>
        <w:tc>
          <w:tcPr>
            <w:tcW w:w="110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b w:val="1"/>
                <w:bCs w:val="1"/>
                <w:color w:val="auto"/>
              </w:rPr>
              <w:t>(45,056)</w:t>
            </w:r>
          </w:p>
        </w:tc>
        <w:tc>
          <w:tcPr>
            <w:tcW w:w="20" w:type="dxa"/>
            <w:vAlign w:val="bottom"/>
            <w:tcBorders>
              <w:top w:val="single" w:sz="8" w:color="CCEEFF"/>
              <w:bottom w:val="single" w:sz="8" w:color="auto"/>
            </w:tcBorders>
          </w:tcPr>
          <w:p>
            <w:pPr>
              <w:spacing w:after="0"/>
              <w:rPr>
                <w:sz w:val="7"/>
                <w:szCs w:val="7"/>
                <w:color w:val="auto"/>
              </w:rPr>
            </w:pPr>
          </w:p>
        </w:tc>
        <w:tc>
          <w:tcPr>
            <w:tcW w:w="1060" w:type="dxa"/>
            <w:vAlign w:val="bottom"/>
            <w:tcBorders>
              <w:top w:val="single" w:sz="8" w:color="CCEEFF"/>
            </w:tcBorders>
            <w:gridSpan w:val="2"/>
          </w:tcPr>
          <w:p>
            <w:pPr>
              <w:jc w:val="right"/>
              <w:ind w:right="149"/>
              <w:spacing w:after="0" w:line="91" w:lineRule="exact"/>
              <w:rPr>
                <w:sz w:val="20"/>
                <w:szCs w:val="20"/>
                <w:color w:val="auto"/>
              </w:rPr>
            </w:pPr>
            <w:r>
              <w:rPr>
                <w:rFonts w:ascii="Arial" w:cs="Arial" w:eastAsia="Arial" w:hAnsi="Arial"/>
                <w:sz w:val="10"/>
                <w:szCs w:val="10"/>
                <w:i w:val="1"/>
                <w:iCs w:val="1"/>
                <w:color w:val="auto"/>
              </w:rPr>
              <w:t>(67)%</w:t>
            </w:r>
          </w:p>
        </w:tc>
        <w:tc>
          <w:tcPr>
            <w:tcW w:w="220" w:type="dxa"/>
            <w:vAlign w:val="bottom"/>
            <w:tcBorders>
              <w:top w:val="single" w:sz="8" w:color="CCEEFF"/>
            </w:tcBorders>
          </w:tcPr>
          <w:p>
            <w:pPr>
              <w:spacing w:after="0"/>
              <w:rPr>
                <w:sz w:val="7"/>
                <w:szCs w:val="7"/>
                <w:color w:val="auto"/>
              </w:rPr>
            </w:pPr>
          </w:p>
        </w:tc>
        <w:tc>
          <w:tcPr>
            <w:tcW w:w="1020" w:type="dxa"/>
            <w:vAlign w:val="bottom"/>
            <w:tcBorders>
              <w:top w:val="single" w:sz="8" w:color="CCEEFF"/>
            </w:tcBorders>
          </w:tcPr>
          <w:p>
            <w:pPr>
              <w:jc w:val="right"/>
              <w:ind w:right="69"/>
              <w:spacing w:after="0" w:line="91" w:lineRule="exact"/>
              <w:rPr>
                <w:sz w:val="20"/>
                <w:szCs w:val="20"/>
                <w:color w:val="auto"/>
              </w:rPr>
            </w:pPr>
            <w:r>
              <w:rPr>
                <w:rFonts w:ascii="Arial" w:cs="Arial" w:eastAsia="Arial" w:hAnsi="Arial"/>
                <w:sz w:val="10"/>
                <w:szCs w:val="10"/>
                <w:color w:val="auto"/>
              </w:rPr>
              <w:t>59 %</w:t>
            </w:r>
          </w:p>
        </w:tc>
      </w:tr>
      <w:tr>
        <w:trPr>
          <w:trHeight w:val="20"/>
        </w:trPr>
        <w:tc>
          <w:tcPr>
            <w:tcW w:w="15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auto"/>
        </w:rPr>
        <w:t>Cinema Exhibition</w:t>
      </w:r>
      <w:r>
        <w:rPr>
          <w:rFonts w:ascii="Arial" w:cs="Arial" w:eastAsia="Arial" w:hAnsi="Arial"/>
          <w:sz w:val="14"/>
          <w:szCs w:val="14"/>
          <w:b w:val="1"/>
          <w:bCs w:val="1"/>
          <w:color w:val="auto"/>
        </w:rPr>
        <w:t xml:space="preserve"> – </w:t>
      </w:r>
      <w:r>
        <w:rPr>
          <w:rFonts w:ascii="Arial" w:cs="Arial" w:eastAsia="Arial" w:hAnsi="Arial"/>
          <w:sz w:val="14"/>
          <w:szCs w:val="14"/>
          <w:b w:val="1"/>
          <w:bCs w:val="1"/>
          <w:i w:val="1"/>
          <w:iCs w:val="1"/>
          <w:color w:val="auto"/>
        </w:rPr>
        <w:t>The following table details our Cinema Exhibition segment operating results for the quarters ended December 31, 2021 and 2020, respectively</w:t>
      </w:r>
      <w:r>
        <w:rPr>
          <w:rFonts w:ascii="Arial" w:cs="Arial" w:eastAsia="Arial" w:hAnsi="Arial"/>
          <w:sz w:val="14"/>
          <w:szCs w:val="14"/>
          <w:i w:val="1"/>
          <w:iCs w:val="1"/>
          <w:color w:val="auto"/>
        </w:rPr>
        <w: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4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0"/>
              </w:rPr>
              <w:t>2021 vs. 2020</w:t>
            </w:r>
          </w:p>
        </w:tc>
      </w:tr>
      <w:tr>
        <w:trPr>
          <w:trHeight w:val="108"/>
        </w:trPr>
        <w:tc>
          <w:tcPr>
            <w:tcW w:w="14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w w:val="91"/>
              </w:rPr>
              <w:t>Favorable/</w:t>
            </w:r>
          </w:p>
        </w:tc>
      </w:tr>
      <w:tr>
        <w:trPr>
          <w:trHeight w:val="123"/>
        </w:trPr>
        <w:tc>
          <w:tcPr>
            <w:tcW w:w="1460" w:type="dxa"/>
            <w:vAlign w:val="bottom"/>
          </w:tcPr>
          <w:p>
            <w:pPr>
              <w:spacing w:after="0"/>
              <w:rPr>
                <w:sz w:val="20"/>
                <w:szCs w:val="20"/>
                <w:color w:val="auto"/>
              </w:rPr>
            </w:pPr>
            <w:r>
              <w:rPr>
                <w:rFonts w:ascii="Arial" w:cs="Arial" w:eastAsia="Arial" w:hAnsi="Arial"/>
                <w:sz w:val="10"/>
                <w:szCs w:val="10"/>
                <w:i w:val="1"/>
                <w:iCs w:val="1"/>
                <w:color w:val="auto"/>
              </w:rPr>
              <w:t>(Dollars in thousands)</w:t>
            </w:r>
          </w:p>
        </w:tc>
        <w:tc>
          <w:tcPr>
            <w:tcW w:w="3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jc w:val="right"/>
              <w:ind w:right="469"/>
              <w:spacing w:after="0"/>
              <w:rPr>
                <w:sz w:val="20"/>
                <w:szCs w:val="20"/>
                <w:color w:val="auto"/>
              </w:rPr>
            </w:pPr>
            <w:r>
              <w:rPr>
                <w:rFonts w:ascii="Arial" w:cs="Arial" w:eastAsia="Arial" w:hAnsi="Arial"/>
                <w:sz w:val="10"/>
                <w:szCs w:val="10"/>
                <w:b w:val="1"/>
                <w:bCs w:val="1"/>
                <w:color w:val="auto"/>
              </w:rPr>
              <w:t>2021</w:t>
            </w:r>
          </w:p>
        </w:tc>
        <w:tc>
          <w:tcPr>
            <w:tcW w:w="200" w:type="dxa"/>
            <w:vAlign w:val="bottom"/>
          </w:tcPr>
          <w:p>
            <w:pPr>
              <w:spacing w:after="0"/>
              <w:rPr>
                <w:sz w:val="10"/>
                <w:szCs w:val="10"/>
                <w:color w:val="auto"/>
              </w:rPr>
            </w:pPr>
          </w:p>
        </w:tc>
        <w:tc>
          <w:tcPr>
            <w:tcW w:w="1280" w:type="dxa"/>
            <w:vAlign w:val="bottom"/>
            <w:gridSpan w:val="2"/>
          </w:tcPr>
          <w:p>
            <w:pPr>
              <w:ind w:left="260"/>
              <w:spacing w:after="0"/>
              <w:rPr>
                <w:sz w:val="20"/>
                <w:szCs w:val="20"/>
                <w:color w:val="auto"/>
              </w:rPr>
            </w:pPr>
            <w:r>
              <w:rPr>
                <w:rFonts w:ascii="Arial" w:cs="Arial" w:eastAsia="Arial" w:hAnsi="Arial"/>
                <w:sz w:val="10"/>
                <w:szCs w:val="10"/>
                <w:i w:val="1"/>
                <w:iCs w:val="1"/>
                <w:color w:val="auto"/>
              </w:rPr>
              <w:t>% of Revenue</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right"/>
              <w:ind w:right="469"/>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tcPr>
          <w:p>
            <w:pPr>
              <w:ind w:left="240"/>
              <w:spacing w:after="0"/>
              <w:rPr>
                <w:sz w:val="20"/>
                <w:szCs w:val="20"/>
                <w:color w:val="auto"/>
              </w:rPr>
            </w:pPr>
            <w:r>
              <w:rPr>
                <w:rFonts w:ascii="Arial" w:cs="Arial" w:eastAsia="Arial" w:hAnsi="Arial"/>
                <w:sz w:val="10"/>
                <w:szCs w:val="10"/>
                <w:i w:val="1"/>
                <w:iCs w:val="1"/>
                <w:color w:val="auto"/>
              </w:rPr>
              <w:t>% of Revenue</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3"/>
              </w:rPr>
              <w:t>(Unfavorable)</w:t>
            </w:r>
          </w:p>
        </w:tc>
      </w:tr>
      <w:tr>
        <w:trPr>
          <w:trHeight w:val="108"/>
        </w:trPr>
        <w:tc>
          <w:tcPr>
            <w:tcW w:w="1460" w:type="dxa"/>
            <w:vAlign w:val="bottom"/>
            <w:tcBorders>
              <w:top w:val="single" w:sz="8" w:color="auto"/>
            </w:tcBorders>
          </w:tcPr>
          <w:p>
            <w:pPr>
              <w:spacing w:after="0" w:line="109" w:lineRule="exact"/>
              <w:rPr>
                <w:sz w:val="20"/>
                <w:szCs w:val="20"/>
                <w:color w:val="auto"/>
              </w:rPr>
            </w:pPr>
            <w:r>
              <w:rPr>
                <w:rFonts w:ascii="Arial" w:cs="Arial" w:eastAsia="Arial" w:hAnsi="Arial"/>
                <w:sz w:val="10"/>
                <w:szCs w:val="10"/>
                <w:b w:val="1"/>
                <w:bCs w:val="1"/>
                <w:color w:val="auto"/>
              </w:rPr>
              <w:t>REVENUE</w:t>
            </w:r>
          </w:p>
        </w:tc>
        <w:tc>
          <w:tcPr>
            <w:tcW w:w="32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r>
      <w:tr>
        <w:trPr>
          <w:trHeight w:val="108"/>
        </w:trPr>
        <w:tc>
          <w:tcPr>
            <w:tcW w:w="1460" w:type="dxa"/>
            <w:vAlign w:val="bottom"/>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United States</w:t>
            </w:r>
          </w:p>
        </w:tc>
        <w:tc>
          <w:tcPr>
            <w:tcW w:w="320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Admission revenue</w:t>
            </w:r>
          </w:p>
        </w:tc>
        <w:tc>
          <w:tcPr>
            <w:tcW w:w="480" w:type="dxa"/>
            <w:vAlign w:val="bottom"/>
            <w:gridSpan w:val="2"/>
            <w:shd w:val="clear" w:color="auto" w:fill="CCEEFF"/>
          </w:tcPr>
          <w:p>
            <w:pPr>
              <w:jc w:val="right"/>
              <w:ind w:right="215"/>
              <w:spacing w:after="0" w:line="109" w:lineRule="exact"/>
              <w:rPr>
                <w:sz w:val="20"/>
                <w:szCs w:val="20"/>
                <w:color w:val="auto"/>
              </w:rPr>
            </w:pPr>
            <w:r>
              <w:rPr>
                <w:rFonts w:ascii="Arial" w:cs="Arial" w:eastAsia="Arial" w:hAnsi="Arial"/>
                <w:sz w:val="10"/>
                <w:szCs w:val="10"/>
                <w:color w:val="auto"/>
              </w:rPr>
              <w:t>$</w:t>
            </w:r>
          </w:p>
        </w:tc>
        <w:tc>
          <w:tcPr>
            <w:tcW w:w="9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14,846</w:t>
            </w: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169"/>
              <w:spacing w:after="0" w:line="109" w:lineRule="exact"/>
              <w:rPr>
                <w:sz w:val="20"/>
                <w:szCs w:val="20"/>
                <w:color w:val="auto"/>
              </w:rPr>
            </w:pPr>
            <w:r>
              <w:rPr>
                <w:rFonts w:ascii="Arial" w:cs="Arial" w:eastAsia="Arial" w:hAnsi="Arial"/>
                <w:sz w:val="10"/>
                <w:szCs w:val="10"/>
                <w:i w:val="1"/>
                <w:iCs w:val="1"/>
                <w:color w:val="auto"/>
              </w:rPr>
              <w:t>57%</w:t>
            </w:r>
          </w:p>
        </w:tc>
        <w:tc>
          <w:tcPr>
            <w:tcW w:w="2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95"/>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1,349</w:t>
            </w:r>
          </w:p>
        </w:tc>
        <w:tc>
          <w:tcPr>
            <w:tcW w:w="124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48%</w:t>
            </w: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108"/>
        </w:trPr>
        <w:tc>
          <w:tcPr>
            <w:tcW w:w="1460" w:type="dxa"/>
            <w:vAlign w:val="bottom"/>
          </w:tcPr>
          <w:p>
            <w:pPr>
              <w:spacing w:after="0"/>
              <w:rPr>
                <w:sz w:val="9"/>
                <w:szCs w:val="9"/>
                <w:color w:val="auto"/>
              </w:rPr>
            </w:pPr>
          </w:p>
        </w:tc>
        <w:tc>
          <w:tcPr>
            <w:tcW w:w="3200" w:type="dxa"/>
            <w:vAlign w:val="bottom"/>
          </w:tcPr>
          <w:p>
            <w:pPr>
              <w:ind w:left="20"/>
              <w:spacing w:after="0" w:line="109" w:lineRule="exact"/>
              <w:rPr>
                <w:sz w:val="20"/>
                <w:szCs w:val="20"/>
                <w:color w:val="auto"/>
              </w:rPr>
            </w:pPr>
            <w:r>
              <w:rPr>
                <w:rFonts w:ascii="Arial" w:cs="Arial" w:eastAsia="Arial" w:hAnsi="Arial"/>
                <w:sz w:val="10"/>
                <w:szCs w:val="10"/>
                <w:color w:val="auto"/>
              </w:rPr>
              <w:t>Food &amp; beverage revenue</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8,949</w:t>
            </w:r>
          </w:p>
        </w:tc>
        <w:tc>
          <w:tcPr>
            <w:tcW w:w="1080" w:type="dxa"/>
            <w:vAlign w:val="bottom"/>
          </w:tcPr>
          <w:p>
            <w:pPr>
              <w:jc w:val="right"/>
              <w:ind w:right="169"/>
              <w:spacing w:after="0" w:line="109" w:lineRule="exact"/>
              <w:rPr>
                <w:sz w:val="20"/>
                <w:szCs w:val="20"/>
                <w:color w:val="auto"/>
              </w:rPr>
            </w:pPr>
            <w:r>
              <w:rPr>
                <w:rFonts w:ascii="Arial" w:cs="Arial" w:eastAsia="Arial" w:hAnsi="Arial"/>
                <w:sz w:val="10"/>
                <w:szCs w:val="10"/>
                <w:i w:val="1"/>
                <w:iCs w:val="1"/>
                <w:color w:val="auto"/>
              </w:rPr>
              <w:t>34%</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923</w:t>
            </w:r>
          </w:p>
        </w:tc>
        <w:tc>
          <w:tcPr>
            <w:tcW w:w="124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33%</w:t>
            </w:r>
          </w:p>
        </w:tc>
        <w:tc>
          <w:tcPr>
            <w:tcW w:w="20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108"/>
        </w:trPr>
        <w:tc>
          <w:tcPr>
            <w:tcW w:w="1460" w:type="dxa"/>
            <w:vAlign w:val="bottom"/>
            <w:shd w:val="clear" w:color="auto" w:fill="CCEEFF"/>
          </w:tcPr>
          <w:p>
            <w:pPr>
              <w:spacing w:after="0"/>
              <w:rPr>
                <w:sz w:val="9"/>
                <w:szCs w:val="9"/>
                <w:color w:val="auto"/>
              </w:rPr>
            </w:pPr>
          </w:p>
        </w:tc>
        <w:tc>
          <w:tcPr>
            <w:tcW w:w="320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Advertising and other revenue</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2,234</w:t>
            </w:r>
          </w:p>
        </w:tc>
        <w:tc>
          <w:tcPr>
            <w:tcW w:w="1080" w:type="dxa"/>
            <w:vAlign w:val="bottom"/>
            <w:shd w:val="clear" w:color="auto" w:fill="CCEEFF"/>
          </w:tcPr>
          <w:p>
            <w:pPr>
              <w:jc w:val="right"/>
              <w:ind w:right="169"/>
              <w:spacing w:after="0" w:line="109" w:lineRule="exact"/>
              <w:rPr>
                <w:sz w:val="20"/>
                <w:szCs w:val="20"/>
                <w:color w:val="auto"/>
              </w:rPr>
            </w:pPr>
            <w:r>
              <w:rPr>
                <w:rFonts w:ascii="Arial" w:cs="Arial" w:eastAsia="Arial" w:hAnsi="Arial"/>
                <w:sz w:val="10"/>
                <w:szCs w:val="10"/>
                <w:i w:val="1"/>
                <w:iCs w:val="1"/>
                <w:color w:val="auto"/>
              </w:rPr>
              <w:t>9%</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568</w:t>
            </w:r>
          </w:p>
        </w:tc>
        <w:tc>
          <w:tcPr>
            <w:tcW w:w="124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20%</w:t>
            </w: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99"/>
        </w:trPr>
        <w:tc>
          <w:tcPr>
            <w:tcW w:w="14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top w:val="single" w:sz="8" w:color="auto"/>
            </w:tcBorders>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26,029</w:t>
            </w:r>
          </w:p>
        </w:tc>
        <w:tc>
          <w:tcPr>
            <w:tcW w:w="200" w:type="dxa"/>
            <w:vAlign w:val="bottom"/>
          </w:tcPr>
          <w:p>
            <w:pPr>
              <w:spacing w:after="0"/>
              <w:rPr>
                <w:sz w:val="8"/>
                <w:szCs w:val="8"/>
                <w:color w:val="auto"/>
              </w:rPr>
            </w:pPr>
          </w:p>
        </w:tc>
        <w:tc>
          <w:tcPr>
            <w:tcW w:w="1080" w:type="dxa"/>
            <w:vAlign w:val="bottom"/>
          </w:tcPr>
          <w:p>
            <w:pPr>
              <w:jc w:val="right"/>
              <w:ind w:right="169"/>
              <w:spacing w:after="0" w:line="100" w:lineRule="exact"/>
              <w:rPr>
                <w:sz w:val="20"/>
                <w:szCs w:val="20"/>
                <w:color w:val="auto"/>
              </w:rPr>
            </w:pPr>
            <w:r>
              <w:rPr>
                <w:rFonts w:ascii="Arial" w:cs="Arial" w:eastAsia="Arial" w:hAnsi="Arial"/>
                <w:sz w:val="10"/>
                <w:szCs w:val="10"/>
                <w:i w:val="1"/>
                <w:iCs w:val="1"/>
                <w:color w:val="auto"/>
              </w:rPr>
              <w:t>100%</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top w:val="single" w:sz="8" w:color="auto"/>
            </w:tcBorders>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2,840</w:t>
            </w:r>
          </w:p>
        </w:tc>
        <w:tc>
          <w:tcPr>
            <w:tcW w:w="20" w:type="dxa"/>
            <w:vAlign w:val="bottom"/>
          </w:tcPr>
          <w:p>
            <w:pPr>
              <w:spacing w:after="0"/>
              <w:rPr>
                <w:sz w:val="8"/>
                <w:szCs w:val="8"/>
                <w:color w:val="auto"/>
              </w:rPr>
            </w:pPr>
          </w:p>
        </w:tc>
        <w:tc>
          <w:tcPr>
            <w:tcW w:w="1240" w:type="dxa"/>
            <w:vAlign w:val="bottom"/>
            <w:gridSpan w:val="2"/>
          </w:tcPr>
          <w:p>
            <w:pPr>
              <w:jc w:val="right"/>
              <w:ind w:right="149"/>
              <w:spacing w:after="0" w:line="100" w:lineRule="exact"/>
              <w:rPr>
                <w:sz w:val="20"/>
                <w:szCs w:val="20"/>
                <w:color w:val="auto"/>
              </w:rPr>
            </w:pPr>
            <w:r>
              <w:rPr>
                <w:rFonts w:ascii="Arial" w:cs="Arial" w:eastAsia="Arial" w:hAnsi="Arial"/>
                <w:sz w:val="10"/>
                <w:szCs w:val="10"/>
                <w:i w:val="1"/>
                <w:iCs w:val="1"/>
                <w:color w:val="auto"/>
              </w:rPr>
              <w:t>100%</w:t>
            </w:r>
          </w:p>
        </w:tc>
        <w:tc>
          <w:tcPr>
            <w:tcW w:w="200" w:type="dxa"/>
            <w:vAlign w:val="bottom"/>
          </w:tcPr>
          <w:p>
            <w:pPr>
              <w:spacing w:after="0"/>
              <w:rPr>
                <w:sz w:val="8"/>
                <w:szCs w:val="8"/>
                <w:color w:val="auto"/>
              </w:rPr>
            </w:pPr>
          </w:p>
        </w:tc>
        <w:tc>
          <w:tcPr>
            <w:tcW w:w="1020" w:type="dxa"/>
            <w:vAlign w:val="bottom"/>
          </w:tcPr>
          <w:p>
            <w:pPr>
              <w:jc w:val="right"/>
              <w:ind w:right="69"/>
              <w:spacing w:after="0" w:line="100" w:lineRule="exact"/>
              <w:rPr>
                <w:sz w:val="20"/>
                <w:szCs w:val="20"/>
                <w:color w:val="auto"/>
              </w:rPr>
            </w:pPr>
            <w:r>
              <w:rPr>
                <w:rFonts w:ascii="Arial" w:cs="Arial" w:eastAsia="Arial" w:hAnsi="Arial"/>
                <w:sz w:val="10"/>
                <w:szCs w:val="10"/>
                <w:color w:val="auto"/>
              </w:rPr>
              <w:t>&gt;100 %</w:t>
            </w:r>
          </w:p>
        </w:tc>
      </w:tr>
      <w:tr>
        <w:trPr>
          <w:trHeight w:val="108"/>
        </w:trPr>
        <w:tc>
          <w:tcPr>
            <w:tcW w:w="1460" w:type="dxa"/>
            <w:vAlign w:val="bottom"/>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Australia</w:t>
            </w:r>
          </w:p>
        </w:tc>
        <w:tc>
          <w:tcPr>
            <w:tcW w:w="320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Admission revenue</w:t>
            </w:r>
          </w:p>
        </w:tc>
        <w:tc>
          <w:tcPr>
            <w:tcW w:w="480" w:type="dxa"/>
            <w:vAlign w:val="bottom"/>
            <w:gridSpan w:val="2"/>
            <w:shd w:val="clear" w:color="auto" w:fill="CCEEFF"/>
          </w:tcPr>
          <w:p>
            <w:pPr>
              <w:jc w:val="right"/>
              <w:ind w:right="215"/>
              <w:spacing w:after="0" w:line="109" w:lineRule="exact"/>
              <w:rPr>
                <w:sz w:val="20"/>
                <w:szCs w:val="20"/>
                <w:color w:val="auto"/>
              </w:rPr>
            </w:pPr>
            <w:r>
              <w:rPr>
                <w:rFonts w:ascii="Arial" w:cs="Arial" w:eastAsia="Arial" w:hAnsi="Arial"/>
                <w:sz w:val="10"/>
                <w:szCs w:val="10"/>
                <w:color w:val="auto"/>
              </w:rPr>
              <w:t>$</w:t>
            </w:r>
          </w:p>
        </w:tc>
        <w:tc>
          <w:tcPr>
            <w:tcW w:w="9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10,605</w:t>
            </w: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169"/>
              <w:spacing w:after="0" w:line="109" w:lineRule="exact"/>
              <w:rPr>
                <w:sz w:val="20"/>
                <w:szCs w:val="20"/>
                <w:color w:val="auto"/>
              </w:rPr>
            </w:pPr>
            <w:r>
              <w:rPr>
                <w:rFonts w:ascii="Arial" w:cs="Arial" w:eastAsia="Arial" w:hAnsi="Arial"/>
                <w:sz w:val="10"/>
                <w:szCs w:val="10"/>
                <w:i w:val="1"/>
                <w:iCs w:val="1"/>
                <w:color w:val="auto"/>
              </w:rPr>
              <w:t>60%</w:t>
            </w:r>
          </w:p>
        </w:tc>
        <w:tc>
          <w:tcPr>
            <w:tcW w:w="2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95"/>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4,512</w:t>
            </w:r>
          </w:p>
        </w:tc>
        <w:tc>
          <w:tcPr>
            <w:tcW w:w="124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60%</w:t>
            </w: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108"/>
        </w:trPr>
        <w:tc>
          <w:tcPr>
            <w:tcW w:w="1460" w:type="dxa"/>
            <w:vAlign w:val="bottom"/>
          </w:tcPr>
          <w:p>
            <w:pPr>
              <w:spacing w:after="0"/>
              <w:rPr>
                <w:sz w:val="9"/>
                <w:szCs w:val="9"/>
                <w:color w:val="auto"/>
              </w:rPr>
            </w:pPr>
          </w:p>
        </w:tc>
        <w:tc>
          <w:tcPr>
            <w:tcW w:w="3200" w:type="dxa"/>
            <w:vAlign w:val="bottom"/>
          </w:tcPr>
          <w:p>
            <w:pPr>
              <w:ind w:left="20"/>
              <w:spacing w:after="0" w:line="109" w:lineRule="exact"/>
              <w:rPr>
                <w:sz w:val="20"/>
                <w:szCs w:val="20"/>
                <w:color w:val="auto"/>
              </w:rPr>
            </w:pPr>
            <w:r>
              <w:rPr>
                <w:rFonts w:ascii="Arial" w:cs="Arial" w:eastAsia="Arial" w:hAnsi="Arial"/>
                <w:sz w:val="10"/>
                <w:szCs w:val="10"/>
                <w:color w:val="auto"/>
              </w:rPr>
              <w:t>Food &amp; beverage revenue</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5,837</w:t>
            </w:r>
          </w:p>
        </w:tc>
        <w:tc>
          <w:tcPr>
            <w:tcW w:w="1080" w:type="dxa"/>
            <w:vAlign w:val="bottom"/>
          </w:tcPr>
          <w:p>
            <w:pPr>
              <w:jc w:val="right"/>
              <w:ind w:right="169"/>
              <w:spacing w:after="0" w:line="109" w:lineRule="exact"/>
              <w:rPr>
                <w:sz w:val="20"/>
                <w:szCs w:val="20"/>
                <w:color w:val="auto"/>
              </w:rPr>
            </w:pPr>
            <w:r>
              <w:rPr>
                <w:rFonts w:ascii="Arial" w:cs="Arial" w:eastAsia="Arial" w:hAnsi="Arial"/>
                <w:sz w:val="10"/>
                <w:szCs w:val="10"/>
                <w:i w:val="1"/>
                <w:iCs w:val="1"/>
                <w:color w:val="auto"/>
              </w:rPr>
              <w:t>32%</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2,304</w:t>
            </w:r>
          </w:p>
        </w:tc>
        <w:tc>
          <w:tcPr>
            <w:tcW w:w="124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30%</w:t>
            </w:r>
          </w:p>
        </w:tc>
        <w:tc>
          <w:tcPr>
            <w:tcW w:w="20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108"/>
        </w:trPr>
        <w:tc>
          <w:tcPr>
            <w:tcW w:w="1460" w:type="dxa"/>
            <w:vAlign w:val="bottom"/>
            <w:shd w:val="clear" w:color="auto" w:fill="CCEEFF"/>
          </w:tcPr>
          <w:p>
            <w:pPr>
              <w:spacing w:after="0"/>
              <w:rPr>
                <w:sz w:val="9"/>
                <w:szCs w:val="9"/>
                <w:color w:val="auto"/>
              </w:rPr>
            </w:pPr>
          </w:p>
        </w:tc>
        <w:tc>
          <w:tcPr>
            <w:tcW w:w="320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Advertising and other revenue</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1,255</w:t>
            </w:r>
          </w:p>
        </w:tc>
        <w:tc>
          <w:tcPr>
            <w:tcW w:w="1080" w:type="dxa"/>
            <w:vAlign w:val="bottom"/>
            <w:shd w:val="clear" w:color="auto" w:fill="CCEEFF"/>
          </w:tcPr>
          <w:p>
            <w:pPr>
              <w:jc w:val="right"/>
              <w:ind w:right="169"/>
              <w:spacing w:after="0" w:line="109" w:lineRule="exact"/>
              <w:rPr>
                <w:sz w:val="20"/>
                <w:szCs w:val="20"/>
                <w:color w:val="auto"/>
              </w:rPr>
            </w:pPr>
            <w:r>
              <w:rPr>
                <w:rFonts w:ascii="Arial" w:cs="Arial" w:eastAsia="Arial" w:hAnsi="Arial"/>
                <w:sz w:val="10"/>
                <w:szCs w:val="10"/>
                <w:i w:val="1"/>
                <w:iCs w:val="1"/>
                <w:color w:val="auto"/>
              </w:rPr>
              <w:t>7%</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757</w:t>
            </w:r>
          </w:p>
        </w:tc>
        <w:tc>
          <w:tcPr>
            <w:tcW w:w="124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10%</w:t>
            </w: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66 %</w:t>
            </w:r>
          </w:p>
        </w:tc>
      </w:tr>
      <w:tr>
        <w:trPr>
          <w:trHeight w:val="99"/>
        </w:trPr>
        <w:tc>
          <w:tcPr>
            <w:tcW w:w="14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top w:val="single" w:sz="8" w:color="auto"/>
            </w:tcBorders>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17,697</w:t>
            </w:r>
          </w:p>
        </w:tc>
        <w:tc>
          <w:tcPr>
            <w:tcW w:w="200" w:type="dxa"/>
            <w:vAlign w:val="bottom"/>
          </w:tcPr>
          <w:p>
            <w:pPr>
              <w:spacing w:after="0"/>
              <w:rPr>
                <w:sz w:val="8"/>
                <w:szCs w:val="8"/>
                <w:color w:val="auto"/>
              </w:rPr>
            </w:pPr>
          </w:p>
        </w:tc>
        <w:tc>
          <w:tcPr>
            <w:tcW w:w="1080" w:type="dxa"/>
            <w:vAlign w:val="bottom"/>
          </w:tcPr>
          <w:p>
            <w:pPr>
              <w:jc w:val="right"/>
              <w:ind w:right="169"/>
              <w:spacing w:after="0" w:line="100" w:lineRule="exact"/>
              <w:rPr>
                <w:sz w:val="20"/>
                <w:szCs w:val="20"/>
                <w:color w:val="auto"/>
              </w:rPr>
            </w:pPr>
            <w:r>
              <w:rPr>
                <w:rFonts w:ascii="Arial" w:cs="Arial" w:eastAsia="Arial" w:hAnsi="Arial"/>
                <w:sz w:val="10"/>
                <w:szCs w:val="10"/>
                <w:i w:val="1"/>
                <w:iCs w:val="1"/>
                <w:color w:val="auto"/>
              </w:rPr>
              <w:t>100%</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top w:val="single" w:sz="8" w:color="auto"/>
            </w:tcBorders>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7,573</w:t>
            </w:r>
          </w:p>
        </w:tc>
        <w:tc>
          <w:tcPr>
            <w:tcW w:w="20" w:type="dxa"/>
            <w:vAlign w:val="bottom"/>
          </w:tcPr>
          <w:p>
            <w:pPr>
              <w:spacing w:after="0"/>
              <w:rPr>
                <w:sz w:val="8"/>
                <w:szCs w:val="8"/>
                <w:color w:val="auto"/>
              </w:rPr>
            </w:pPr>
          </w:p>
        </w:tc>
        <w:tc>
          <w:tcPr>
            <w:tcW w:w="1240" w:type="dxa"/>
            <w:vAlign w:val="bottom"/>
            <w:gridSpan w:val="2"/>
          </w:tcPr>
          <w:p>
            <w:pPr>
              <w:jc w:val="right"/>
              <w:ind w:right="149"/>
              <w:spacing w:after="0" w:line="100" w:lineRule="exact"/>
              <w:rPr>
                <w:sz w:val="20"/>
                <w:szCs w:val="20"/>
                <w:color w:val="auto"/>
              </w:rPr>
            </w:pPr>
            <w:r>
              <w:rPr>
                <w:rFonts w:ascii="Arial" w:cs="Arial" w:eastAsia="Arial" w:hAnsi="Arial"/>
                <w:sz w:val="10"/>
                <w:szCs w:val="10"/>
                <w:i w:val="1"/>
                <w:iCs w:val="1"/>
                <w:color w:val="auto"/>
              </w:rPr>
              <w:t>100%</w:t>
            </w:r>
          </w:p>
        </w:tc>
        <w:tc>
          <w:tcPr>
            <w:tcW w:w="200" w:type="dxa"/>
            <w:vAlign w:val="bottom"/>
          </w:tcPr>
          <w:p>
            <w:pPr>
              <w:spacing w:after="0"/>
              <w:rPr>
                <w:sz w:val="8"/>
                <w:szCs w:val="8"/>
                <w:color w:val="auto"/>
              </w:rPr>
            </w:pPr>
          </w:p>
        </w:tc>
        <w:tc>
          <w:tcPr>
            <w:tcW w:w="1020" w:type="dxa"/>
            <w:vAlign w:val="bottom"/>
          </w:tcPr>
          <w:p>
            <w:pPr>
              <w:jc w:val="right"/>
              <w:ind w:right="69"/>
              <w:spacing w:after="0" w:line="100" w:lineRule="exact"/>
              <w:rPr>
                <w:sz w:val="20"/>
                <w:szCs w:val="20"/>
                <w:color w:val="auto"/>
              </w:rPr>
            </w:pPr>
            <w:r>
              <w:rPr>
                <w:rFonts w:ascii="Arial" w:cs="Arial" w:eastAsia="Arial" w:hAnsi="Arial"/>
                <w:sz w:val="10"/>
                <w:szCs w:val="10"/>
                <w:color w:val="auto"/>
              </w:rPr>
              <w:t>&gt;100 %</w:t>
            </w:r>
          </w:p>
        </w:tc>
      </w:tr>
      <w:tr>
        <w:trPr>
          <w:trHeight w:val="108"/>
        </w:trPr>
        <w:tc>
          <w:tcPr>
            <w:tcW w:w="1460" w:type="dxa"/>
            <w:vAlign w:val="bottom"/>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New Zealand</w:t>
            </w:r>
          </w:p>
        </w:tc>
        <w:tc>
          <w:tcPr>
            <w:tcW w:w="320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Admission revenue</w:t>
            </w:r>
          </w:p>
        </w:tc>
        <w:tc>
          <w:tcPr>
            <w:tcW w:w="480" w:type="dxa"/>
            <w:vAlign w:val="bottom"/>
            <w:gridSpan w:val="2"/>
            <w:shd w:val="clear" w:color="auto" w:fill="CCEEFF"/>
          </w:tcPr>
          <w:p>
            <w:pPr>
              <w:jc w:val="right"/>
              <w:ind w:right="215"/>
              <w:spacing w:after="0" w:line="109" w:lineRule="exact"/>
              <w:rPr>
                <w:sz w:val="20"/>
                <w:szCs w:val="20"/>
                <w:color w:val="auto"/>
              </w:rPr>
            </w:pPr>
            <w:r>
              <w:rPr>
                <w:rFonts w:ascii="Arial" w:cs="Arial" w:eastAsia="Arial" w:hAnsi="Arial"/>
                <w:sz w:val="10"/>
                <w:szCs w:val="10"/>
                <w:color w:val="auto"/>
              </w:rPr>
              <w:t>$</w:t>
            </w:r>
          </w:p>
        </w:tc>
        <w:tc>
          <w:tcPr>
            <w:tcW w:w="114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2,173</w:t>
            </w:r>
          </w:p>
        </w:tc>
        <w:tc>
          <w:tcPr>
            <w:tcW w:w="1080" w:type="dxa"/>
            <w:vAlign w:val="bottom"/>
            <w:shd w:val="clear" w:color="auto" w:fill="CCEEFF"/>
          </w:tcPr>
          <w:p>
            <w:pPr>
              <w:jc w:val="right"/>
              <w:ind w:right="169"/>
              <w:spacing w:after="0" w:line="109" w:lineRule="exact"/>
              <w:rPr>
                <w:sz w:val="20"/>
                <w:szCs w:val="20"/>
                <w:color w:val="auto"/>
              </w:rPr>
            </w:pPr>
            <w:r>
              <w:rPr>
                <w:rFonts w:ascii="Arial" w:cs="Arial" w:eastAsia="Arial" w:hAnsi="Arial"/>
                <w:sz w:val="10"/>
                <w:szCs w:val="10"/>
                <w:i w:val="1"/>
                <w:iCs w:val="1"/>
                <w:color w:val="auto"/>
              </w:rPr>
              <w:t>62%</w:t>
            </w:r>
          </w:p>
        </w:tc>
        <w:tc>
          <w:tcPr>
            <w:tcW w:w="2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95"/>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1,114</w:t>
            </w:r>
          </w:p>
        </w:tc>
        <w:tc>
          <w:tcPr>
            <w:tcW w:w="124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64%</w:t>
            </w: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95 %</w:t>
            </w:r>
          </w:p>
        </w:tc>
      </w:tr>
      <w:tr>
        <w:trPr>
          <w:trHeight w:val="108"/>
        </w:trPr>
        <w:tc>
          <w:tcPr>
            <w:tcW w:w="1460" w:type="dxa"/>
            <w:vAlign w:val="bottom"/>
          </w:tcPr>
          <w:p>
            <w:pPr>
              <w:spacing w:after="0"/>
              <w:rPr>
                <w:sz w:val="9"/>
                <w:szCs w:val="9"/>
                <w:color w:val="auto"/>
              </w:rPr>
            </w:pPr>
          </w:p>
        </w:tc>
        <w:tc>
          <w:tcPr>
            <w:tcW w:w="3200" w:type="dxa"/>
            <w:vAlign w:val="bottom"/>
          </w:tcPr>
          <w:p>
            <w:pPr>
              <w:ind w:left="20"/>
              <w:spacing w:after="0" w:line="109" w:lineRule="exact"/>
              <w:rPr>
                <w:sz w:val="20"/>
                <w:szCs w:val="20"/>
                <w:color w:val="auto"/>
              </w:rPr>
            </w:pPr>
            <w:r>
              <w:rPr>
                <w:rFonts w:ascii="Arial" w:cs="Arial" w:eastAsia="Arial" w:hAnsi="Arial"/>
                <w:sz w:val="10"/>
                <w:szCs w:val="10"/>
                <w:color w:val="auto"/>
              </w:rPr>
              <w:t>Food &amp; beverage revenue</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1,102</w:t>
            </w:r>
          </w:p>
        </w:tc>
        <w:tc>
          <w:tcPr>
            <w:tcW w:w="1080" w:type="dxa"/>
            <w:vAlign w:val="bottom"/>
          </w:tcPr>
          <w:p>
            <w:pPr>
              <w:jc w:val="right"/>
              <w:ind w:right="169"/>
              <w:spacing w:after="0" w:line="109" w:lineRule="exact"/>
              <w:rPr>
                <w:sz w:val="20"/>
                <w:szCs w:val="20"/>
                <w:color w:val="auto"/>
              </w:rPr>
            </w:pPr>
            <w:r>
              <w:rPr>
                <w:rFonts w:ascii="Arial" w:cs="Arial" w:eastAsia="Arial" w:hAnsi="Arial"/>
                <w:sz w:val="10"/>
                <w:szCs w:val="10"/>
                <w:i w:val="1"/>
                <w:iCs w:val="1"/>
                <w:color w:val="auto"/>
              </w:rPr>
              <w:t>31%</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503</w:t>
            </w:r>
          </w:p>
        </w:tc>
        <w:tc>
          <w:tcPr>
            <w:tcW w:w="124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29%</w:t>
            </w:r>
          </w:p>
        </w:tc>
        <w:tc>
          <w:tcPr>
            <w:tcW w:w="20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108"/>
        </w:trPr>
        <w:tc>
          <w:tcPr>
            <w:tcW w:w="1460" w:type="dxa"/>
            <w:vAlign w:val="bottom"/>
            <w:shd w:val="clear" w:color="auto" w:fill="CCEEFF"/>
          </w:tcPr>
          <w:p>
            <w:pPr>
              <w:spacing w:after="0"/>
              <w:rPr>
                <w:sz w:val="9"/>
                <w:szCs w:val="9"/>
                <w:color w:val="auto"/>
              </w:rPr>
            </w:pPr>
          </w:p>
        </w:tc>
        <w:tc>
          <w:tcPr>
            <w:tcW w:w="320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Advertising and other revenue</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231</w:t>
            </w:r>
          </w:p>
        </w:tc>
        <w:tc>
          <w:tcPr>
            <w:tcW w:w="1080" w:type="dxa"/>
            <w:vAlign w:val="bottom"/>
            <w:shd w:val="clear" w:color="auto" w:fill="CCEEFF"/>
          </w:tcPr>
          <w:p>
            <w:pPr>
              <w:jc w:val="right"/>
              <w:ind w:right="169"/>
              <w:spacing w:after="0" w:line="109" w:lineRule="exact"/>
              <w:rPr>
                <w:sz w:val="20"/>
                <w:szCs w:val="20"/>
                <w:color w:val="auto"/>
              </w:rPr>
            </w:pPr>
            <w:r>
              <w:rPr>
                <w:rFonts w:ascii="Arial" w:cs="Arial" w:eastAsia="Arial" w:hAnsi="Arial"/>
                <w:sz w:val="10"/>
                <w:szCs w:val="10"/>
                <w:i w:val="1"/>
                <w:iCs w:val="1"/>
                <w:color w:val="auto"/>
              </w:rPr>
              <w:t>7%</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118</w:t>
            </w:r>
          </w:p>
        </w:tc>
        <w:tc>
          <w:tcPr>
            <w:tcW w:w="124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7%</w:t>
            </w: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96 %</w:t>
            </w:r>
          </w:p>
        </w:tc>
      </w:tr>
      <w:tr>
        <w:trPr>
          <w:trHeight w:val="99"/>
        </w:trPr>
        <w:tc>
          <w:tcPr>
            <w:tcW w:w="14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top w:val="single" w:sz="8" w:color="auto"/>
            </w:tcBorders>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3,506</w:t>
            </w:r>
          </w:p>
        </w:tc>
        <w:tc>
          <w:tcPr>
            <w:tcW w:w="200" w:type="dxa"/>
            <w:vAlign w:val="bottom"/>
          </w:tcPr>
          <w:p>
            <w:pPr>
              <w:spacing w:after="0"/>
              <w:rPr>
                <w:sz w:val="8"/>
                <w:szCs w:val="8"/>
                <w:color w:val="auto"/>
              </w:rPr>
            </w:pPr>
          </w:p>
        </w:tc>
        <w:tc>
          <w:tcPr>
            <w:tcW w:w="1080" w:type="dxa"/>
            <w:vAlign w:val="bottom"/>
          </w:tcPr>
          <w:p>
            <w:pPr>
              <w:jc w:val="right"/>
              <w:ind w:right="169"/>
              <w:spacing w:after="0" w:line="100" w:lineRule="exact"/>
              <w:rPr>
                <w:sz w:val="20"/>
                <w:szCs w:val="20"/>
                <w:color w:val="auto"/>
              </w:rPr>
            </w:pPr>
            <w:r>
              <w:rPr>
                <w:rFonts w:ascii="Arial" w:cs="Arial" w:eastAsia="Arial" w:hAnsi="Arial"/>
                <w:sz w:val="10"/>
                <w:szCs w:val="10"/>
                <w:i w:val="1"/>
                <w:iCs w:val="1"/>
                <w:color w:val="auto"/>
              </w:rPr>
              <w:t>100%</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top w:val="single" w:sz="8" w:color="auto"/>
            </w:tcBorders>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1,735</w:t>
            </w:r>
          </w:p>
        </w:tc>
        <w:tc>
          <w:tcPr>
            <w:tcW w:w="20" w:type="dxa"/>
            <w:vAlign w:val="bottom"/>
          </w:tcPr>
          <w:p>
            <w:pPr>
              <w:spacing w:after="0"/>
              <w:rPr>
                <w:sz w:val="8"/>
                <w:szCs w:val="8"/>
                <w:color w:val="auto"/>
              </w:rPr>
            </w:pPr>
          </w:p>
        </w:tc>
        <w:tc>
          <w:tcPr>
            <w:tcW w:w="1240" w:type="dxa"/>
            <w:vAlign w:val="bottom"/>
            <w:gridSpan w:val="2"/>
          </w:tcPr>
          <w:p>
            <w:pPr>
              <w:jc w:val="right"/>
              <w:ind w:right="149"/>
              <w:spacing w:after="0" w:line="100" w:lineRule="exact"/>
              <w:rPr>
                <w:sz w:val="20"/>
                <w:szCs w:val="20"/>
                <w:color w:val="auto"/>
              </w:rPr>
            </w:pPr>
            <w:r>
              <w:rPr>
                <w:rFonts w:ascii="Arial" w:cs="Arial" w:eastAsia="Arial" w:hAnsi="Arial"/>
                <w:sz w:val="10"/>
                <w:szCs w:val="10"/>
                <w:i w:val="1"/>
                <w:iCs w:val="1"/>
                <w:color w:val="auto"/>
              </w:rPr>
              <w:t>100%</w:t>
            </w:r>
          </w:p>
        </w:tc>
        <w:tc>
          <w:tcPr>
            <w:tcW w:w="200" w:type="dxa"/>
            <w:vAlign w:val="bottom"/>
          </w:tcPr>
          <w:p>
            <w:pPr>
              <w:spacing w:after="0"/>
              <w:rPr>
                <w:sz w:val="8"/>
                <w:szCs w:val="8"/>
                <w:color w:val="auto"/>
              </w:rPr>
            </w:pPr>
          </w:p>
        </w:tc>
        <w:tc>
          <w:tcPr>
            <w:tcW w:w="1020" w:type="dxa"/>
            <w:vAlign w:val="bottom"/>
          </w:tcPr>
          <w:p>
            <w:pPr>
              <w:jc w:val="right"/>
              <w:ind w:right="69"/>
              <w:spacing w:after="0" w:line="100" w:lineRule="exact"/>
              <w:rPr>
                <w:sz w:val="20"/>
                <w:szCs w:val="20"/>
                <w:color w:val="auto"/>
              </w:rPr>
            </w:pPr>
            <w:r>
              <w:rPr>
                <w:rFonts w:ascii="Arial" w:cs="Arial" w:eastAsia="Arial" w:hAnsi="Arial"/>
                <w:sz w:val="10"/>
                <w:szCs w:val="10"/>
                <w:color w:val="auto"/>
              </w:rPr>
              <w:t>&gt;100 %</w:t>
            </w:r>
          </w:p>
        </w:tc>
      </w:tr>
      <w:tr>
        <w:trPr>
          <w:trHeight w:val="128"/>
        </w:trPr>
        <w:tc>
          <w:tcPr>
            <w:tcW w:w="1460" w:type="dxa"/>
            <w:vAlign w:val="bottom"/>
            <w:tcBorders>
              <w:bottom w:val="single" w:sz="8" w:color="CCEEFF"/>
            </w:tcBorders>
            <w:shd w:val="clear" w:color="auto" w:fill="CCEEFF"/>
          </w:tcPr>
          <w:p>
            <w:pPr>
              <w:spacing w:after="0"/>
              <w:rPr>
                <w:sz w:val="11"/>
                <w:szCs w:val="11"/>
                <w:color w:val="auto"/>
              </w:rPr>
            </w:pPr>
          </w:p>
        </w:tc>
        <w:tc>
          <w:tcPr>
            <w:tcW w:w="32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r>
      <w:tr>
        <w:trPr>
          <w:trHeight w:val="92"/>
        </w:trPr>
        <w:tc>
          <w:tcPr>
            <w:tcW w:w="1460" w:type="dxa"/>
            <w:vAlign w:val="bottom"/>
            <w:tcBorders>
              <w:bottom w:val="single" w:sz="8" w:color="CCEEFF"/>
            </w:tcBorders>
          </w:tcPr>
          <w:p>
            <w:pPr>
              <w:ind w:left="220"/>
              <w:spacing w:after="0" w:line="91" w:lineRule="exact"/>
              <w:rPr>
                <w:sz w:val="20"/>
                <w:szCs w:val="20"/>
                <w:color w:val="auto"/>
              </w:rPr>
            </w:pPr>
            <w:r>
              <w:rPr>
                <w:rFonts w:ascii="Arial" w:cs="Arial" w:eastAsia="Arial" w:hAnsi="Arial"/>
                <w:sz w:val="10"/>
                <w:szCs w:val="10"/>
                <w:b w:val="1"/>
                <w:bCs w:val="1"/>
                <w:color w:val="auto"/>
              </w:rPr>
              <w:t>Total revenue</w:t>
            </w:r>
          </w:p>
        </w:tc>
        <w:tc>
          <w:tcPr>
            <w:tcW w:w="3200" w:type="dxa"/>
            <w:vAlign w:val="bottom"/>
            <w:tcBorders>
              <w:bottom w:val="single" w:sz="8" w:color="CCEEFF"/>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bottom w:val="single" w:sz="8" w:color="auto"/>
            </w:tcBorders>
          </w:tcPr>
          <w:p>
            <w:pPr>
              <w:jc w:val="right"/>
              <w:spacing w:after="0" w:line="91" w:lineRule="exact"/>
              <w:rPr>
                <w:sz w:val="20"/>
                <w:szCs w:val="20"/>
                <w:color w:val="auto"/>
              </w:rPr>
            </w:pPr>
            <w:r>
              <w:rPr>
                <w:rFonts w:ascii="Arial" w:cs="Arial" w:eastAsia="Arial" w:hAnsi="Arial"/>
                <w:sz w:val="10"/>
                <w:szCs w:val="10"/>
                <w:b w:val="1"/>
                <w:bCs w:val="1"/>
                <w:color w:val="auto"/>
              </w:rPr>
              <w:t>47,232</w:t>
            </w:r>
          </w:p>
        </w:tc>
        <w:tc>
          <w:tcPr>
            <w:tcW w:w="200" w:type="dxa"/>
            <w:vAlign w:val="bottom"/>
            <w:tcBorders>
              <w:bottom w:val="single" w:sz="8" w:color="CCEEFF"/>
            </w:tcBorders>
          </w:tcPr>
          <w:p>
            <w:pPr>
              <w:spacing w:after="0"/>
              <w:rPr>
                <w:sz w:val="7"/>
                <w:szCs w:val="7"/>
                <w:color w:val="auto"/>
              </w:rPr>
            </w:pPr>
          </w:p>
        </w:tc>
        <w:tc>
          <w:tcPr>
            <w:tcW w:w="1080" w:type="dxa"/>
            <w:vAlign w:val="bottom"/>
            <w:tcBorders>
              <w:bottom w:val="single" w:sz="8" w:color="CCEEFF"/>
            </w:tcBorders>
          </w:tcPr>
          <w:p>
            <w:pPr>
              <w:jc w:val="right"/>
              <w:ind w:right="169"/>
              <w:spacing w:after="0" w:line="91" w:lineRule="exact"/>
              <w:rPr>
                <w:sz w:val="20"/>
                <w:szCs w:val="20"/>
                <w:color w:val="auto"/>
              </w:rPr>
            </w:pPr>
            <w:r>
              <w:rPr>
                <w:rFonts w:ascii="Arial" w:cs="Arial" w:eastAsia="Arial" w:hAnsi="Arial"/>
                <w:sz w:val="10"/>
                <w:szCs w:val="10"/>
                <w:i w:val="1"/>
                <w:iCs w:val="1"/>
                <w:color w:val="auto"/>
              </w:rPr>
              <w:t>100%</w:t>
            </w:r>
          </w:p>
        </w:tc>
        <w:tc>
          <w:tcPr>
            <w:tcW w:w="20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bottom w:val="single" w:sz="8" w:color="auto"/>
            </w:tcBorders>
          </w:tcPr>
          <w:p>
            <w:pPr>
              <w:jc w:val="right"/>
              <w:spacing w:after="0" w:line="91" w:lineRule="exact"/>
              <w:rPr>
                <w:sz w:val="20"/>
                <w:szCs w:val="20"/>
                <w:color w:val="auto"/>
              </w:rPr>
            </w:pPr>
            <w:r>
              <w:rPr>
                <w:rFonts w:ascii="Arial" w:cs="Arial" w:eastAsia="Arial" w:hAnsi="Arial"/>
                <w:sz w:val="10"/>
                <w:szCs w:val="10"/>
                <w:b w:val="1"/>
                <w:bCs w:val="1"/>
                <w:color w:val="auto"/>
              </w:rPr>
              <w:t>12,148</w:t>
            </w:r>
          </w:p>
        </w:tc>
        <w:tc>
          <w:tcPr>
            <w:tcW w:w="20" w:type="dxa"/>
            <w:vAlign w:val="bottom"/>
            <w:tcBorders>
              <w:bottom w:val="single" w:sz="8" w:color="CCEEFF"/>
            </w:tcBorders>
          </w:tcPr>
          <w:p>
            <w:pPr>
              <w:spacing w:after="0"/>
              <w:rPr>
                <w:sz w:val="7"/>
                <w:szCs w:val="7"/>
                <w:color w:val="auto"/>
              </w:rPr>
            </w:pPr>
          </w:p>
        </w:tc>
        <w:tc>
          <w:tcPr>
            <w:tcW w:w="1240" w:type="dxa"/>
            <w:vAlign w:val="bottom"/>
            <w:tcBorders>
              <w:bottom w:val="single" w:sz="8" w:color="CCEEFF"/>
            </w:tcBorders>
            <w:gridSpan w:val="2"/>
          </w:tcPr>
          <w:p>
            <w:pPr>
              <w:jc w:val="right"/>
              <w:ind w:right="149"/>
              <w:spacing w:after="0" w:line="91" w:lineRule="exact"/>
              <w:rPr>
                <w:sz w:val="20"/>
                <w:szCs w:val="20"/>
                <w:color w:val="auto"/>
              </w:rPr>
            </w:pPr>
            <w:r>
              <w:rPr>
                <w:rFonts w:ascii="Arial" w:cs="Arial" w:eastAsia="Arial" w:hAnsi="Arial"/>
                <w:sz w:val="10"/>
                <w:szCs w:val="10"/>
                <w:i w:val="1"/>
                <w:iCs w:val="1"/>
                <w:color w:val="auto"/>
              </w:rPr>
              <w:t>100%</w:t>
            </w:r>
          </w:p>
        </w:tc>
        <w:tc>
          <w:tcPr>
            <w:tcW w:w="200" w:type="dxa"/>
            <w:vAlign w:val="bottom"/>
            <w:tcBorders>
              <w:bottom w:val="single" w:sz="8" w:color="CCEEFF"/>
            </w:tcBorders>
          </w:tcPr>
          <w:p>
            <w:pPr>
              <w:spacing w:after="0"/>
              <w:rPr>
                <w:sz w:val="7"/>
                <w:szCs w:val="7"/>
                <w:color w:val="auto"/>
              </w:rPr>
            </w:pPr>
          </w:p>
        </w:tc>
        <w:tc>
          <w:tcPr>
            <w:tcW w:w="1020" w:type="dxa"/>
            <w:vAlign w:val="bottom"/>
            <w:tcBorders>
              <w:bottom w:val="single" w:sz="8" w:color="CCEEFF"/>
            </w:tcBorders>
          </w:tcPr>
          <w:p>
            <w:pPr>
              <w:jc w:val="right"/>
              <w:ind w:right="69"/>
              <w:spacing w:after="0" w:line="91" w:lineRule="exact"/>
              <w:rPr>
                <w:sz w:val="20"/>
                <w:szCs w:val="20"/>
                <w:color w:val="auto"/>
              </w:rPr>
            </w:pPr>
            <w:r>
              <w:rPr>
                <w:rFonts w:ascii="Arial" w:cs="Arial" w:eastAsia="Arial" w:hAnsi="Arial"/>
                <w:sz w:val="10"/>
                <w:szCs w:val="10"/>
                <w:color w:val="auto"/>
              </w:rPr>
              <w:t>&gt;100 %</w:t>
            </w:r>
          </w:p>
        </w:tc>
      </w:tr>
      <w:tr>
        <w:trPr>
          <w:trHeight w:val="108"/>
        </w:trPr>
        <w:tc>
          <w:tcPr>
            <w:tcW w:w="1460" w:type="dxa"/>
            <w:vAlign w:val="bottom"/>
            <w:shd w:val="clear" w:color="auto" w:fill="CCEEFF"/>
          </w:tcPr>
          <w:p>
            <w:pPr>
              <w:spacing w:after="0" w:line="109" w:lineRule="exact"/>
              <w:rPr>
                <w:sz w:val="20"/>
                <w:szCs w:val="20"/>
                <w:color w:val="auto"/>
              </w:rPr>
            </w:pPr>
            <w:r>
              <w:rPr>
                <w:rFonts w:ascii="Arial" w:cs="Arial" w:eastAsia="Arial" w:hAnsi="Arial"/>
                <w:sz w:val="10"/>
                <w:szCs w:val="10"/>
                <w:b w:val="1"/>
                <w:bCs w:val="1"/>
                <w:color w:val="auto"/>
              </w:rPr>
              <w:t>OPERATING EXPENSE</w:t>
            </w:r>
          </w:p>
        </w:tc>
        <w:tc>
          <w:tcPr>
            <w:tcW w:w="3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108"/>
        </w:trPr>
        <w:tc>
          <w:tcPr>
            <w:tcW w:w="1460" w:type="dxa"/>
            <w:vAlign w:val="bottom"/>
          </w:tcPr>
          <w:p>
            <w:pPr>
              <w:ind w:left="220"/>
              <w:spacing w:after="0" w:line="109" w:lineRule="exact"/>
              <w:rPr>
                <w:sz w:val="20"/>
                <w:szCs w:val="20"/>
                <w:color w:val="auto"/>
              </w:rPr>
            </w:pPr>
            <w:r>
              <w:rPr>
                <w:rFonts w:ascii="Arial" w:cs="Arial" w:eastAsia="Arial" w:hAnsi="Arial"/>
                <w:sz w:val="10"/>
                <w:szCs w:val="10"/>
                <w:b w:val="1"/>
                <w:bCs w:val="1"/>
                <w:color w:val="auto"/>
              </w:rPr>
              <w:t>United States</w:t>
            </w:r>
          </w:p>
        </w:tc>
        <w:tc>
          <w:tcPr>
            <w:tcW w:w="3200" w:type="dxa"/>
            <w:vAlign w:val="bottom"/>
          </w:tcPr>
          <w:p>
            <w:pPr>
              <w:ind w:left="20"/>
              <w:spacing w:after="0" w:line="109" w:lineRule="exact"/>
              <w:rPr>
                <w:sz w:val="20"/>
                <w:szCs w:val="20"/>
                <w:color w:val="auto"/>
              </w:rPr>
            </w:pPr>
            <w:r>
              <w:rPr>
                <w:rFonts w:ascii="Arial" w:cs="Arial" w:eastAsia="Arial" w:hAnsi="Arial"/>
                <w:sz w:val="10"/>
                <w:szCs w:val="10"/>
                <w:color w:val="auto"/>
              </w:rPr>
              <w:t>Film rent and advertising cost</w:t>
            </w:r>
          </w:p>
        </w:tc>
        <w:tc>
          <w:tcPr>
            <w:tcW w:w="480" w:type="dxa"/>
            <w:vAlign w:val="bottom"/>
            <w:gridSpan w:val="2"/>
          </w:tcPr>
          <w:p>
            <w:pPr>
              <w:jc w:val="right"/>
              <w:ind w:right="215"/>
              <w:spacing w:after="0" w:line="109" w:lineRule="exact"/>
              <w:rPr>
                <w:sz w:val="20"/>
                <w:szCs w:val="20"/>
                <w:color w:val="auto"/>
              </w:rPr>
            </w:pPr>
            <w:r>
              <w:rPr>
                <w:rFonts w:ascii="Arial" w:cs="Arial" w:eastAsia="Arial" w:hAnsi="Arial"/>
                <w:sz w:val="10"/>
                <w:szCs w:val="10"/>
                <w:color w:val="auto"/>
              </w:rPr>
              <w:t>$</w:t>
            </w:r>
          </w:p>
        </w:tc>
        <w:tc>
          <w:tcPr>
            <w:tcW w:w="114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(8,118)</w:t>
            </w:r>
          </w:p>
        </w:tc>
        <w:tc>
          <w:tcPr>
            <w:tcW w:w="1080" w:type="dxa"/>
            <w:vAlign w:val="bottom"/>
          </w:tcPr>
          <w:p>
            <w:pPr>
              <w:jc w:val="right"/>
              <w:ind w:right="169"/>
              <w:spacing w:after="0" w:line="109" w:lineRule="exact"/>
              <w:rPr>
                <w:sz w:val="20"/>
                <w:szCs w:val="20"/>
                <w:color w:val="auto"/>
              </w:rPr>
            </w:pPr>
            <w:r>
              <w:rPr>
                <w:rFonts w:ascii="Arial" w:cs="Arial" w:eastAsia="Arial" w:hAnsi="Arial"/>
                <w:sz w:val="10"/>
                <w:szCs w:val="10"/>
                <w:i w:val="1"/>
                <w:iCs w:val="1"/>
                <w:color w:val="auto"/>
              </w:rPr>
              <w:t>(31)%</w:t>
            </w:r>
          </w:p>
        </w:tc>
        <w:tc>
          <w:tcPr>
            <w:tcW w:w="200" w:type="dxa"/>
            <w:vAlign w:val="bottom"/>
          </w:tcPr>
          <w:p>
            <w:pPr>
              <w:spacing w:after="0"/>
              <w:rPr>
                <w:sz w:val="9"/>
                <w:szCs w:val="9"/>
                <w:color w:val="auto"/>
              </w:rPr>
            </w:pPr>
          </w:p>
        </w:tc>
        <w:tc>
          <w:tcPr>
            <w:tcW w:w="280" w:type="dxa"/>
            <w:vAlign w:val="bottom"/>
            <w:gridSpan w:val="2"/>
          </w:tcPr>
          <w:p>
            <w:pPr>
              <w:jc w:val="right"/>
              <w:ind w:right="195"/>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(727)</w:t>
            </w:r>
          </w:p>
        </w:tc>
        <w:tc>
          <w:tcPr>
            <w:tcW w:w="124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(26)%</w:t>
            </w:r>
          </w:p>
        </w:tc>
        <w:tc>
          <w:tcPr>
            <w:tcW w:w="20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108"/>
        </w:trPr>
        <w:tc>
          <w:tcPr>
            <w:tcW w:w="1460" w:type="dxa"/>
            <w:vAlign w:val="bottom"/>
            <w:shd w:val="clear" w:color="auto" w:fill="CCEEFF"/>
          </w:tcPr>
          <w:p>
            <w:pPr>
              <w:spacing w:after="0"/>
              <w:rPr>
                <w:sz w:val="9"/>
                <w:szCs w:val="9"/>
                <w:color w:val="auto"/>
              </w:rPr>
            </w:pPr>
          </w:p>
        </w:tc>
        <w:tc>
          <w:tcPr>
            <w:tcW w:w="320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Food &amp; beverage cost</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(2,086)</w:t>
            </w: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169"/>
              <w:spacing w:after="0" w:line="109" w:lineRule="exact"/>
              <w:rPr>
                <w:sz w:val="20"/>
                <w:szCs w:val="20"/>
                <w:color w:val="auto"/>
              </w:rPr>
            </w:pPr>
            <w:r>
              <w:rPr>
                <w:rFonts w:ascii="Arial" w:cs="Arial" w:eastAsia="Arial" w:hAnsi="Arial"/>
                <w:sz w:val="10"/>
                <w:szCs w:val="10"/>
                <w:i w:val="1"/>
                <w:iCs w:val="1"/>
                <w:color w:val="auto"/>
              </w:rPr>
              <w:t>(9)%</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(339)</w:t>
            </w:r>
          </w:p>
        </w:tc>
        <w:tc>
          <w:tcPr>
            <w:tcW w:w="124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(12)%</w:t>
            </w: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108"/>
        </w:trPr>
        <w:tc>
          <w:tcPr>
            <w:tcW w:w="1460" w:type="dxa"/>
            <w:vAlign w:val="bottom"/>
          </w:tcPr>
          <w:p>
            <w:pPr>
              <w:spacing w:after="0"/>
              <w:rPr>
                <w:sz w:val="9"/>
                <w:szCs w:val="9"/>
                <w:color w:val="auto"/>
              </w:rPr>
            </w:pPr>
          </w:p>
        </w:tc>
        <w:tc>
          <w:tcPr>
            <w:tcW w:w="3200" w:type="dxa"/>
            <w:vAlign w:val="bottom"/>
          </w:tcPr>
          <w:p>
            <w:pPr>
              <w:ind w:left="20"/>
              <w:spacing w:after="0" w:line="109" w:lineRule="exact"/>
              <w:rPr>
                <w:sz w:val="20"/>
                <w:szCs w:val="20"/>
                <w:color w:val="auto"/>
              </w:rPr>
            </w:pPr>
            <w:r>
              <w:rPr>
                <w:rFonts w:ascii="Arial" w:cs="Arial" w:eastAsia="Arial" w:hAnsi="Arial"/>
                <w:sz w:val="10"/>
                <w:szCs w:val="10"/>
                <w:color w:val="auto"/>
              </w:rPr>
              <w:t>Occupancy expense</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jc w:val="right"/>
              <w:spacing w:after="0" w:line="109" w:lineRule="exact"/>
              <w:rPr>
                <w:sz w:val="20"/>
                <w:szCs w:val="20"/>
                <w:color w:val="auto"/>
              </w:rPr>
            </w:pPr>
            <w:r>
              <w:rPr>
                <w:rFonts w:ascii="Arial" w:cs="Arial" w:eastAsia="Arial" w:hAnsi="Arial"/>
                <w:sz w:val="10"/>
                <w:szCs w:val="10"/>
                <w:color w:val="auto"/>
              </w:rPr>
              <w:t>(5,171)</w:t>
            </w:r>
          </w:p>
        </w:tc>
        <w:tc>
          <w:tcPr>
            <w:tcW w:w="200" w:type="dxa"/>
            <w:vAlign w:val="bottom"/>
          </w:tcPr>
          <w:p>
            <w:pPr>
              <w:spacing w:after="0"/>
              <w:rPr>
                <w:sz w:val="9"/>
                <w:szCs w:val="9"/>
                <w:color w:val="auto"/>
              </w:rPr>
            </w:pPr>
          </w:p>
        </w:tc>
        <w:tc>
          <w:tcPr>
            <w:tcW w:w="1080" w:type="dxa"/>
            <w:vAlign w:val="bottom"/>
          </w:tcPr>
          <w:p>
            <w:pPr>
              <w:jc w:val="right"/>
              <w:ind w:right="169"/>
              <w:spacing w:after="0" w:line="109" w:lineRule="exact"/>
              <w:rPr>
                <w:sz w:val="20"/>
                <w:szCs w:val="20"/>
                <w:color w:val="auto"/>
              </w:rPr>
            </w:pPr>
            <w:r>
              <w:rPr>
                <w:rFonts w:ascii="Arial" w:cs="Arial" w:eastAsia="Arial" w:hAnsi="Arial"/>
                <w:sz w:val="10"/>
                <w:szCs w:val="10"/>
                <w:i w:val="1"/>
                <w:iCs w:val="1"/>
                <w:color w:val="auto"/>
              </w:rPr>
              <w:t>(20)%</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(6,486)</w:t>
            </w:r>
          </w:p>
        </w:tc>
        <w:tc>
          <w:tcPr>
            <w:tcW w:w="124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(228)%</w:t>
            </w:r>
          </w:p>
        </w:tc>
        <w:tc>
          <w:tcPr>
            <w:tcW w:w="20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20 %</w:t>
            </w:r>
          </w:p>
        </w:tc>
      </w:tr>
      <w:tr>
        <w:trPr>
          <w:trHeight w:val="108"/>
        </w:trPr>
        <w:tc>
          <w:tcPr>
            <w:tcW w:w="1460" w:type="dxa"/>
            <w:vAlign w:val="bottom"/>
            <w:shd w:val="clear" w:color="auto" w:fill="CCEEFF"/>
          </w:tcPr>
          <w:p>
            <w:pPr>
              <w:spacing w:after="0"/>
              <w:rPr>
                <w:sz w:val="9"/>
                <w:szCs w:val="9"/>
                <w:color w:val="auto"/>
              </w:rPr>
            </w:pPr>
          </w:p>
        </w:tc>
        <w:tc>
          <w:tcPr>
            <w:tcW w:w="320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Other operating expense</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(7,721)</w:t>
            </w: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169"/>
              <w:spacing w:after="0" w:line="109" w:lineRule="exact"/>
              <w:rPr>
                <w:sz w:val="20"/>
                <w:szCs w:val="20"/>
                <w:color w:val="auto"/>
              </w:rPr>
            </w:pPr>
            <w:r>
              <w:rPr>
                <w:rFonts w:ascii="Arial" w:cs="Arial" w:eastAsia="Arial" w:hAnsi="Arial"/>
                <w:sz w:val="10"/>
                <w:szCs w:val="10"/>
                <w:i w:val="1"/>
                <w:iCs w:val="1"/>
                <w:color w:val="auto"/>
              </w:rPr>
              <w:t>(30)%</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(3,434)</w:t>
            </w:r>
          </w:p>
        </w:tc>
        <w:tc>
          <w:tcPr>
            <w:tcW w:w="124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(121)%</w:t>
            </w: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99"/>
        </w:trPr>
        <w:tc>
          <w:tcPr>
            <w:tcW w:w="14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top w:val="single" w:sz="8" w:color="auto"/>
            </w:tcBorders>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(23,096)</w:t>
            </w:r>
          </w:p>
        </w:tc>
        <w:tc>
          <w:tcPr>
            <w:tcW w:w="200" w:type="dxa"/>
            <w:vAlign w:val="bottom"/>
          </w:tcPr>
          <w:p>
            <w:pPr>
              <w:spacing w:after="0"/>
              <w:rPr>
                <w:sz w:val="8"/>
                <w:szCs w:val="8"/>
                <w:color w:val="auto"/>
              </w:rPr>
            </w:pPr>
          </w:p>
        </w:tc>
        <w:tc>
          <w:tcPr>
            <w:tcW w:w="1080" w:type="dxa"/>
            <w:vAlign w:val="bottom"/>
          </w:tcPr>
          <w:p>
            <w:pPr>
              <w:jc w:val="right"/>
              <w:ind w:right="169"/>
              <w:spacing w:after="0" w:line="100" w:lineRule="exact"/>
              <w:rPr>
                <w:sz w:val="20"/>
                <w:szCs w:val="20"/>
                <w:color w:val="auto"/>
              </w:rPr>
            </w:pPr>
            <w:r>
              <w:rPr>
                <w:rFonts w:ascii="Arial" w:cs="Arial" w:eastAsia="Arial" w:hAnsi="Arial"/>
                <w:sz w:val="10"/>
                <w:szCs w:val="10"/>
                <w:i w:val="1"/>
                <w:iCs w:val="1"/>
                <w:color w:val="auto"/>
              </w:rPr>
              <w:t>(89)%</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top w:val="single" w:sz="8" w:color="auto"/>
            </w:tcBorders>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(10,986)</w:t>
            </w:r>
          </w:p>
        </w:tc>
        <w:tc>
          <w:tcPr>
            <w:tcW w:w="20" w:type="dxa"/>
            <w:vAlign w:val="bottom"/>
          </w:tcPr>
          <w:p>
            <w:pPr>
              <w:spacing w:after="0"/>
              <w:rPr>
                <w:sz w:val="8"/>
                <w:szCs w:val="8"/>
                <w:color w:val="auto"/>
              </w:rPr>
            </w:pPr>
          </w:p>
        </w:tc>
        <w:tc>
          <w:tcPr>
            <w:tcW w:w="1240" w:type="dxa"/>
            <w:vAlign w:val="bottom"/>
            <w:gridSpan w:val="2"/>
          </w:tcPr>
          <w:p>
            <w:pPr>
              <w:jc w:val="right"/>
              <w:ind w:right="149"/>
              <w:spacing w:after="0" w:line="100" w:lineRule="exact"/>
              <w:rPr>
                <w:sz w:val="20"/>
                <w:szCs w:val="20"/>
                <w:color w:val="auto"/>
              </w:rPr>
            </w:pPr>
            <w:r>
              <w:rPr>
                <w:rFonts w:ascii="Arial" w:cs="Arial" w:eastAsia="Arial" w:hAnsi="Arial"/>
                <w:sz w:val="10"/>
                <w:szCs w:val="10"/>
                <w:i w:val="1"/>
                <w:iCs w:val="1"/>
                <w:color w:val="auto"/>
              </w:rPr>
              <w:t>(387)%</w:t>
            </w:r>
          </w:p>
        </w:tc>
        <w:tc>
          <w:tcPr>
            <w:tcW w:w="200" w:type="dxa"/>
            <w:vAlign w:val="bottom"/>
          </w:tcPr>
          <w:p>
            <w:pPr>
              <w:spacing w:after="0"/>
              <w:rPr>
                <w:sz w:val="8"/>
                <w:szCs w:val="8"/>
                <w:color w:val="auto"/>
              </w:rPr>
            </w:pPr>
          </w:p>
        </w:tc>
        <w:tc>
          <w:tcPr>
            <w:tcW w:w="1020" w:type="dxa"/>
            <w:vAlign w:val="bottom"/>
          </w:tcPr>
          <w:p>
            <w:pPr>
              <w:jc w:val="right"/>
              <w:ind w:right="69"/>
              <w:spacing w:after="0" w:line="100" w:lineRule="exact"/>
              <w:rPr>
                <w:sz w:val="20"/>
                <w:szCs w:val="20"/>
                <w:color w:val="auto"/>
              </w:rPr>
            </w:pPr>
            <w:r>
              <w:rPr>
                <w:rFonts w:ascii="Arial" w:cs="Arial" w:eastAsia="Arial" w:hAnsi="Arial"/>
                <w:sz w:val="10"/>
                <w:szCs w:val="10"/>
                <w:color w:val="auto"/>
              </w:rPr>
              <w:t>(&gt;100) %</w:t>
            </w:r>
          </w:p>
        </w:tc>
      </w:tr>
      <w:tr>
        <w:trPr>
          <w:trHeight w:val="108"/>
        </w:trPr>
        <w:tc>
          <w:tcPr>
            <w:tcW w:w="1460" w:type="dxa"/>
            <w:vAlign w:val="bottom"/>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Australia</w:t>
            </w:r>
          </w:p>
        </w:tc>
        <w:tc>
          <w:tcPr>
            <w:tcW w:w="320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Film rent and advertising cost</w:t>
            </w:r>
          </w:p>
        </w:tc>
        <w:tc>
          <w:tcPr>
            <w:tcW w:w="480" w:type="dxa"/>
            <w:vAlign w:val="bottom"/>
            <w:gridSpan w:val="2"/>
            <w:shd w:val="clear" w:color="auto" w:fill="CCEEFF"/>
          </w:tcPr>
          <w:p>
            <w:pPr>
              <w:jc w:val="right"/>
              <w:ind w:right="215"/>
              <w:spacing w:after="0" w:line="109" w:lineRule="exact"/>
              <w:rPr>
                <w:sz w:val="20"/>
                <w:szCs w:val="20"/>
                <w:color w:val="auto"/>
              </w:rPr>
            </w:pPr>
            <w:r>
              <w:rPr>
                <w:rFonts w:ascii="Arial" w:cs="Arial" w:eastAsia="Arial" w:hAnsi="Arial"/>
                <w:sz w:val="10"/>
                <w:szCs w:val="10"/>
                <w:color w:val="auto"/>
              </w:rPr>
              <w:t>$</w:t>
            </w:r>
          </w:p>
        </w:tc>
        <w:tc>
          <w:tcPr>
            <w:tcW w:w="9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(5,120)</w:t>
            </w: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169"/>
              <w:spacing w:after="0" w:line="109" w:lineRule="exact"/>
              <w:rPr>
                <w:sz w:val="20"/>
                <w:szCs w:val="20"/>
                <w:color w:val="auto"/>
              </w:rPr>
            </w:pPr>
            <w:r>
              <w:rPr>
                <w:rFonts w:ascii="Arial" w:cs="Arial" w:eastAsia="Arial" w:hAnsi="Arial"/>
                <w:sz w:val="10"/>
                <w:szCs w:val="10"/>
                <w:i w:val="1"/>
                <w:iCs w:val="1"/>
                <w:color w:val="auto"/>
              </w:rPr>
              <w:t>(29)%</w:t>
            </w:r>
          </w:p>
        </w:tc>
        <w:tc>
          <w:tcPr>
            <w:tcW w:w="2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95"/>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(1,877)</w:t>
            </w:r>
          </w:p>
        </w:tc>
        <w:tc>
          <w:tcPr>
            <w:tcW w:w="124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(25)%</w:t>
            </w: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108"/>
        </w:trPr>
        <w:tc>
          <w:tcPr>
            <w:tcW w:w="1460" w:type="dxa"/>
            <w:vAlign w:val="bottom"/>
          </w:tcPr>
          <w:p>
            <w:pPr>
              <w:spacing w:after="0"/>
              <w:rPr>
                <w:sz w:val="9"/>
                <w:szCs w:val="9"/>
                <w:color w:val="auto"/>
              </w:rPr>
            </w:pPr>
          </w:p>
        </w:tc>
        <w:tc>
          <w:tcPr>
            <w:tcW w:w="3200" w:type="dxa"/>
            <w:vAlign w:val="bottom"/>
          </w:tcPr>
          <w:p>
            <w:pPr>
              <w:ind w:left="20"/>
              <w:spacing w:after="0" w:line="109" w:lineRule="exact"/>
              <w:rPr>
                <w:sz w:val="20"/>
                <w:szCs w:val="20"/>
                <w:color w:val="auto"/>
              </w:rPr>
            </w:pPr>
            <w:r>
              <w:rPr>
                <w:rFonts w:ascii="Arial" w:cs="Arial" w:eastAsia="Arial" w:hAnsi="Arial"/>
                <w:sz w:val="10"/>
                <w:szCs w:val="10"/>
                <w:color w:val="auto"/>
              </w:rPr>
              <w:t>Food &amp; beverage cost</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jc w:val="right"/>
              <w:spacing w:after="0" w:line="109" w:lineRule="exact"/>
              <w:rPr>
                <w:sz w:val="20"/>
                <w:szCs w:val="20"/>
                <w:color w:val="auto"/>
              </w:rPr>
            </w:pPr>
            <w:r>
              <w:rPr>
                <w:rFonts w:ascii="Arial" w:cs="Arial" w:eastAsia="Arial" w:hAnsi="Arial"/>
                <w:sz w:val="10"/>
                <w:szCs w:val="10"/>
                <w:color w:val="auto"/>
              </w:rPr>
              <w:t>(1,316)</w:t>
            </w:r>
          </w:p>
        </w:tc>
        <w:tc>
          <w:tcPr>
            <w:tcW w:w="200" w:type="dxa"/>
            <w:vAlign w:val="bottom"/>
          </w:tcPr>
          <w:p>
            <w:pPr>
              <w:spacing w:after="0"/>
              <w:rPr>
                <w:sz w:val="9"/>
                <w:szCs w:val="9"/>
                <w:color w:val="auto"/>
              </w:rPr>
            </w:pPr>
          </w:p>
        </w:tc>
        <w:tc>
          <w:tcPr>
            <w:tcW w:w="1080" w:type="dxa"/>
            <w:vAlign w:val="bottom"/>
          </w:tcPr>
          <w:p>
            <w:pPr>
              <w:jc w:val="right"/>
              <w:ind w:right="169"/>
              <w:spacing w:after="0" w:line="109" w:lineRule="exact"/>
              <w:rPr>
                <w:sz w:val="20"/>
                <w:szCs w:val="20"/>
                <w:color w:val="auto"/>
              </w:rPr>
            </w:pPr>
            <w:r>
              <w:rPr>
                <w:rFonts w:ascii="Arial" w:cs="Arial" w:eastAsia="Arial" w:hAnsi="Arial"/>
                <w:sz w:val="10"/>
                <w:szCs w:val="10"/>
                <w:i w:val="1"/>
                <w:iCs w:val="1"/>
                <w:color w:val="auto"/>
              </w:rPr>
              <w:t>(7)%</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(601)</w:t>
            </w:r>
          </w:p>
        </w:tc>
        <w:tc>
          <w:tcPr>
            <w:tcW w:w="124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(8)%</w:t>
            </w:r>
          </w:p>
        </w:tc>
        <w:tc>
          <w:tcPr>
            <w:tcW w:w="20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108"/>
        </w:trPr>
        <w:tc>
          <w:tcPr>
            <w:tcW w:w="1460" w:type="dxa"/>
            <w:vAlign w:val="bottom"/>
            <w:shd w:val="clear" w:color="auto" w:fill="CCEEFF"/>
          </w:tcPr>
          <w:p>
            <w:pPr>
              <w:spacing w:after="0"/>
              <w:rPr>
                <w:sz w:val="9"/>
                <w:szCs w:val="9"/>
                <w:color w:val="auto"/>
              </w:rPr>
            </w:pPr>
          </w:p>
        </w:tc>
        <w:tc>
          <w:tcPr>
            <w:tcW w:w="320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Occupancy expense</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(2,532)</w:t>
            </w: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169"/>
              <w:spacing w:after="0" w:line="109" w:lineRule="exact"/>
              <w:rPr>
                <w:sz w:val="20"/>
                <w:szCs w:val="20"/>
                <w:color w:val="auto"/>
              </w:rPr>
            </w:pPr>
            <w:r>
              <w:rPr>
                <w:rFonts w:ascii="Arial" w:cs="Arial" w:eastAsia="Arial" w:hAnsi="Arial"/>
                <w:sz w:val="10"/>
                <w:szCs w:val="10"/>
                <w:i w:val="1"/>
                <w:iCs w:val="1"/>
                <w:color w:val="auto"/>
              </w:rPr>
              <w:t>(14)%</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(1,865)</w:t>
            </w:r>
          </w:p>
        </w:tc>
        <w:tc>
          <w:tcPr>
            <w:tcW w:w="124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(25)%</w:t>
            </w: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(36) %</w:t>
            </w:r>
          </w:p>
        </w:tc>
      </w:tr>
      <w:tr>
        <w:trPr>
          <w:trHeight w:val="108"/>
        </w:trPr>
        <w:tc>
          <w:tcPr>
            <w:tcW w:w="1460" w:type="dxa"/>
            <w:vAlign w:val="bottom"/>
          </w:tcPr>
          <w:p>
            <w:pPr>
              <w:spacing w:after="0"/>
              <w:rPr>
                <w:sz w:val="9"/>
                <w:szCs w:val="9"/>
                <w:color w:val="auto"/>
              </w:rPr>
            </w:pPr>
          </w:p>
        </w:tc>
        <w:tc>
          <w:tcPr>
            <w:tcW w:w="3200" w:type="dxa"/>
            <w:vAlign w:val="bottom"/>
          </w:tcPr>
          <w:p>
            <w:pPr>
              <w:ind w:left="20"/>
              <w:spacing w:after="0" w:line="109" w:lineRule="exact"/>
              <w:rPr>
                <w:sz w:val="20"/>
                <w:szCs w:val="20"/>
                <w:color w:val="auto"/>
              </w:rPr>
            </w:pPr>
            <w:r>
              <w:rPr>
                <w:rFonts w:ascii="Arial" w:cs="Arial" w:eastAsia="Arial" w:hAnsi="Arial"/>
                <w:sz w:val="10"/>
                <w:szCs w:val="10"/>
                <w:color w:val="auto"/>
              </w:rPr>
              <w:t>Other operating expense</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jc w:val="right"/>
              <w:spacing w:after="0" w:line="109" w:lineRule="exact"/>
              <w:rPr>
                <w:sz w:val="20"/>
                <w:szCs w:val="20"/>
                <w:color w:val="auto"/>
              </w:rPr>
            </w:pPr>
            <w:r>
              <w:rPr>
                <w:rFonts w:ascii="Arial" w:cs="Arial" w:eastAsia="Arial" w:hAnsi="Arial"/>
                <w:sz w:val="10"/>
                <w:szCs w:val="10"/>
                <w:color w:val="auto"/>
              </w:rPr>
              <w:t>(5,352)</w:t>
            </w:r>
          </w:p>
        </w:tc>
        <w:tc>
          <w:tcPr>
            <w:tcW w:w="200" w:type="dxa"/>
            <w:vAlign w:val="bottom"/>
          </w:tcPr>
          <w:p>
            <w:pPr>
              <w:spacing w:after="0"/>
              <w:rPr>
                <w:sz w:val="9"/>
                <w:szCs w:val="9"/>
                <w:color w:val="auto"/>
              </w:rPr>
            </w:pPr>
          </w:p>
        </w:tc>
        <w:tc>
          <w:tcPr>
            <w:tcW w:w="1080" w:type="dxa"/>
            <w:vAlign w:val="bottom"/>
          </w:tcPr>
          <w:p>
            <w:pPr>
              <w:jc w:val="right"/>
              <w:ind w:right="169"/>
              <w:spacing w:after="0" w:line="109" w:lineRule="exact"/>
              <w:rPr>
                <w:sz w:val="20"/>
                <w:szCs w:val="20"/>
                <w:color w:val="auto"/>
              </w:rPr>
            </w:pPr>
            <w:r>
              <w:rPr>
                <w:rFonts w:ascii="Arial" w:cs="Arial" w:eastAsia="Arial" w:hAnsi="Arial"/>
                <w:sz w:val="10"/>
                <w:szCs w:val="10"/>
                <w:i w:val="1"/>
                <w:iCs w:val="1"/>
                <w:color w:val="auto"/>
              </w:rPr>
              <w:t>(29)%</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(2,436)</w:t>
            </w:r>
          </w:p>
        </w:tc>
        <w:tc>
          <w:tcPr>
            <w:tcW w:w="124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(33)%</w:t>
            </w:r>
          </w:p>
        </w:tc>
        <w:tc>
          <w:tcPr>
            <w:tcW w:w="20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99"/>
        </w:trPr>
        <w:tc>
          <w:tcPr>
            <w:tcW w:w="1460" w:type="dxa"/>
            <w:vAlign w:val="bottom"/>
            <w:tcBorders>
              <w:top w:val="single" w:sz="8" w:color="CCEEFF"/>
            </w:tcBorders>
            <w:shd w:val="clear" w:color="auto" w:fill="CCEEFF"/>
          </w:tcPr>
          <w:p>
            <w:pPr>
              <w:spacing w:after="0"/>
              <w:rPr>
                <w:sz w:val="8"/>
                <w:szCs w:val="8"/>
                <w:color w:val="auto"/>
              </w:rPr>
            </w:pPr>
          </w:p>
        </w:tc>
        <w:tc>
          <w:tcPr>
            <w:tcW w:w="32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(14,320)</w:t>
            </w:r>
          </w:p>
        </w:tc>
        <w:tc>
          <w:tcPr>
            <w:tcW w:w="2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jc w:val="right"/>
              <w:ind w:right="169"/>
              <w:spacing w:after="0" w:line="100" w:lineRule="exact"/>
              <w:rPr>
                <w:sz w:val="20"/>
                <w:szCs w:val="20"/>
                <w:color w:val="auto"/>
              </w:rPr>
            </w:pPr>
            <w:r>
              <w:rPr>
                <w:rFonts w:ascii="Arial" w:cs="Arial" w:eastAsia="Arial" w:hAnsi="Arial"/>
                <w:sz w:val="10"/>
                <w:szCs w:val="10"/>
                <w:i w:val="1"/>
                <w:iCs w:val="1"/>
                <w:color w:val="auto"/>
              </w:rPr>
              <w:t>(81)%</w:t>
            </w:r>
          </w:p>
        </w:tc>
        <w:tc>
          <w:tcPr>
            <w:tcW w:w="2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(6,779)</w:t>
            </w:r>
          </w:p>
        </w:tc>
        <w:tc>
          <w:tcPr>
            <w:tcW w:w="20" w:type="dxa"/>
            <w:vAlign w:val="bottom"/>
            <w:tcBorders>
              <w:top w:val="single" w:sz="8" w:color="CCEEFF"/>
            </w:tcBorders>
            <w:shd w:val="clear" w:color="auto" w:fill="CCEEFF"/>
          </w:tcPr>
          <w:p>
            <w:pPr>
              <w:spacing w:after="0"/>
              <w:rPr>
                <w:sz w:val="8"/>
                <w:szCs w:val="8"/>
                <w:color w:val="auto"/>
              </w:rPr>
            </w:pPr>
          </w:p>
        </w:tc>
        <w:tc>
          <w:tcPr>
            <w:tcW w:w="1240" w:type="dxa"/>
            <w:vAlign w:val="bottom"/>
            <w:tcBorders>
              <w:top w:val="single" w:sz="8" w:color="CCEEFF"/>
            </w:tcBorders>
            <w:gridSpan w:val="2"/>
            <w:shd w:val="clear" w:color="auto" w:fill="CCEEFF"/>
          </w:tcPr>
          <w:p>
            <w:pPr>
              <w:jc w:val="right"/>
              <w:ind w:right="149"/>
              <w:spacing w:after="0" w:line="100" w:lineRule="exact"/>
              <w:rPr>
                <w:sz w:val="20"/>
                <w:szCs w:val="20"/>
                <w:color w:val="auto"/>
              </w:rPr>
            </w:pPr>
            <w:r>
              <w:rPr>
                <w:rFonts w:ascii="Arial" w:cs="Arial" w:eastAsia="Arial" w:hAnsi="Arial"/>
                <w:sz w:val="10"/>
                <w:szCs w:val="10"/>
                <w:i w:val="1"/>
                <w:iCs w:val="1"/>
                <w:color w:val="auto"/>
              </w:rPr>
              <w:t>(90)%</w:t>
            </w:r>
          </w:p>
        </w:tc>
        <w:tc>
          <w:tcPr>
            <w:tcW w:w="20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CCEEFF"/>
            </w:tcBorders>
            <w:shd w:val="clear" w:color="auto" w:fill="CCEEFF"/>
          </w:tcPr>
          <w:p>
            <w:pPr>
              <w:jc w:val="right"/>
              <w:ind w:right="69"/>
              <w:spacing w:after="0" w:line="100" w:lineRule="exact"/>
              <w:rPr>
                <w:sz w:val="20"/>
                <w:szCs w:val="20"/>
                <w:color w:val="auto"/>
              </w:rPr>
            </w:pPr>
            <w:r>
              <w:rPr>
                <w:rFonts w:ascii="Arial" w:cs="Arial" w:eastAsia="Arial" w:hAnsi="Arial"/>
                <w:sz w:val="10"/>
                <w:szCs w:val="10"/>
                <w:color w:val="auto"/>
              </w:rPr>
              <w:t>(&gt;100) %</w:t>
            </w:r>
          </w:p>
        </w:tc>
      </w:tr>
      <w:tr>
        <w:trPr>
          <w:trHeight w:val="108"/>
        </w:trPr>
        <w:tc>
          <w:tcPr>
            <w:tcW w:w="1460" w:type="dxa"/>
            <w:vAlign w:val="bottom"/>
          </w:tcPr>
          <w:p>
            <w:pPr>
              <w:ind w:left="220"/>
              <w:spacing w:after="0" w:line="109" w:lineRule="exact"/>
              <w:rPr>
                <w:sz w:val="20"/>
                <w:szCs w:val="20"/>
                <w:color w:val="auto"/>
              </w:rPr>
            </w:pPr>
            <w:r>
              <w:rPr>
                <w:rFonts w:ascii="Arial" w:cs="Arial" w:eastAsia="Arial" w:hAnsi="Arial"/>
                <w:sz w:val="10"/>
                <w:szCs w:val="10"/>
                <w:b w:val="1"/>
                <w:bCs w:val="1"/>
                <w:color w:val="auto"/>
              </w:rPr>
              <w:t>New Zealand</w:t>
            </w:r>
          </w:p>
        </w:tc>
        <w:tc>
          <w:tcPr>
            <w:tcW w:w="3200" w:type="dxa"/>
            <w:vAlign w:val="bottom"/>
          </w:tcPr>
          <w:p>
            <w:pPr>
              <w:ind w:left="20"/>
              <w:spacing w:after="0" w:line="109" w:lineRule="exact"/>
              <w:rPr>
                <w:sz w:val="20"/>
                <w:szCs w:val="20"/>
                <w:color w:val="auto"/>
              </w:rPr>
            </w:pPr>
            <w:r>
              <w:rPr>
                <w:rFonts w:ascii="Arial" w:cs="Arial" w:eastAsia="Arial" w:hAnsi="Arial"/>
                <w:sz w:val="10"/>
                <w:szCs w:val="10"/>
                <w:color w:val="auto"/>
              </w:rPr>
              <w:t>Film rent and advertising cost</w:t>
            </w:r>
          </w:p>
        </w:tc>
        <w:tc>
          <w:tcPr>
            <w:tcW w:w="480" w:type="dxa"/>
            <w:vAlign w:val="bottom"/>
            <w:gridSpan w:val="2"/>
          </w:tcPr>
          <w:p>
            <w:pPr>
              <w:jc w:val="right"/>
              <w:ind w:right="215"/>
              <w:spacing w:after="0" w:line="109" w:lineRule="exact"/>
              <w:rPr>
                <w:sz w:val="20"/>
                <w:szCs w:val="20"/>
                <w:color w:val="auto"/>
              </w:rPr>
            </w:pPr>
            <w:r>
              <w:rPr>
                <w:rFonts w:ascii="Arial" w:cs="Arial" w:eastAsia="Arial" w:hAnsi="Arial"/>
                <w:sz w:val="10"/>
                <w:szCs w:val="10"/>
                <w:color w:val="auto"/>
              </w:rPr>
              <w:t>$</w:t>
            </w:r>
          </w:p>
        </w:tc>
        <w:tc>
          <w:tcPr>
            <w:tcW w:w="940" w:type="dxa"/>
            <w:vAlign w:val="bottom"/>
          </w:tcPr>
          <w:p>
            <w:pPr>
              <w:jc w:val="right"/>
              <w:spacing w:after="0" w:line="109" w:lineRule="exact"/>
              <w:rPr>
                <w:sz w:val="20"/>
                <w:szCs w:val="20"/>
                <w:color w:val="auto"/>
              </w:rPr>
            </w:pPr>
            <w:r>
              <w:rPr>
                <w:rFonts w:ascii="Arial" w:cs="Arial" w:eastAsia="Arial" w:hAnsi="Arial"/>
                <w:sz w:val="10"/>
                <w:szCs w:val="10"/>
                <w:color w:val="auto"/>
              </w:rPr>
              <w:t>(1,033)</w:t>
            </w:r>
          </w:p>
        </w:tc>
        <w:tc>
          <w:tcPr>
            <w:tcW w:w="200" w:type="dxa"/>
            <w:vAlign w:val="bottom"/>
          </w:tcPr>
          <w:p>
            <w:pPr>
              <w:spacing w:after="0"/>
              <w:rPr>
                <w:sz w:val="9"/>
                <w:szCs w:val="9"/>
                <w:color w:val="auto"/>
              </w:rPr>
            </w:pPr>
          </w:p>
        </w:tc>
        <w:tc>
          <w:tcPr>
            <w:tcW w:w="1080" w:type="dxa"/>
            <w:vAlign w:val="bottom"/>
          </w:tcPr>
          <w:p>
            <w:pPr>
              <w:jc w:val="right"/>
              <w:ind w:right="169"/>
              <w:spacing w:after="0" w:line="109" w:lineRule="exact"/>
              <w:rPr>
                <w:sz w:val="20"/>
                <w:szCs w:val="20"/>
                <w:color w:val="auto"/>
              </w:rPr>
            </w:pPr>
            <w:r>
              <w:rPr>
                <w:rFonts w:ascii="Arial" w:cs="Arial" w:eastAsia="Arial" w:hAnsi="Arial"/>
                <w:sz w:val="10"/>
                <w:szCs w:val="10"/>
                <w:i w:val="1"/>
                <w:iCs w:val="1"/>
                <w:color w:val="auto"/>
              </w:rPr>
              <w:t>(29)%</w:t>
            </w:r>
          </w:p>
        </w:tc>
        <w:tc>
          <w:tcPr>
            <w:tcW w:w="200" w:type="dxa"/>
            <w:vAlign w:val="bottom"/>
          </w:tcPr>
          <w:p>
            <w:pPr>
              <w:spacing w:after="0"/>
              <w:rPr>
                <w:sz w:val="9"/>
                <w:szCs w:val="9"/>
                <w:color w:val="auto"/>
              </w:rPr>
            </w:pPr>
          </w:p>
        </w:tc>
        <w:tc>
          <w:tcPr>
            <w:tcW w:w="280" w:type="dxa"/>
            <w:vAlign w:val="bottom"/>
            <w:gridSpan w:val="2"/>
          </w:tcPr>
          <w:p>
            <w:pPr>
              <w:jc w:val="right"/>
              <w:ind w:right="195"/>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(463)</w:t>
            </w:r>
          </w:p>
        </w:tc>
        <w:tc>
          <w:tcPr>
            <w:tcW w:w="124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(27)%</w:t>
            </w:r>
          </w:p>
        </w:tc>
        <w:tc>
          <w:tcPr>
            <w:tcW w:w="20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108"/>
        </w:trPr>
        <w:tc>
          <w:tcPr>
            <w:tcW w:w="1460" w:type="dxa"/>
            <w:vAlign w:val="bottom"/>
            <w:shd w:val="clear" w:color="auto" w:fill="CCEEFF"/>
          </w:tcPr>
          <w:p>
            <w:pPr>
              <w:spacing w:after="0"/>
              <w:rPr>
                <w:sz w:val="9"/>
                <w:szCs w:val="9"/>
                <w:color w:val="auto"/>
              </w:rPr>
            </w:pPr>
          </w:p>
        </w:tc>
        <w:tc>
          <w:tcPr>
            <w:tcW w:w="320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Food &amp; beverage cost</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(226)</w:t>
            </w:r>
          </w:p>
        </w:tc>
        <w:tc>
          <w:tcPr>
            <w:tcW w:w="1080" w:type="dxa"/>
            <w:vAlign w:val="bottom"/>
            <w:shd w:val="clear" w:color="auto" w:fill="CCEEFF"/>
          </w:tcPr>
          <w:p>
            <w:pPr>
              <w:jc w:val="right"/>
              <w:ind w:right="169"/>
              <w:spacing w:after="0" w:line="109" w:lineRule="exact"/>
              <w:rPr>
                <w:sz w:val="20"/>
                <w:szCs w:val="20"/>
                <w:color w:val="auto"/>
              </w:rPr>
            </w:pPr>
            <w:r>
              <w:rPr>
                <w:rFonts w:ascii="Arial" w:cs="Arial" w:eastAsia="Arial" w:hAnsi="Arial"/>
                <w:sz w:val="10"/>
                <w:szCs w:val="10"/>
                <w:i w:val="1"/>
                <w:iCs w:val="1"/>
                <w:color w:val="auto"/>
              </w:rPr>
              <w:t>(6)%</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(104)</w:t>
            </w:r>
          </w:p>
        </w:tc>
        <w:tc>
          <w:tcPr>
            <w:tcW w:w="124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(6)%</w:t>
            </w: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108"/>
        </w:trPr>
        <w:tc>
          <w:tcPr>
            <w:tcW w:w="1460" w:type="dxa"/>
            <w:vAlign w:val="bottom"/>
          </w:tcPr>
          <w:p>
            <w:pPr>
              <w:spacing w:after="0"/>
              <w:rPr>
                <w:sz w:val="9"/>
                <w:szCs w:val="9"/>
                <w:color w:val="auto"/>
              </w:rPr>
            </w:pPr>
          </w:p>
        </w:tc>
        <w:tc>
          <w:tcPr>
            <w:tcW w:w="3200" w:type="dxa"/>
            <w:vAlign w:val="bottom"/>
          </w:tcPr>
          <w:p>
            <w:pPr>
              <w:ind w:left="20"/>
              <w:spacing w:after="0" w:line="109" w:lineRule="exact"/>
              <w:rPr>
                <w:sz w:val="20"/>
                <w:szCs w:val="20"/>
                <w:color w:val="auto"/>
              </w:rPr>
            </w:pPr>
            <w:r>
              <w:rPr>
                <w:rFonts w:ascii="Arial" w:cs="Arial" w:eastAsia="Arial" w:hAnsi="Arial"/>
                <w:sz w:val="10"/>
                <w:szCs w:val="10"/>
                <w:color w:val="auto"/>
              </w:rPr>
              <w:t>Occupancy expense</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(581)</w:t>
            </w:r>
          </w:p>
        </w:tc>
        <w:tc>
          <w:tcPr>
            <w:tcW w:w="1080" w:type="dxa"/>
            <w:vAlign w:val="bottom"/>
          </w:tcPr>
          <w:p>
            <w:pPr>
              <w:jc w:val="right"/>
              <w:ind w:right="169"/>
              <w:spacing w:after="0" w:line="109" w:lineRule="exact"/>
              <w:rPr>
                <w:sz w:val="20"/>
                <w:szCs w:val="20"/>
                <w:color w:val="auto"/>
              </w:rPr>
            </w:pPr>
            <w:r>
              <w:rPr>
                <w:rFonts w:ascii="Arial" w:cs="Arial" w:eastAsia="Arial" w:hAnsi="Arial"/>
                <w:sz w:val="10"/>
                <w:szCs w:val="10"/>
                <w:i w:val="1"/>
                <w:iCs w:val="1"/>
                <w:color w:val="auto"/>
              </w:rPr>
              <w:t>(17)%</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(256)</w:t>
            </w:r>
          </w:p>
        </w:tc>
        <w:tc>
          <w:tcPr>
            <w:tcW w:w="124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(15)%</w:t>
            </w:r>
          </w:p>
        </w:tc>
        <w:tc>
          <w:tcPr>
            <w:tcW w:w="20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108"/>
        </w:trPr>
        <w:tc>
          <w:tcPr>
            <w:tcW w:w="1460" w:type="dxa"/>
            <w:vAlign w:val="bottom"/>
            <w:shd w:val="clear" w:color="auto" w:fill="CCEEFF"/>
          </w:tcPr>
          <w:p>
            <w:pPr>
              <w:spacing w:after="0"/>
              <w:rPr>
                <w:sz w:val="9"/>
                <w:szCs w:val="9"/>
                <w:color w:val="auto"/>
              </w:rPr>
            </w:pPr>
          </w:p>
        </w:tc>
        <w:tc>
          <w:tcPr>
            <w:tcW w:w="320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Other operating expense</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(1,289)</w:t>
            </w: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169"/>
              <w:spacing w:after="0" w:line="109" w:lineRule="exact"/>
              <w:rPr>
                <w:sz w:val="20"/>
                <w:szCs w:val="20"/>
                <w:color w:val="auto"/>
              </w:rPr>
            </w:pPr>
            <w:r>
              <w:rPr>
                <w:rFonts w:ascii="Arial" w:cs="Arial" w:eastAsia="Arial" w:hAnsi="Arial"/>
                <w:sz w:val="10"/>
                <w:szCs w:val="10"/>
                <w:i w:val="1"/>
                <w:iCs w:val="1"/>
                <w:color w:val="auto"/>
              </w:rPr>
              <w:t>(37)%</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(872)</w:t>
            </w:r>
          </w:p>
        </w:tc>
        <w:tc>
          <w:tcPr>
            <w:tcW w:w="124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(50)%</w:t>
            </w: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(48) %</w:t>
            </w:r>
          </w:p>
        </w:tc>
      </w:tr>
      <w:tr>
        <w:trPr>
          <w:trHeight w:val="99"/>
        </w:trPr>
        <w:tc>
          <w:tcPr>
            <w:tcW w:w="14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top w:val="single" w:sz="8" w:color="auto"/>
            </w:tcBorders>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(3,129)</w:t>
            </w:r>
          </w:p>
        </w:tc>
        <w:tc>
          <w:tcPr>
            <w:tcW w:w="200" w:type="dxa"/>
            <w:vAlign w:val="bottom"/>
          </w:tcPr>
          <w:p>
            <w:pPr>
              <w:spacing w:after="0"/>
              <w:rPr>
                <w:sz w:val="8"/>
                <w:szCs w:val="8"/>
                <w:color w:val="auto"/>
              </w:rPr>
            </w:pPr>
          </w:p>
        </w:tc>
        <w:tc>
          <w:tcPr>
            <w:tcW w:w="1080" w:type="dxa"/>
            <w:vAlign w:val="bottom"/>
          </w:tcPr>
          <w:p>
            <w:pPr>
              <w:jc w:val="right"/>
              <w:ind w:right="169"/>
              <w:spacing w:after="0" w:line="100" w:lineRule="exact"/>
              <w:rPr>
                <w:sz w:val="20"/>
                <w:szCs w:val="20"/>
                <w:color w:val="auto"/>
              </w:rPr>
            </w:pPr>
            <w:r>
              <w:rPr>
                <w:rFonts w:ascii="Arial" w:cs="Arial" w:eastAsia="Arial" w:hAnsi="Arial"/>
                <w:sz w:val="10"/>
                <w:szCs w:val="10"/>
                <w:i w:val="1"/>
                <w:iCs w:val="1"/>
                <w:color w:val="auto"/>
              </w:rPr>
              <w:t>(90)%</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top w:val="single" w:sz="8" w:color="auto"/>
            </w:tcBorders>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(1,695)</w:t>
            </w:r>
          </w:p>
        </w:tc>
        <w:tc>
          <w:tcPr>
            <w:tcW w:w="20" w:type="dxa"/>
            <w:vAlign w:val="bottom"/>
          </w:tcPr>
          <w:p>
            <w:pPr>
              <w:spacing w:after="0"/>
              <w:rPr>
                <w:sz w:val="8"/>
                <w:szCs w:val="8"/>
                <w:color w:val="auto"/>
              </w:rPr>
            </w:pPr>
          </w:p>
        </w:tc>
        <w:tc>
          <w:tcPr>
            <w:tcW w:w="1240" w:type="dxa"/>
            <w:vAlign w:val="bottom"/>
            <w:gridSpan w:val="2"/>
          </w:tcPr>
          <w:p>
            <w:pPr>
              <w:jc w:val="right"/>
              <w:ind w:right="149"/>
              <w:spacing w:after="0" w:line="100" w:lineRule="exact"/>
              <w:rPr>
                <w:sz w:val="20"/>
                <w:szCs w:val="20"/>
                <w:color w:val="auto"/>
              </w:rPr>
            </w:pPr>
            <w:r>
              <w:rPr>
                <w:rFonts w:ascii="Arial" w:cs="Arial" w:eastAsia="Arial" w:hAnsi="Arial"/>
                <w:sz w:val="10"/>
                <w:szCs w:val="10"/>
                <w:i w:val="1"/>
                <w:iCs w:val="1"/>
                <w:color w:val="auto"/>
              </w:rPr>
              <w:t>(98)%</w:t>
            </w:r>
          </w:p>
        </w:tc>
        <w:tc>
          <w:tcPr>
            <w:tcW w:w="200" w:type="dxa"/>
            <w:vAlign w:val="bottom"/>
          </w:tcPr>
          <w:p>
            <w:pPr>
              <w:spacing w:after="0"/>
              <w:rPr>
                <w:sz w:val="8"/>
                <w:szCs w:val="8"/>
                <w:color w:val="auto"/>
              </w:rPr>
            </w:pPr>
          </w:p>
        </w:tc>
        <w:tc>
          <w:tcPr>
            <w:tcW w:w="1020" w:type="dxa"/>
            <w:vAlign w:val="bottom"/>
          </w:tcPr>
          <w:p>
            <w:pPr>
              <w:jc w:val="right"/>
              <w:ind w:right="69"/>
              <w:spacing w:after="0" w:line="100" w:lineRule="exact"/>
              <w:rPr>
                <w:sz w:val="20"/>
                <w:szCs w:val="20"/>
                <w:color w:val="auto"/>
              </w:rPr>
            </w:pPr>
            <w:r>
              <w:rPr>
                <w:rFonts w:ascii="Arial" w:cs="Arial" w:eastAsia="Arial" w:hAnsi="Arial"/>
                <w:sz w:val="10"/>
                <w:szCs w:val="10"/>
                <w:color w:val="auto"/>
              </w:rPr>
              <w:t>(85) %</w:t>
            </w:r>
          </w:p>
        </w:tc>
      </w:tr>
      <w:tr>
        <w:trPr>
          <w:trHeight w:val="128"/>
        </w:trPr>
        <w:tc>
          <w:tcPr>
            <w:tcW w:w="1460" w:type="dxa"/>
            <w:vAlign w:val="bottom"/>
            <w:tcBorders>
              <w:bottom w:val="single" w:sz="8" w:color="CCEEFF"/>
            </w:tcBorders>
            <w:shd w:val="clear" w:color="auto" w:fill="CCEEFF"/>
          </w:tcPr>
          <w:p>
            <w:pPr>
              <w:spacing w:after="0"/>
              <w:rPr>
                <w:sz w:val="11"/>
                <w:szCs w:val="11"/>
                <w:color w:val="auto"/>
              </w:rPr>
            </w:pPr>
          </w:p>
        </w:tc>
        <w:tc>
          <w:tcPr>
            <w:tcW w:w="32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r>
      <w:tr>
        <w:trPr>
          <w:trHeight w:val="92"/>
        </w:trPr>
        <w:tc>
          <w:tcPr>
            <w:tcW w:w="1460" w:type="dxa"/>
            <w:vAlign w:val="bottom"/>
            <w:tcBorders>
              <w:bottom w:val="single" w:sz="8" w:color="CCEEFF"/>
            </w:tcBorders>
          </w:tcPr>
          <w:p>
            <w:pPr>
              <w:ind w:left="220"/>
              <w:spacing w:after="0" w:line="91" w:lineRule="exact"/>
              <w:rPr>
                <w:sz w:val="20"/>
                <w:szCs w:val="20"/>
                <w:color w:val="auto"/>
              </w:rPr>
            </w:pPr>
            <w:r>
              <w:rPr>
                <w:rFonts w:ascii="Arial" w:cs="Arial" w:eastAsia="Arial" w:hAnsi="Arial"/>
                <w:sz w:val="10"/>
                <w:szCs w:val="10"/>
                <w:b w:val="1"/>
                <w:bCs w:val="1"/>
                <w:color w:val="auto"/>
              </w:rPr>
              <w:t>Total operating expense</w:t>
            </w:r>
          </w:p>
        </w:tc>
        <w:tc>
          <w:tcPr>
            <w:tcW w:w="3200" w:type="dxa"/>
            <w:vAlign w:val="bottom"/>
            <w:tcBorders>
              <w:bottom w:val="single" w:sz="8" w:color="CCEEFF"/>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bottom w:val="single" w:sz="8" w:color="auto"/>
            </w:tcBorders>
          </w:tcPr>
          <w:p>
            <w:pPr>
              <w:jc w:val="right"/>
              <w:spacing w:after="0" w:line="91" w:lineRule="exact"/>
              <w:rPr>
                <w:sz w:val="20"/>
                <w:szCs w:val="20"/>
                <w:color w:val="auto"/>
              </w:rPr>
            </w:pPr>
            <w:r>
              <w:rPr>
                <w:rFonts w:ascii="Arial" w:cs="Arial" w:eastAsia="Arial" w:hAnsi="Arial"/>
                <w:sz w:val="10"/>
                <w:szCs w:val="10"/>
                <w:b w:val="1"/>
                <w:bCs w:val="1"/>
                <w:color w:val="auto"/>
              </w:rPr>
              <w:t>(40,545)</w:t>
            </w:r>
          </w:p>
        </w:tc>
        <w:tc>
          <w:tcPr>
            <w:tcW w:w="200" w:type="dxa"/>
            <w:vAlign w:val="bottom"/>
            <w:tcBorders>
              <w:bottom w:val="single" w:sz="8" w:color="CCEEFF"/>
            </w:tcBorders>
          </w:tcPr>
          <w:p>
            <w:pPr>
              <w:spacing w:after="0"/>
              <w:rPr>
                <w:sz w:val="7"/>
                <w:szCs w:val="7"/>
                <w:color w:val="auto"/>
              </w:rPr>
            </w:pPr>
          </w:p>
        </w:tc>
        <w:tc>
          <w:tcPr>
            <w:tcW w:w="1080" w:type="dxa"/>
            <w:vAlign w:val="bottom"/>
            <w:tcBorders>
              <w:bottom w:val="single" w:sz="8" w:color="CCEEFF"/>
            </w:tcBorders>
          </w:tcPr>
          <w:p>
            <w:pPr>
              <w:jc w:val="right"/>
              <w:ind w:right="169"/>
              <w:spacing w:after="0" w:line="91" w:lineRule="exact"/>
              <w:rPr>
                <w:sz w:val="20"/>
                <w:szCs w:val="20"/>
                <w:color w:val="auto"/>
              </w:rPr>
            </w:pPr>
            <w:r>
              <w:rPr>
                <w:rFonts w:ascii="Arial" w:cs="Arial" w:eastAsia="Arial" w:hAnsi="Arial"/>
                <w:sz w:val="10"/>
                <w:szCs w:val="10"/>
                <w:i w:val="1"/>
                <w:iCs w:val="1"/>
                <w:color w:val="auto"/>
              </w:rPr>
              <w:t>(86)%</w:t>
            </w:r>
          </w:p>
        </w:tc>
        <w:tc>
          <w:tcPr>
            <w:tcW w:w="20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bottom w:val="single" w:sz="8" w:color="auto"/>
            </w:tcBorders>
          </w:tcPr>
          <w:p>
            <w:pPr>
              <w:jc w:val="right"/>
              <w:spacing w:after="0" w:line="91" w:lineRule="exact"/>
              <w:rPr>
                <w:sz w:val="20"/>
                <w:szCs w:val="20"/>
                <w:color w:val="auto"/>
              </w:rPr>
            </w:pPr>
            <w:r>
              <w:rPr>
                <w:rFonts w:ascii="Arial" w:cs="Arial" w:eastAsia="Arial" w:hAnsi="Arial"/>
                <w:sz w:val="10"/>
                <w:szCs w:val="10"/>
                <w:b w:val="1"/>
                <w:bCs w:val="1"/>
                <w:color w:val="auto"/>
              </w:rPr>
              <w:t>(19,460)</w:t>
            </w:r>
          </w:p>
        </w:tc>
        <w:tc>
          <w:tcPr>
            <w:tcW w:w="20" w:type="dxa"/>
            <w:vAlign w:val="bottom"/>
            <w:tcBorders>
              <w:bottom w:val="single" w:sz="8" w:color="CCEEFF"/>
            </w:tcBorders>
          </w:tcPr>
          <w:p>
            <w:pPr>
              <w:spacing w:after="0"/>
              <w:rPr>
                <w:sz w:val="7"/>
                <w:szCs w:val="7"/>
                <w:color w:val="auto"/>
              </w:rPr>
            </w:pPr>
          </w:p>
        </w:tc>
        <w:tc>
          <w:tcPr>
            <w:tcW w:w="1240" w:type="dxa"/>
            <w:vAlign w:val="bottom"/>
            <w:tcBorders>
              <w:bottom w:val="single" w:sz="8" w:color="CCEEFF"/>
            </w:tcBorders>
            <w:gridSpan w:val="2"/>
          </w:tcPr>
          <w:p>
            <w:pPr>
              <w:jc w:val="right"/>
              <w:ind w:right="149"/>
              <w:spacing w:after="0" w:line="91" w:lineRule="exact"/>
              <w:rPr>
                <w:sz w:val="20"/>
                <w:szCs w:val="20"/>
                <w:color w:val="auto"/>
              </w:rPr>
            </w:pPr>
            <w:r>
              <w:rPr>
                <w:rFonts w:ascii="Arial" w:cs="Arial" w:eastAsia="Arial" w:hAnsi="Arial"/>
                <w:sz w:val="10"/>
                <w:szCs w:val="10"/>
                <w:i w:val="1"/>
                <w:iCs w:val="1"/>
                <w:color w:val="auto"/>
              </w:rPr>
              <w:t>(160)%</w:t>
            </w:r>
          </w:p>
        </w:tc>
        <w:tc>
          <w:tcPr>
            <w:tcW w:w="200" w:type="dxa"/>
            <w:vAlign w:val="bottom"/>
            <w:tcBorders>
              <w:bottom w:val="single" w:sz="8" w:color="CCEEFF"/>
            </w:tcBorders>
          </w:tcPr>
          <w:p>
            <w:pPr>
              <w:spacing w:after="0"/>
              <w:rPr>
                <w:sz w:val="7"/>
                <w:szCs w:val="7"/>
                <w:color w:val="auto"/>
              </w:rPr>
            </w:pPr>
          </w:p>
        </w:tc>
        <w:tc>
          <w:tcPr>
            <w:tcW w:w="1020" w:type="dxa"/>
            <w:vAlign w:val="bottom"/>
            <w:tcBorders>
              <w:bottom w:val="single" w:sz="8" w:color="CCEEFF"/>
            </w:tcBorders>
          </w:tcPr>
          <w:p>
            <w:pPr>
              <w:jc w:val="right"/>
              <w:ind w:right="69"/>
              <w:spacing w:after="0" w:line="91" w:lineRule="exact"/>
              <w:rPr>
                <w:sz w:val="20"/>
                <w:szCs w:val="20"/>
                <w:color w:val="auto"/>
              </w:rPr>
            </w:pPr>
            <w:r>
              <w:rPr>
                <w:rFonts w:ascii="Arial" w:cs="Arial" w:eastAsia="Arial" w:hAnsi="Arial"/>
                <w:sz w:val="10"/>
                <w:szCs w:val="10"/>
                <w:color w:val="auto"/>
              </w:rPr>
              <w:t>(&gt;100) %</w:t>
            </w:r>
          </w:p>
        </w:tc>
      </w:tr>
      <w:tr>
        <w:trPr>
          <w:trHeight w:val="84"/>
        </w:trPr>
        <w:tc>
          <w:tcPr>
            <w:tcW w:w="4660" w:type="dxa"/>
            <w:vAlign w:val="bottom"/>
            <w:gridSpan w:val="2"/>
            <w:shd w:val="clear" w:color="auto" w:fill="CCEEFF"/>
          </w:tcPr>
          <w:p>
            <w:pPr>
              <w:spacing w:after="0" w:line="85" w:lineRule="exact"/>
              <w:rPr>
                <w:sz w:val="20"/>
                <w:szCs w:val="20"/>
                <w:color w:val="auto"/>
              </w:rPr>
            </w:pPr>
            <w:r>
              <w:rPr>
                <w:rFonts w:ascii="Arial" w:cs="Arial" w:eastAsia="Arial" w:hAnsi="Arial"/>
                <w:sz w:val="9"/>
                <w:szCs w:val="9"/>
                <w:b w:val="1"/>
                <w:bCs w:val="1"/>
                <w:color w:val="auto"/>
              </w:rPr>
              <w:t>DEPRECIATION, AMORTIZATION, IMPAIRMENT AND GENERAL AND ADMINISTRATIVE</w:t>
            </w:r>
          </w:p>
        </w:tc>
        <w:tc>
          <w:tcPr>
            <w:tcW w:w="2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122"/>
        </w:trPr>
        <w:tc>
          <w:tcPr>
            <w:tcW w:w="14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EXPENSE</w:t>
            </w:r>
          </w:p>
        </w:tc>
        <w:tc>
          <w:tcPr>
            <w:tcW w:w="3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08"/>
        </w:trPr>
        <w:tc>
          <w:tcPr>
            <w:tcW w:w="1460" w:type="dxa"/>
            <w:vAlign w:val="bottom"/>
          </w:tcPr>
          <w:p>
            <w:pPr>
              <w:ind w:left="220"/>
              <w:spacing w:after="0" w:line="109" w:lineRule="exact"/>
              <w:rPr>
                <w:sz w:val="20"/>
                <w:szCs w:val="20"/>
                <w:color w:val="auto"/>
              </w:rPr>
            </w:pPr>
            <w:r>
              <w:rPr>
                <w:rFonts w:ascii="Arial" w:cs="Arial" w:eastAsia="Arial" w:hAnsi="Arial"/>
                <w:sz w:val="10"/>
                <w:szCs w:val="10"/>
                <w:b w:val="1"/>
                <w:bCs w:val="1"/>
                <w:color w:val="auto"/>
              </w:rPr>
              <w:t>United States</w:t>
            </w:r>
          </w:p>
        </w:tc>
        <w:tc>
          <w:tcPr>
            <w:tcW w:w="3200" w:type="dxa"/>
            <w:vAlign w:val="bottom"/>
          </w:tcPr>
          <w:p>
            <w:pPr>
              <w:ind w:left="20"/>
              <w:spacing w:after="0" w:line="109" w:lineRule="exact"/>
              <w:rPr>
                <w:sz w:val="20"/>
                <w:szCs w:val="20"/>
                <w:color w:val="auto"/>
              </w:rPr>
            </w:pPr>
            <w:r>
              <w:rPr>
                <w:rFonts w:ascii="Arial" w:cs="Arial" w:eastAsia="Arial" w:hAnsi="Arial"/>
                <w:sz w:val="10"/>
                <w:szCs w:val="10"/>
                <w:color w:val="auto"/>
              </w:rPr>
              <w:t>Depreciation and amortization</w:t>
            </w:r>
          </w:p>
        </w:tc>
        <w:tc>
          <w:tcPr>
            <w:tcW w:w="480" w:type="dxa"/>
            <w:vAlign w:val="bottom"/>
            <w:gridSpan w:val="2"/>
          </w:tcPr>
          <w:p>
            <w:pPr>
              <w:jc w:val="right"/>
              <w:ind w:right="215"/>
              <w:spacing w:after="0" w:line="109" w:lineRule="exact"/>
              <w:rPr>
                <w:sz w:val="20"/>
                <w:szCs w:val="20"/>
                <w:color w:val="auto"/>
              </w:rPr>
            </w:pPr>
            <w:r>
              <w:rPr>
                <w:rFonts w:ascii="Arial" w:cs="Arial" w:eastAsia="Arial" w:hAnsi="Arial"/>
                <w:sz w:val="10"/>
                <w:szCs w:val="10"/>
                <w:color w:val="auto"/>
              </w:rPr>
              <w:t>$</w:t>
            </w:r>
          </w:p>
        </w:tc>
        <w:tc>
          <w:tcPr>
            <w:tcW w:w="940" w:type="dxa"/>
            <w:vAlign w:val="bottom"/>
          </w:tcPr>
          <w:p>
            <w:pPr>
              <w:jc w:val="right"/>
              <w:spacing w:after="0" w:line="109" w:lineRule="exact"/>
              <w:rPr>
                <w:sz w:val="20"/>
                <w:szCs w:val="20"/>
                <w:color w:val="auto"/>
              </w:rPr>
            </w:pPr>
            <w:r>
              <w:rPr>
                <w:rFonts w:ascii="Arial" w:cs="Arial" w:eastAsia="Arial" w:hAnsi="Arial"/>
                <w:sz w:val="10"/>
                <w:szCs w:val="10"/>
                <w:color w:val="auto"/>
              </w:rPr>
              <w:t>(1,862)</w:t>
            </w:r>
          </w:p>
        </w:tc>
        <w:tc>
          <w:tcPr>
            <w:tcW w:w="200" w:type="dxa"/>
            <w:vAlign w:val="bottom"/>
          </w:tcPr>
          <w:p>
            <w:pPr>
              <w:spacing w:after="0"/>
              <w:rPr>
                <w:sz w:val="9"/>
                <w:szCs w:val="9"/>
                <w:color w:val="auto"/>
              </w:rPr>
            </w:pPr>
          </w:p>
        </w:tc>
        <w:tc>
          <w:tcPr>
            <w:tcW w:w="1080" w:type="dxa"/>
            <w:vAlign w:val="bottom"/>
          </w:tcPr>
          <w:p>
            <w:pPr>
              <w:jc w:val="right"/>
              <w:ind w:right="169"/>
              <w:spacing w:after="0" w:line="109" w:lineRule="exact"/>
              <w:rPr>
                <w:sz w:val="20"/>
                <w:szCs w:val="20"/>
                <w:color w:val="auto"/>
              </w:rPr>
            </w:pPr>
            <w:r>
              <w:rPr>
                <w:rFonts w:ascii="Arial" w:cs="Arial" w:eastAsia="Arial" w:hAnsi="Arial"/>
                <w:sz w:val="10"/>
                <w:szCs w:val="10"/>
                <w:i w:val="1"/>
                <w:iCs w:val="1"/>
                <w:color w:val="auto"/>
              </w:rPr>
              <w:t>(7)%</w:t>
            </w:r>
          </w:p>
        </w:tc>
        <w:tc>
          <w:tcPr>
            <w:tcW w:w="200" w:type="dxa"/>
            <w:vAlign w:val="bottom"/>
          </w:tcPr>
          <w:p>
            <w:pPr>
              <w:spacing w:after="0"/>
              <w:rPr>
                <w:sz w:val="9"/>
                <w:szCs w:val="9"/>
                <w:color w:val="auto"/>
              </w:rPr>
            </w:pPr>
          </w:p>
        </w:tc>
        <w:tc>
          <w:tcPr>
            <w:tcW w:w="280" w:type="dxa"/>
            <w:vAlign w:val="bottom"/>
            <w:gridSpan w:val="2"/>
          </w:tcPr>
          <w:p>
            <w:pPr>
              <w:jc w:val="right"/>
              <w:ind w:right="195"/>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(2,110)</w:t>
            </w:r>
          </w:p>
        </w:tc>
        <w:tc>
          <w:tcPr>
            <w:tcW w:w="124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(74)%</w:t>
            </w:r>
          </w:p>
        </w:tc>
        <w:tc>
          <w:tcPr>
            <w:tcW w:w="20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12 %</w:t>
            </w:r>
          </w:p>
        </w:tc>
      </w:tr>
      <w:tr>
        <w:trPr>
          <w:trHeight w:val="108"/>
        </w:trPr>
        <w:tc>
          <w:tcPr>
            <w:tcW w:w="1460" w:type="dxa"/>
            <w:vAlign w:val="bottom"/>
            <w:shd w:val="clear" w:color="auto" w:fill="CCEEFF"/>
          </w:tcPr>
          <w:p>
            <w:pPr>
              <w:spacing w:after="0"/>
              <w:rPr>
                <w:sz w:val="9"/>
                <w:szCs w:val="9"/>
                <w:color w:val="auto"/>
              </w:rPr>
            </w:pPr>
          </w:p>
        </w:tc>
        <w:tc>
          <w:tcPr>
            <w:tcW w:w="320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Impairment of long-lived assets</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w:t>
            </w:r>
          </w:p>
        </w:tc>
        <w:tc>
          <w:tcPr>
            <w:tcW w:w="1280" w:type="dxa"/>
            <w:vAlign w:val="bottom"/>
            <w:gridSpan w:val="2"/>
            <w:shd w:val="clear" w:color="auto" w:fill="CCEEFF"/>
          </w:tcPr>
          <w:p>
            <w:pPr>
              <w:jc w:val="right"/>
              <w:ind w:right="420"/>
              <w:spacing w:after="0" w:line="109" w:lineRule="exact"/>
              <w:rPr>
                <w:sz w:val="20"/>
                <w:szCs w:val="20"/>
                <w:color w:val="auto"/>
              </w:rPr>
            </w:pPr>
            <w:r>
              <w:rPr>
                <w:rFonts w:ascii="Arial" w:cs="Arial" w:eastAsia="Arial" w:hAnsi="Arial"/>
                <w:sz w:val="10"/>
                <w:szCs w:val="10"/>
                <w:i w:val="1"/>
                <w:iCs w:val="1"/>
                <w:color w:val="auto"/>
              </w:rPr>
              <w:t>—%</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(217)</w:t>
            </w:r>
          </w:p>
        </w:tc>
        <w:tc>
          <w:tcPr>
            <w:tcW w:w="124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(5)%</w:t>
            </w: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100 %</w:t>
            </w:r>
          </w:p>
        </w:tc>
      </w:tr>
      <w:tr>
        <w:trPr>
          <w:trHeight w:val="108"/>
        </w:trPr>
        <w:tc>
          <w:tcPr>
            <w:tcW w:w="1460" w:type="dxa"/>
            <w:vAlign w:val="bottom"/>
          </w:tcPr>
          <w:p>
            <w:pPr>
              <w:spacing w:after="0"/>
              <w:rPr>
                <w:sz w:val="9"/>
                <w:szCs w:val="9"/>
                <w:color w:val="auto"/>
              </w:rPr>
            </w:pPr>
          </w:p>
        </w:tc>
        <w:tc>
          <w:tcPr>
            <w:tcW w:w="3200" w:type="dxa"/>
            <w:vAlign w:val="bottom"/>
          </w:tcPr>
          <w:p>
            <w:pPr>
              <w:ind w:left="20"/>
              <w:spacing w:after="0" w:line="109" w:lineRule="exact"/>
              <w:rPr>
                <w:sz w:val="20"/>
                <w:szCs w:val="20"/>
                <w:color w:val="auto"/>
              </w:rPr>
            </w:pPr>
            <w:r>
              <w:rPr>
                <w:rFonts w:ascii="Arial" w:cs="Arial" w:eastAsia="Arial" w:hAnsi="Arial"/>
                <w:sz w:val="10"/>
                <w:szCs w:val="10"/>
                <w:color w:val="auto"/>
              </w:rPr>
              <w:t>General and administrative expense</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(634)</w:t>
            </w:r>
          </w:p>
        </w:tc>
        <w:tc>
          <w:tcPr>
            <w:tcW w:w="1080" w:type="dxa"/>
            <w:vAlign w:val="bottom"/>
          </w:tcPr>
          <w:p>
            <w:pPr>
              <w:jc w:val="right"/>
              <w:ind w:right="169"/>
              <w:spacing w:after="0" w:line="109" w:lineRule="exact"/>
              <w:rPr>
                <w:sz w:val="20"/>
                <w:szCs w:val="20"/>
                <w:color w:val="auto"/>
              </w:rPr>
            </w:pPr>
            <w:r>
              <w:rPr>
                <w:rFonts w:ascii="Arial" w:cs="Arial" w:eastAsia="Arial" w:hAnsi="Arial"/>
                <w:sz w:val="10"/>
                <w:szCs w:val="10"/>
                <w:i w:val="1"/>
                <w:iCs w:val="1"/>
                <w:color w:val="auto"/>
              </w:rPr>
              <w:t>(2)%</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(258)</w:t>
            </w:r>
          </w:p>
        </w:tc>
        <w:tc>
          <w:tcPr>
            <w:tcW w:w="124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(10)%</w:t>
            </w:r>
          </w:p>
        </w:tc>
        <w:tc>
          <w:tcPr>
            <w:tcW w:w="20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99"/>
        </w:trPr>
        <w:tc>
          <w:tcPr>
            <w:tcW w:w="1460" w:type="dxa"/>
            <w:vAlign w:val="bottom"/>
            <w:tcBorders>
              <w:top w:val="single" w:sz="8" w:color="CCEEFF"/>
            </w:tcBorders>
            <w:shd w:val="clear" w:color="auto" w:fill="CCEEFF"/>
          </w:tcPr>
          <w:p>
            <w:pPr>
              <w:spacing w:after="0"/>
              <w:rPr>
                <w:sz w:val="8"/>
                <w:szCs w:val="8"/>
                <w:color w:val="auto"/>
              </w:rPr>
            </w:pPr>
          </w:p>
        </w:tc>
        <w:tc>
          <w:tcPr>
            <w:tcW w:w="32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(2,496)</w:t>
            </w:r>
          </w:p>
        </w:tc>
        <w:tc>
          <w:tcPr>
            <w:tcW w:w="2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jc w:val="right"/>
              <w:ind w:right="169"/>
              <w:spacing w:after="0" w:line="100" w:lineRule="exact"/>
              <w:rPr>
                <w:sz w:val="20"/>
                <w:szCs w:val="20"/>
                <w:color w:val="auto"/>
              </w:rPr>
            </w:pPr>
            <w:r>
              <w:rPr>
                <w:rFonts w:ascii="Arial" w:cs="Arial" w:eastAsia="Arial" w:hAnsi="Arial"/>
                <w:sz w:val="10"/>
                <w:szCs w:val="10"/>
                <w:i w:val="1"/>
                <w:iCs w:val="1"/>
                <w:color w:val="auto"/>
              </w:rPr>
              <w:t>(10)%</w:t>
            </w:r>
          </w:p>
        </w:tc>
        <w:tc>
          <w:tcPr>
            <w:tcW w:w="2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(2,585)</w:t>
            </w:r>
          </w:p>
        </w:tc>
        <w:tc>
          <w:tcPr>
            <w:tcW w:w="20" w:type="dxa"/>
            <w:vAlign w:val="bottom"/>
            <w:tcBorders>
              <w:top w:val="single" w:sz="8" w:color="CCEEFF"/>
            </w:tcBorders>
            <w:shd w:val="clear" w:color="auto" w:fill="CCEEFF"/>
          </w:tcPr>
          <w:p>
            <w:pPr>
              <w:spacing w:after="0"/>
              <w:rPr>
                <w:sz w:val="8"/>
                <w:szCs w:val="8"/>
                <w:color w:val="auto"/>
              </w:rPr>
            </w:pPr>
          </w:p>
        </w:tc>
        <w:tc>
          <w:tcPr>
            <w:tcW w:w="1240" w:type="dxa"/>
            <w:vAlign w:val="bottom"/>
            <w:tcBorders>
              <w:top w:val="single" w:sz="8" w:color="CCEEFF"/>
            </w:tcBorders>
            <w:gridSpan w:val="2"/>
            <w:shd w:val="clear" w:color="auto" w:fill="CCEEFF"/>
          </w:tcPr>
          <w:p>
            <w:pPr>
              <w:jc w:val="right"/>
              <w:ind w:right="149"/>
              <w:spacing w:after="0" w:line="100" w:lineRule="exact"/>
              <w:rPr>
                <w:sz w:val="20"/>
                <w:szCs w:val="20"/>
                <w:color w:val="auto"/>
              </w:rPr>
            </w:pPr>
            <w:r>
              <w:rPr>
                <w:rFonts w:ascii="Arial" w:cs="Arial" w:eastAsia="Arial" w:hAnsi="Arial"/>
                <w:sz w:val="10"/>
                <w:szCs w:val="10"/>
                <w:i w:val="1"/>
                <w:iCs w:val="1"/>
                <w:color w:val="auto"/>
              </w:rPr>
              <w:t>(91)%</w:t>
            </w:r>
          </w:p>
        </w:tc>
        <w:tc>
          <w:tcPr>
            <w:tcW w:w="20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CCEEFF"/>
            </w:tcBorders>
            <w:shd w:val="clear" w:color="auto" w:fill="CCEEFF"/>
          </w:tcPr>
          <w:p>
            <w:pPr>
              <w:jc w:val="right"/>
              <w:ind w:right="69"/>
              <w:spacing w:after="0" w:line="100" w:lineRule="exact"/>
              <w:rPr>
                <w:sz w:val="20"/>
                <w:szCs w:val="20"/>
                <w:color w:val="auto"/>
              </w:rPr>
            </w:pPr>
            <w:r>
              <w:rPr>
                <w:rFonts w:ascii="Arial" w:cs="Arial" w:eastAsia="Arial" w:hAnsi="Arial"/>
                <w:sz w:val="10"/>
                <w:szCs w:val="10"/>
                <w:color w:val="auto"/>
              </w:rPr>
              <w:t>3 %</w:t>
            </w:r>
          </w:p>
        </w:tc>
      </w:tr>
      <w:tr>
        <w:trPr>
          <w:trHeight w:val="108"/>
        </w:trPr>
        <w:tc>
          <w:tcPr>
            <w:tcW w:w="1460" w:type="dxa"/>
            <w:vAlign w:val="bottom"/>
          </w:tcPr>
          <w:p>
            <w:pPr>
              <w:ind w:left="220"/>
              <w:spacing w:after="0" w:line="109" w:lineRule="exact"/>
              <w:rPr>
                <w:sz w:val="20"/>
                <w:szCs w:val="20"/>
                <w:color w:val="auto"/>
              </w:rPr>
            </w:pPr>
            <w:r>
              <w:rPr>
                <w:rFonts w:ascii="Arial" w:cs="Arial" w:eastAsia="Arial" w:hAnsi="Arial"/>
                <w:sz w:val="10"/>
                <w:szCs w:val="10"/>
                <w:b w:val="1"/>
                <w:bCs w:val="1"/>
                <w:color w:val="auto"/>
              </w:rPr>
              <w:t>Australia</w:t>
            </w:r>
          </w:p>
        </w:tc>
        <w:tc>
          <w:tcPr>
            <w:tcW w:w="3200" w:type="dxa"/>
            <w:vAlign w:val="bottom"/>
          </w:tcPr>
          <w:p>
            <w:pPr>
              <w:ind w:left="20"/>
              <w:spacing w:after="0" w:line="109" w:lineRule="exact"/>
              <w:rPr>
                <w:sz w:val="20"/>
                <w:szCs w:val="20"/>
                <w:color w:val="auto"/>
              </w:rPr>
            </w:pPr>
            <w:r>
              <w:rPr>
                <w:rFonts w:ascii="Arial" w:cs="Arial" w:eastAsia="Arial" w:hAnsi="Arial"/>
                <w:sz w:val="10"/>
                <w:szCs w:val="10"/>
                <w:color w:val="auto"/>
              </w:rPr>
              <w:t>Depreciation and amortization</w:t>
            </w:r>
          </w:p>
        </w:tc>
        <w:tc>
          <w:tcPr>
            <w:tcW w:w="480" w:type="dxa"/>
            <w:vAlign w:val="bottom"/>
            <w:gridSpan w:val="2"/>
          </w:tcPr>
          <w:p>
            <w:pPr>
              <w:jc w:val="right"/>
              <w:ind w:right="215"/>
              <w:spacing w:after="0" w:line="109" w:lineRule="exact"/>
              <w:rPr>
                <w:sz w:val="20"/>
                <w:szCs w:val="20"/>
                <w:color w:val="auto"/>
              </w:rPr>
            </w:pPr>
            <w:r>
              <w:rPr>
                <w:rFonts w:ascii="Arial" w:cs="Arial" w:eastAsia="Arial" w:hAnsi="Arial"/>
                <w:sz w:val="10"/>
                <w:szCs w:val="10"/>
                <w:color w:val="auto"/>
              </w:rPr>
              <w:t>$</w:t>
            </w:r>
          </w:p>
        </w:tc>
        <w:tc>
          <w:tcPr>
            <w:tcW w:w="940" w:type="dxa"/>
            <w:vAlign w:val="bottom"/>
          </w:tcPr>
          <w:p>
            <w:pPr>
              <w:jc w:val="right"/>
              <w:spacing w:after="0" w:line="109" w:lineRule="exact"/>
              <w:rPr>
                <w:sz w:val="20"/>
                <w:szCs w:val="20"/>
                <w:color w:val="auto"/>
              </w:rPr>
            </w:pPr>
            <w:r>
              <w:rPr>
                <w:rFonts w:ascii="Arial" w:cs="Arial" w:eastAsia="Arial" w:hAnsi="Arial"/>
                <w:sz w:val="10"/>
                <w:szCs w:val="10"/>
                <w:color w:val="auto"/>
              </w:rPr>
              <w:t>(1,500)</w:t>
            </w:r>
          </w:p>
        </w:tc>
        <w:tc>
          <w:tcPr>
            <w:tcW w:w="200" w:type="dxa"/>
            <w:vAlign w:val="bottom"/>
          </w:tcPr>
          <w:p>
            <w:pPr>
              <w:spacing w:after="0"/>
              <w:rPr>
                <w:sz w:val="9"/>
                <w:szCs w:val="9"/>
                <w:color w:val="auto"/>
              </w:rPr>
            </w:pPr>
          </w:p>
        </w:tc>
        <w:tc>
          <w:tcPr>
            <w:tcW w:w="1080" w:type="dxa"/>
            <w:vAlign w:val="bottom"/>
          </w:tcPr>
          <w:p>
            <w:pPr>
              <w:jc w:val="right"/>
              <w:ind w:right="169"/>
              <w:spacing w:after="0" w:line="109" w:lineRule="exact"/>
              <w:rPr>
                <w:sz w:val="20"/>
                <w:szCs w:val="20"/>
                <w:color w:val="auto"/>
              </w:rPr>
            </w:pPr>
            <w:r>
              <w:rPr>
                <w:rFonts w:ascii="Arial" w:cs="Arial" w:eastAsia="Arial" w:hAnsi="Arial"/>
                <w:sz w:val="10"/>
                <w:szCs w:val="10"/>
                <w:i w:val="1"/>
                <w:iCs w:val="1"/>
                <w:color w:val="auto"/>
              </w:rPr>
              <w:t>(8)%</w:t>
            </w:r>
          </w:p>
        </w:tc>
        <w:tc>
          <w:tcPr>
            <w:tcW w:w="200" w:type="dxa"/>
            <w:vAlign w:val="bottom"/>
          </w:tcPr>
          <w:p>
            <w:pPr>
              <w:spacing w:after="0"/>
              <w:rPr>
                <w:sz w:val="9"/>
                <w:szCs w:val="9"/>
                <w:color w:val="auto"/>
              </w:rPr>
            </w:pPr>
          </w:p>
        </w:tc>
        <w:tc>
          <w:tcPr>
            <w:tcW w:w="280" w:type="dxa"/>
            <w:vAlign w:val="bottom"/>
            <w:gridSpan w:val="2"/>
          </w:tcPr>
          <w:p>
            <w:pPr>
              <w:jc w:val="right"/>
              <w:ind w:right="195"/>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(1,413)</w:t>
            </w:r>
          </w:p>
        </w:tc>
        <w:tc>
          <w:tcPr>
            <w:tcW w:w="124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(19)%</w:t>
            </w:r>
          </w:p>
        </w:tc>
        <w:tc>
          <w:tcPr>
            <w:tcW w:w="20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(6) %</w:t>
            </w:r>
          </w:p>
        </w:tc>
      </w:tr>
      <w:tr>
        <w:trPr>
          <w:trHeight w:val="108"/>
        </w:trPr>
        <w:tc>
          <w:tcPr>
            <w:tcW w:w="1460" w:type="dxa"/>
            <w:vAlign w:val="bottom"/>
            <w:shd w:val="clear" w:color="auto" w:fill="CCEEFF"/>
          </w:tcPr>
          <w:p>
            <w:pPr>
              <w:spacing w:after="0"/>
              <w:rPr>
                <w:sz w:val="9"/>
                <w:szCs w:val="9"/>
                <w:color w:val="auto"/>
              </w:rPr>
            </w:pPr>
          </w:p>
        </w:tc>
        <w:tc>
          <w:tcPr>
            <w:tcW w:w="320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General and administrative expense</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(389)</w:t>
            </w:r>
          </w:p>
        </w:tc>
        <w:tc>
          <w:tcPr>
            <w:tcW w:w="1080" w:type="dxa"/>
            <w:vAlign w:val="bottom"/>
            <w:shd w:val="clear" w:color="auto" w:fill="CCEEFF"/>
          </w:tcPr>
          <w:p>
            <w:pPr>
              <w:jc w:val="right"/>
              <w:ind w:right="169"/>
              <w:spacing w:after="0" w:line="109" w:lineRule="exact"/>
              <w:rPr>
                <w:sz w:val="20"/>
                <w:szCs w:val="20"/>
                <w:color w:val="auto"/>
              </w:rPr>
            </w:pPr>
            <w:r>
              <w:rPr>
                <w:rFonts w:ascii="Arial" w:cs="Arial" w:eastAsia="Arial" w:hAnsi="Arial"/>
                <w:sz w:val="10"/>
                <w:szCs w:val="10"/>
                <w:i w:val="1"/>
                <w:iCs w:val="1"/>
                <w:color w:val="auto"/>
              </w:rPr>
              <w:t>(2)%</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(96)</w:t>
            </w:r>
          </w:p>
        </w:tc>
        <w:tc>
          <w:tcPr>
            <w:tcW w:w="124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(1)%</w:t>
            </w: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99"/>
        </w:trPr>
        <w:tc>
          <w:tcPr>
            <w:tcW w:w="14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top w:val="single" w:sz="8" w:color="auto"/>
            </w:tcBorders>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(1,889)</w:t>
            </w:r>
          </w:p>
        </w:tc>
        <w:tc>
          <w:tcPr>
            <w:tcW w:w="200" w:type="dxa"/>
            <w:vAlign w:val="bottom"/>
          </w:tcPr>
          <w:p>
            <w:pPr>
              <w:spacing w:after="0"/>
              <w:rPr>
                <w:sz w:val="8"/>
                <w:szCs w:val="8"/>
                <w:color w:val="auto"/>
              </w:rPr>
            </w:pPr>
          </w:p>
        </w:tc>
        <w:tc>
          <w:tcPr>
            <w:tcW w:w="1080" w:type="dxa"/>
            <w:vAlign w:val="bottom"/>
          </w:tcPr>
          <w:p>
            <w:pPr>
              <w:jc w:val="right"/>
              <w:ind w:right="169"/>
              <w:spacing w:after="0" w:line="100" w:lineRule="exact"/>
              <w:rPr>
                <w:sz w:val="20"/>
                <w:szCs w:val="20"/>
                <w:color w:val="auto"/>
              </w:rPr>
            </w:pPr>
            <w:r>
              <w:rPr>
                <w:rFonts w:ascii="Arial" w:cs="Arial" w:eastAsia="Arial" w:hAnsi="Arial"/>
                <w:sz w:val="10"/>
                <w:szCs w:val="10"/>
                <w:i w:val="1"/>
                <w:iCs w:val="1"/>
                <w:color w:val="auto"/>
              </w:rPr>
              <w:t>(11)%</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top w:val="single" w:sz="8" w:color="auto"/>
            </w:tcBorders>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(1,509)</w:t>
            </w:r>
          </w:p>
        </w:tc>
        <w:tc>
          <w:tcPr>
            <w:tcW w:w="20" w:type="dxa"/>
            <w:vAlign w:val="bottom"/>
          </w:tcPr>
          <w:p>
            <w:pPr>
              <w:spacing w:after="0"/>
              <w:rPr>
                <w:sz w:val="8"/>
                <w:szCs w:val="8"/>
                <w:color w:val="auto"/>
              </w:rPr>
            </w:pPr>
          </w:p>
        </w:tc>
        <w:tc>
          <w:tcPr>
            <w:tcW w:w="1240" w:type="dxa"/>
            <w:vAlign w:val="bottom"/>
            <w:gridSpan w:val="2"/>
          </w:tcPr>
          <w:p>
            <w:pPr>
              <w:jc w:val="right"/>
              <w:ind w:right="149"/>
              <w:spacing w:after="0" w:line="100" w:lineRule="exact"/>
              <w:rPr>
                <w:sz w:val="20"/>
                <w:szCs w:val="20"/>
                <w:color w:val="auto"/>
              </w:rPr>
            </w:pPr>
            <w:r>
              <w:rPr>
                <w:rFonts w:ascii="Arial" w:cs="Arial" w:eastAsia="Arial" w:hAnsi="Arial"/>
                <w:sz w:val="10"/>
                <w:szCs w:val="10"/>
                <w:i w:val="1"/>
                <w:iCs w:val="1"/>
                <w:color w:val="auto"/>
              </w:rPr>
              <w:t>(20)%</w:t>
            </w:r>
          </w:p>
        </w:tc>
        <w:tc>
          <w:tcPr>
            <w:tcW w:w="200" w:type="dxa"/>
            <w:vAlign w:val="bottom"/>
          </w:tcPr>
          <w:p>
            <w:pPr>
              <w:spacing w:after="0"/>
              <w:rPr>
                <w:sz w:val="8"/>
                <w:szCs w:val="8"/>
                <w:color w:val="auto"/>
              </w:rPr>
            </w:pPr>
          </w:p>
        </w:tc>
        <w:tc>
          <w:tcPr>
            <w:tcW w:w="1020" w:type="dxa"/>
            <w:vAlign w:val="bottom"/>
          </w:tcPr>
          <w:p>
            <w:pPr>
              <w:jc w:val="right"/>
              <w:ind w:right="69"/>
              <w:spacing w:after="0" w:line="100" w:lineRule="exact"/>
              <w:rPr>
                <w:sz w:val="20"/>
                <w:szCs w:val="20"/>
                <w:color w:val="auto"/>
              </w:rPr>
            </w:pPr>
            <w:r>
              <w:rPr>
                <w:rFonts w:ascii="Arial" w:cs="Arial" w:eastAsia="Arial" w:hAnsi="Arial"/>
                <w:sz w:val="10"/>
                <w:szCs w:val="10"/>
                <w:color w:val="auto"/>
              </w:rPr>
              <w:t>(25) %</w:t>
            </w:r>
          </w:p>
        </w:tc>
      </w:tr>
      <w:tr>
        <w:trPr>
          <w:trHeight w:val="108"/>
        </w:trPr>
        <w:tc>
          <w:tcPr>
            <w:tcW w:w="1460" w:type="dxa"/>
            <w:vAlign w:val="bottom"/>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New Zealand</w:t>
            </w:r>
          </w:p>
        </w:tc>
        <w:tc>
          <w:tcPr>
            <w:tcW w:w="320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Depreciation and amortization</w:t>
            </w:r>
          </w:p>
        </w:tc>
        <w:tc>
          <w:tcPr>
            <w:tcW w:w="480" w:type="dxa"/>
            <w:vAlign w:val="bottom"/>
            <w:gridSpan w:val="2"/>
            <w:shd w:val="clear" w:color="auto" w:fill="CCEEFF"/>
          </w:tcPr>
          <w:p>
            <w:pPr>
              <w:jc w:val="right"/>
              <w:ind w:right="215"/>
              <w:spacing w:after="0" w:line="109" w:lineRule="exact"/>
              <w:rPr>
                <w:sz w:val="20"/>
                <w:szCs w:val="20"/>
                <w:color w:val="auto"/>
              </w:rPr>
            </w:pPr>
            <w:r>
              <w:rPr>
                <w:rFonts w:ascii="Arial" w:cs="Arial" w:eastAsia="Arial" w:hAnsi="Arial"/>
                <w:sz w:val="10"/>
                <w:szCs w:val="10"/>
                <w:color w:val="auto"/>
              </w:rPr>
              <w:t>$</w:t>
            </w:r>
          </w:p>
        </w:tc>
        <w:tc>
          <w:tcPr>
            <w:tcW w:w="114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(260)</w:t>
            </w:r>
          </w:p>
        </w:tc>
        <w:tc>
          <w:tcPr>
            <w:tcW w:w="1080" w:type="dxa"/>
            <w:vAlign w:val="bottom"/>
            <w:shd w:val="clear" w:color="auto" w:fill="CCEEFF"/>
          </w:tcPr>
          <w:p>
            <w:pPr>
              <w:jc w:val="right"/>
              <w:ind w:right="169"/>
              <w:spacing w:after="0" w:line="109" w:lineRule="exact"/>
              <w:rPr>
                <w:sz w:val="20"/>
                <w:szCs w:val="20"/>
                <w:color w:val="auto"/>
              </w:rPr>
            </w:pPr>
            <w:r>
              <w:rPr>
                <w:rFonts w:ascii="Arial" w:cs="Arial" w:eastAsia="Arial" w:hAnsi="Arial"/>
                <w:sz w:val="10"/>
                <w:szCs w:val="10"/>
                <w:i w:val="1"/>
                <w:iCs w:val="1"/>
                <w:color w:val="auto"/>
              </w:rPr>
              <w:t>(7)%</w:t>
            </w:r>
          </w:p>
        </w:tc>
        <w:tc>
          <w:tcPr>
            <w:tcW w:w="2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95"/>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(333)</w:t>
            </w:r>
          </w:p>
        </w:tc>
        <w:tc>
          <w:tcPr>
            <w:tcW w:w="124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(19)%</w:t>
            </w: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22 %</w:t>
            </w:r>
          </w:p>
        </w:tc>
      </w:tr>
      <w:tr>
        <w:trPr>
          <w:trHeight w:val="108"/>
        </w:trPr>
        <w:tc>
          <w:tcPr>
            <w:tcW w:w="1460" w:type="dxa"/>
            <w:vAlign w:val="bottom"/>
          </w:tcPr>
          <w:p>
            <w:pPr>
              <w:spacing w:after="0"/>
              <w:rPr>
                <w:sz w:val="9"/>
                <w:szCs w:val="9"/>
                <w:color w:val="auto"/>
              </w:rPr>
            </w:pPr>
          </w:p>
        </w:tc>
        <w:tc>
          <w:tcPr>
            <w:tcW w:w="3200" w:type="dxa"/>
            <w:vAlign w:val="bottom"/>
          </w:tcPr>
          <w:p>
            <w:pPr>
              <w:ind w:left="20"/>
              <w:spacing w:after="0" w:line="109" w:lineRule="exact"/>
              <w:rPr>
                <w:sz w:val="20"/>
                <w:szCs w:val="20"/>
                <w:color w:val="auto"/>
              </w:rPr>
            </w:pPr>
            <w:r>
              <w:rPr>
                <w:rFonts w:ascii="Arial" w:cs="Arial" w:eastAsia="Arial" w:hAnsi="Arial"/>
                <w:sz w:val="10"/>
                <w:szCs w:val="10"/>
                <w:color w:val="auto"/>
              </w:rPr>
              <w:t>General and administrative expense</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w:t>
            </w:r>
          </w:p>
        </w:tc>
        <w:tc>
          <w:tcPr>
            <w:tcW w:w="1280" w:type="dxa"/>
            <w:vAlign w:val="bottom"/>
            <w:gridSpan w:val="2"/>
          </w:tcPr>
          <w:p>
            <w:pPr>
              <w:jc w:val="right"/>
              <w:ind w:right="420"/>
              <w:spacing w:after="0" w:line="109" w:lineRule="exact"/>
              <w:rPr>
                <w:sz w:val="20"/>
                <w:szCs w:val="20"/>
                <w:color w:val="auto"/>
              </w:rPr>
            </w:pPr>
            <w:r>
              <w:rPr>
                <w:rFonts w:ascii="Arial" w:cs="Arial" w:eastAsia="Arial" w:hAnsi="Arial"/>
                <w:sz w:val="10"/>
                <w:szCs w:val="10"/>
                <w:i w:val="1"/>
                <w:iCs w:val="1"/>
                <w:color w:val="auto"/>
              </w:rPr>
              <w:t>—%</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1</w:t>
            </w:r>
          </w:p>
        </w:tc>
        <w:tc>
          <w:tcPr>
            <w:tcW w:w="180" w:type="dxa"/>
            <w:vAlign w:val="bottom"/>
          </w:tcPr>
          <w:p>
            <w:pPr>
              <w:spacing w:after="0"/>
              <w:rPr>
                <w:sz w:val="9"/>
                <w:szCs w:val="9"/>
                <w:color w:val="auto"/>
              </w:rPr>
            </w:pPr>
          </w:p>
        </w:tc>
        <w:tc>
          <w:tcPr>
            <w:tcW w:w="1260" w:type="dxa"/>
            <w:vAlign w:val="bottom"/>
            <w:gridSpan w:val="2"/>
          </w:tcPr>
          <w:p>
            <w:pPr>
              <w:jc w:val="right"/>
              <w:ind w:right="400"/>
              <w:spacing w:after="0" w:line="109" w:lineRule="exact"/>
              <w:rPr>
                <w:sz w:val="20"/>
                <w:szCs w:val="20"/>
                <w:color w:val="auto"/>
              </w:rPr>
            </w:pPr>
            <w:r>
              <w:rPr>
                <w:rFonts w:ascii="Arial" w:cs="Arial" w:eastAsia="Arial" w:hAnsi="Arial"/>
                <w:sz w:val="10"/>
                <w:szCs w:val="10"/>
                <w:i w:val="1"/>
                <w:iCs w:val="1"/>
                <w:color w:val="auto"/>
              </w:rPr>
              <w:t>—%</w:t>
            </w: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100 %</w:t>
            </w:r>
          </w:p>
        </w:tc>
      </w:tr>
      <w:tr>
        <w:trPr>
          <w:trHeight w:val="99"/>
        </w:trPr>
        <w:tc>
          <w:tcPr>
            <w:tcW w:w="1460" w:type="dxa"/>
            <w:vAlign w:val="bottom"/>
            <w:tcBorders>
              <w:top w:val="single" w:sz="8" w:color="CCEEFF"/>
            </w:tcBorders>
            <w:shd w:val="clear" w:color="auto" w:fill="CCEEFF"/>
          </w:tcPr>
          <w:p>
            <w:pPr>
              <w:spacing w:after="0"/>
              <w:rPr>
                <w:sz w:val="8"/>
                <w:szCs w:val="8"/>
                <w:color w:val="auto"/>
              </w:rPr>
            </w:pPr>
          </w:p>
        </w:tc>
        <w:tc>
          <w:tcPr>
            <w:tcW w:w="32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(260)</w:t>
            </w:r>
          </w:p>
        </w:tc>
        <w:tc>
          <w:tcPr>
            <w:tcW w:w="2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jc w:val="right"/>
              <w:ind w:right="169"/>
              <w:spacing w:after="0" w:line="100" w:lineRule="exact"/>
              <w:rPr>
                <w:sz w:val="20"/>
                <w:szCs w:val="20"/>
                <w:color w:val="auto"/>
              </w:rPr>
            </w:pPr>
            <w:r>
              <w:rPr>
                <w:rFonts w:ascii="Arial" w:cs="Arial" w:eastAsia="Arial" w:hAnsi="Arial"/>
                <w:sz w:val="10"/>
                <w:szCs w:val="10"/>
                <w:i w:val="1"/>
                <w:iCs w:val="1"/>
                <w:color w:val="auto"/>
              </w:rPr>
              <w:t>(7)%</w:t>
            </w:r>
          </w:p>
        </w:tc>
        <w:tc>
          <w:tcPr>
            <w:tcW w:w="2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(332)</w:t>
            </w:r>
          </w:p>
        </w:tc>
        <w:tc>
          <w:tcPr>
            <w:tcW w:w="20" w:type="dxa"/>
            <w:vAlign w:val="bottom"/>
            <w:tcBorders>
              <w:top w:val="single" w:sz="8" w:color="CCEEFF"/>
            </w:tcBorders>
            <w:shd w:val="clear" w:color="auto" w:fill="CCEEFF"/>
          </w:tcPr>
          <w:p>
            <w:pPr>
              <w:spacing w:after="0"/>
              <w:rPr>
                <w:sz w:val="8"/>
                <w:szCs w:val="8"/>
                <w:color w:val="auto"/>
              </w:rPr>
            </w:pPr>
          </w:p>
        </w:tc>
        <w:tc>
          <w:tcPr>
            <w:tcW w:w="1240" w:type="dxa"/>
            <w:vAlign w:val="bottom"/>
            <w:tcBorders>
              <w:top w:val="single" w:sz="8" w:color="CCEEFF"/>
            </w:tcBorders>
            <w:gridSpan w:val="2"/>
            <w:shd w:val="clear" w:color="auto" w:fill="CCEEFF"/>
          </w:tcPr>
          <w:p>
            <w:pPr>
              <w:jc w:val="right"/>
              <w:ind w:right="149"/>
              <w:spacing w:after="0" w:line="100" w:lineRule="exact"/>
              <w:rPr>
                <w:sz w:val="20"/>
                <w:szCs w:val="20"/>
                <w:color w:val="auto"/>
              </w:rPr>
            </w:pPr>
            <w:r>
              <w:rPr>
                <w:rFonts w:ascii="Arial" w:cs="Arial" w:eastAsia="Arial" w:hAnsi="Arial"/>
                <w:sz w:val="10"/>
                <w:szCs w:val="10"/>
                <w:i w:val="1"/>
                <w:iCs w:val="1"/>
                <w:color w:val="auto"/>
              </w:rPr>
              <w:t>(19)%</w:t>
            </w:r>
          </w:p>
        </w:tc>
        <w:tc>
          <w:tcPr>
            <w:tcW w:w="20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CCEEFF"/>
            </w:tcBorders>
            <w:shd w:val="clear" w:color="auto" w:fill="CCEEFF"/>
          </w:tcPr>
          <w:p>
            <w:pPr>
              <w:jc w:val="right"/>
              <w:ind w:right="69"/>
              <w:spacing w:after="0" w:line="100" w:lineRule="exact"/>
              <w:rPr>
                <w:sz w:val="20"/>
                <w:szCs w:val="20"/>
                <w:color w:val="auto"/>
              </w:rPr>
            </w:pPr>
            <w:r>
              <w:rPr>
                <w:rFonts w:ascii="Arial" w:cs="Arial" w:eastAsia="Arial" w:hAnsi="Arial"/>
                <w:sz w:val="10"/>
                <w:szCs w:val="10"/>
                <w:color w:val="auto"/>
              </w:rPr>
              <w:t>22 %</w:t>
            </w:r>
          </w:p>
        </w:tc>
      </w:tr>
      <w:tr>
        <w:trPr>
          <w:trHeight w:val="108"/>
        </w:trPr>
        <w:tc>
          <w:tcPr>
            <w:tcW w:w="4660" w:type="dxa"/>
            <w:vAlign w:val="bottom"/>
            <w:tcBorders>
              <w:bottom w:val="single" w:sz="8" w:color="CCEEFF"/>
            </w:tcBorders>
            <w:gridSpan w:val="2"/>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108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106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1020" w:type="dxa"/>
            <w:vAlign w:val="bottom"/>
            <w:tcBorders>
              <w:bottom w:val="single" w:sz="8" w:color="CCEEFF"/>
            </w:tcBorders>
          </w:tcPr>
          <w:p>
            <w:pPr>
              <w:spacing w:after="0"/>
              <w:rPr>
                <w:sz w:val="9"/>
                <w:szCs w:val="9"/>
                <w:color w:val="auto"/>
              </w:rPr>
            </w:pPr>
          </w:p>
        </w:tc>
      </w:tr>
      <w:tr>
        <w:trPr>
          <w:trHeight w:val="101"/>
        </w:trPr>
        <w:tc>
          <w:tcPr>
            <w:tcW w:w="4660" w:type="dxa"/>
            <w:vAlign w:val="bottom"/>
            <w:tcBorders>
              <w:bottom w:val="single" w:sz="8" w:color="CCEEFF"/>
            </w:tcBorders>
            <w:gridSpan w:val="2"/>
            <w:shd w:val="clear" w:color="auto" w:fill="CCEEFF"/>
          </w:tcPr>
          <w:p>
            <w:pPr>
              <w:ind w:left="220"/>
              <w:spacing w:after="0" w:line="100" w:lineRule="exact"/>
              <w:rPr>
                <w:sz w:val="20"/>
                <w:szCs w:val="20"/>
                <w:color w:val="auto"/>
              </w:rPr>
            </w:pPr>
            <w:r>
              <w:rPr>
                <w:rFonts w:ascii="Arial" w:cs="Arial" w:eastAsia="Arial" w:hAnsi="Arial"/>
                <w:sz w:val="10"/>
                <w:szCs w:val="10"/>
                <w:b w:val="1"/>
                <w:bCs w:val="1"/>
                <w:color w:val="auto"/>
              </w:rPr>
              <w:t>Total depreciation, amortization, impairment and general and administrative expense</w:t>
            </w:r>
          </w:p>
        </w:tc>
        <w:tc>
          <w:tcPr>
            <w:tcW w:w="2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(4,645)</w:t>
            </w:r>
          </w:p>
        </w:tc>
        <w:tc>
          <w:tcPr>
            <w:tcW w:w="200" w:type="dxa"/>
            <w:vAlign w:val="bottom"/>
            <w:tcBorders>
              <w:bottom w:val="single" w:sz="8" w:color="CCEEFF"/>
            </w:tcBorders>
            <w:shd w:val="clear" w:color="auto" w:fill="CCEEFF"/>
          </w:tcPr>
          <w:p>
            <w:pPr>
              <w:spacing w:after="0"/>
              <w:rPr>
                <w:sz w:val="8"/>
                <w:szCs w:val="8"/>
                <w:color w:val="auto"/>
              </w:rPr>
            </w:pPr>
          </w:p>
        </w:tc>
        <w:tc>
          <w:tcPr>
            <w:tcW w:w="1080" w:type="dxa"/>
            <w:vAlign w:val="bottom"/>
            <w:tcBorders>
              <w:bottom w:val="single" w:sz="8" w:color="CCEEFF"/>
            </w:tcBorders>
            <w:shd w:val="clear" w:color="auto" w:fill="CCEEFF"/>
          </w:tcPr>
          <w:p>
            <w:pPr>
              <w:jc w:val="right"/>
              <w:ind w:right="169"/>
              <w:spacing w:after="0" w:line="100" w:lineRule="exact"/>
              <w:rPr>
                <w:sz w:val="20"/>
                <w:szCs w:val="20"/>
                <w:color w:val="auto"/>
              </w:rPr>
            </w:pPr>
            <w:r>
              <w:rPr>
                <w:rFonts w:ascii="Arial" w:cs="Arial" w:eastAsia="Arial" w:hAnsi="Arial"/>
                <w:sz w:val="10"/>
                <w:szCs w:val="10"/>
                <w:i w:val="1"/>
                <w:iCs w:val="1"/>
                <w:color w:val="auto"/>
              </w:rPr>
              <w:t>(10)%</w:t>
            </w:r>
          </w:p>
        </w:tc>
        <w:tc>
          <w:tcPr>
            <w:tcW w:w="2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(4,426)</w:t>
            </w:r>
          </w:p>
        </w:tc>
        <w:tc>
          <w:tcPr>
            <w:tcW w:w="2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gridSpan w:val="2"/>
            <w:shd w:val="clear" w:color="auto" w:fill="CCEEFF"/>
          </w:tcPr>
          <w:p>
            <w:pPr>
              <w:jc w:val="right"/>
              <w:ind w:right="149"/>
              <w:spacing w:after="0" w:line="100" w:lineRule="exact"/>
              <w:rPr>
                <w:sz w:val="20"/>
                <w:szCs w:val="20"/>
                <w:color w:val="auto"/>
              </w:rPr>
            </w:pPr>
            <w:r>
              <w:rPr>
                <w:rFonts w:ascii="Arial" w:cs="Arial" w:eastAsia="Arial" w:hAnsi="Arial"/>
                <w:sz w:val="10"/>
                <w:szCs w:val="10"/>
                <w:i w:val="1"/>
                <w:iCs w:val="1"/>
                <w:color w:val="auto"/>
              </w:rPr>
              <w:t>(36)%</w:t>
            </w:r>
          </w:p>
        </w:tc>
        <w:tc>
          <w:tcPr>
            <w:tcW w:w="20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shd w:val="clear" w:color="auto" w:fill="CCEEFF"/>
          </w:tcPr>
          <w:p>
            <w:pPr>
              <w:jc w:val="right"/>
              <w:ind w:right="69"/>
              <w:spacing w:after="0" w:line="100" w:lineRule="exact"/>
              <w:rPr>
                <w:sz w:val="20"/>
                <w:szCs w:val="20"/>
                <w:color w:val="auto"/>
              </w:rPr>
            </w:pPr>
            <w:r>
              <w:rPr>
                <w:rFonts w:ascii="Arial" w:cs="Arial" w:eastAsia="Arial" w:hAnsi="Arial"/>
                <w:sz w:val="10"/>
                <w:szCs w:val="10"/>
                <w:color w:val="auto"/>
              </w:rPr>
              <w:t>(5) %</w:t>
            </w:r>
          </w:p>
        </w:tc>
      </w:tr>
      <w:tr>
        <w:trPr>
          <w:trHeight w:val="110"/>
        </w:trPr>
        <w:tc>
          <w:tcPr>
            <w:tcW w:w="1460" w:type="dxa"/>
            <w:vAlign w:val="bottom"/>
            <w:tcBorders>
              <w:bottom w:val="single" w:sz="8" w:color="CCEEFF"/>
            </w:tcBorders>
          </w:tcPr>
          <w:p>
            <w:pPr>
              <w:spacing w:after="0"/>
              <w:rPr>
                <w:sz w:val="9"/>
                <w:szCs w:val="9"/>
                <w:color w:val="auto"/>
              </w:rPr>
            </w:pPr>
          </w:p>
        </w:tc>
        <w:tc>
          <w:tcPr>
            <w:tcW w:w="320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108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106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1020" w:type="dxa"/>
            <w:vAlign w:val="bottom"/>
            <w:tcBorders>
              <w:bottom w:val="single" w:sz="8" w:color="CCEEFF"/>
            </w:tcBorders>
          </w:tcPr>
          <w:p>
            <w:pPr>
              <w:spacing w:after="0"/>
              <w:rPr>
                <w:sz w:val="9"/>
                <w:szCs w:val="9"/>
                <w:color w:val="auto"/>
              </w:rPr>
            </w:pPr>
          </w:p>
        </w:tc>
      </w:tr>
      <w:tr>
        <w:trPr>
          <w:trHeight w:val="128"/>
        </w:trPr>
        <w:tc>
          <w:tcPr>
            <w:tcW w:w="1460" w:type="dxa"/>
            <w:vAlign w:val="bottom"/>
            <w:tcBorders>
              <w:bottom w:val="single" w:sz="8" w:color="CCEEFF"/>
            </w:tcBorders>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Total expenses</w:t>
            </w:r>
          </w:p>
        </w:tc>
        <w:tc>
          <w:tcPr>
            <w:tcW w:w="32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b w:val="1"/>
                <w:bCs w:val="1"/>
                <w:color w:val="auto"/>
              </w:rPr>
              <w:t>(45,190)</w:t>
            </w:r>
          </w:p>
        </w:tc>
        <w:tc>
          <w:tcPr>
            <w:tcW w:w="20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jc w:val="right"/>
              <w:ind w:right="169"/>
              <w:spacing w:after="0" w:line="109" w:lineRule="exact"/>
              <w:rPr>
                <w:sz w:val="20"/>
                <w:szCs w:val="20"/>
                <w:color w:val="auto"/>
              </w:rPr>
            </w:pPr>
            <w:r>
              <w:rPr>
                <w:rFonts w:ascii="Arial" w:cs="Arial" w:eastAsia="Arial" w:hAnsi="Arial"/>
                <w:sz w:val="10"/>
                <w:szCs w:val="10"/>
                <w:i w:val="1"/>
                <w:iCs w:val="1"/>
                <w:color w:val="auto"/>
              </w:rPr>
              <w:t>(96)%</w:t>
            </w:r>
          </w:p>
        </w:tc>
        <w:tc>
          <w:tcPr>
            <w:tcW w:w="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b w:val="1"/>
                <w:bCs w:val="1"/>
                <w:color w:val="auto"/>
              </w:rPr>
              <w:t>(23,886)</w:t>
            </w:r>
          </w:p>
        </w:tc>
        <w:tc>
          <w:tcPr>
            <w:tcW w:w="2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(197)%</w:t>
            </w:r>
          </w:p>
        </w:tc>
        <w:tc>
          <w:tcPr>
            <w:tcW w:w="2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(89) %</w:t>
            </w:r>
          </w:p>
        </w:tc>
      </w:tr>
      <w:tr>
        <w:trPr>
          <w:trHeight w:val="90"/>
        </w:trPr>
        <w:tc>
          <w:tcPr>
            <w:tcW w:w="1460" w:type="dxa"/>
            <w:vAlign w:val="bottom"/>
          </w:tcPr>
          <w:p>
            <w:pPr>
              <w:spacing w:after="0" w:line="91" w:lineRule="exact"/>
              <w:rPr>
                <w:sz w:val="20"/>
                <w:szCs w:val="20"/>
                <w:color w:val="auto"/>
              </w:rPr>
            </w:pPr>
            <w:r>
              <w:rPr>
                <w:rFonts w:ascii="Arial" w:cs="Arial" w:eastAsia="Arial" w:hAnsi="Arial"/>
                <w:sz w:val="10"/>
                <w:szCs w:val="10"/>
                <w:b w:val="1"/>
                <w:bCs w:val="1"/>
                <w:color w:val="auto"/>
              </w:rPr>
              <w:t>OPERATING INCOME (LOSS)</w:t>
            </w:r>
          </w:p>
        </w:tc>
        <w:tc>
          <w:tcPr>
            <w:tcW w:w="3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108"/>
        </w:trPr>
        <w:tc>
          <w:tcPr>
            <w:tcW w:w="1460" w:type="dxa"/>
            <w:vAlign w:val="bottom"/>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United States</w:t>
            </w:r>
          </w:p>
        </w:tc>
        <w:tc>
          <w:tcPr>
            <w:tcW w:w="32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15"/>
              <w:spacing w:after="0" w:line="109" w:lineRule="exact"/>
              <w:rPr>
                <w:sz w:val="20"/>
                <w:szCs w:val="20"/>
                <w:color w:val="auto"/>
              </w:rPr>
            </w:pPr>
            <w:r>
              <w:rPr>
                <w:rFonts w:ascii="Arial" w:cs="Arial" w:eastAsia="Arial" w:hAnsi="Arial"/>
                <w:sz w:val="10"/>
                <w:szCs w:val="10"/>
                <w:color w:val="auto"/>
              </w:rPr>
              <w:t>$</w:t>
            </w:r>
          </w:p>
        </w:tc>
        <w:tc>
          <w:tcPr>
            <w:tcW w:w="114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437</w:t>
            </w:r>
          </w:p>
        </w:tc>
        <w:tc>
          <w:tcPr>
            <w:tcW w:w="1080" w:type="dxa"/>
            <w:vAlign w:val="bottom"/>
            <w:shd w:val="clear" w:color="auto" w:fill="CCEEFF"/>
          </w:tcPr>
          <w:p>
            <w:pPr>
              <w:jc w:val="right"/>
              <w:ind w:right="169"/>
              <w:spacing w:after="0" w:line="109" w:lineRule="exact"/>
              <w:rPr>
                <w:sz w:val="20"/>
                <w:szCs w:val="20"/>
                <w:color w:val="auto"/>
              </w:rPr>
            </w:pPr>
            <w:r>
              <w:rPr>
                <w:rFonts w:ascii="Arial" w:cs="Arial" w:eastAsia="Arial" w:hAnsi="Arial"/>
                <w:sz w:val="10"/>
                <w:szCs w:val="10"/>
                <w:i w:val="1"/>
                <w:iCs w:val="1"/>
                <w:color w:val="auto"/>
              </w:rPr>
              <w:t>2%</w:t>
            </w:r>
          </w:p>
        </w:tc>
        <w:tc>
          <w:tcPr>
            <w:tcW w:w="2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95"/>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(10,731)</w:t>
            </w:r>
          </w:p>
        </w:tc>
        <w:tc>
          <w:tcPr>
            <w:tcW w:w="124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(378)%</w:t>
            </w: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108"/>
        </w:trPr>
        <w:tc>
          <w:tcPr>
            <w:tcW w:w="1460" w:type="dxa"/>
            <w:vAlign w:val="bottom"/>
          </w:tcPr>
          <w:p>
            <w:pPr>
              <w:ind w:left="220"/>
              <w:spacing w:after="0" w:line="109" w:lineRule="exact"/>
              <w:rPr>
                <w:sz w:val="20"/>
                <w:szCs w:val="20"/>
                <w:color w:val="auto"/>
              </w:rPr>
            </w:pPr>
            <w:r>
              <w:rPr>
                <w:rFonts w:ascii="Arial" w:cs="Arial" w:eastAsia="Arial" w:hAnsi="Arial"/>
                <w:sz w:val="10"/>
                <w:szCs w:val="10"/>
                <w:b w:val="1"/>
                <w:bCs w:val="1"/>
                <w:color w:val="auto"/>
              </w:rPr>
              <w:t>Australia</w:t>
            </w:r>
          </w:p>
        </w:tc>
        <w:tc>
          <w:tcPr>
            <w:tcW w:w="3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1,488</w:t>
            </w:r>
          </w:p>
        </w:tc>
        <w:tc>
          <w:tcPr>
            <w:tcW w:w="1080" w:type="dxa"/>
            <w:vAlign w:val="bottom"/>
          </w:tcPr>
          <w:p>
            <w:pPr>
              <w:jc w:val="right"/>
              <w:ind w:right="169"/>
              <w:spacing w:after="0" w:line="109" w:lineRule="exact"/>
              <w:rPr>
                <w:sz w:val="20"/>
                <w:szCs w:val="20"/>
                <w:color w:val="auto"/>
              </w:rPr>
            </w:pPr>
            <w:r>
              <w:rPr>
                <w:rFonts w:ascii="Arial" w:cs="Arial" w:eastAsia="Arial" w:hAnsi="Arial"/>
                <w:sz w:val="10"/>
                <w:szCs w:val="10"/>
                <w:i w:val="1"/>
                <w:iCs w:val="1"/>
                <w:color w:val="auto"/>
              </w:rPr>
              <w:t>8%</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(715)</w:t>
            </w:r>
          </w:p>
        </w:tc>
        <w:tc>
          <w:tcPr>
            <w:tcW w:w="1240" w:type="dxa"/>
            <w:vAlign w:val="bottom"/>
            <w:gridSpan w:val="2"/>
          </w:tcPr>
          <w:p>
            <w:pPr>
              <w:jc w:val="right"/>
              <w:ind w:right="149"/>
              <w:spacing w:after="0" w:line="109" w:lineRule="exact"/>
              <w:rPr>
                <w:sz w:val="20"/>
                <w:szCs w:val="20"/>
                <w:color w:val="auto"/>
              </w:rPr>
            </w:pPr>
            <w:r>
              <w:rPr>
                <w:rFonts w:ascii="Arial" w:cs="Arial" w:eastAsia="Arial" w:hAnsi="Arial"/>
                <w:sz w:val="10"/>
                <w:szCs w:val="10"/>
                <w:i w:val="1"/>
                <w:iCs w:val="1"/>
                <w:color w:val="auto"/>
              </w:rPr>
              <w:t>(9)%</w:t>
            </w:r>
          </w:p>
        </w:tc>
        <w:tc>
          <w:tcPr>
            <w:tcW w:w="200" w:type="dxa"/>
            <w:vAlign w:val="bottom"/>
          </w:tcPr>
          <w:p>
            <w:pPr>
              <w:spacing w:after="0"/>
              <w:rPr>
                <w:sz w:val="9"/>
                <w:szCs w:val="9"/>
                <w:color w:val="auto"/>
              </w:rPr>
            </w:pPr>
          </w:p>
        </w:tc>
        <w:tc>
          <w:tcPr>
            <w:tcW w:w="1020" w:type="dxa"/>
            <w:vAlign w:val="bottom"/>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128"/>
        </w:trPr>
        <w:tc>
          <w:tcPr>
            <w:tcW w:w="1460" w:type="dxa"/>
            <w:vAlign w:val="bottom"/>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New Zealand</w:t>
            </w:r>
          </w:p>
        </w:tc>
        <w:tc>
          <w:tcPr>
            <w:tcW w:w="3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117</w:t>
            </w:r>
          </w:p>
        </w:tc>
        <w:tc>
          <w:tcPr>
            <w:tcW w:w="1080" w:type="dxa"/>
            <w:vAlign w:val="bottom"/>
            <w:shd w:val="clear" w:color="auto" w:fill="CCEEFF"/>
          </w:tcPr>
          <w:p>
            <w:pPr>
              <w:jc w:val="right"/>
              <w:ind w:right="169"/>
              <w:spacing w:after="0" w:line="109" w:lineRule="exact"/>
              <w:rPr>
                <w:sz w:val="20"/>
                <w:szCs w:val="20"/>
                <w:color w:val="auto"/>
              </w:rPr>
            </w:pPr>
            <w:r>
              <w:rPr>
                <w:rFonts w:ascii="Arial" w:cs="Arial" w:eastAsia="Arial" w:hAnsi="Arial"/>
                <w:sz w:val="10"/>
                <w:szCs w:val="10"/>
                <w:i w:val="1"/>
                <w:iCs w:val="1"/>
                <w:color w:val="auto"/>
              </w:rPr>
              <w:t>3%</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(292)</w:t>
            </w:r>
          </w:p>
        </w:tc>
        <w:tc>
          <w:tcPr>
            <w:tcW w:w="1240" w:type="dxa"/>
            <w:vAlign w:val="bottom"/>
            <w:gridSpan w:val="2"/>
            <w:shd w:val="clear" w:color="auto" w:fill="CCEEFF"/>
          </w:tcPr>
          <w:p>
            <w:pPr>
              <w:jc w:val="right"/>
              <w:ind w:right="149"/>
              <w:spacing w:after="0" w:line="109" w:lineRule="exact"/>
              <w:rPr>
                <w:sz w:val="20"/>
                <w:szCs w:val="20"/>
                <w:color w:val="auto"/>
              </w:rPr>
            </w:pPr>
            <w:r>
              <w:rPr>
                <w:rFonts w:ascii="Arial" w:cs="Arial" w:eastAsia="Arial" w:hAnsi="Arial"/>
                <w:sz w:val="10"/>
                <w:szCs w:val="10"/>
                <w:i w:val="1"/>
                <w:iCs w:val="1"/>
                <w:color w:val="auto"/>
              </w:rPr>
              <w:t>(17)%</w:t>
            </w: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90"/>
        </w:trPr>
        <w:tc>
          <w:tcPr>
            <w:tcW w:w="1460" w:type="dxa"/>
            <w:vAlign w:val="bottom"/>
            <w:tcBorders>
              <w:top w:val="single" w:sz="8" w:color="CCEEFF"/>
            </w:tcBorders>
          </w:tcPr>
          <w:p>
            <w:pPr>
              <w:ind w:left="220"/>
              <w:spacing w:after="0" w:line="91" w:lineRule="exact"/>
              <w:rPr>
                <w:sz w:val="20"/>
                <w:szCs w:val="20"/>
                <w:color w:val="auto"/>
              </w:rPr>
            </w:pPr>
            <w:r>
              <w:rPr>
                <w:rFonts w:ascii="Arial" w:cs="Arial" w:eastAsia="Arial" w:hAnsi="Arial"/>
                <w:sz w:val="10"/>
                <w:szCs w:val="10"/>
                <w:b w:val="1"/>
                <w:bCs w:val="1"/>
                <w:color w:val="auto"/>
                <w:w w:val="87"/>
              </w:rPr>
              <w:t>Total operating income (loss)</w:t>
            </w:r>
          </w:p>
        </w:tc>
        <w:tc>
          <w:tcPr>
            <w:tcW w:w="3200" w:type="dxa"/>
            <w:vAlign w:val="bottom"/>
            <w:tcBorders>
              <w:top w:val="single" w:sz="8" w:color="CCEEFF"/>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2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b w:val="1"/>
                <w:bCs w:val="1"/>
                <w:color w:val="auto"/>
              </w:rPr>
              <w:t>2,042</w:t>
            </w:r>
          </w:p>
        </w:tc>
        <w:tc>
          <w:tcPr>
            <w:tcW w:w="200" w:type="dxa"/>
            <w:vAlign w:val="bottom"/>
            <w:tcBorders>
              <w:top w:val="single" w:sz="8" w:color="CCEEFF"/>
            </w:tcBorders>
          </w:tcPr>
          <w:p>
            <w:pPr>
              <w:spacing w:after="0"/>
              <w:rPr>
                <w:sz w:val="7"/>
                <w:szCs w:val="7"/>
                <w:color w:val="auto"/>
              </w:rPr>
            </w:pPr>
          </w:p>
        </w:tc>
        <w:tc>
          <w:tcPr>
            <w:tcW w:w="1080" w:type="dxa"/>
            <w:vAlign w:val="bottom"/>
            <w:tcBorders>
              <w:top w:val="single" w:sz="8" w:color="CCEEFF"/>
            </w:tcBorders>
          </w:tcPr>
          <w:p>
            <w:pPr>
              <w:jc w:val="right"/>
              <w:ind w:right="169"/>
              <w:spacing w:after="0" w:line="91" w:lineRule="exact"/>
              <w:rPr>
                <w:sz w:val="20"/>
                <w:szCs w:val="20"/>
                <w:color w:val="auto"/>
              </w:rPr>
            </w:pPr>
            <w:r>
              <w:rPr>
                <w:rFonts w:ascii="Arial" w:cs="Arial" w:eastAsia="Arial" w:hAnsi="Arial"/>
                <w:sz w:val="10"/>
                <w:szCs w:val="10"/>
                <w:i w:val="1"/>
                <w:iCs w:val="1"/>
                <w:color w:val="auto"/>
              </w:rPr>
              <w:t>4%</w:t>
            </w:r>
          </w:p>
        </w:tc>
        <w:tc>
          <w:tcPr>
            <w:tcW w:w="200" w:type="dxa"/>
            <w:vAlign w:val="bottom"/>
            <w:tcBorders>
              <w:top w:val="single" w:sz="8" w:color="CCEEFF"/>
            </w:tcBorders>
          </w:tcPr>
          <w:p>
            <w:pPr>
              <w:spacing w:after="0"/>
              <w:rPr>
                <w:sz w:val="7"/>
                <w:szCs w:val="7"/>
                <w:color w:val="auto"/>
              </w:rPr>
            </w:pPr>
          </w:p>
        </w:tc>
        <w:tc>
          <w:tcPr>
            <w:tcW w:w="20" w:type="dxa"/>
            <w:vAlign w:val="bottom"/>
            <w:tcBorders>
              <w:top w:val="single" w:sz="8" w:color="CCEEFF"/>
              <w:bottom w:val="single" w:sz="8" w:color="auto"/>
            </w:tcBorders>
          </w:tcPr>
          <w:p>
            <w:pPr>
              <w:spacing w:after="0"/>
              <w:rPr>
                <w:sz w:val="7"/>
                <w:szCs w:val="7"/>
                <w:color w:val="auto"/>
              </w:rPr>
            </w:pPr>
          </w:p>
        </w:tc>
        <w:tc>
          <w:tcPr>
            <w:tcW w:w="2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b w:val="1"/>
                <w:bCs w:val="1"/>
                <w:color w:val="auto"/>
              </w:rPr>
              <w:t>(11,738)</w:t>
            </w:r>
          </w:p>
        </w:tc>
        <w:tc>
          <w:tcPr>
            <w:tcW w:w="20" w:type="dxa"/>
            <w:vAlign w:val="bottom"/>
            <w:tcBorders>
              <w:top w:val="single" w:sz="8" w:color="CCEEFF"/>
              <w:bottom w:val="single" w:sz="8" w:color="auto"/>
            </w:tcBorders>
          </w:tcPr>
          <w:p>
            <w:pPr>
              <w:spacing w:after="0"/>
              <w:rPr>
                <w:sz w:val="7"/>
                <w:szCs w:val="7"/>
                <w:color w:val="auto"/>
              </w:rPr>
            </w:pPr>
          </w:p>
        </w:tc>
        <w:tc>
          <w:tcPr>
            <w:tcW w:w="1240" w:type="dxa"/>
            <w:vAlign w:val="bottom"/>
            <w:tcBorders>
              <w:top w:val="single" w:sz="8" w:color="CCEEFF"/>
            </w:tcBorders>
            <w:gridSpan w:val="2"/>
          </w:tcPr>
          <w:p>
            <w:pPr>
              <w:jc w:val="right"/>
              <w:ind w:right="149"/>
              <w:spacing w:after="0" w:line="91" w:lineRule="exact"/>
              <w:rPr>
                <w:sz w:val="20"/>
                <w:szCs w:val="20"/>
                <w:color w:val="auto"/>
              </w:rPr>
            </w:pPr>
            <w:r>
              <w:rPr>
                <w:rFonts w:ascii="Arial" w:cs="Arial" w:eastAsia="Arial" w:hAnsi="Arial"/>
                <w:sz w:val="10"/>
                <w:szCs w:val="10"/>
                <w:i w:val="1"/>
                <w:iCs w:val="1"/>
                <w:color w:val="auto"/>
              </w:rPr>
              <w:t>(97)%</w:t>
            </w:r>
          </w:p>
        </w:tc>
        <w:tc>
          <w:tcPr>
            <w:tcW w:w="200" w:type="dxa"/>
            <w:vAlign w:val="bottom"/>
            <w:tcBorders>
              <w:top w:val="single" w:sz="8" w:color="CCEEFF"/>
            </w:tcBorders>
          </w:tcPr>
          <w:p>
            <w:pPr>
              <w:spacing w:after="0"/>
              <w:rPr>
                <w:sz w:val="7"/>
                <w:szCs w:val="7"/>
                <w:color w:val="auto"/>
              </w:rPr>
            </w:pPr>
          </w:p>
        </w:tc>
        <w:tc>
          <w:tcPr>
            <w:tcW w:w="1020" w:type="dxa"/>
            <w:vAlign w:val="bottom"/>
            <w:tcBorders>
              <w:top w:val="single" w:sz="8" w:color="CCEEFF"/>
            </w:tcBorders>
          </w:tcPr>
          <w:p>
            <w:pPr>
              <w:jc w:val="right"/>
              <w:ind w:right="69"/>
              <w:spacing w:after="0" w:line="91" w:lineRule="exact"/>
              <w:rPr>
                <w:sz w:val="20"/>
                <w:szCs w:val="20"/>
                <w:color w:val="auto"/>
              </w:rPr>
            </w:pPr>
            <w:r>
              <w:rPr>
                <w:rFonts w:ascii="Arial" w:cs="Arial" w:eastAsia="Arial" w:hAnsi="Arial"/>
                <w:sz w:val="10"/>
                <w:szCs w:val="10"/>
                <w:color w:val="auto"/>
              </w:rPr>
              <w:t>&gt;100 %</w:t>
            </w:r>
          </w:p>
        </w:tc>
      </w:tr>
      <w:tr>
        <w:trPr>
          <w:trHeight w:val="20"/>
        </w:trPr>
        <w:tc>
          <w:tcPr>
            <w:tcW w:w="14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Cinema Exhibition Segment Operating Income</w:t>
      </w:r>
    </w:p>
    <w:p>
      <w:pPr>
        <w:spacing w:after="0" w:line="143" w:lineRule="exact"/>
        <w:rPr>
          <w:sz w:val="20"/>
          <w:szCs w:val="20"/>
          <w:color w:val="auto"/>
        </w:rPr>
      </w:pPr>
    </w:p>
    <w:p>
      <w:pPr>
        <w:ind w:right="220"/>
        <w:spacing w:after="0" w:line="270" w:lineRule="auto"/>
        <w:rPr>
          <w:sz w:val="20"/>
          <w:szCs w:val="20"/>
          <w:color w:val="auto"/>
        </w:rPr>
      </w:pPr>
      <w:r>
        <w:rPr>
          <w:rFonts w:ascii="Arial" w:cs="Arial" w:eastAsia="Arial" w:hAnsi="Arial"/>
          <w:sz w:val="13"/>
          <w:szCs w:val="13"/>
          <w:color w:val="auto"/>
        </w:rPr>
        <w:t xml:space="preserve">Cinema exhibition segment operating loss decreased by $26.4 million, to a loss of $18.6 million for the year ended December 31, 2021, compared to December 31, 2020, primarily driven by a significant increase in total revenue. Our cinema operations experienced fewer mandated closures in 2021 due to the wide distribution of vaccines. As vaccination rates increased and certain government imposed restrictions decreased, major movie studios began to release blockbuster movies, like </w:t>
      </w:r>
      <w:r>
        <w:rPr>
          <w:rFonts w:ascii="Arial" w:cs="Arial" w:eastAsia="Arial" w:hAnsi="Arial"/>
          <w:sz w:val="13"/>
          <w:szCs w:val="13"/>
          <w:i w:val="1"/>
          <w:iCs w:val="1"/>
          <w:color w:val="auto"/>
        </w:rPr>
        <w:t>Spider-Man: No Way Home, Venom: There Will Be Carnage,</w:t>
      </w:r>
      <w:r>
        <w:rPr>
          <w:rFonts w:ascii="Arial" w:cs="Arial" w:eastAsia="Arial" w:hAnsi="Arial"/>
          <w:sz w:val="13"/>
          <w:szCs w:val="13"/>
          <w:color w:val="auto"/>
        </w:rPr>
        <w:t xml:space="preserve"> and </w:t>
      </w:r>
      <w:r>
        <w:rPr>
          <w:rFonts w:ascii="Arial" w:cs="Arial" w:eastAsia="Arial" w:hAnsi="Arial"/>
          <w:sz w:val="13"/>
          <w:szCs w:val="13"/>
          <w:i w:val="1"/>
          <w:iCs w:val="1"/>
          <w:color w:val="auto"/>
        </w:rPr>
        <w:t>Not Time to Die.</w:t>
      </w:r>
    </w:p>
    <w:p>
      <w:pPr>
        <w:spacing w:after="0" w:line="103" w:lineRule="exact"/>
        <w:rPr>
          <w:sz w:val="20"/>
          <w:szCs w:val="20"/>
          <w:color w:val="auto"/>
        </w:rPr>
      </w:pPr>
    </w:p>
    <w:p>
      <w:pPr>
        <w:ind w:right="20"/>
        <w:spacing w:after="0" w:line="237" w:lineRule="auto"/>
        <w:rPr>
          <w:sz w:val="20"/>
          <w:szCs w:val="20"/>
          <w:color w:val="auto"/>
        </w:rPr>
      </w:pPr>
      <w:r>
        <w:rPr>
          <w:rFonts w:ascii="Arial" w:cs="Arial" w:eastAsia="Arial" w:hAnsi="Arial"/>
          <w:sz w:val="14"/>
          <w:szCs w:val="14"/>
          <w:color w:val="auto"/>
        </w:rPr>
        <w:t xml:space="preserve">Since the onset of the pandemic, we experienced our first quarter of positive operating results for our cinema segment. Thanks to the major blockbuster films, like </w:t>
      </w:r>
      <w:r>
        <w:rPr>
          <w:rFonts w:ascii="Arial" w:cs="Arial" w:eastAsia="Arial" w:hAnsi="Arial"/>
          <w:sz w:val="14"/>
          <w:szCs w:val="14"/>
          <w:i w:val="1"/>
          <w:iCs w:val="1"/>
          <w:color w:val="auto"/>
        </w:rPr>
        <w:t>Spider-Man: No Way Home</w:t>
      </w:r>
      <w:r>
        <w:rPr>
          <w:rFonts w:ascii="Arial" w:cs="Arial" w:eastAsia="Arial" w:hAnsi="Arial"/>
          <w:sz w:val="14"/>
          <w:szCs w:val="14"/>
          <w:color w:val="auto"/>
        </w:rPr>
        <w:t xml:space="preserve"> and </w:t>
      </w:r>
      <w:r>
        <w:rPr>
          <w:rFonts w:ascii="Arial" w:cs="Arial" w:eastAsia="Arial" w:hAnsi="Arial"/>
          <w:sz w:val="14"/>
          <w:szCs w:val="14"/>
          <w:i w:val="1"/>
          <w:iCs w:val="1"/>
          <w:color w:val="auto"/>
        </w:rPr>
        <w:t xml:space="preserve">Eternals, </w:t>
      </w:r>
      <w:r>
        <w:rPr>
          <w:rFonts w:ascii="Arial" w:cs="Arial" w:eastAsia="Arial" w:hAnsi="Arial"/>
          <w:sz w:val="14"/>
          <w:szCs w:val="14"/>
          <w:color w:val="auto"/>
        </w:rPr>
        <w:t>cinema exhibition segment operating income improved from a loss of $11.7 million to income of $2.0 million for the quarter ended December 31, 2021, compared to December 31,</w:t>
      </w:r>
      <w:r>
        <w:rPr>
          <w:rFonts w:ascii="Arial" w:cs="Arial" w:eastAsia="Arial" w:hAnsi="Arial"/>
          <w:sz w:val="14"/>
          <w:szCs w:val="14"/>
          <w:i w:val="1"/>
          <w:iCs w:val="1"/>
          <w:color w:val="auto"/>
        </w:rPr>
        <w:t xml:space="preserve"> </w:t>
      </w:r>
      <w:r>
        <w:rPr>
          <w:rFonts w:ascii="Arial" w:cs="Arial" w:eastAsia="Arial" w:hAnsi="Arial"/>
          <w:sz w:val="14"/>
          <w:szCs w:val="14"/>
          <w:color w:val="auto"/>
        </w:rPr>
        <w:t>2020. Due to the mandatory closures related to COVID-19 during the fourth quarter of 2020, our cinemas experienced a reduction in the number of operational days, which impacted our admissions revenue significantly in 2020.</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66"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i w:val="1"/>
          <w:iCs w:val="1"/>
          <w:color w:val="auto"/>
        </w:rPr>
        <w:t>Revenue</w:t>
      </w:r>
    </w:p>
    <w:p>
      <w:pPr>
        <w:spacing w:after="0" w:line="143" w:lineRule="exact"/>
        <w:rPr>
          <w:sz w:val="20"/>
          <w:szCs w:val="20"/>
          <w:color w:val="auto"/>
        </w:rPr>
      </w:pPr>
    </w:p>
    <w:p>
      <w:pPr>
        <w:ind w:right="100"/>
        <w:spacing w:after="0" w:line="242" w:lineRule="auto"/>
        <w:rPr>
          <w:sz w:val="20"/>
          <w:szCs w:val="20"/>
          <w:color w:val="auto"/>
        </w:rPr>
      </w:pPr>
      <w:r>
        <w:rPr>
          <w:rFonts w:ascii="Arial" w:cs="Arial" w:eastAsia="Arial" w:hAnsi="Arial"/>
          <w:sz w:val="14"/>
          <w:szCs w:val="14"/>
          <w:color w:val="auto"/>
        </w:rPr>
        <w:t>Cinema revenue increased by $59.8 million, to $126.8 million for the year ended December 31, 2021, compared to 2020. Our cinema circuit experienced a higher number of days in operation in 2021 when compared to the same period in the prior year. Higher vaccination rates led to fewer mandated closures despite the presence of the Delta and Omicron variants. As a result, major studios began to release more film product.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is the revenue breakdown, by country, for the years ended December 31, 2021 and 2020, respectively: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w w:val="83"/>
              </w:rPr>
              <w:t>2021 vs. 2020</w:t>
            </w:r>
          </w:p>
        </w:tc>
      </w:tr>
      <w:tr>
        <w:trPr>
          <w:trHeight w:val="119"/>
        </w:trPr>
        <w:tc>
          <w:tcPr>
            <w:tcW w:w="5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ind w:left="380"/>
              <w:spacing w:after="0" w:line="120" w:lineRule="exact"/>
              <w:rPr>
                <w:sz w:val="20"/>
                <w:szCs w:val="20"/>
                <w:color w:val="auto"/>
              </w:rPr>
            </w:pPr>
            <w:r>
              <w:rPr>
                <w:rFonts w:ascii="Arial" w:cs="Arial" w:eastAsia="Arial" w:hAnsi="Arial"/>
                <w:sz w:val="12"/>
                <w:szCs w:val="12"/>
                <w:i w:val="1"/>
                <w:iCs w:val="1"/>
                <w:color w:val="auto"/>
              </w:rPr>
              <w:t>% of</w:t>
            </w: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360"/>
              <w:spacing w:after="0" w:line="120" w:lineRule="exact"/>
              <w:rPr>
                <w:sz w:val="20"/>
                <w:szCs w:val="20"/>
                <w:color w:val="auto"/>
              </w:rPr>
            </w:pPr>
            <w:r>
              <w:rPr>
                <w:rFonts w:ascii="Arial" w:cs="Arial" w:eastAsia="Arial" w:hAnsi="Arial"/>
                <w:sz w:val="12"/>
                <w:szCs w:val="12"/>
                <w:i w:val="1"/>
                <w:iCs w:val="1"/>
                <w:color w:val="auto"/>
              </w:rPr>
              <w:t>% of</w:t>
            </w:r>
          </w:p>
        </w:tc>
        <w:tc>
          <w:tcPr>
            <w:tcW w:w="12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6"/>
              </w:rPr>
              <w:t>Favorable/</w:t>
            </w:r>
          </w:p>
        </w:tc>
      </w:tr>
      <w:tr>
        <w:trPr>
          <w:trHeight w:val="138"/>
        </w:trPr>
        <w:tc>
          <w:tcPr>
            <w:tcW w:w="5500" w:type="dxa"/>
            <w:vAlign w:val="bottom"/>
            <w:tcBorders>
              <w:bottom w:val="single" w:sz="8" w:color="auto"/>
            </w:tcBorders>
          </w:tcPr>
          <w:p>
            <w:pPr>
              <w:spacing w:after="0" w:line="137" w:lineRule="exact"/>
              <w:rPr>
                <w:sz w:val="20"/>
                <w:szCs w:val="20"/>
                <w:color w:val="auto"/>
              </w:rPr>
            </w:pPr>
            <w:r>
              <w:rPr>
                <w:rFonts w:ascii="Arial" w:cs="Arial" w:eastAsia="Arial" w:hAnsi="Arial"/>
                <w:sz w:val="12"/>
                <w:szCs w:val="12"/>
                <w:i w:val="1"/>
                <w:iCs w:val="1"/>
                <w:color w:val="auto"/>
              </w:rPr>
              <w:t>(Dollars in thousands)</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2"/>
              <w:spacing w:after="0" w:line="137" w:lineRule="exact"/>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22"/>
              <w:spacing w:after="0" w:line="137" w:lineRule="exact"/>
              <w:rPr>
                <w:sz w:val="20"/>
                <w:szCs w:val="20"/>
                <w:color w:val="auto"/>
              </w:rPr>
            </w:pPr>
            <w:r>
              <w:rPr>
                <w:rFonts w:ascii="Arial" w:cs="Arial" w:eastAsia="Arial" w:hAnsi="Arial"/>
                <w:sz w:val="12"/>
                <w:szCs w:val="12"/>
                <w:i w:val="1"/>
                <w:iCs w:val="1"/>
                <w:color w:val="auto"/>
              </w:rPr>
              <w:t>Revenue</w:t>
            </w: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b w:val="1"/>
                <w:bCs w:val="1"/>
                <w:color w:val="auto"/>
              </w:rPr>
              <w:t>2020</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22"/>
              <w:spacing w:after="0" w:line="137" w:lineRule="exact"/>
              <w:rPr>
                <w:sz w:val="20"/>
                <w:szCs w:val="20"/>
                <w:color w:val="auto"/>
              </w:rPr>
            </w:pPr>
            <w:r>
              <w:rPr>
                <w:rFonts w:ascii="Arial" w:cs="Arial" w:eastAsia="Arial" w:hAnsi="Arial"/>
                <w:sz w:val="12"/>
                <w:szCs w:val="12"/>
                <w:i w:val="1"/>
                <w:iCs w:val="1"/>
                <w:color w:val="auto"/>
              </w:rPr>
              <w:t>Revenue</w:t>
            </w:r>
          </w:p>
        </w:tc>
        <w:tc>
          <w:tcPr>
            <w:tcW w:w="10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2"/>
                <w:szCs w:val="12"/>
                <w:b w:val="1"/>
                <w:bCs w:val="1"/>
                <w:color w:val="auto"/>
                <w:w w:val="90"/>
              </w:rPr>
              <w:t>(Unfavorable)</w:t>
            </w:r>
          </w:p>
        </w:tc>
      </w:tr>
      <w:tr>
        <w:trPr>
          <w:trHeight w:val="152"/>
        </w:trPr>
        <w:tc>
          <w:tcPr>
            <w:tcW w:w="5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United States</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59,887</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2"/>
                <w:szCs w:val="12"/>
                <w:i w:val="1"/>
                <w:iCs w:val="1"/>
                <w:color w:val="auto"/>
              </w:rPr>
              <w:t>47 %</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86"/>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27,422</w:t>
            </w:r>
          </w:p>
        </w:tc>
        <w:tc>
          <w:tcPr>
            <w:tcW w:w="1040" w:type="dxa"/>
            <w:vAlign w:val="bottom"/>
            <w:gridSpan w:val="2"/>
            <w:shd w:val="clear" w:color="auto" w:fill="CCEEFF"/>
          </w:tcPr>
          <w:p>
            <w:pPr>
              <w:jc w:val="right"/>
              <w:ind w:right="102"/>
              <w:spacing w:after="0"/>
              <w:rPr>
                <w:sz w:val="20"/>
                <w:szCs w:val="20"/>
                <w:color w:val="auto"/>
              </w:rPr>
            </w:pPr>
            <w:r>
              <w:rPr>
                <w:rFonts w:ascii="Arial" w:cs="Arial" w:eastAsia="Arial" w:hAnsi="Arial"/>
                <w:sz w:val="12"/>
                <w:szCs w:val="12"/>
                <w:i w:val="1"/>
                <w:iCs w:val="1"/>
                <w:color w:val="auto"/>
              </w:rPr>
              <w:t>41 %</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&gt;100</w:t>
            </w:r>
            <w:r>
              <w:rPr>
                <w:rFonts w:ascii="Arial" w:cs="Arial" w:eastAsia="Arial" w:hAnsi="Arial"/>
                <w:sz w:val="12"/>
                <w:szCs w:val="12"/>
                <w:i w:val="1"/>
                <w:iCs w:val="1"/>
                <w:color w:val="auto"/>
              </w:rPr>
              <w:t>%</w:t>
            </w:r>
          </w:p>
        </w:tc>
      </w:tr>
      <w:tr>
        <w:trPr>
          <w:trHeight w:val="163"/>
        </w:trPr>
        <w:tc>
          <w:tcPr>
            <w:tcW w:w="5580" w:type="dxa"/>
            <w:vAlign w:val="bottom"/>
            <w:gridSpan w:val="2"/>
          </w:tcPr>
          <w:p>
            <w:pPr>
              <w:spacing w:after="0"/>
              <w:rPr>
                <w:sz w:val="20"/>
                <w:szCs w:val="20"/>
                <w:color w:val="auto"/>
              </w:rPr>
            </w:pPr>
            <w:r>
              <w:rPr>
                <w:rFonts w:ascii="Arial" w:cs="Arial" w:eastAsia="Arial" w:hAnsi="Arial"/>
                <w:sz w:val="12"/>
                <w:szCs w:val="12"/>
                <w:color w:val="auto"/>
              </w:rPr>
              <w:t>Australia</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55,317</w:t>
            </w:r>
          </w:p>
        </w:tc>
        <w:tc>
          <w:tcPr>
            <w:tcW w:w="80" w:type="dxa"/>
            <w:vAlign w:val="bottom"/>
          </w:tcPr>
          <w:p>
            <w:pPr>
              <w:spacing w:after="0"/>
              <w:rPr>
                <w:sz w:val="14"/>
                <w:szCs w:val="14"/>
                <w:color w:val="auto"/>
              </w:rPr>
            </w:pPr>
          </w:p>
        </w:tc>
        <w:tc>
          <w:tcPr>
            <w:tcW w:w="960" w:type="dxa"/>
            <w:vAlign w:val="bottom"/>
          </w:tcPr>
          <w:p>
            <w:pPr>
              <w:jc w:val="right"/>
              <w:ind w:right="122"/>
              <w:spacing w:after="0"/>
              <w:rPr>
                <w:sz w:val="20"/>
                <w:szCs w:val="20"/>
                <w:color w:val="auto"/>
              </w:rPr>
            </w:pPr>
            <w:r>
              <w:rPr>
                <w:rFonts w:ascii="Arial" w:cs="Arial" w:eastAsia="Arial" w:hAnsi="Arial"/>
                <w:sz w:val="12"/>
                <w:szCs w:val="12"/>
                <w:i w:val="1"/>
                <w:iCs w:val="1"/>
                <w:color w:val="auto"/>
              </w:rPr>
              <w:t>44 %</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2"/>
              </w:rPr>
              <w:t>32,515</w:t>
            </w:r>
          </w:p>
        </w:tc>
        <w:tc>
          <w:tcPr>
            <w:tcW w:w="1040" w:type="dxa"/>
            <w:vAlign w:val="bottom"/>
            <w:gridSpan w:val="2"/>
          </w:tcPr>
          <w:p>
            <w:pPr>
              <w:jc w:val="right"/>
              <w:ind w:right="102"/>
              <w:spacing w:after="0"/>
              <w:rPr>
                <w:sz w:val="20"/>
                <w:szCs w:val="20"/>
                <w:color w:val="auto"/>
              </w:rPr>
            </w:pPr>
            <w:r>
              <w:rPr>
                <w:rFonts w:ascii="Arial" w:cs="Arial" w:eastAsia="Arial" w:hAnsi="Arial"/>
                <w:sz w:val="12"/>
                <w:szCs w:val="12"/>
                <w:i w:val="1"/>
                <w:iCs w:val="1"/>
                <w:color w:val="auto"/>
              </w:rPr>
              <w:t>49 %</w:t>
            </w:r>
          </w:p>
        </w:tc>
        <w:tc>
          <w:tcPr>
            <w:tcW w:w="100" w:type="dxa"/>
            <w:vAlign w:val="bottom"/>
          </w:tcPr>
          <w:p>
            <w:pPr>
              <w:spacing w:after="0"/>
              <w:rPr>
                <w:sz w:val="14"/>
                <w:szCs w:val="14"/>
                <w:color w:val="auto"/>
              </w:rPr>
            </w:pPr>
          </w:p>
        </w:tc>
        <w:tc>
          <w:tcPr>
            <w:tcW w:w="1280" w:type="dxa"/>
            <w:vAlign w:val="bottom"/>
          </w:tcPr>
          <w:p>
            <w:pPr>
              <w:jc w:val="right"/>
              <w:ind w:right="102"/>
              <w:spacing w:after="0"/>
              <w:rPr>
                <w:sz w:val="20"/>
                <w:szCs w:val="20"/>
                <w:color w:val="auto"/>
              </w:rPr>
            </w:pPr>
            <w:r>
              <w:rPr>
                <w:rFonts w:ascii="Arial" w:cs="Arial" w:eastAsia="Arial" w:hAnsi="Arial"/>
                <w:sz w:val="12"/>
                <w:szCs w:val="12"/>
                <w:color w:val="auto"/>
              </w:rPr>
              <w:t xml:space="preserve">70 </w:t>
            </w:r>
            <w:r>
              <w:rPr>
                <w:rFonts w:ascii="Arial" w:cs="Arial" w:eastAsia="Arial" w:hAnsi="Arial"/>
                <w:sz w:val="12"/>
                <w:szCs w:val="12"/>
                <w:i w:val="1"/>
                <w:iCs w:val="1"/>
                <w:color w:val="auto"/>
              </w:rPr>
              <w:t>%</w:t>
            </w:r>
          </w:p>
        </w:tc>
      </w:tr>
      <w:tr>
        <w:trPr>
          <w:trHeight w:val="163"/>
        </w:trPr>
        <w:tc>
          <w:tcPr>
            <w:tcW w:w="5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New Zealand</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11,608</w:t>
            </w: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2"/>
                <w:szCs w:val="12"/>
                <w:i w:val="1"/>
                <w:iCs w:val="1"/>
                <w:color w:val="auto"/>
              </w:rPr>
              <w:t>9%</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7,077</w:t>
            </w:r>
          </w:p>
        </w:tc>
        <w:tc>
          <w:tcPr>
            <w:tcW w:w="1040" w:type="dxa"/>
            <w:vAlign w:val="bottom"/>
            <w:gridSpan w:val="2"/>
            <w:shd w:val="clear" w:color="auto" w:fill="CCEEFF"/>
          </w:tcPr>
          <w:p>
            <w:pPr>
              <w:jc w:val="right"/>
              <w:ind w:right="102"/>
              <w:spacing w:after="0"/>
              <w:rPr>
                <w:sz w:val="20"/>
                <w:szCs w:val="20"/>
                <w:color w:val="auto"/>
              </w:rPr>
            </w:pPr>
            <w:r>
              <w:rPr>
                <w:rFonts w:ascii="Arial" w:cs="Arial" w:eastAsia="Arial" w:hAnsi="Arial"/>
                <w:sz w:val="12"/>
                <w:szCs w:val="12"/>
                <w:i w:val="1"/>
                <w:iCs w:val="1"/>
                <w:color w:val="auto"/>
              </w:rPr>
              <w:t>11 %</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 xml:space="preserve">64 </w:t>
            </w:r>
            <w:r>
              <w:rPr>
                <w:rFonts w:ascii="Arial" w:cs="Arial" w:eastAsia="Arial" w:hAnsi="Arial"/>
                <w:sz w:val="12"/>
                <w:szCs w:val="12"/>
                <w:i w:val="1"/>
                <w:iCs w:val="1"/>
                <w:color w:val="auto"/>
              </w:rPr>
              <w:t>%</w:t>
            </w:r>
          </w:p>
        </w:tc>
      </w:tr>
      <w:tr>
        <w:trPr>
          <w:trHeight w:val="133"/>
        </w:trPr>
        <w:tc>
          <w:tcPr>
            <w:tcW w:w="5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Total Segment Revenues</w:t>
            </w: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126,812</w:t>
            </w:r>
          </w:p>
        </w:tc>
        <w:tc>
          <w:tcPr>
            <w:tcW w:w="80" w:type="dxa"/>
            <w:vAlign w:val="bottom"/>
          </w:tcPr>
          <w:p>
            <w:pPr>
              <w:spacing w:after="0"/>
              <w:rPr>
                <w:sz w:val="11"/>
                <w:szCs w:val="11"/>
                <w:color w:val="auto"/>
              </w:rPr>
            </w:pPr>
          </w:p>
        </w:tc>
        <w:tc>
          <w:tcPr>
            <w:tcW w:w="960" w:type="dxa"/>
            <w:vAlign w:val="bottom"/>
          </w:tcPr>
          <w:p>
            <w:pPr>
              <w:jc w:val="right"/>
              <w:ind w:right="122"/>
              <w:spacing w:after="0" w:line="132" w:lineRule="exact"/>
              <w:rPr>
                <w:sz w:val="20"/>
                <w:szCs w:val="20"/>
                <w:color w:val="auto"/>
              </w:rPr>
            </w:pPr>
            <w:r>
              <w:rPr>
                <w:rFonts w:ascii="Arial" w:cs="Arial" w:eastAsia="Arial" w:hAnsi="Arial"/>
                <w:sz w:val="12"/>
                <w:szCs w:val="12"/>
                <w:i w:val="1"/>
                <w:iCs w:val="1"/>
                <w:color w:val="auto"/>
              </w:rPr>
              <w:t>100%</w:t>
            </w:r>
          </w:p>
        </w:tc>
        <w:tc>
          <w:tcPr>
            <w:tcW w:w="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w w:val="92"/>
              </w:rPr>
              <w:t>67,014</w:t>
            </w:r>
          </w:p>
        </w:tc>
        <w:tc>
          <w:tcPr>
            <w:tcW w:w="1040" w:type="dxa"/>
            <w:vAlign w:val="bottom"/>
            <w:gridSpan w:val="2"/>
          </w:tcPr>
          <w:p>
            <w:pPr>
              <w:jc w:val="right"/>
              <w:ind w:right="102"/>
              <w:spacing w:after="0" w:line="132" w:lineRule="exact"/>
              <w:rPr>
                <w:sz w:val="20"/>
                <w:szCs w:val="20"/>
                <w:color w:val="auto"/>
              </w:rPr>
            </w:pPr>
            <w:r>
              <w:rPr>
                <w:rFonts w:ascii="Arial" w:cs="Arial" w:eastAsia="Arial" w:hAnsi="Arial"/>
                <w:sz w:val="12"/>
                <w:szCs w:val="12"/>
                <w:i w:val="1"/>
                <w:iCs w:val="1"/>
                <w:color w:val="auto"/>
              </w:rPr>
              <w:t>100 %</w:t>
            </w:r>
          </w:p>
        </w:tc>
        <w:tc>
          <w:tcPr>
            <w:tcW w:w="100" w:type="dxa"/>
            <w:vAlign w:val="bottom"/>
          </w:tcPr>
          <w:p>
            <w:pPr>
              <w:spacing w:after="0"/>
              <w:rPr>
                <w:sz w:val="11"/>
                <w:szCs w:val="11"/>
                <w:color w:val="auto"/>
              </w:rPr>
            </w:pPr>
          </w:p>
        </w:tc>
        <w:tc>
          <w:tcPr>
            <w:tcW w:w="1280" w:type="dxa"/>
            <w:vAlign w:val="bottom"/>
          </w:tcPr>
          <w:p>
            <w:pPr>
              <w:jc w:val="right"/>
              <w:ind w:right="102"/>
              <w:spacing w:after="0" w:line="132" w:lineRule="exact"/>
              <w:rPr>
                <w:sz w:val="20"/>
                <w:szCs w:val="20"/>
                <w:color w:val="auto"/>
              </w:rPr>
            </w:pPr>
            <w:r>
              <w:rPr>
                <w:rFonts w:ascii="Arial" w:cs="Arial" w:eastAsia="Arial" w:hAnsi="Arial"/>
                <w:sz w:val="12"/>
                <w:szCs w:val="12"/>
                <w:color w:val="auto"/>
              </w:rPr>
              <w:t xml:space="preserve">89 </w:t>
            </w:r>
            <w:r>
              <w:rPr>
                <w:rFonts w:ascii="Arial" w:cs="Arial" w:eastAsia="Arial" w:hAnsi="Arial"/>
                <w:sz w:val="12"/>
                <w:szCs w:val="12"/>
                <w:i w:val="1"/>
                <w:iCs w:val="1"/>
                <w:color w:val="auto"/>
              </w:rPr>
              <w:t>%</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Below are the changes in our cinema revenue by market:</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the United States, cinema revenues increased by $32.5 million, to $59.9 million for the year ended December 31, 2021, compared to 2020. As of December 31, 2021, 92% of our U.S.</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cinemas were open compared to 38% in 2020.</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Australia, cinema revenues increased by $22.8 million, to $55.3 million for the year ended December 31, 2021, compared to 2020.</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New Zealand, cinema revenues increased by $4.5 million, to $11.6 million for the year ended December 31, 2021, compared to 2020.</w:t>
      </w:r>
    </w:p>
    <w:p>
      <w:pPr>
        <w:spacing w:after="0" w:line="143" w:lineRule="exact"/>
        <w:rPr>
          <w:sz w:val="20"/>
          <w:szCs w:val="20"/>
          <w:color w:val="auto"/>
        </w:rPr>
      </w:pPr>
    </w:p>
    <w:p>
      <w:pPr>
        <w:jc w:val="both"/>
        <w:ind w:right="120"/>
        <w:spacing w:after="0" w:line="242" w:lineRule="auto"/>
        <w:rPr>
          <w:sz w:val="20"/>
          <w:szCs w:val="20"/>
          <w:color w:val="auto"/>
        </w:rPr>
      </w:pPr>
      <w:r>
        <w:rPr>
          <w:rFonts w:ascii="Arial" w:cs="Arial" w:eastAsia="Arial" w:hAnsi="Arial"/>
          <w:sz w:val="14"/>
          <w:szCs w:val="14"/>
          <w:color w:val="auto"/>
        </w:rPr>
        <w:t xml:space="preserve">For the quarter ended December 31, 2021, Cinema segment revenue increased against the fourth quarter of 2020 by $35.1 million, to $47.2 million. This increase was due to (i) the majority of our global cinemas being in operation for more days in the fourth quarter of 2021 than in 2020, (ii) the releases of more tentpole films by major studios, such as </w:t>
      </w:r>
      <w:r>
        <w:rPr>
          <w:rFonts w:ascii="Arial" w:cs="Arial" w:eastAsia="Arial" w:hAnsi="Arial"/>
          <w:sz w:val="14"/>
          <w:szCs w:val="14"/>
          <w:i w:val="1"/>
          <w:iCs w:val="1"/>
          <w:color w:val="auto"/>
        </w:rPr>
        <w:t>Spider-Man: No Way Home,</w:t>
      </w:r>
      <w:r>
        <w:rPr>
          <w:rFonts w:ascii="Arial" w:cs="Arial" w:eastAsia="Arial" w:hAnsi="Arial"/>
          <w:sz w:val="14"/>
          <w:szCs w:val="14"/>
          <w:color w:val="auto"/>
        </w:rPr>
        <w:t xml:space="preserve"> and (iii) the easing of local government restrictions in 2021 due to increased vaccination rates.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w:t>
      </w:r>
    </w:p>
    <w:p>
      <w:pPr>
        <w:spacing w:after="0" w:line="143" w:lineRule="exact"/>
        <w:rPr>
          <w:sz w:val="20"/>
          <w:szCs w:val="20"/>
          <w:color w:val="auto"/>
        </w:rPr>
      </w:pPr>
    </w:p>
    <w:p>
      <w:pPr>
        <w:ind w:right="240"/>
        <w:spacing w:after="0" w:line="258" w:lineRule="auto"/>
        <w:rPr>
          <w:sz w:val="20"/>
          <w:szCs w:val="20"/>
          <w:color w:val="auto"/>
        </w:rPr>
      </w:pPr>
      <w:r>
        <w:rPr>
          <w:rFonts w:ascii="Arial" w:cs="Arial" w:eastAsia="Arial" w:hAnsi="Arial"/>
          <w:sz w:val="14"/>
          <w:szCs w:val="14"/>
          <w:color w:val="auto"/>
        </w:rPr>
        <w:t>Operating expense for the full year 2021 increased by $30.2 million, to $123.4 million when compared to 2020 due to increased ticket sales and higher film rent associated with the releases of more major tentpole films.</w:t>
      </w:r>
    </w:p>
    <w:p>
      <w:pPr>
        <w:spacing w:after="0" w:line="109"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For the quarter ended December 31, 2021, operating expenses increased by $21.1 million, to $40.5 million when compared to the fourth quarter of 2020 due to increased ticket sales and higher film rent associated with the release of more major tentpole films.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Depreciation, Amortization, General and Administrative Expense</w:t>
      </w:r>
    </w:p>
    <w:p>
      <w:pPr>
        <w:spacing w:after="0" w:line="143" w:lineRule="exact"/>
        <w:rPr>
          <w:sz w:val="20"/>
          <w:szCs w:val="20"/>
          <w:color w:val="auto"/>
        </w:rPr>
      </w:pPr>
    </w:p>
    <w:p>
      <w:pPr>
        <w:ind w:right="300"/>
        <w:spacing w:after="0" w:line="258" w:lineRule="auto"/>
        <w:rPr>
          <w:sz w:val="20"/>
          <w:szCs w:val="20"/>
          <w:color w:val="auto"/>
        </w:rPr>
      </w:pPr>
      <w:r>
        <w:rPr>
          <w:rFonts w:ascii="Arial" w:cs="Arial" w:eastAsia="Arial" w:hAnsi="Arial"/>
          <w:sz w:val="14"/>
          <w:szCs w:val="14"/>
          <w:color w:val="auto"/>
        </w:rPr>
        <w:t>Depreciation, amortization, general and administrative expense for the year-ended December 31, 2021 increased by $3.1 million, to $22.0 million compared to 2020 primarily driven by legal costs, a $4.0 million accrual of the settlement of certain wage and hour claims, and the depreciation charge on our new cinemas in Australia.</w:t>
      </w:r>
    </w:p>
    <w:p>
      <w:pPr>
        <w:spacing w:after="0" w:line="109"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Depreciation, amortization, general and administrative expense for the quarter ended December 31, 2021, increased by $0.2 million, to $4.6 million primarily due to increased cinema general and administrative expenses in Australia.</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70"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auto"/>
        </w:rPr>
        <w:t>Real Estate</w:t>
      </w:r>
      <w:r>
        <w:rPr>
          <w:rFonts w:ascii="Arial" w:cs="Arial" w:eastAsia="Arial" w:hAnsi="Arial"/>
          <w:sz w:val="14"/>
          <w:szCs w:val="14"/>
          <w:b w:val="1"/>
          <w:bCs w:val="1"/>
          <w:color w:val="auto"/>
        </w:rPr>
        <w:t xml:space="preserve"> – </w:t>
      </w:r>
      <w:r>
        <w:rPr>
          <w:rFonts w:ascii="Arial" w:cs="Arial" w:eastAsia="Arial" w:hAnsi="Arial"/>
          <w:sz w:val="14"/>
          <w:szCs w:val="14"/>
          <w:b w:val="1"/>
          <w:bCs w:val="1"/>
          <w:i w:val="1"/>
          <w:iCs w:val="1"/>
          <w:color w:val="auto"/>
        </w:rPr>
        <w:t>The following table details our Real Estate segment operating results for the years ended December 31, 2021 and 2020, respectively: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w w:val="87"/>
              </w:rPr>
              <w:t>2021 vs. 2020</w:t>
            </w:r>
          </w:p>
        </w:tc>
      </w:tr>
      <w:tr>
        <w:trPr>
          <w:trHeight w:val="108"/>
        </w:trPr>
        <w:tc>
          <w:tcPr>
            <w:tcW w:w="16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w w:val="91"/>
              </w:rPr>
              <w:t>Favorable/</w:t>
            </w:r>
          </w:p>
        </w:tc>
      </w:tr>
      <w:tr>
        <w:trPr>
          <w:trHeight w:val="123"/>
        </w:trPr>
        <w:tc>
          <w:tcPr>
            <w:tcW w:w="1620" w:type="dxa"/>
            <w:vAlign w:val="bottom"/>
          </w:tcPr>
          <w:p>
            <w:pPr>
              <w:spacing w:after="0"/>
              <w:rPr>
                <w:sz w:val="20"/>
                <w:szCs w:val="20"/>
                <w:color w:val="auto"/>
              </w:rPr>
            </w:pPr>
            <w:r>
              <w:rPr>
                <w:rFonts w:ascii="Arial" w:cs="Arial" w:eastAsia="Arial" w:hAnsi="Arial"/>
                <w:sz w:val="10"/>
                <w:szCs w:val="10"/>
                <w:i w:val="1"/>
                <w:iCs w:val="1"/>
                <w:color w:val="auto"/>
              </w:rPr>
              <w:t>(Dollars in thousands)</w:t>
            </w:r>
          </w:p>
        </w:tc>
        <w:tc>
          <w:tcPr>
            <w:tcW w:w="3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jc w:val="right"/>
              <w:ind w:right="469"/>
              <w:spacing w:after="0"/>
              <w:rPr>
                <w:sz w:val="20"/>
                <w:szCs w:val="20"/>
                <w:color w:val="auto"/>
              </w:rPr>
            </w:pPr>
            <w:r>
              <w:rPr>
                <w:rFonts w:ascii="Arial" w:cs="Arial" w:eastAsia="Arial" w:hAnsi="Arial"/>
                <w:sz w:val="10"/>
                <w:szCs w:val="10"/>
                <w:b w:val="1"/>
                <w:bCs w:val="1"/>
                <w:color w:val="auto"/>
              </w:rPr>
              <w:t>2021</w:t>
            </w:r>
          </w:p>
        </w:tc>
        <w:tc>
          <w:tcPr>
            <w:tcW w:w="180" w:type="dxa"/>
            <w:vAlign w:val="bottom"/>
          </w:tcPr>
          <w:p>
            <w:pPr>
              <w:spacing w:after="0"/>
              <w:rPr>
                <w:sz w:val="10"/>
                <w:szCs w:val="10"/>
                <w:color w:val="auto"/>
              </w:rPr>
            </w:pPr>
          </w:p>
        </w:tc>
        <w:tc>
          <w:tcPr>
            <w:tcW w:w="1060" w:type="dxa"/>
            <w:vAlign w:val="bottom"/>
            <w:gridSpan w:val="2"/>
          </w:tcPr>
          <w:p>
            <w:pPr>
              <w:ind w:left="160"/>
              <w:spacing w:after="0"/>
              <w:rPr>
                <w:sz w:val="20"/>
                <w:szCs w:val="20"/>
                <w:color w:val="auto"/>
              </w:rPr>
            </w:pPr>
            <w:r>
              <w:rPr>
                <w:rFonts w:ascii="Arial" w:cs="Arial" w:eastAsia="Arial" w:hAnsi="Arial"/>
                <w:sz w:val="10"/>
                <w:szCs w:val="10"/>
                <w:i w:val="1"/>
                <w:iCs w:val="1"/>
                <w:color w:val="auto"/>
              </w:rPr>
              <w:t>% of Revenue</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right"/>
              <w:ind w:right="469"/>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0"/>
                <w:szCs w:val="10"/>
                <w:i w:val="1"/>
                <w:iCs w:val="1"/>
                <w:color w:val="auto"/>
              </w:rPr>
              <w:t>% of Revenue</w:t>
            </w: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w w:val="93"/>
              </w:rPr>
              <w:t>(Unfavorable)</w:t>
            </w:r>
          </w:p>
        </w:tc>
      </w:tr>
      <w:tr>
        <w:trPr>
          <w:trHeight w:val="108"/>
        </w:trPr>
        <w:tc>
          <w:tcPr>
            <w:tcW w:w="1620" w:type="dxa"/>
            <w:vAlign w:val="bottom"/>
            <w:tcBorders>
              <w:top w:val="single" w:sz="8" w:color="auto"/>
            </w:tcBorders>
          </w:tcPr>
          <w:p>
            <w:pPr>
              <w:spacing w:after="0" w:line="109" w:lineRule="exact"/>
              <w:rPr>
                <w:sz w:val="20"/>
                <w:szCs w:val="20"/>
                <w:color w:val="auto"/>
              </w:rPr>
            </w:pPr>
            <w:r>
              <w:rPr>
                <w:rFonts w:ascii="Arial" w:cs="Arial" w:eastAsia="Arial" w:hAnsi="Arial"/>
                <w:sz w:val="10"/>
                <w:szCs w:val="10"/>
                <w:b w:val="1"/>
                <w:bCs w:val="1"/>
                <w:color w:val="auto"/>
              </w:rPr>
              <w:t>REVENUE</w:t>
            </w:r>
          </w:p>
        </w:tc>
        <w:tc>
          <w:tcPr>
            <w:tcW w:w="35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r>
      <w:tr>
        <w:trPr>
          <w:trHeight w:val="108"/>
        </w:trPr>
        <w:tc>
          <w:tcPr>
            <w:tcW w:w="162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b w:val="1"/>
                <w:bCs w:val="1"/>
                <w:color w:val="auto"/>
              </w:rPr>
              <w:t>United States</w:t>
            </w:r>
          </w:p>
        </w:tc>
        <w:tc>
          <w:tcPr>
            <w:tcW w:w="350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Live theatre rental and ancillary income</w:t>
            </w:r>
          </w:p>
        </w:tc>
        <w:tc>
          <w:tcPr>
            <w:tcW w:w="460" w:type="dxa"/>
            <w:vAlign w:val="bottom"/>
            <w:gridSpan w:val="2"/>
            <w:shd w:val="clear" w:color="auto" w:fill="CCEEFF"/>
          </w:tcPr>
          <w:p>
            <w:pPr>
              <w:jc w:val="right"/>
              <w:ind w:right="215"/>
              <w:spacing w:after="0" w:line="109" w:lineRule="exact"/>
              <w:rPr>
                <w:sz w:val="20"/>
                <w:szCs w:val="20"/>
                <w:color w:val="auto"/>
              </w:rPr>
            </w:pPr>
            <w:r>
              <w:rPr>
                <w:rFonts w:ascii="Arial" w:cs="Arial" w:eastAsia="Arial" w:hAnsi="Arial"/>
                <w:sz w:val="10"/>
                <w:szCs w:val="10"/>
                <w:color w:val="auto"/>
              </w:rPr>
              <w:t>$</w:t>
            </w:r>
          </w:p>
        </w:tc>
        <w:tc>
          <w:tcPr>
            <w:tcW w:w="1140" w:type="dxa"/>
            <w:vAlign w:val="bottom"/>
            <w:gridSpan w:val="2"/>
            <w:shd w:val="clear" w:color="auto" w:fill="CCEEFF"/>
          </w:tcPr>
          <w:p>
            <w:pPr>
              <w:jc w:val="right"/>
              <w:ind w:right="180"/>
              <w:spacing w:after="0" w:line="109" w:lineRule="exact"/>
              <w:rPr>
                <w:sz w:val="20"/>
                <w:szCs w:val="20"/>
                <w:color w:val="auto"/>
              </w:rPr>
            </w:pPr>
            <w:r>
              <w:rPr>
                <w:rFonts w:ascii="Arial" w:cs="Arial" w:eastAsia="Arial" w:hAnsi="Arial"/>
                <w:sz w:val="10"/>
                <w:szCs w:val="10"/>
                <w:color w:val="auto"/>
              </w:rPr>
              <w:t>1,349</w:t>
            </w:r>
          </w:p>
        </w:tc>
        <w:tc>
          <w:tcPr>
            <w:tcW w:w="88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70%</w:t>
            </w:r>
          </w:p>
        </w:tc>
        <w:tc>
          <w:tcPr>
            <w:tcW w:w="18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95"/>
              <w:spacing w:after="0" w:line="109" w:lineRule="exact"/>
              <w:rPr>
                <w:sz w:val="20"/>
                <w:szCs w:val="20"/>
                <w:color w:val="auto"/>
              </w:rPr>
            </w:pPr>
            <w:r>
              <w:rPr>
                <w:rFonts w:ascii="Arial" w:cs="Arial" w:eastAsia="Arial" w:hAnsi="Arial"/>
                <w:sz w:val="10"/>
                <w:szCs w:val="10"/>
                <w:color w:val="auto"/>
                <w:w w:val="71"/>
              </w:rPr>
              <w:t>$</w:t>
            </w:r>
          </w:p>
        </w:tc>
        <w:tc>
          <w:tcPr>
            <w:tcW w:w="1160" w:type="dxa"/>
            <w:vAlign w:val="bottom"/>
            <w:gridSpan w:val="3"/>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988</w:t>
            </w:r>
          </w:p>
        </w:tc>
        <w:tc>
          <w:tcPr>
            <w:tcW w:w="820" w:type="dxa"/>
            <w:vAlign w:val="bottom"/>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69%</w:t>
            </w: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37 %</w:t>
            </w:r>
          </w:p>
        </w:tc>
      </w:tr>
      <w:tr>
        <w:trPr>
          <w:trHeight w:val="108"/>
        </w:trPr>
        <w:tc>
          <w:tcPr>
            <w:tcW w:w="1620" w:type="dxa"/>
            <w:vAlign w:val="bottom"/>
          </w:tcPr>
          <w:p>
            <w:pPr>
              <w:spacing w:after="0"/>
              <w:rPr>
                <w:sz w:val="9"/>
                <w:szCs w:val="9"/>
                <w:color w:val="auto"/>
              </w:rPr>
            </w:pPr>
          </w:p>
        </w:tc>
        <w:tc>
          <w:tcPr>
            <w:tcW w:w="3500" w:type="dxa"/>
            <w:vAlign w:val="bottom"/>
          </w:tcPr>
          <w:p>
            <w:pPr>
              <w:ind w:left="200"/>
              <w:spacing w:after="0" w:line="109" w:lineRule="exact"/>
              <w:rPr>
                <w:sz w:val="20"/>
                <w:szCs w:val="20"/>
                <w:color w:val="auto"/>
              </w:rPr>
            </w:pPr>
            <w:r>
              <w:rPr>
                <w:rFonts w:ascii="Arial" w:cs="Arial" w:eastAsia="Arial" w:hAnsi="Arial"/>
                <w:sz w:val="10"/>
                <w:szCs w:val="10"/>
                <w:color w:val="auto"/>
              </w:rPr>
              <w:t>Property rental income</w:t>
            </w: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2"/>
          </w:tcPr>
          <w:p>
            <w:pPr>
              <w:jc w:val="right"/>
              <w:ind w:right="180"/>
              <w:spacing w:after="0" w:line="109" w:lineRule="exact"/>
              <w:rPr>
                <w:sz w:val="20"/>
                <w:szCs w:val="20"/>
                <w:color w:val="auto"/>
              </w:rPr>
            </w:pPr>
            <w:r>
              <w:rPr>
                <w:rFonts w:ascii="Arial" w:cs="Arial" w:eastAsia="Arial" w:hAnsi="Arial"/>
                <w:sz w:val="10"/>
                <w:szCs w:val="10"/>
                <w:color w:val="auto"/>
              </w:rPr>
              <w:t>577</w:t>
            </w:r>
          </w:p>
        </w:tc>
        <w:tc>
          <w:tcPr>
            <w:tcW w:w="880" w:type="dxa"/>
            <w:vAlign w:val="bottom"/>
          </w:tcPr>
          <w:p>
            <w:pPr>
              <w:jc w:val="right"/>
              <w:ind w:right="189"/>
              <w:spacing w:after="0" w:line="109" w:lineRule="exact"/>
              <w:rPr>
                <w:sz w:val="20"/>
                <w:szCs w:val="20"/>
                <w:color w:val="auto"/>
              </w:rPr>
            </w:pPr>
            <w:r>
              <w:rPr>
                <w:rFonts w:ascii="Arial" w:cs="Arial" w:eastAsia="Arial" w:hAnsi="Arial"/>
                <w:sz w:val="10"/>
                <w:szCs w:val="10"/>
                <w:i w:val="1"/>
                <w:iCs w:val="1"/>
                <w:color w:val="auto"/>
              </w:rPr>
              <w:t>30%</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gridSpan w:val="3"/>
          </w:tcPr>
          <w:p>
            <w:pPr>
              <w:jc w:val="right"/>
              <w:ind w:right="200"/>
              <w:spacing w:after="0" w:line="109" w:lineRule="exact"/>
              <w:rPr>
                <w:sz w:val="20"/>
                <w:szCs w:val="20"/>
                <w:color w:val="auto"/>
              </w:rPr>
            </w:pPr>
            <w:r>
              <w:rPr>
                <w:rFonts w:ascii="Arial" w:cs="Arial" w:eastAsia="Arial" w:hAnsi="Arial"/>
                <w:sz w:val="10"/>
                <w:szCs w:val="10"/>
                <w:color w:val="auto"/>
              </w:rPr>
              <w:t>434</w:t>
            </w:r>
          </w:p>
        </w:tc>
        <w:tc>
          <w:tcPr>
            <w:tcW w:w="820" w:type="dxa"/>
            <w:vAlign w:val="bottom"/>
          </w:tcPr>
          <w:p>
            <w:pPr>
              <w:jc w:val="right"/>
              <w:ind w:right="129"/>
              <w:spacing w:after="0" w:line="109" w:lineRule="exact"/>
              <w:rPr>
                <w:sz w:val="20"/>
                <w:szCs w:val="20"/>
                <w:color w:val="auto"/>
              </w:rPr>
            </w:pPr>
            <w:r>
              <w:rPr>
                <w:rFonts w:ascii="Arial" w:cs="Arial" w:eastAsia="Arial" w:hAnsi="Arial"/>
                <w:sz w:val="10"/>
                <w:szCs w:val="10"/>
                <w:i w:val="1"/>
                <w:iCs w:val="1"/>
                <w:color w:val="auto"/>
              </w:rPr>
              <w:t>31%</w:t>
            </w:r>
          </w:p>
        </w:tc>
        <w:tc>
          <w:tcPr>
            <w:tcW w:w="180" w:type="dxa"/>
            <w:vAlign w:val="bottom"/>
          </w:tcPr>
          <w:p>
            <w:pPr>
              <w:spacing w:after="0"/>
              <w:rPr>
                <w:sz w:val="9"/>
                <w:szCs w:val="9"/>
                <w:color w:val="auto"/>
              </w:rPr>
            </w:pPr>
          </w:p>
        </w:tc>
        <w:tc>
          <w:tcPr>
            <w:tcW w:w="1060" w:type="dxa"/>
            <w:vAlign w:val="bottom"/>
          </w:tcPr>
          <w:p>
            <w:pPr>
              <w:jc w:val="right"/>
              <w:ind w:right="69"/>
              <w:spacing w:after="0" w:line="109" w:lineRule="exact"/>
              <w:rPr>
                <w:sz w:val="20"/>
                <w:szCs w:val="20"/>
                <w:color w:val="auto"/>
              </w:rPr>
            </w:pPr>
            <w:r>
              <w:rPr>
                <w:rFonts w:ascii="Arial" w:cs="Arial" w:eastAsia="Arial" w:hAnsi="Arial"/>
                <w:sz w:val="10"/>
                <w:szCs w:val="10"/>
                <w:color w:val="auto"/>
              </w:rPr>
              <w:t>33 %</w:t>
            </w:r>
          </w:p>
        </w:tc>
      </w:tr>
      <w:tr>
        <w:trPr>
          <w:trHeight w:val="99"/>
        </w:trPr>
        <w:tc>
          <w:tcPr>
            <w:tcW w:w="1620" w:type="dxa"/>
            <w:vAlign w:val="bottom"/>
            <w:tcBorders>
              <w:top w:val="single" w:sz="8" w:color="CCEEFF"/>
            </w:tcBorders>
            <w:shd w:val="clear" w:color="auto" w:fill="CCEEFF"/>
          </w:tcPr>
          <w:p>
            <w:pPr>
              <w:spacing w:after="0"/>
              <w:rPr>
                <w:sz w:val="8"/>
                <w:szCs w:val="8"/>
                <w:color w:val="auto"/>
              </w:rPr>
            </w:pPr>
          </w:p>
        </w:tc>
        <w:tc>
          <w:tcPr>
            <w:tcW w:w="35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1,926</w:t>
            </w:r>
          </w:p>
        </w:tc>
        <w:tc>
          <w:tcPr>
            <w:tcW w:w="18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jc w:val="right"/>
              <w:ind w:right="189"/>
              <w:spacing w:after="0" w:line="100" w:lineRule="exact"/>
              <w:rPr>
                <w:sz w:val="20"/>
                <w:szCs w:val="20"/>
                <w:color w:val="auto"/>
              </w:rPr>
            </w:pPr>
            <w:r>
              <w:rPr>
                <w:rFonts w:ascii="Arial" w:cs="Arial" w:eastAsia="Arial" w:hAnsi="Arial"/>
                <w:sz w:val="10"/>
                <w:szCs w:val="10"/>
                <w:i w:val="1"/>
                <w:iCs w:val="1"/>
                <w:color w:val="auto"/>
              </w:rPr>
              <w:t>100%</w:t>
            </w: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1,422</w:t>
            </w: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jc w:val="right"/>
              <w:ind w:right="129"/>
              <w:spacing w:after="0" w:line="100" w:lineRule="exact"/>
              <w:rPr>
                <w:sz w:val="20"/>
                <w:szCs w:val="20"/>
                <w:color w:val="auto"/>
              </w:rPr>
            </w:pPr>
            <w:r>
              <w:rPr>
                <w:rFonts w:ascii="Arial" w:cs="Arial" w:eastAsia="Arial" w:hAnsi="Arial"/>
                <w:sz w:val="10"/>
                <w:szCs w:val="10"/>
                <w:i w:val="1"/>
                <w:iCs w:val="1"/>
                <w:color w:val="auto"/>
              </w:rPr>
              <w:t>100%</w:t>
            </w:r>
          </w:p>
        </w:tc>
        <w:tc>
          <w:tcPr>
            <w:tcW w:w="18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CCEEFF"/>
            </w:tcBorders>
            <w:shd w:val="clear" w:color="auto" w:fill="CCEEFF"/>
          </w:tcPr>
          <w:p>
            <w:pPr>
              <w:jc w:val="right"/>
              <w:ind w:right="69"/>
              <w:spacing w:after="0" w:line="100" w:lineRule="exact"/>
              <w:rPr>
                <w:sz w:val="20"/>
                <w:szCs w:val="20"/>
                <w:color w:val="auto"/>
              </w:rPr>
            </w:pPr>
            <w:r>
              <w:rPr>
                <w:rFonts w:ascii="Arial" w:cs="Arial" w:eastAsia="Arial" w:hAnsi="Arial"/>
                <w:sz w:val="10"/>
                <w:szCs w:val="10"/>
                <w:color w:val="auto"/>
              </w:rPr>
              <w:t>35 %</w:t>
            </w:r>
          </w:p>
        </w:tc>
      </w:tr>
      <w:tr>
        <w:trPr>
          <w:trHeight w:val="108"/>
        </w:trPr>
        <w:tc>
          <w:tcPr>
            <w:tcW w:w="1620" w:type="dxa"/>
            <w:vAlign w:val="bottom"/>
          </w:tcPr>
          <w:p>
            <w:pPr>
              <w:ind w:left="200"/>
              <w:spacing w:after="0" w:line="109" w:lineRule="exact"/>
              <w:rPr>
                <w:sz w:val="20"/>
                <w:szCs w:val="20"/>
                <w:color w:val="auto"/>
              </w:rPr>
            </w:pPr>
            <w:r>
              <w:rPr>
                <w:rFonts w:ascii="Arial" w:cs="Arial" w:eastAsia="Arial" w:hAnsi="Arial"/>
                <w:sz w:val="10"/>
                <w:szCs w:val="10"/>
                <w:b w:val="1"/>
                <w:bCs w:val="1"/>
                <w:color w:val="auto"/>
              </w:rPr>
              <w:t>Australia</w:t>
            </w:r>
          </w:p>
        </w:tc>
        <w:tc>
          <w:tcPr>
            <w:tcW w:w="3500" w:type="dxa"/>
            <w:vAlign w:val="bottom"/>
          </w:tcPr>
          <w:p>
            <w:pPr>
              <w:ind w:left="200"/>
              <w:spacing w:after="0" w:line="109" w:lineRule="exact"/>
              <w:rPr>
                <w:sz w:val="20"/>
                <w:szCs w:val="20"/>
                <w:color w:val="auto"/>
              </w:rPr>
            </w:pPr>
            <w:r>
              <w:rPr>
                <w:rFonts w:ascii="Arial" w:cs="Arial" w:eastAsia="Arial" w:hAnsi="Arial"/>
                <w:sz w:val="10"/>
                <w:szCs w:val="10"/>
                <w:color w:val="auto"/>
              </w:rPr>
              <w:t>Property rental income</w:t>
            </w: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2"/>
          </w:tcPr>
          <w:p>
            <w:pPr>
              <w:jc w:val="right"/>
              <w:ind w:right="180"/>
              <w:spacing w:after="0" w:line="109" w:lineRule="exact"/>
              <w:rPr>
                <w:sz w:val="20"/>
                <w:szCs w:val="20"/>
                <w:color w:val="auto"/>
              </w:rPr>
            </w:pPr>
            <w:r>
              <w:rPr>
                <w:rFonts w:ascii="Arial" w:cs="Arial" w:eastAsia="Arial" w:hAnsi="Arial"/>
                <w:sz w:val="10"/>
                <w:szCs w:val="10"/>
                <w:color w:val="auto"/>
              </w:rPr>
              <w:t>9,855</w:t>
            </w:r>
          </w:p>
        </w:tc>
        <w:tc>
          <w:tcPr>
            <w:tcW w:w="880" w:type="dxa"/>
            <w:vAlign w:val="bottom"/>
          </w:tcPr>
          <w:p>
            <w:pPr>
              <w:jc w:val="right"/>
              <w:ind w:right="189"/>
              <w:spacing w:after="0" w:line="109" w:lineRule="exact"/>
              <w:rPr>
                <w:sz w:val="20"/>
                <w:szCs w:val="20"/>
                <w:color w:val="auto"/>
              </w:rPr>
            </w:pPr>
            <w:r>
              <w:rPr>
                <w:rFonts w:ascii="Arial" w:cs="Arial" w:eastAsia="Arial" w:hAnsi="Arial"/>
                <w:sz w:val="10"/>
                <w:szCs w:val="10"/>
                <w:i w:val="1"/>
                <w:iCs w:val="1"/>
                <w:color w:val="auto"/>
              </w:rPr>
              <w:t>100%</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10,576</w:t>
            </w:r>
          </w:p>
        </w:tc>
        <w:tc>
          <w:tcPr>
            <w:tcW w:w="180" w:type="dxa"/>
            <w:vAlign w:val="bottom"/>
          </w:tcPr>
          <w:p>
            <w:pPr>
              <w:spacing w:after="0"/>
              <w:rPr>
                <w:sz w:val="9"/>
                <w:szCs w:val="9"/>
                <w:color w:val="auto"/>
              </w:rPr>
            </w:pPr>
          </w:p>
        </w:tc>
        <w:tc>
          <w:tcPr>
            <w:tcW w:w="820" w:type="dxa"/>
            <w:vAlign w:val="bottom"/>
          </w:tcPr>
          <w:p>
            <w:pPr>
              <w:jc w:val="right"/>
              <w:ind w:right="129"/>
              <w:spacing w:after="0" w:line="109" w:lineRule="exact"/>
              <w:rPr>
                <w:sz w:val="20"/>
                <w:szCs w:val="20"/>
                <w:color w:val="auto"/>
              </w:rPr>
            </w:pPr>
            <w:r>
              <w:rPr>
                <w:rFonts w:ascii="Arial" w:cs="Arial" w:eastAsia="Arial" w:hAnsi="Arial"/>
                <w:sz w:val="10"/>
                <w:szCs w:val="10"/>
                <w:i w:val="1"/>
                <w:iCs w:val="1"/>
                <w:color w:val="auto"/>
              </w:rPr>
              <w:t>100%</w:t>
            </w:r>
          </w:p>
        </w:tc>
        <w:tc>
          <w:tcPr>
            <w:tcW w:w="180" w:type="dxa"/>
            <w:vAlign w:val="bottom"/>
          </w:tcPr>
          <w:p>
            <w:pPr>
              <w:spacing w:after="0"/>
              <w:rPr>
                <w:sz w:val="9"/>
                <w:szCs w:val="9"/>
                <w:color w:val="auto"/>
              </w:rPr>
            </w:pPr>
          </w:p>
        </w:tc>
        <w:tc>
          <w:tcPr>
            <w:tcW w:w="1060" w:type="dxa"/>
            <w:vAlign w:val="bottom"/>
          </w:tcPr>
          <w:p>
            <w:pPr>
              <w:jc w:val="right"/>
              <w:ind w:right="69"/>
              <w:spacing w:after="0" w:line="109" w:lineRule="exact"/>
              <w:rPr>
                <w:sz w:val="20"/>
                <w:szCs w:val="20"/>
                <w:color w:val="auto"/>
              </w:rPr>
            </w:pPr>
            <w:r>
              <w:rPr>
                <w:rFonts w:ascii="Arial" w:cs="Arial" w:eastAsia="Arial" w:hAnsi="Arial"/>
                <w:sz w:val="10"/>
                <w:szCs w:val="10"/>
                <w:color w:val="auto"/>
              </w:rPr>
              <w:t>(7) %</w:t>
            </w:r>
          </w:p>
        </w:tc>
      </w:tr>
      <w:tr>
        <w:trPr>
          <w:trHeight w:val="108"/>
        </w:trPr>
        <w:tc>
          <w:tcPr>
            <w:tcW w:w="162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b w:val="1"/>
                <w:bCs w:val="1"/>
                <w:color w:val="auto"/>
              </w:rPr>
              <w:t>New Zealand</w:t>
            </w:r>
          </w:p>
        </w:tc>
        <w:tc>
          <w:tcPr>
            <w:tcW w:w="350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Property rental income</w:t>
            </w: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80"/>
              <w:spacing w:after="0" w:line="109" w:lineRule="exact"/>
              <w:rPr>
                <w:sz w:val="20"/>
                <w:szCs w:val="20"/>
                <w:color w:val="auto"/>
              </w:rPr>
            </w:pPr>
            <w:r>
              <w:rPr>
                <w:rFonts w:ascii="Arial" w:cs="Arial" w:eastAsia="Arial" w:hAnsi="Arial"/>
                <w:sz w:val="10"/>
                <w:szCs w:val="10"/>
                <w:color w:val="auto"/>
              </w:rPr>
              <w:t>982</w:t>
            </w:r>
          </w:p>
        </w:tc>
        <w:tc>
          <w:tcPr>
            <w:tcW w:w="88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100%</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60" w:type="dxa"/>
            <w:vAlign w:val="bottom"/>
            <w:gridSpan w:val="3"/>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965</w:t>
            </w:r>
          </w:p>
        </w:tc>
        <w:tc>
          <w:tcPr>
            <w:tcW w:w="820" w:type="dxa"/>
            <w:vAlign w:val="bottom"/>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100%</w:t>
            </w: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2 %</w:t>
            </w:r>
          </w:p>
        </w:tc>
      </w:tr>
      <w:tr>
        <w:trPr>
          <w:trHeight w:val="101"/>
        </w:trPr>
        <w:tc>
          <w:tcPr>
            <w:tcW w:w="1620" w:type="dxa"/>
            <w:vAlign w:val="bottom"/>
            <w:tcBorders>
              <w:bottom w:val="single" w:sz="8" w:color="CCEEFF"/>
            </w:tcBorders>
          </w:tcPr>
          <w:p>
            <w:pPr>
              <w:ind w:left="200"/>
              <w:spacing w:after="0" w:line="100" w:lineRule="exact"/>
              <w:rPr>
                <w:sz w:val="20"/>
                <w:szCs w:val="20"/>
                <w:color w:val="auto"/>
              </w:rPr>
            </w:pPr>
            <w:r>
              <w:rPr>
                <w:rFonts w:ascii="Arial" w:cs="Arial" w:eastAsia="Arial" w:hAnsi="Arial"/>
                <w:sz w:val="10"/>
                <w:szCs w:val="10"/>
                <w:b w:val="1"/>
                <w:bCs w:val="1"/>
                <w:color w:val="auto"/>
              </w:rPr>
              <w:t>Total revenue</w:t>
            </w:r>
          </w:p>
        </w:tc>
        <w:tc>
          <w:tcPr>
            <w:tcW w:w="350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2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12,763</w:t>
            </w:r>
          </w:p>
        </w:tc>
        <w:tc>
          <w:tcPr>
            <w:tcW w:w="180" w:type="dxa"/>
            <w:vAlign w:val="bottom"/>
            <w:tcBorders>
              <w:bottom w:val="single" w:sz="8" w:color="CCEEFF"/>
            </w:tcBorders>
          </w:tcPr>
          <w:p>
            <w:pPr>
              <w:spacing w:after="0"/>
              <w:rPr>
                <w:sz w:val="8"/>
                <w:szCs w:val="8"/>
                <w:color w:val="auto"/>
              </w:rPr>
            </w:pPr>
          </w:p>
        </w:tc>
        <w:tc>
          <w:tcPr>
            <w:tcW w:w="880" w:type="dxa"/>
            <w:vAlign w:val="bottom"/>
            <w:tcBorders>
              <w:bottom w:val="single" w:sz="8" w:color="CCEEFF"/>
            </w:tcBorders>
          </w:tcPr>
          <w:p>
            <w:pPr>
              <w:jc w:val="right"/>
              <w:ind w:right="189"/>
              <w:spacing w:after="0" w:line="100" w:lineRule="exact"/>
              <w:rPr>
                <w:sz w:val="20"/>
                <w:szCs w:val="20"/>
                <w:color w:val="auto"/>
              </w:rPr>
            </w:pPr>
            <w:r>
              <w:rPr>
                <w:rFonts w:ascii="Arial" w:cs="Arial" w:eastAsia="Arial" w:hAnsi="Arial"/>
                <w:sz w:val="10"/>
                <w:szCs w:val="10"/>
                <w:i w:val="1"/>
                <w:iCs w:val="1"/>
                <w:color w:val="auto"/>
              </w:rPr>
              <w:t>100%</w:t>
            </w:r>
          </w:p>
        </w:tc>
        <w:tc>
          <w:tcPr>
            <w:tcW w:w="1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12,963</w:t>
            </w:r>
          </w:p>
        </w:tc>
        <w:tc>
          <w:tcPr>
            <w:tcW w:w="2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jc w:val="right"/>
              <w:ind w:right="129"/>
              <w:spacing w:after="0" w:line="100" w:lineRule="exact"/>
              <w:rPr>
                <w:sz w:val="20"/>
                <w:szCs w:val="20"/>
                <w:color w:val="auto"/>
              </w:rPr>
            </w:pPr>
            <w:r>
              <w:rPr>
                <w:rFonts w:ascii="Arial" w:cs="Arial" w:eastAsia="Arial" w:hAnsi="Arial"/>
                <w:sz w:val="10"/>
                <w:szCs w:val="10"/>
                <w:i w:val="1"/>
                <w:iCs w:val="1"/>
                <w:color w:val="auto"/>
              </w:rPr>
              <w:t>100%</w:t>
            </w:r>
          </w:p>
        </w:tc>
        <w:tc>
          <w:tcPr>
            <w:tcW w:w="180" w:type="dxa"/>
            <w:vAlign w:val="bottom"/>
            <w:tcBorders>
              <w:bottom w:val="single" w:sz="8" w:color="CCEEFF"/>
            </w:tcBorders>
          </w:tcPr>
          <w:p>
            <w:pPr>
              <w:spacing w:after="0"/>
              <w:rPr>
                <w:sz w:val="8"/>
                <w:szCs w:val="8"/>
                <w:color w:val="auto"/>
              </w:rPr>
            </w:pPr>
          </w:p>
        </w:tc>
        <w:tc>
          <w:tcPr>
            <w:tcW w:w="1060" w:type="dxa"/>
            <w:vAlign w:val="bottom"/>
            <w:tcBorders>
              <w:bottom w:val="single" w:sz="8" w:color="CCEEFF"/>
            </w:tcBorders>
          </w:tcPr>
          <w:p>
            <w:pPr>
              <w:jc w:val="right"/>
              <w:ind w:right="69"/>
              <w:spacing w:after="0" w:line="100" w:lineRule="exact"/>
              <w:rPr>
                <w:sz w:val="20"/>
                <w:szCs w:val="20"/>
                <w:color w:val="auto"/>
              </w:rPr>
            </w:pPr>
            <w:r>
              <w:rPr>
                <w:rFonts w:ascii="Arial" w:cs="Arial" w:eastAsia="Arial" w:hAnsi="Arial"/>
                <w:sz w:val="10"/>
                <w:szCs w:val="10"/>
                <w:color w:val="auto"/>
              </w:rPr>
              <w:t>(2) %</w:t>
            </w:r>
          </w:p>
        </w:tc>
      </w:tr>
      <w:tr>
        <w:trPr>
          <w:trHeight w:val="108"/>
        </w:trPr>
        <w:tc>
          <w:tcPr>
            <w:tcW w:w="1620" w:type="dxa"/>
            <w:vAlign w:val="bottom"/>
            <w:shd w:val="clear" w:color="auto" w:fill="CCEEFF"/>
          </w:tcPr>
          <w:p>
            <w:pPr>
              <w:spacing w:after="0" w:line="109" w:lineRule="exact"/>
              <w:rPr>
                <w:sz w:val="20"/>
                <w:szCs w:val="20"/>
                <w:color w:val="auto"/>
              </w:rPr>
            </w:pPr>
            <w:r>
              <w:rPr>
                <w:rFonts w:ascii="Arial" w:cs="Arial" w:eastAsia="Arial" w:hAnsi="Arial"/>
                <w:sz w:val="10"/>
                <w:szCs w:val="10"/>
                <w:b w:val="1"/>
                <w:bCs w:val="1"/>
                <w:color w:val="auto"/>
              </w:rPr>
              <w:t>OPERATING EXPENSE</w:t>
            </w:r>
          </w:p>
        </w:tc>
        <w:tc>
          <w:tcPr>
            <w:tcW w:w="3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108"/>
        </w:trPr>
        <w:tc>
          <w:tcPr>
            <w:tcW w:w="1620" w:type="dxa"/>
            <w:vAlign w:val="bottom"/>
          </w:tcPr>
          <w:p>
            <w:pPr>
              <w:ind w:left="200"/>
              <w:spacing w:after="0" w:line="109" w:lineRule="exact"/>
              <w:rPr>
                <w:sz w:val="20"/>
                <w:szCs w:val="20"/>
                <w:color w:val="auto"/>
              </w:rPr>
            </w:pPr>
            <w:r>
              <w:rPr>
                <w:rFonts w:ascii="Arial" w:cs="Arial" w:eastAsia="Arial" w:hAnsi="Arial"/>
                <w:sz w:val="10"/>
                <w:szCs w:val="10"/>
                <w:b w:val="1"/>
                <w:bCs w:val="1"/>
                <w:color w:val="auto"/>
              </w:rPr>
              <w:t>United States</w:t>
            </w:r>
          </w:p>
        </w:tc>
        <w:tc>
          <w:tcPr>
            <w:tcW w:w="3500" w:type="dxa"/>
            <w:vAlign w:val="bottom"/>
          </w:tcPr>
          <w:p>
            <w:pPr>
              <w:ind w:left="200"/>
              <w:spacing w:after="0" w:line="109" w:lineRule="exact"/>
              <w:rPr>
                <w:sz w:val="20"/>
                <w:szCs w:val="20"/>
                <w:color w:val="auto"/>
              </w:rPr>
            </w:pPr>
            <w:r>
              <w:rPr>
                <w:rFonts w:ascii="Arial" w:cs="Arial" w:eastAsia="Arial" w:hAnsi="Arial"/>
                <w:sz w:val="10"/>
                <w:szCs w:val="10"/>
                <w:color w:val="auto"/>
              </w:rPr>
              <w:t>Live theatre cost</w:t>
            </w:r>
          </w:p>
        </w:tc>
        <w:tc>
          <w:tcPr>
            <w:tcW w:w="460" w:type="dxa"/>
            <w:vAlign w:val="bottom"/>
            <w:gridSpan w:val="2"/>
          </w:tcPr>
          <w:p>
            <w:pPr>
              <w:jc w:val="right"/>
              <w:ind w:right="215"/>
              <w:spacing w:after="0" w:line="109" w:lineRule="exact"/>
              <w:rPr>
                <w:sz w:val="20"/>
                <w:szCs w:val="20"/>
                <w:color w:val="auto"/>
              </w:rPr>
            </w:pPr>
            <w:r>
              <w:rPr>
                <w:rFonts w:ascii="Arial" w:cs="Arial" w:eastAsia="Arial" w:hAnsi="Arial"/>
                <w:sz w:val="10"/>
                <w:szCs w:val="10"/>
                <w:color w:val="auto"/>
              </w:rPr>
              <w:t>$</w:t>
            </w:r>
          </w:p>
        </w:tc>
        <w:tc>
          <w:tcPr>
            <w:tcW w:w="1140" w:type="dxa"/>
            <w:vAlign w:val="bottom"/>
            <w:gridSpan w:val="2"/>
          </w:tcPr>
          <w:p>
            <w:pPr>
              <w:jc w:val="right"/>
              <w:ind w:right="180"/>
              <w:spacing w:after="0" w:line="109" w:lineRule="exact"/>
              <w:rPr>
                <w:sz w:val="20"/>
                <w:szCs w:val="20"/>
                <w:color w:val="auto"/>
              </w:rPr>
            </w:pPr>
            <w:r>
              <w:rPr>
                <w:rFonts w:ascii="Arial" w:cs="Arial" w:eastAsia="Arial" w:hAnsi="Arial"/>
                <w:sz w:val="10"/>
                <w:szCs w:val="10"/>
                <w:color w:val="auto"/>
              </w:rPr>
              <w:t>(541)</w:t>
            </w:r>
          </w:p>
        </w:tc>
        <w:tc>
          <w:tcPr>
            <w:tcW w:w="880" w:type="dxa"/>
            <w:vAlign w:val="bottom"/>
          </w:tcPr>
          <w:p>
            <w:pPr>
              <w:jc w:val="right"/>
              <w:ind w:right="189"/>
              <w:spacing w:after="0" w:line="109" w:lineRule="exact"/>
              <w:rPr>
                <w:sz w:val="20"/>
                <w:szCs w:val="20"/>
                <w:color w:val="auto"/>
              </w:rPr>
            </w:pPr>
            <w:r>
              <w:rPr>
                <w:rFonts w:ascii="Arial" w:cs="Arial" w:eastAsia="Arial" w:hAnsi="Arial"/>
                <w:sz w:val="10"/>
                <w:szCs w:val="10"/>
                <w:i w:val="1"/>
                <w:iCs w:val="1"/>
                <w:color w:val="auto"/>
              </w:rPr>
              <w:t>(28)%</w:t>
            </w:r>
          </w:p>
        </w:tc>
        <w:tc>
          <w:tcPr>
            <w:tcW w:w="180" w:type="dxa"/>
            <w:vAlign w:val="bottom"/>
          </w:tcPr>
          <w:p>
            <w:pPr>
              <w:spacing w:after="0"/>
              <w:rPr>
                <w:sz w:val="9"/>
                <w:szCs w:val="9"/>
                <w:color w:val="auto"/>
              </w:rPr>
            </w:pPr>
          </w:p>
        </w:tc>
        <w:tc>
          <w:tcPr>
            <w:tcW w:w="280" w:type="dxa"/>
            <w:vAlign w:val="bottom"/>
            <w:gridSpan w:val="2"/>
          </w:tcPr>
          <w:p>
            <w:pPr>
              <w:jc w:val="right"/>
              <w:ind w:right="195"/>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(698)</w:t>
            </w:r>
          </w:p>
        </w:tc>
        <w:tc>
          <w:tcPr>
            <w:tcW w:w="180" w:type="dxa"/>
            <w:vAlign w:val="bottom"/>
          </w:tcPr>
          <w:p>
            <w:pPr>
              <w:spacing w:after="0"/>
              <w:rPr>
                <w:sz w:val="9"/>
                <w:szCs w:val="9"/>
                <w:color w:val="auto"/>
              </w:rPr>
            </w:pPr>
          </w:p>
        </w:tc>
        <w:tc>
          <w:tcPr>
            <w:tcW w:w="820" w:type="dxa"/>
            <w:vAlign w:val="bottom"/>
          </w:tcPr>
          <w:p>
            <w:pPr>
              <w:jc w:val="right"/>
              <w:ind w:right="129"/>
              <w:spacing w:after="0" w:line="109" w:lineRule="exact"/>
              <w:rPr>
                <w:sz w:val="20"/>
                <w:szCs w:val="20"/>
                <w:color w:val="auto"/>
              </w:rPr>
            </w:pPr>
            <w:r>
              <w:rPr>
                <w:rFonts w:ascii="Arial" w:cs="Arial" w:eastAsia="Arial" w:hAnsi="Arial"/>
                <w:sz w:val="10"/>
                <w:szCs w:val="10"/>
                <w:i w:val="1"/>
                <w:iCs w:val="1"/>
                <w:color w:val="auto"/>
              </w:rPr>
              <w:t>(49)%</w:t>
            </w:r>
          </w:p>
        </w:tc>
        <w:tc>
          <w:tcPr>
            <w:tcW w:w="180" w:type="dxa"/>
            <w:vAlign w:val="bottom"/>
          </w:tcPr>
          <w:p>
            <w:pPr>
              <w:spacing w:after="0"/>
              <w:rPr>
                <w:sz w:val="9"/>
                <w:szCs w:val="9"/>
                <w:color w:val="auto"/>
              </w:rPr>
            </w:pPr>
          </w:p>
        </w:tc>
        <w:tc>
          <w:tcPr>
            <w:tcW w:w="1060" w:type="dxa"/>
            <w:vAlign w:val="bottom"/>
          </w:tcPr>
          <w:p>
            <w:pPr>
              <w:jc w:val="right"/>
              <w:ind w:right="69"/>
              <w:spacing w:after="0" w:line="109" w:lineRule="exact"/>
              <w:rPr>
                <w:sz w:val="20"/>
                <w:szCs w:val="20"/>
                <w:color w:val="auto"/>
              </w:rPr>
            </w:pPr>
            <w:r>
              <w:rPr>
                <w:rFonts w:ascii="Arial" w:cs="Arial" w:eastAsia="Arial" w:hAnsi="Arial"/>
                <w:sz w:val="10"/>
                <w:szCs w:val="10"/>
                <w:color w:val="auto"/>
              </w:rPr>
              <w:t>22 %</w:t>
            </w:r>
          </w:p>
        </w:tc>
      </w:tr>
      <w:tr>
        <w:trPr>
          <w:trHeight w:val="108"/>
        </w:trPr>
        <w:tc>
          <w:tcPr>
            <w:tcW w:w="1620" w:type="dxa"/>
            <w:vAlign w:val="bottom"/>
            <w:shd w:val="clear" w:color="auto" w:fill="CCEEFF"/>
          </w:tcPr>
          <w:p>
            <w:pPr>
              <w:spacing w:after="0"/>
              <w:rPr>
                <w:sz w:val="9"/>
                <w:szCs w:val="9"/>
                <w:color w:val="auto"/>
              </w:rPr>
            </w:pPr>
          </w:p>
        </w:tc>
        <w:tc>
          <w:tcPr>
            <w:tcW w:w="350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Property cost</w:t>
            </w: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80"/>
              <w:spacing w:after="0" w:line="109" w:lineRule="exact"/>
              <w:rPr>
                <w:sz w:val="20"/>
                <w:szCs w:val="20"/>
                <w:color w:val="auto"/>
              </w:rPr>
            </w:pPr>
            <w:r>
              <w:rPr>
                <w:rFonts w:ascii="Arial" w:cs="Arial" w:eastAsia="Arial" w:hAnsi="Arial"/>
                <w:sz w:val="10"/>
                <w:szCs w:val="10"/>
                <w:color w:val="auto"/>
              </w:rPr>
              <w:t>(1,282)</w:t>
            </w:r>
          </w:p>
        </w:tc>
        <w:tc>
          <w:tcPr>
            <w:tcW w:w="88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(67)%</w:t>
            </w:r>
          </w:p>
        </w:tc>
        <w:tc>
          <w:tcPr>
            <w:tcW w:w="18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95"/>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(1,184)</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(83)%</w:t>
            </w: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(8) %</w:t>
            </w:r>
          </w:p>
        </w:tc>
      </w:tr>
      <w:tr>
        <w:trPr>
          <w:trHeight w:val="108"/>
        </w:trPr>
        <w:tc>
          <w:tcPr>
            <w:tcW w:w="1620" w:type="dxa"/>
            <w:vAlign w:val="bottom"/>
          </w:tcPr>
          <w:p>
            <w:pPr>
              <w:spacing w:after="0"/>
              <w:rPr>
                <w:sz w:val="9"/>
                <w:szCs w:val="9"/>
                <w:color w:val="auto"/>
              </w:rPr>
            </w:pPr>
          </w:p>
        </w:tc>
        <w:tc>
          <w:tcPr>
            <w:tcW w:w="3500" w:type="dxa"/>
            <w:vAlign w:val="bottom"/>
          </w:tcPr>
          <w:p>
            <w:pPr>
              <w:ind w:left="200"/>
              <w:spacing w:after="0" w:line="109" w:lineRule="exact"/>
              <w:rPr>
                <w:sz w:val="20"/>
                <w:szCs w:val="20"/>
                <w:color w:val="auto"/>
              </w:rPr>
            </w:pPr>
            <w:r>
              <w:rPr>
                <w:rFonts w:ascii="Arial" w:cs="Arial" w:eastAsia="Arial" w:hAnsi="Arial"/>
                <w:sz w:val="10"/>
                <w:szCs w:val="10"/>
                <w:color w:val="auto"/>
              </w:rPr>
              <w:t>Occupancy expense</w:t>
            </w: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2"/>
          </w:tcPr>
          <w:p>
            <w:pPr>
              <w:jc w:val="right"/>
              <w:ind w:right="180"/>
              <w:spacing w:after="0" w:line="109" w:lineRule="exact"/>
              <w:rPr>
                <w:sz w:val="20"/>
                <w:szCs w:val="20"/>
                <w:color w:val="auto"/>
              </w:rPr>
            </w:pPr>
            <w:r>
              <w:rPr>
                <w:rFonts w:ascii="Arial" w:cs="Arial" w:eastAsia="Arial" w:hAnsi="Arial"/>
                <w:sz w:val="10"/>
                <w:szCs w:val="10"/>
                <w:color w:val="auto"/>
              </w:rPr>
              <w:t>(1,415)</w:t>
            </w:r>
          </w:p>
        </w:tc>
        <w:tc>
          <w:tcPr>
            <w:tcW w:w="880" w:type="dxa"/>
            <w:vAlign w:val="bottom"/>
          </w:tcPr>
          <w:p>
            <w:pPr>
              <w:jc w:val="right"/>
              <w:ind w:right="189"/>
              <w:spacing w:after="0" w:line="109" w:lineRule="exact"/>
              <w:rPr>
                <w:sz w:val="20"/>
                <w:szCs w:val="20"/>
                <w:color w:val="auto"/>
              </w:rPr>
            </w:pPr>
            <w:r>
              <w:rPr>
                <w:rFonts w:ascii="Arial" w:cs="Arial" w:eastAsia="Arial" w:hAnsi="Arial"/>
                <w:sz w:val="10"/>
                <w:szCs w:val="10"/>
                <w:i w:val="1"/>
                <w:iCs w:val="1"/>
                <w:color w:val="auto"/>
              </w:rPr>
              <w:t>(73)%</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(930)</w:t>
            </w:r>
          </w:p>
        </w:tc>
        <w:tc>
          <w:tcPr>
            <w:tcW w:w="180" w:type="dxa"/>
            <w:vAlign w:val="bottom"/>
          </w:tcPr>
          <w:p>
            <w:pPr>
              <w:spacing w:after="0"/>
              <w:rPr>
                <w:sz w:val="9"/>
                <w:szCs w:val="9"/>
                <w:color w:val="auto"/>
              </w:rPr>
            </w:pPr>
          </w:p>
        </w:tc>
        <w:tc>
          <w:tcPr>
            <w:tcW w:w="820" w:type="dxa"/>
            <w:vAlign w:val="bottom"/>
          </w:tcPr>
          <w:p>
            <w:pPr>
              <w:jc w:val="right"/>
              <w:ind w:right="129"/>
              <w:spacing w:after="0" w:line="109" w:lineRule="exact"/>
              <w:rPr>
                <w:sz w:val="20"/>
                <w:szCs w:val="20"/>
                <w:color w:val="auto"/>
              </w:rPr>
            </w:pPr>
            <w:r>
              <w:rPr>
                <w:rFonts w:ascii="Arial" w:cs="Arial" w:eastAsia="Arial" w:hAnsi="Arial"/>
                <w:sz w:val="10"/>
                <w:szCs w:val="10"/>
                <w:i w:val="1"/>
                <w:iCs w:val="1"/>
                <w:color w:val="auto"/>
              </w:rPr>
              <w:t>(65)%</w:t>
            </w:r>
          </w:p>
        </w:tc>
        <w:tc>
          <w:tcPr>
            <w:tcW w:w="180" w:type="dxa"/>
            <w:vAlign w:val="bottom"/>
          </w:tcPr>
          <w:p>
            <w:pPr>
              <w:spacing w:after="0"/>
              <w:rPr>
                <w:sz w:val="9"/>
                <w:szCs w:val="9"/>
                <w:color w:val="auto"/>
              </w:rPr>
            </w:pPr>
          </w:p>
        </w:tc>
        <w:tc>
          <w:tcPr>
            <w:tcW w:w="1060" w:type="dxa"/>
            <w:vAlign w:val="bottom"/>
          </w:tcPr>
          <w:p>
            <w:pPr>
              <w:jc w:val="right"/>
              <w:ind w:right="69"/>
              <w:spacing w:after="0" w:line="109" w:lineRule="exact"/>
              <w:rPr>
                <w:sz w:val="20"/>
                <w:szCs w:val="20"/>
                <w:color w:val="auto"/>
              </w:rPr>
            </w:pPr>
            <w:r>
              <w:rPr>
                <w:rFonts w:ascii="Arial" w:cs="Arial" w:eastAsia="Arial" w:hAnsi="Arial"/>
                <w:sz w:val="10"/>
                <w:szCs w:val="10"/>
                <w:color w:val="auto"/>
              </w:rPr>
              <w:t>(52) %</w:t>
            </w:r>
          </w:p>
        </w:tc>
      </w:tr>
      <w:tr>
        <w:trPr>
          <w:trHeight w:val="99"/>
        </w:trPr>
        <w:tc>
          <w:tcPr>
            <w:tcW w:w="1620" w:type="dxa"/>
            <w:vAlign w:val="bottom"/>
            <w:tcBorders>
              <w:top w:val="single" w:sz="8" w:color="CCEEFF"/>
            </w:tcBorders>
            <w:shd w:val="clear" w:color="auto" w:fill="CCEEFF"/>
          </w:tcPr>
          <w:p>
            <w:pPr>
              <w:spacing w:after="0"/>
              <w:rPr>
                <w:sz w:val="8"/>
                <w:szCs w:val="8"/>
                <w:color w:val="auto"/>
              </w:rPr>
            </w:pPr>
          </w:p>
        </w:tc>
        <w:tc>
          <w:tcPr>
            <w:tcW w:w="35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(3,238)</w:t>
            </w:r>
          </w:p>
        </w:tc>
        <w:tc>
          <w:tcPr>
            <w:tcW w:w="18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jc w:val="right"/>
              <w:ind w:right="189"/>
              <w:spacing w:after="0" w:line="100" w:lineRule="exact"/>
              <w:rPr>
                <w:sz w:val="20"/>
                <w:szCs w:val="20"/>
                <w:color w:val="auto"/>
              </w:rPr>
            </w:pPr>
            <w:r>
              <w:rPr>
                <w:rFonts w:ascii="Arial" w:cs="Arial" w:eastAsia="Arial" w:hAnsi="Arial"/>
                <w:sz w:val="10"/>
                <w:szCs w:val="10"/>
                <w:i w:val="1"/>
                <w:iCs w:val="1"/>
                <w:color w:val="auto"/>
              </w:rPr>
              <w:t>(168)%</w:t>
            </w: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(2,812)</w:t>
            </w: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jc w:val="right"/>
              <w:ind w:right="129"/>
              <w:spacing w:after="0" w:line="100" w:lineRule="exact"/>
              <w:rPr>
                <w:sz w:val="20"/>
                <w:szCs w:val="20"/>
                <w:color w:val="auto"/>
              </w:rPr>
            </w:pPr>
            <w:r>
              <w:rPr>
                <w:rFonts w:ascii="Arial" w:cs="Arial" w:eastAsia="Arial" w:hAnsi="Arial"/>
                <w:sz w:val="10"/>
                <w:szCs w:val="10"/>
                <w:i w:val="1"/>
                <w:iCs w:val="1"/>
                <w:color w:val="auto"/>
              </w:rPr>
              <w:t>(198)%</w:t>
            </w:r>
          </w:p>
        </w:tc>
        <w:tc>
          <w:tcPr>
            <w:tcW w:w="18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CCEEFF"/>
            </w:tcBorders>
            <w:shd w:val="clear" w:color="auto" w:fill="CCEEFF"/>
          </w:tcPr>
          <w:p>
            <w:pPr>
              <w:jc w:val="right"/>
              <w:ind w:right="69"/>
              <w:spacing w:after="0" w:line="100" w:lineRule="exact"/>
              <w:rPr>
                <w:sz w:val="20"/>
                <w:szCs w:val="20"/>
                <w:color w:val="auto"/>
              </w:rPr>
            </w:pPr>
            <w:r>
              <w:rPr>
                <w:rFonts w:ascii="Arial" w:cs="Arial" w:eastAsia="Arial" w:hAnsi="Arial"/>
                <w:sz w:val="10"/>
                <w:szCs w:val="10"/>
                <w:color w:val="auto"/>
              </w:rPr>
              <w:t>(15) %</w:t>
            </w:r>
          </w:p>
        </w:tc>
      </w:tr>
      <w:tr>
        <w:trPr>
          <w:trHeight w:val="108"/>
        </w:trPr>
        <w:tc>
          <w:tcPr>
            <w:tcW w:w="1620" w:type="dxa"/>
            <w:vAlign w:val="bottom"/>
          </w:tcPr>
          <w:p>
            <w:pPr>
              <w:ind w:left="200"/>
              <w:spacing w:after="0" w:line="109" w:lineRule="exact"/>
              <w:rPr>
                <w:sz w:val="20"/>
                <w:szCs w:val="20"/>
                <w:color w:val="auto"/>
              </w:rPr>
            </w:pPr>
            <w:r>
              <w:rPr>
                <w:rFonts w:ascii="Arial" w:cs="Arial" w:eastAsia="Arial" w:hAnsi="Arial"/>
                <w:sz w:val="10"/>
                <w:szCs w:val="10"/>
                <w:b w:val="1"/>
                <w:bCs w:val="1"/>
                <w:color w:val="auto"/>
              </w:rPr>
              <w:t>Australia</w:t>
            </w:r>
          </w:p>
        </w:tc>
        <w:tc>
          <w:tcPr>
            <w:tcW w:w="3500" w:type="dxa"/>
            <w:vAlign w:val="bottom"/>
          </w:tcPr>
          <w:p>
            <w:pPr>
              <w:ind w:left="200"/>
              <w:spacing w:after="0" w:line="109" w:lineRule="exact"/>
              <w:rPr>
                <w:sz w:val="20"/>
                <w:szCs w:val="20"/>
                <w:color w:val="auto"/>
              </w:rPr>
            </w:pPr>
            <w:r>
              <w:rPr>
                <w:rFonts w:ascii="Arial" w:cs="Arial" w:eastAsia="Arial" w:hAnsi="Arial"/>
                <w:sz w:val="10"/>
                <w:szCs w:val="10"/>
                <w:color w:val="auto"/>
              </w:rPr>
              <w:t>Property cost</w:t>
            </w:r>
          </w:p>
        </w:tc>
        <w:tc>
          <w:tcPr>
            <w:tcW w:w="460" w:type="dxa"/>
            <w:vAlign w:val="bottom"/>
            <w:gridSpan w:val="2"/>
          </w:tcPr>
          <w:p>
            <w:pPr>
              <w:jc w:val="right"/>
              <w:ind w:right="215"/>
              <w:spacing w:after="0" w:line="109" w:lineRule="exact"/>
              <w:rPr>
                <w:sz w:val="20"/>
                <w:szCs w:val="20"/>
                <w:color w:val="auto"/>
              </w:rPr>
            </w:pPr>
            <w:r>
              <w:rPr>
                <w:rFonts w:ascii="Arial" w:cs="Arial" w:eastAsia="Arial" w:hAnsi="Arial"/>
                <w:sz w:val="10"/>
                <w:szCs w:val="10"/>
                <w:color w:val="auto"/>
              </w:rPr>
              <w:t>$</w:t>
            </w:r>
          </w:p>
        </w:tc>
        <w:tc>
          <w:tcPr>
            <w:tcW w:w="1140" w:type="dxa"/>
            <w:vAlign w:val="bottom"/>
            <w:gridSpan w:val="2"/>
          </w:tcPr>
          <w:p>
            <w:pPr>
              <w:jc w:val="right"/>
              <w:ind w:right="180"/>
              <w:spacing w:after="0" w:line="109" w:lineRule="exact"/>
              <w:rPr>
                <w:sz w:val="20"/>
                <w:szCs w:val="20"/>
                <w:color w:val="auto"/>
              </w:rPr>
            </w:pPr>
            <w:r>
              <w:rPr>
                <w:rFonts w:ascii="Arial" w:cs="Arial" w:eastAsia="Arial" w:hAnsi="Arial"/>
                <w:sz w:val="10"/>
                <w:szCs w:val="10"/>
                <w:color w:val="auto"/>
              </w:rPr>
              <w:t>(2,699)</w:t>
            </w:r>
          </w:p>
        </w:tc>
        <w:tc>
          <w:tcPr>
            <w:tcW w:w="880" w:type="dxa"/>
            <w:vAlign w:val="bottom"/>
          </w:tcPr>
          <w:p>
            <w:pPr>
              <w:jc w:val="right"/>
              <w:ind w:right="189"/>
              <w:spacing w:after="0" w:line="109" w:lineRule="exact"/>
              <w:rPr>
                <w:sz w:val="20"/>
                <w:szCs w:val="20"/>
                <w:color w:val="auto"/>
              </w:rPr>
            </w:pPr>
            <w:r>
              <w:rPr>
                <w:rFonts w:ascii="Arial" w:cs="Arial" w:eastAsia="Arial" w:hAnsi="Arial"/>
                <w:sz w:val="10"/>
                <w:szCs w:val="10"/>
                <w:i w:val="1"/>
                <w:iCs w:val="1"/>
                <w:color w:val="auto"/>
              </w:rPr>
              <w:t>(27)%</w:t>
            </w:r>
          </w:p>
        </w:tc>
        <w:tc>
          <w:tcPr>
            <w:tcW w:w="180" w:type="dxa"/>
            <w:vAlign w:val="bottom"/>
          </w:tcPr>
          <w:p>
            <w:pPr>
              <w:spacing w:after="0"/>
              <w:rPr>
                <w:sz w:val="9"/>
                <w:szCs w:val="9"/>
                <w:color w:val="auto"/>
              </w:rPr>
            </w:pPr>
          </w:p>
        </w:tc>
        <w:tc>
          <w:tcPr>
            <w:tcW w:w="280" w:type="dxa"/>
            <w:vAlign w:val="bottom"/>
            <w:gridSpan w:val="2"/>
          </w:tcPr>
          <w:p>
            <w:pPr>
              <w:jc w:val="right"/>
              <w:ind w:right="195"/>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(2,457)</w:t>
            </w:r>
          </w:p>
        </w:tc>
        <w:tc>
          <w:tcPr>
            <w:tcW w:w="180" w:type="dxa"/>
            <w:vAlign w:val="bottom"/>
          </w:tcPr>
          <w:p>
            <w:pPr>
              <w:spacing w:after="0"/>
              <w:rPr>
                <w:sz w:val="9"/>
                <w:szCs w:val="9"/>
                <w:color w:val="auto"/>
              </w:rPr>
            </w:pPr>
          </w:p>
        </w:tc>
        <w:tc>
          <w:tcPr>
            <w:tcW w:w="820" w:type="dxa"/>
            <w:vAlign w:val="bottom"/>
          </w:tcPr>
          <w:p>
            <w:pPr>
              <w:jc w:val="right"/>
              <w:ind w:right="129"/>
              <w:spacing w:after="0" w:line="109" w:lineRule="exact"/>
              <w:rPr>
                <w:sz w:val="20"/>
                <w:szCs w:val="20"/>
                <w:color w:val="auto"/>
              </w:rPr>
            </w:pPr>
            <w:r>
              <w:rPr>
                <w:rFonts w:ascii="Arial" w:cs="Arial" w:eastAsia="Arial" w:hAnsi="Arial"/>
                <w:sz w:val="10"/>
                <w:szCs w:val="10"/>
                <w:i w:val="1"/>
                <w:iCs w:val="1"/>
                <w:color w:val="auto"/>
              </w:rPr>
              <w:t>(23)%</w:t>
            </w:r>
          </w:p>
        </w:tc>
        <w:tc>
          <w:tcPr>
            <w:tcW w:w="180" w:type="dxa"/>
            <w:vAlign w:val="bottom"/>
          </w:tcPr>
          <w:p>
            <w:pPr>
              <w:spacing w:after="0"/>
              <w:rPr>
                <w:sz w:val="9"/>
                <w:szCs w:val="9"/>
                <w:color w:val="auto"/>
              </w:rPr>
            </w:pPr>
          </w:p>
        </w:tc>
        <w:tc>
          <w:tcPr>
            <w:tcW w:w="1060" w:type="dxa"/>
            <w:vAlign w:val="bottom"/>
          </w:tcPr>
          <w:p>
            <w:pPr>
              <w:jc w:val="right"/>
              <w:ind w:right="69"/>
              <w:spacing w:after="0" w:line="109" w:lineRule="exact"/>
              <w:rPr>
                <w:sz w:val="20"/>
                <w:szCs w:val="20"/>
                <w:color w:val="auto"/>
              </w:rPr>
            </w:pPr>
            <w:r>
              <w:rPr>
                <w:rFonts w:ascii="Arial" w:cs="Arial" w:eastAsia="Arial" w:hAnsi="Arial"/>
                <w:sz w:val="10"/>
                <w:szCs w:val="10"/>
                <w:color w:val="auto"/>
              </w:rPr>
              <w:t>(10) %</w:t>
            </w:r>
          </w:p>
        </w:tc>
      </w:tr>
      <w:tr>
        <w:trPr>
          <w:trHeight w:val="108"/>
        </w:trPr>
        <w:tc>
          <w:tcPr>
            <w:tcW w:w="1620" w:type="dxa"/>
            <w:vAlign w:val="bottom"/>
            <w:shd w:val="clear" w:color="auto" w:fill="CCEEFF"/>
          </w:tcPr>
          <w:p>
            <w:pPr>
              <w:spacing w:after="0"/>
              <w:rPr>
                <w:sz w:val="9"/>
                <w:szCs w:val="9"/>
                <w:color w:val="auto"/>
              </w:rPr>
            </w:pPr>
          </w:p>
        </w:tc>
        <w:tc>
          <w:tcPr>
            <w:tcW w:w="350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Occupancy expense</w:t>
            </w: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80"/>
              <w:spacing w:after="0" w:line="109" w:lineRule="exact"/>
              <w:rPr>
                <w:sz w:val="20"/>
                <w:szCs w:val="20"/>
                <w:color w:val="auto"/>
              </w:rPr>
            </w:pPr>
            <w:r>
              <w:rPr>
                <w:rFonts w:ascii="Arial" w:cs="Arial" w:eastAsia="Arial" w:hAnsi="Arial"/>
                <w:sz w:val="10"/>
                <w:szCs w:val="10"/>
                <w:color w:val="auto"/>
              </w:rPr>
              <w:t>(2,251)</w:t>
            </w:r>
          </w:p>
        </w:tc>
        <w:tc>
          <w:tcPr>
            <w:tcW w:w="88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(23)%</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(1,874)</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(18)%</w:t>
            </w: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(20) %</w:t>
            </w:r>
          </w:p>
        </w:tc>
      </w:tr>
      <w:tr>
        <w:trPr>
          <w:trHeight w:val="99"/>
        </w:trPr>
        <w:tc>
          <w:tcPr>
            <w:tcW w:w="16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top w:val="single" w:sz="8" w:color="auto"/>
            </w:tcBorders>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(4,950)</w:t>
            </w:r>
          </w:p>
        </w:tc>
        <w:tc>
          <w:tcPr>
            <w:tcW w:w="180" w:type="dxa"/>
            <w:vAlign w:val="bottom"/>
          </w:tcPr>
          <w:p>
            <w:pPr>
              <w:spacing w:after="0"/>
              <w:rPr>
                <w:sz w:val="8"/>
                <w:szCs w:val="8"/>
                <w:color w:val="auto"/>
              </w:rPr>
            </w:pPr>
          </w:p>
        </w:tc>
        <w:tc>
          <w:tcPr>
            <w:tcW w:w="880" w:type="dxa"/>
            <w:vAlign w:val="bottom"/>
          </w:tcPr>
          <w:p>
            <w:pPr>
              <w:jc w:val="right"/>
              <w:ind w:right="189"/>
              <w:spacing w:after="0" w:line="100" w:lineRule="exact"/>
              <w:rPr>
                <w:sz w:val="20"/>
                <w:szCs w:val="20"/>
                <w:color w:val="auto"/>
              </w:rPr>
            </w:pPr>
            <w:r>
              <w:rPr>
                <w:rFonts w:ascii="Arial" w:cs="Arial" w:eastAsia="Arial" w:hAnsi="Arial"/>
                <w:sz w:val="10"/>
                <w:szCs w:val="10"/>
                <w:i w:val="1"/>
                <w:iCs w:val="1"/>
                <w:color w:val="auto"/>
              </w:rPr>
              <w:t>(50)%</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top w:val="single" w:sz="8" w:color="auto"/>
            </w:tcBorders>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(4,331)</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jc w:val="right"/>
              <w:ind w:right="129"/>
              <w:spacing w:after="0" w:line="100" w:lineRule="exact"/>
              <w:rPr>
                <w:sz w:val="20"/>
                <w:szCs w:val="20"/>
                <w:color w:val="auto"/>
              </w:rPr>
            </w:pPr>
            <w:r>
              <w:rPr>
                <w:rFonts w:ascii="Arial" w:cs="Arial" w:eastAsia="Arial" w:hAnsi="Arial"/>
                <w:sz w:val="10"/>
                <w:szCs w:val="10"/>
                <w:i w:val="1"/>
                <w:iCs w:val="1"/>
                <w:color w:val="auto"/>
              </w:rPr>
              <w:t>(41)%</w:t>
            </w:r>
          </w:p>
        </w:tc>
        <w:tc>
          <w:tcPr>
            <w:tcW w:w="180" w:type="dxa"/>
            <w:vAlign w:val="bottom"/>
          </w:tcPr>
          <w:p>
            <w:pPr>
              <w:spacing w:after="0"/>
              <w:rPr>
                <w:sz w:val="8"/>
                <w:szCs w:val="8"/>
                <w:color w:val="auto"/>
              </w:rPr>
            </w:pPr>
          </w:p>
        </w:tc>
        <w:tc>
          <w:tcPr>
            <w:tcW w:w="1060" w:type="dxa"/>
            <w:vAlign w:val="bottom"/>
          </w:tcPr>
          <w:p>
            <w:pPr>
              <w:jc w:val="right"/>
              <w:ind w:right="69"/>
              <w:spacing w:after="0" w:line="100" w:lineRule="exact"/>
              <w:rPr>
                <w:sz w:val="20"/>
                <w:szCs w:val="20"/>
                <w:color w:val="auto"/>
              </w:rPr>
            </w:pPr>
            <w:r>
              <w:rPr>
                <w:rFonts w:ascii="Arial" w:cs="Arial" w:eastAsia="Arial" w:hAnsi="Arial"/>
                <w:sz w:val="10"/>
                <w:szCs w:val="10"/>
                <w:color w:val="auto"/>
              </w:rPr>
              <w:t>(14) %</w:t>
            </w:r>
          </w:p>
        </w:tc>
      </w:tr>
      <w:tr>
        <w:trPr>
          <w:trHeight w:val="108"/>
        </w:trPr>
        <w:tc>
          <w:tcPr>
            <w:tcW w:w="162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b w:val="1"/>
                <w:bCs w:val="1"/>
                <w:color w:val="auto"/>
              </w:rPr>
              <w:t>New Zealand</w:t>
            </w:r>
          </w:p>
        </w:tc>
        <w:tc>
          <w:tcPr>
            <w:tcW w:w="350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Property cost</w:t>
            </w:r>
          </w:p>
        </w:tc>
        <w:tc>
          <w:tcPr>
            <w:tcW w:w="460" w:type="dxa"/>
            <w:vAlign w:val="bottom"/>
            <w:gridSpan w:val="2"/>
            <w:shd w:val="clear" w:color="auto" w:fill="CCEEFF"/>
          </w:tcPr>
          <w:p>
            <w:pPr>
              <w:jc w:val="right"/>
              <w:ind w:right="215"/>
              <w:spacing w:after="0" w:line="109" w:lineRule="exact"/>
              <w:rPr>
                <w:sz w:val="20"/>
                <w:szCs w:val="20"/>
                <w:color w:val="auto"/>
              </w:rPr>
            </w:pPr>
            <w:r>
              <w:rPr>
                <w:rFonts w:ascii="Arial" w:cs="Arial" w:eastAsia="Arial" w:hAnsi="Arial"/>
                <w:sz w:val="10"/>
                <w:szCs w:val="10"/>
                <w:color w:val="auto"/>
              </w:rPr>
              <w:t>$</w:t>
            </w:r>
          </w:p>
        </w:tc>
        <w:tc>
          <w:tcPr>
            <w:tcW w:w="1140" w:type="dxa"/>
            <w:vAlign w:val="bottom"/>
            <w:gridSpan w:val="2"/>
            <w:shd w:val="clear" w:color="auto" w:fill="CCEEFF"/>
          </w:tcPr>
          <w:p>
            <w:pPr>
              <w:jc w:val="right"/>
              <w:ind w:right="180"/>
              <w:spacing w:after="0" w:line="109" w:lineRule="exact"/>
              <w:rPr>
                <w:sz w:val="20"/>
                <w:szCs w:val="20"/>
                <w:color w:val="auto"/>
              </w:rPr>
            </w:pPr>
            <w:r>
              <w:rPr>
                <w:rFonts w:ascii="Arial" w:cs="Arial" w:eastAsia="Arial" w:hAnsi="Arial"/>
                <w:sz w:val="10"/>
                <w:szCs w:val="10"/>
                <w:color w:val="auto"/>
              </w:rPr>
              <w:t>(1,470)</w:t>
            </w:r>
          </w:p>
        </w:tc>
        <w:tc>
          <w:tcPr>
            <w:tcW w:w="88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(150)%</w:t>
            </w:r>
          </w:p>
        </w:tc>
        <w:tc>
          <w:tcPr>
            <w:tcW w:w="18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95"/>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(1,002)</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(104)%</w:t>
            </w: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(47) %</w:t>
            </w:r>
          </w:p>
        </w:tc>
      </w:tr>
      <w:tr>
        <w:trPr>
          <w:trHeight w:val="108"/>
        </w:trPr>
        <w:tc>
          <w:tcPr>
            <w:tcW w:w="1620" w:type="dxa"/>
            <w:vAlign w:val="bottom"/>
          </w:tcPr>
          <w:p>
            <w:pPr>
              <w:spacing w:after="0"/>
              <w:rPr>
                <w:sz w:val="9"/>
                <w:szCs w:val="9"/>
                <w:color w:val="auto"/>
              </w:rPr>
            </w:pPr>
          </w:p>
        </w:tc>
        <w:tc>
          <w:tcPr>
            <w:tcW w:w="3500" w:type="dxa"/>
            <w:vAlign w:val="bottom"/>
          </w:tcPr>
          <w:p>
            <w:pPr>
              <w:ind w:left="200"/>
              <w:spacing w:after="0" w:line="109" w:lineRule="exact"/>
              <w:rPr>
                <w:sz w:val="20"/>
                <w:szCs w:val="20"/>
                <w:color w:val="auto"/>
              </w:rPr>
            </w:pPr>
            <w:r>
              <w:rPr>
                <w:rFonts w:ascii="Arial" w:cs="Arial" w:eastAsia="Arial" w:hAnsi="Arial"/>
                <w:sz w:val="10"/>
                <w:szCs w:val="10"/>
                <w:color w:val="auto"/>
              </w:rPr>
              <w:t>Occupancy expense</w:t>
            </w: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2"/>
          </w:tcPr>
          <w:p>
            <w:pPr>
              <w:jc w:val="right"/>
              <w:ind w:right="180"/>
              <w:spacing w:after="0" w:line="109" w:lineRule="exact"/>
              <w:rPr>
                <w:sz w:val="20"/>
                <w:szCs w:val="20"/>
                <w:color w:val="auto"/>
              </w:rPr>
            </w:pPr>
            <w:r>
              <w:rPr>
                <w:rFonts w:ascii="Arial" w:cs="Arial" w:eastAsia="Arial" w:hAnsi="Arial"/>
                <w:sz w:val="10"/>
                <w:szCs w:val="10"/>
                <w:color w:val="auto"/>
              </w:rPr>
              <w:t>(448)</w:t>
            </w:r>
          </w:p>
        </w:tc>
        <w:tc>
          <w:tcPr>
            <w:tcW w:w="880" w:type="dxa"/>
            <w:vAlign w:val="bottom"/>
          </w:tcPr>
          <w:p>
            <w:pPr>
              <w:jc w:val="right"/>
              <w:ind w:right="189"/>
              <w:spacing w:after="0" w:line="109" w:lineRule="exact"/>
              <w:rPr>
                <w:sz w:val="20"/>
                <w:szCs w:val="20"/>
                <w:color w:val="auto"/>
              </w:rPr>
            </w:pPr>
            <w:r>
              <w:rPr>
                <w:rFonts w:ascii="Arial" w:cs="Arial" w:eastAsia="Arial" w:hAnsi="Arial"/>
                <w:sz w:val="10"/>
                <w:szCs w:val="10"/>
                <w:i w:val="1"/>
                <w:iCs w:val="1"/>
                <w:color w:val="auto"/>
              </w:rPr>
              <w:t>(46)%</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(432)</w:t>
            </w:r>
          </w:p>
        </w:tc>
        <w:tc>
          <w:tcPr>
            <w:tcW w:w="180" w:type="dxa"/>
            <w:vAlign w:val="bottom"/>
          </w:tcPr>
          <w:p>
            <w:pPr>
              <w:spacing w:after="0"/>
              <w:rPr>
                <w:sz w:val="9"/>
                <w:szCs w:val="9"/>
                <w:color w:val="auto"/>
              </w:rPr>
            </w:pPr>
          </w:p>
        </w:tc>
        <w:tc>
          <w:tcPr>
            <w:tcW w:w="820" w:type="dxa"/>
            <w:vAlign w:val="bottom"/>
          </w:tcPr>
          <w:p>
            <w:pPr>
              <w:jc w:val="right"/>
              <w:ind w:right="129"/>
              <w:spacing w:after="0" w:line="109" w:lineRule="exact"/>
              <w:rPr>
                <w:sz w:val="20"/>
                <w:szCs w:val="20"/>
                <w:color w:val="auto"/>
              </w:rPr>
            </w:pPr>
            <w:r>
              <w:rPr>
                <w:rFonts w:ascii="Arial" w:cs="Arial" w:eastAsia="Arial" w:hAnsi="Arial"/>
                <w:sz w:val="10"/>
                <w:szCs w:val="10"/>
                <w:i w:val="1"/>
                <w:iCs w:val="1"/>
                <w:color w:val="auto"/>
              </w:rPr>
              <w:t>(45)%</w:t>
            </w:r>
          </w:p>
        </w:tc>
        <w:tc>
          <w:tcPr>
            <w:tcW w:w="180" w:type="dxa"/>
            <w:vAlign w:val="bottom"/>
          </w:tcPr>
          <w:p>
            <w:pPr>
              <w:spacing w:after="0"/>
              <w:rPr>
                <w:sz w:val="9"/>
                <w:szCs w:val="9"/>
                <w:color w:val="auto"/>
              </w:rPr>
            </w:pPr>
          </w:p>
        </w:tc>
        <w:tc>
          <w:tcPr>
            <w:tcW w:w="1060" w:type="dxa"/>
            <w:vAlign w:val="bottom"/>
          </w:tcPr>
          <w:p>
            <w:pPr>
              <w:jc w:val="right"/>
              <w:ind w:right="69"/>
              <w:spacing w:after="0" w:line="109" w:lineRule="exact"/>
              <w:rPr>
                <w:sz w:val="20"/>
                <w:szCs w:val="20"/>
                <w:color w:val="auto"/>
              </w:rPr>
            </w:pPr>
            <w:r>
              <w:rPr>
                <w:rFonts w:ascii="Arial" w:cs="Arial" w:eastAsia="Arial" w:hAnsi="Arial"/>
                <w:sz w:val="10"/>
                <w:szCs w:val="10"/>
                <w:color w:val="auto"/>
              </w:rPr>
              <w:t>(4) %</w:t>
            </w:r>
          </w:p>
        </w:tc>
      </w:tr>
      <w:tr>
        <w:trPr>
          <w:trHeight w:val="99"/>
        </w:trPr>
        <w:tc>
          <w:tcPr>
            <w:tcW w:w="1620" w:type="dxa"/>
            <w:vAlign w:val="bottom"/>
            <w:tcBorders>
              <w:top w:val="single" w:sz="8" w:color="CCEEFF"/>
            </w:tcBorders>
            <w:shd w:val="clear" w:color="auto" w:fill="CCEEFF"/>
          </w:tcPr>
          <w:p>
            <w:pPr>
              <w:spacing w:after="0"/>
              <w:rPr>
                <w:sz w:val="8"/>
                <w:szCs w:val="8"/>
                <w:color w:val="auto"/>
              </w:rPr>
            </w:pPr>
          </w:p>
        </w:tc>
        <w:tc>
          <w:tcPr>
            <w:tcW w:w="35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(1,918)</w:t>
            </w:r>
          </w:p>
        </w:tc>
        <w:tc>
          <w:tcPr>
            <w:tcW w:w="18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jc w:val="right"/>
              <w:ind w:right="189"/>
              <w:spacing w:after="0" w:line="100" w:lineRule="exact"/>
              <w:rPr>
                <w:sz w:val="20"/>
                <w:szCs w:val="20"/>
                <w:color w:val="auto"/>
              </w:rPr>
            </w:pPr>
            <w:r>
              <w:rPr>
                <w:rFonts w:ascii="Arial" w:cs="Arial" w:eastAsia="Arial" w:hAnsi="Arial"/>
                <w:sz w:val="10"/>
                <w:szCs w:val="10"/>
                <w:i w:val="1"/>
                <w:iCs w:val="1"/>
                <w:color w:val="auto"/>
              </w:rPr>
              <w:t>(195)%</w:t>
            </w: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(1,434)</w:t>
            </w: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jc w:val="right"/>
              <w:ind w:right="129"/>
              <w:spacing w:after="0" w:line="100" w:lineRule="exact"/>
              <w:rPr>
                <w:sz w:val="20"/>
                <w:szCs w:val="20"/>
                <w:color w:val="auto"/>
              </w:rPr>
            </w:pPr>
            <w:r>
              <w:rPr>
                <w:rFonts w:ascii="Arial" w:cs="Arial" w:eastAsia="Arial" w:hAnsi="Arial"/>
                <w:sz w:val="10"/>
                <w:szCs w:val="10"/>
                <w:i w:val="1"/>
                <w:iCs w:val="1"/>
                <w:color w:val="auto"/>
              </w:rPr>
              <w:t>(149)%</w:t>
            </w:r>
          </w:p>
        </w:tc>
        <w:tc>
          <w:tcPr>
            <w:tcW w:w="18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CCEEFF"/>
            </w:tcBorders>
            <w:shd w:val="clear" w:color="auto" w:fill="CCEEFF"/>
          </w:tcPr>
          <w:p>
            <w:pPr>
              <w:jc w:val="right"/>
              <w:ind w:right="69"/>
              <w:spacing w:after="0" w:line="100" w:lineRule="exact"/>
              <w:rPr>
                <w:sz w:val="20"/>
                <w:szCs w:val="20"/>
                <w:color w:val="auto"/>
              </w:rPr>
            </w:pPr>
            <w:r>
              <w:rPr>
                <w:rFonts w:ascii="Arial" w:cs="Arial" w:eastAsia="Arial" w:hAnsi="Arial"/>
                <w:sz w:val="10"/>
                <w:szCs w:val="10"/>
                <w:color w:val="auto"/>
              </w:rPr>
              <w:t>(34) %</w:t>
            </w:r>
          </w:p>
        </w:tc>
      </w:tr>
      <w:tr>
        <w:trPr>
          <w:trHeight w:val="110"/>
        </w:trPr>
        <w:tc>
          <w:tcPr>
            <w:tcW w:w="1620" w:type="dxa"/>
            <w:vAlign w:val="bottom"/>
            <w:tcBorders>
              <w:bottom w:val="single" w:sz="8" w:color="CCEEFF"/>
            </w:tcBorders>
          </w:tcPr>
          <w:p>
            <w:pPr>
              <w:spacing w:after="0"/>
              <w:rPr>
                <w:sz w:val="9"/>
                <w:szCs w:val="9"/>
                <w:color w:val="auto"/>
              </w:rPr>
            </w:pPr>
          </w:p>
        </w:tc>
        <w:tc>
          <w:tcPr>
            <w:tcW w:w="35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1060" w:type="dxa"/>
            <w:vAlign w:val="bottom"/>
            <w:tcBorders>
              <w:bottom w:val="single" w:sz="8" w:color="CCEEFF"/>
            </w:tcBorders>
          </w:tcPr>
          <w:p>
            <w:pPr>
              <w:spacing w:after="0"/>
              <w:rPr>
                <w:sz w:val="9"/>
                <w:szCs w:val="9"/>
                <w:color w:val="auto"/>
              </w:rPr>
            </w:pPr>
          </w:p>
        </w:tc>
      </w:tr>
      <w:tr>
        <w:trPr>
          <w:trHeight w:val="128"/>
        </w:trPr>
        <w:tc>
          <w:tcPr>
            <w:tcW w:w="1620" w:type="dxa"/>
            <w:vAlign w:val="bottom"/>
            <w:tcBorders>
              <w:bottom w:val="single" w:sz="8" w:color="CCEEFF"/>
            </w:tcBorders>
            <w:shd w:val="clear" w:color="auto" w:fill="CCEEFF"/>
          </w:tcPr>
          <w:p>
            <w:pPr>
              <w:ind w:left="200"/>
              <w:spacing w:after="0" w:line="109" w:lineRule="exact"/>
              <w:rPr>
                <w:sz w:val="20"/>
                <w:szCs w:val="20"/>
                <w:color w:val="auto"/>
              </w:rPr>
            </w:pPr>
            <w:r>
              <w:rPr>
                <w:rFonts w:ascii="Arial" w:cs="Arial" w:eastAsia="Arial" w:hAnsi="Arial"/>
                <w:sz w:val="10"/>
                <w:szCs w:val="10"/>
                <w:b w:val="1"/>
                <w:bCs w:val="1"/>
                <w:color w:val="auto"/>
              </w:rPr>
              <w:t>Total operating expense</w:t>
            </w:r>
          </w:p>
        </w:tc>
        <w:tc>
          <w:tcPr>
            <w:tcW w:w="35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b w:val="1"/>
                <w:bCs w:val="1"/>
                <w:color w:val="auto"/>
              </w:rPr>
              <w:t>(10,106)</w:t>
            </w:r>
          </w:p>
        </w:tc>
        <w:tc>
          <w:tcPr>
            <w:tcW w:w="18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(79)%</w:t>
            </w:r>
          </w:p>
        </w:tc>
        <w:tc>
          <w:tcPr>
            <w:tcW w:w="1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b w:val="1"/>
                <w:bCs w:val="1"/>
                <w:color w:val="auto"/>
              </w:rPr>
              <w:t>(8,577)</w:t>
            </w: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(66)%</w:t>
            </w:r>
          </w:p>
        </w:tc>
        <w:tc>
          <w:tcPr>
            <w:tcW w:w="18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(18) %</w:t>
            </w:r>
          </w:p>
        </w:tc>
      </w:tr>
      <w:tr>
        <w:trPr>
          <w:trHeight w:val="90"/>
        </w:trPr>
        <w:tc>
          <w:tcPr>
            <w:tcW w:w="5120" w:type="dxa"/>
            <w:vAlign w:val="bottom"/>
            <w:gridSpan w:val="2"/>
          </w:tcPr>
          <w:p>
            <w:pPr>
              <w:spacing w:after="0" w:line="91" w:lineRule="exact"/>
              <w:rPr>
                <w:sz w:val="20"/>
                <w:szCs w:val="20"/>
                <w:color w:val="auto"/>
              </w:rPr>
            </w:pPr>
            <w:r>
              <w:rPr>
                <w:rFonts w:ascii="Arial" w:cs="Arial" w:eastAsia="Arial" w:hAnsi="Arial"/>
                <w:sz w:val="10"/>
                <w:szCs w:val="10"/>
                <w:b w:val="1"/>
                <w:bCs w:val="1"/>
                <w:color w:val="auto"/>
              </w:rPr>
              <w:t>DEPRECIATION, AMORTIZATION, GENERAL AND ADMINISTRATIVE EXPENSE</w:t>
            </w: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108"/>
        </w:trPr>
        <w:tc>
          <w:tcPr>
            <w:tcW w:w="162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b w:val="1"/>
                <w:bCs w:val="1"/>
                <w:color w:val="auto"/>
              </w:rPr>
              <w:t>United States</w:t>
            </w:r>
          </w:p>
        </w:tc>
        <w:tc>
          <w:tcPr>
            <w:tcW w:w="350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Depreciation and amortization</w:t>
            </w:r>
          </w:p>
        </w:tc>
        <w:tc>
          <w:tcPr>
            <w:tcW w:w="460" w:type="dxa"/>
            <w:vAlign w:val="bottom"/>
            <w:gridSpan w:val="2"/>
            <w:shd w:val="clear" w:color="auto" w:fill="CCEEFF"/>
          </w:tcPr>
          <w:p>
            <w:pPr>
              <w:jc w:val="right"/>
              <w:ind w:right="215"/>
              <w:spacing w:after="0" w:line="109" w:lineRule="exact"/>
              <w:rPr>
                <w:sz w:val="20"/>
                <w:szCs w:val="20"/>
                <w:color w:val="auto"/>
              </w:rPr>
            </w:pPr>
            <w:r>
              <w:rPr>
                <w:rFonts w:ascii="Arial" w:cs="Arial" w:eastAsia="Arial" w:hAnsi="Arial"/>
                <w:sz w:val="10"/>
                <w:szCs w:val="10"/>
                <w:color w:val="auto"/>
              </w:rPr>
              <w:t>$</w:t>
            </w:r>
          </w:p>
        </w:tc>
        <w:tc>
          <w:tcPr>
            <w:tcW w:w="1140" w:type="dxa"/>
            <w:vAlign w:val="bottom"/>
            <w:gridSpan w:val="2"/>
            <w:shd w:val="clear" w:color="auto" w:fill="CCEEFF"/>
          </w:tcPr>
          <w:p>
            <w:pPr>
              <w:jc w:val="right"/>
              <w:ind w:right="180"/>
              <w:spacing w:after="0" w:line="109" w:lineRule="exact"/>
              <w:rPr>
                <w:sz w:val="20"/>
                <w:szCs w:val="20"/>
                <w:color w:val="auto"/>
              </w:rPr>
            </w:pPr>
            <w:r>
              <w:rPr>
                <w:rFonts w:ascii="Arial" w:cs="Arial" w:eastAsia="Arial" w:hAnsi="Arial"/>
                <w:sz w:val="10"/>
                <w:szCs w:val="10"/>
                <w:color w:val="auto"/>
              </w:rPr>
              <w:t>(3,059)</w:t>
            </w:r>
          </w:p>
        </w:tc>
        <w:tc>
          <w:tcPr>
            <w:tcW w:w="88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(159)%</w:t>
            </w:r>
          </w:p>
        </w:tc>
        <w:tc>
          <w:tcPr>
            <w:tcW w:w="18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95"/>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(1,522)</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(107)%</w:t>
            </w: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108"/>
        </w:trPr>
        <w:tc>
          <w:tcPr>
            <w:tcW w:w="1620" w:type="dxa"/>
            <w:vAlign w:val="bottom"/>
          </w:tcPr>
          <w:p>
            <w:pPr>
              <w:spacing w:after="0"/>
              <w:rPr>
                <w:sz w:val="9"/>
                <w:szCs w:val="9"/>
                <w:color w:val="auto"/>
              </w:rPr>
            </w:pPr>
          </w:p>
        </w:tc>
        <w:tc>
          <w:tcPr>
            <w:tcW w:w="3500" w:type="dxa"/>
            <w:vAlign w:val="bottom"/>
          </w:tcPr>
          <w:p>
            <w:pPr>
              <w:ind w:left="200"/>
              <w:spacing w:after="0" w:line="109" w:lineRule="exact"/>
              <w:rPr>
                <w:sz w:val="20"/>
                <w:szCs w:val="20"/>
                <w:color w:val="auto"/>
              </w:rPr>
            </w:pPr>
            <w:r>
              <w:rPr>
                <w:rFonts w:ascii="Arial" w:cs="Arial" w:eastAsia="Arial" w:hAnsi="Arial"/>
                <w:sz w:val="10"/>
                <w:szCs w:val="10"/>
                <w:color w:val="auto"/>
              </w:rPr>
              <w:t>General and administrative expense</w:t>
            </w: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2"/>
          </w:tcPr>
          <w:p>
            <w:pPr>
              <w:jc w:val="right"/>
              <w:ind w:right="180"/>
              <w:spacing w:after="0" w:line="109" w:lineRule="exact"/>
              <w:rPr>
                <w:sz w:val="20"/>
                <w:szCs w:val="20"/>
                <w:color w:val="auto"/>
              </w:rPr>
            </w:pPr>
            <w:r>
              <w:rPr>
                <w:rFonts w:ascii="Arial" w:cs="Arial" w:eastAsia="Arial" w:hAnsi="Arial"/>
                <w:sz w:val="10"/>
                <w:szCs w:val="10"/>
                <w:color w:val="auto"/>
              </w:rPr>
              <w:t>(712)</w:t>
            </w:r>
          </w:p>
        </w:tc>
        <w:tc>
          <w:tcPr>
            <w:tcW w:w="880" w:type="dxa"/>
            <w:vAlign w:val="bottom"/>
          </w:tcPr>
          <w:p>
            <w:pPr>
              <w:jc w:val="right"/>
              <w:ind w:right="189"/>
              <w:spacing w:after="0" w:line="109" w:lineRule="exact"/>
              <w:rPr>
                <w:sz w:val="20"/>
                <w:szCs w:val="20"/>
                <w:color w:val="auto"/>
              </w:rPr>
            </w:pPr>
            <w:r>
              <w:rPr>
                <w:rFonts w:ascii="Arial" w:cs="Arial" w:eastAsia="Arial" w:hAnsi="Arial"/>
                <w:sz w:val="10"/>
                <w:szCs w:val="10"/>
                <w:i w:val="1"/>
                <w:iCs w:val="1"/>
                <w:color w:val="auto"/>
              </w:rPr>
              <w:t>(37)%</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(487)</w:t>
            </w:r>
          </w:p>
        </w:tc>
        <w:tc>
          <w:tcPr>
            <w:tcW w:w="180" w:type="dxa"/>
            <w:vAlign w:val="bottom"/>
          </w:tcPr>
          <w:p>
            <w:pPr>
              <w:spacing w:after="0"/>
              <w:rPr>
                <w:sz w:val="9"/>
                <w:szCs w:val="9"/>
                <w:color w:val="auto"/>
              </w:rPr>
            </w:pPr>
          </w:p>
        </w:tc>
        <w:tc>
          <w:tcPr>
            <w:tcW w:w="820" w:type="dxa"/>
            <w:vAlign w:val="bottom"/>
          </w:tcPr>
          <w:p>
            <w:pPr>
              <w:jc w:val="right"/>
              <w:ind w:right="129"/>
              <w:spacing w:after="0" w:line="109" w:lineRule="exact"/>
              <w:rPr>
                <w:sz w:val="20"/>
                <w:szCs w:val="20"/>
                <w:color w:val="auto"/>
              </w:rPr>
            </w:pPr>
            <w:r>
              <w:rPr>
                <w:rFonts w:ascii="Arial" w:cs="Arial" w:eastAsia="Arial" w:hAnsi="Arial"/>
                <w:sz w:val="10"/>
                <w:szCs w:val="10"/>
                <w:i w:val="1"/>
                <w:iCs w:val="1"/>
                <w:color w:val="auto"/>
              </w:rPr>
              <w:t>(34)%</w:t>
            </w:r>
          </w:p>
        </w:tc>
        <w:tc>
          <w:tcPr>
            <w:tcW w:w="180" w:type="dxa"/>
            <w:vAlign w:val="bottom"/>
          </w:tcPr>
          <w:p>
            <w:pPr>
              <w:spacing w:after="0"/>
              <w:rPr>
                <w:sz w:val="9"/>
                <w:szCs w:val="9"/>
                <w:color w:val="auto"/>
              </w:rPr>
            </w:pPr>
          </w:p>
        </w:tc>
        <w:tc>
          <w:tcPr>
            <w:tcW w:w="1060" w:type="dxa"/>
            <w:vAlign w:val="bottom"/>
          </w:tcPr>
          <w:p>
            <w:pPr>
              <w:jc w:val="right"/>
              <w:ind w:right="69"/>
              <w:spacing w:after="0" w:line="109" w:lineRule="exact"/>
              <w:rPr>
                <w:sz w:val="20"/>
                <w:szCs w:val="20"/>
                <w:color w:val="auto"/>
              </w:rPr>
            </w:pPr>
            <w:r>
              <w:rPr>
                <w:rFonts w:ascii="Arial" w:cs="Arial" w:eastAsia="Arial" w:hAnsi="Arial"/>
                <w:sz w:val="10"/>
                <w:szCs w:val="10"/>
                <w:color w:val="auto"/>
              </w:rPr>
              <w:t>(46) %</w:t>
            </w:r>
          </w:p>
        </w:tc>
      </w:tr>
      <w:tr>
        <w:trPr>
          <w:trHeight w:val="99"/>
        </w:trPr>
        <w:tc>
          <w:tcPr>
            <w:tcW w:w="1620" w:type="dxa"/>
            <w:vAlign w:val="bottom"/>
            <w:tcBorders>
              <w:top w:val="single" w:sz="8" w:color="CCEEFF"/>
            </w:tcBorders>
            <w:shd w:val="clear" w:color="auto" w:fill="CCEEFF"/>
          </w:tcPr>
          <w:p>
            <w:pPr>
              <w:spacing w:after="0"/>
              <w:rPr>
                <w:sz w:val="8"/>
                <w:szCs w:val="8"/>
                <w:color w:val="auto"/>
              </w:rPr>
            </w:pPr>
          </w:p>
        </w:tc>
        <w:tc>
          <w:tcPr>
            <w:tcW w:w="35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(3,771)</w:t>
            </w:r>
          </w:p>
        </w:tc>
        <w:tc>
          <w:tcPr>
            <w:tcW w:w="18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jc w:val="right"/>
              <w:ind w:right="189"/>
              <w:spacing w:after="0" w:line="100" w:lineRule="exact"/>
              <w:rPr>
                <w:sz w:val="20"/>
                <w:szCs w:val="20"/>
                <w:color w:val="auto"/>
              </w:rPr>
            </w:pPr>
            <w:r>
              <w:rPr>
                <w:rFonts w:ascii="Arial" w:cs="Arial" w:eastAsia="Arial" w:hAnsi="Arial"/>
                <w:sz w:val="10"/>
                <w:szCs w:val="10"/>
                <w:i w:val="1"/>
                <w:iCs w:val="1"/>
                <w:color w:val="auto"/>
              </w:rPr>
              <w:t>(196)%</w:t>
            </w: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(2,009)</w:t>
            </w: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jc w:val="right"/>
              <w:ind w:right="129"/>
              <w:spacing w:after="0" w:line="100" w:lineRule="exact"/>
              <w:rPr>
                <w:sz w:val="20"/>
                <w:szCs w:val="20"/>
                <w:color w:val="auto"/>
              </w:rPr>
            </w:pPr>
            <w:r>
              <w:rPr>
                <w:rFonts w:ascii="Arial" w:cs="Arial" w:eastAsia="Arial" w:hAnsi="Arial"/>
                <w:sz w:val="10"/>
                <w:szCs w:val="10"/>
                <w:i w:val="1"/>
                <w:iCs w:val="1"/>
                <w:color w:val="auto"/>
              </w:rPr>
              <w:t>(141)%</w:t>
            </w:r>
          </w:p>
        </w:tc>
        <w:tc>
          <w:tcPr>
            <w:tcW w:w="18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CCEEFF"/>
            </w:tcBorders>
            <w:shd w:val="clear" w:color="auto" w:fill="CCEEFF"/>
          </w:tcPr>
          <w:p>
            <w:pPr>
              <w:jc w:val="right"/>
              <w:ind w:right="69"/>
              <w:spacing w:after="0" w:line="100" w:lineRule="exact"/>
              <w:rPr>
                <w:sz w:val="20"/>
                <w:szCs w:val="20"/>
                <w:color w:val="auto"/>
              </w:rPr>
            </w:pPr>
            <w:r>
              <w:rPr>
                <w:rFonts w:ascii="Arial" w:cs="Arial" w:eastAsia="Arial" w:hAnsi="Arial"/>
                <w:sz w:val="10"/>
                <w:szCs w:val="10"/>
                <w:color w:val="auto"/>
              </w:rPr>
              <w:t>(88) %</w:t>
            </w:r>
          </w:p>
        </w:tc>
      </w:tr>
      <w:tr>
        <w:trPr>
          <w:trHeight w:val="108"/>
        </w:trPr>
        <w:tc>
          <w:tcPr>
            <w:tcW w:w="1620" w:type="dxa"/>
            <w:vAlign w:val="bottom"/>
          </w:tcPr>
          <w:p>
            <w:pPr>
              <w:ind w:left="200"/>
              <w:spacing w:after="0" w:line="109" w:lineRule="exact"/>
              <w:rPr>
                <w:sz w:val="20"/>
                <w:szCs w:val="20"/>
                <w:color w:val="auto"/>
              </w:rPr>
            </w:pPr>
            <w:r>
              <w:rPr>
                <w:rFonts w:ascii="Arial" w:cs="Arial" w:eastAsia="Arial" w:hAnsi="Arial"/>
                <w:sz w:val="10"/>
                <w:szCs w:val="10"/>
                <w:b w:val="1"/>
                <w:bCs w:val="1"/>
                <w:color w:val="auto"/>
              </w:rPr>
              <w:t>Australia</w:t>
            </w:r>
          </w:p>
        </w:tc>
        <w:tc>
          <w:tcPr>
            <w:tcW w:w="3500" w:type="dxa"/>
            <w:vAlign w:val="bottom"/>
          </w:tcPr>
          <w:p>
            <w:pPr>
              <w:ind w:left="200"/>
              <w:spacing w:after="0" w:line="109" w:lineRule="exact"/>
              <w:rPr>
                <w:sz w:val="20"/>
                <w:szCs w:val="20"/>
                <w:color w:val="auto"/>
              </w:rPr>
            </w:pPr>
            <w:r>
              <w:rPr>
                <w:rFonts w:ascii="Arial" w:cs="Arial" w:eastAsia="Arial" w:hAnsi="Arial"/>
                <w:sz w:val="10"/>
                <w:szCs w:val="10"/>
                <w:color w:val="auto"/>
              </w:rPr>
              <w:t>Depreciation and amortization</w:t>
            </w:r>
          </w:p>
        </w:tc>
        <w:tc>
          <w:tcPr>
            <w:tcW w:w="460" w:type="dxa"/>
            <w:vAlign w:val="bottom"/>
            <w:gridSpan w:val="2"/>
          </w:tcPr>
          <w:p>
            <w:pPr>
              <w:jc w:val="right"/>
              <w:ind w:right="215"/>
              <w:spacing w:after="0" w:line="109" w:lineRule="exact"/>
              <w:rPr>
                <w:sz w:val="20"/>
                <w:szCs w:val="20"/>
                <w:color w:val="auto"/>
              </w:rPr>
            </w:pPr>
            <w:r>
              <w:rPr>
                <w:rFonts w:ascii="Arial" w:cs="Arial" w:eastAsia="Arial" w:hAnsi="Arial"/>
                <w:sz w:val="10"/>
                <w:szCs w:val="10"/>
                <w:color w:val="auto"/>
              </w:rPr>
              <w:t>$</w:t>
            </w:r>
          </w:p>
        </w:tc>
        <w:tc>
          <w:tcPr>
            <w:tcW w:w="1140" w:type="dxa"/>
            <w:vAlign w:val="bottom"/>
            <w:gridSpan w:val="2"/>
          </w:tcPr>
          <w:p>
            <w:pPr>
              <w:jc w:val="right"/>
              <w:ind w:right="180"/>
              <w:spacing w:after="0" w:line="109" w:lineRule="exact"/>
              <w:rPr>
                <w:sz w:val="20"/>
                <w:szCs w:val="20"/>
                <w:color w:val="auto"/>
              </w:rPr>
            </w:pPr>
            <w:r>
              <w:rPr>
                <w:rFonts w:ascii="Arial" w:cs="Arial" w:eastAsia="Arial" w:hAnsi="Arial"/>
                <w:sz w:val="10"/>
                <w:szCs w:val="10"/>
                <w:color w:val="auto"/>
              </w:rPr>
              <w:t>(3,054)</w:t>
            </w:r>
          </w:p>
        </w:tc>
        <w:tc>
          <w:tcPr>
            <w:tcW w:w="880" w:type="dxa"/>
            <w:vAlign w:val="bottom"/>
          </w:tcPr>
          <w:p>
            <w:pPr>
              <w:jc w:val="right"/>
              <w:ind w:right="189"/>
              <w:spacing w:after="0" w:line="109" w:lineRule="exact"/>
              <w:rPr>
                <w:sz w:val="20"/>
                <w:szCs w:val="20"/>
                <w:color w:val="auto"/>
              </w:rPr>
            </w:pPr>
            <w:r>
              <w:rPr>
                <w:rFonts w:ascii="Arial" w:cs="Arial" w:eastAsia="Arial" w:hAnsi="Arial"/>
                <w:sz w:val="10"/>
                <w:szCs w:val="10"/>
                <w:i w:val="1"/>
                <w:iCs w:val="1"/>
                <w:color w:val="auto"/>
              </w:rPr>
              <w:t>(31)%</w:t>
            </w:r>
          </w:p>
        </w:tc>
        <w:tc>
          <w:tcPr>
            <w:tcW w:w="180" w:type="dxa"/>
            <w:vAlign w:val="bottom"/>
          </w:tcPr>
          <w:p>
            <w:pPr>
              <w:spacing w:after="0"/>
              <w:rPr>
                <w:sz w:val="9"/>
                <w:szCs w:val="9"/>
                <w:color w:val="auto"/>
              </w:rPr>
            </w:pPr>
          </w:p>
        </w:tc>
        <w:tc>
          <w:tcPr>
            <w:tcW w:w="280" w:type="dxa"/>
            <w:vAlign w:val="bottom"/>
            <w:gridSpan w:val="2"/>
          </w:tcPr>
          <w:p>
            <w:pPr>
              <w:jc w:val="right"/>
              <w:ind w:right="195"/>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(3,634)</w:t>
            </w:r>
          </w:p>
        </w:tc>
        <w:tc>
          <w:tcPr>
            <w:tcW w:w="180" w:type="dxa"/>
            <w:vAlign w:val="bottom"/>
          </w:tcPr>
          <w:p>
            <w:pPr>
              <w:spacing w:after="0"/>
              <w:rPr>
                <w:sz w:val="9"/>
                <w:szCs w:val="9"/>
                <w:color w:val="auto"/>
              </w:rPr>
            </w:pPr>
          </w:p>
        </w:tc>
        <w:tc>
          <w:tcPr>
            <w:tcW w:w="820" w:type="dxa"/>
            <w:vAlign w:val="bottom"/>
          </w:tcPr>
          <w:p>
            <w:pPr>
              <w:jc w:val="right"/>
              <w:ind w:right="129"/>
              <w:spacing w:after="0" w:line="109" w:lineRule="exact"/>
              <w:rPr>
                <w:sz w:val="20"/>
                <w:szCs w:val="20"/>
                <w:color w:val="auto"/>
              </w:rPr>
            </w:pPr>
            <w:r>
              <w:rPr>
                <w:rFonts w:ascii="Arial" w:cs="Arial" w:eastAsia="Arial" w:hAnsi="Arial"/>
                <w:sz w:val="10"/>
                <w:szCs w:val="10"/>
                <w:i w:val="1"/>
                <w:iCs w:val="1"/>
                <w:color w:val="auto"/>
              </w:rPr>
              <w:t>(34)%</w:t>
            </w:r>
          </w:p>
        </w:tc>
        <w:tc>
          <w:tcPr>
            <w:tcW w:w="180" w:type="dxa"/>
            <w:vAlign w:val="bottom"/>
          </w:tcPr>
          <w:p>
            <w:pPr>
              <w:spacing w:after="0"/>
              <w:rPr>
                <w:sz w:val="9"/>
                <w:szCs w:val="9"/>
                <w:color w:val="auto"/>
              </w:rPr>
            </w:pPr>
          </w:p>
        </w:tc>
        <w:tc>
          <w:tcPr>
            <w:tcW w:w="1060" w:type="dxa"/>
            <w:vAlign w:val="bottom"/>
          </w:tcPr>
          <w:p>
            <w:pPr>
              <w:jc w:val="right"/>
              <w:ind w:right="69"/>
              <w:spacing w:after="0" w:line="109" w:lineRule="exact"/>
              <w:rPr>
                <w:sz w:val="20"/>
                <w:szCs w:val="20"/>
                <w:color w:val="auto"/>
              </w:rPr>
            </w:pPr>
            <w:r>
              <w:rPr>
                <w:rFonts w:ascii="Arial" w:cs="Arial" w:eastAsia="Arial" w:hAnsi="Arial"/>
                <w:sz w:val="10"/>
                <w:szCs w:val="10"/>
                <w:color w:val="auto"/>
              </w:rPr>
              <w:t>16 %</w:t>
            </w:r>
          </w:p>
        </w:tc>
      </w:tr>
      <w:tr>
        <w:trPr>
          <w:trHeight w:val="108"/>
        </w:trPr>
        <w:tc>
          <w:tcPr>
            <w:tcW w:w="1620" w:type="dxa"/>
            <w:vAlign w:val="bottom"/>
            <w:shd w:val="clear" w:color="auto" w:fill="CCEEFF"/>
          </w:tcPr>
          <w:p>
            <w:pPr>
              <w:spacing w:after="0"/>
              <w:rPr>
                <w:sz w:val="9"/>
                <w:szCs w:val="9"/>
                <w:color w:val="auto"/>
              </w:rPr>
            </w:pPr>
          </w:p>
        </w:tc>
        <w:tc>
          <w:tcPr>
            <w:tcW w:w="350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General and administrative expense</w:t>
            </w: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80"/>
              <w:spacing w:after="0" w:line="109" w:lineRule="exact"/>
              <w:rPr>
                <w:sz w:val="20"/>
                <w:szCs w:val="20"/>
                <w:color w:val="auto"/>
              </w:rPr>
            </w:pPr>
            <w:r>
              <w:rPr>
                <w:rFonts w:ascii="Arial" w:cs="Arial" w:eastAsia="Arial" w:hAnsi="Arial"/>
                <w:sz w:val="10"/>
                <w:szCs w:val="10"/>
                <w:color w:val="auto"/>
              </w:rPr>
              <w:t>(206)</w:t>
            </w:r>
          </w:p>
        </w:tc>
        <w:tc>
          <w:tcPr>
            <w:tcW w:w="88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(2)%</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(275)</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(3)%</w:t>
            </w: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25 %</w:t>
            </w:r>
          </w:p>
        </w:tc>
      </w:tr>
      <w:tr>
        <w:trPr>
          <w:trHeight w:val="99"/>
        </w:trPr>
        <w:tc>
          <w:tcPr>
            <w:tcW w:w="16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top w:val="single" w:sz="8" w:color="auto"/>
            </w:tcBorders>
          </w:tcPr>
          <w:p>
            <w:pPr>
              <w:jc w:val="right"/>
              <w:ind w:right="215"/>
              <w:spacing w:after="0"/>
              <w:rPr>
                <w:sz w:val="20"/>
                <w:szCs w:val="20"/>
                <w:color w:val="auto"/>
              </w:rPr>
            </w:pPr>
            <w:r>
              <w:rPr>
                <w:rFonts w:ascii="Arial" w:cs="Arial" w:eastAsia="Arial" w:hAnsi="Arial"/>
                <w:sz w:val="5"/>
                <w:szCs w:val="5"/>
                <w:color w:val="auto"/>
                <w:w w:val="70"/>
              </w:rPr>
              <w:t>$</w:t>
            </w:r>
          </w:p>
        </w:tc>
        <w:tc>
          <w:tcPr>
            <w:tcW w:w="96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(3,260)</w:t>
            </w:r>
          </w:p>
        </w:tc>
        <w:tc>
          <w:tcPr>
            <w:tcW w:w="180" w:type="dxa"/>
            <w:vAlign w:val="bottom"/>
          </w:tcPr>
          <w:p>
            <w:pPr>
              <w:spacing w:after="0"/>
              <w:rPr>
                <w:sz w:val="8"/>
                <w:szCs w:val="8"/>
                <w:color w:val="auto"/>
              </w:rPr>
            </w:pPr>
          </w:p>
        </w:tc>
        <w:tc>
          <w:tcPr>
            <w:tcW w:w="880" w:type="dxa"/>
            <w:vAlign w:val="bottom"/>
          </w:tcPr>
          <w:p>
            <w:pPr>
              <w:jc w:val="right"/>
              <w:ind w:right="189"/>
              <w:spacing w:after="0" w:line="100" w:lineRule="exact"/>
              <w:rPr>
                <w:sz w:val="20"/>
                <w:szCs w:val="20"/>
                <w:color w:val="auto"/>
              </w:rPr>
            </w:pPr>
            <w:r>
              <w:rPr>
                <w:rFonts w:ascii="Arial" w:cs="Arial" w:eastAsia="Arial" w:hAnsi="Arial"/>
                <w:sz w:val="10"/>
                <w:szCs w:val="10"/>
                <w:i w:val="1"/>
                <w:iCs w:val="1"/>
                <w:color w:val="auto"/>
              </w:rPr>
              <w:t>(33)%</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top w:val="single" w:sz="8" w:color="auto"/>
            </w:tcBorders>
          </w:tcPr>
          <w:p>
            <w:pPr>
              <w:jc w:val="right"/>
              <w:ind w:right="195"/>
              <w:spacing w:after="0"/>
              <w:rPr>
                <w:sz w:val="20"/>
                <w:szCs w:val="20"/>
                <w:color w:val="auto"/>
              </w:rPr>
            </w:pPr>
            <w:r>
              <w:rPr>
                <w:rFonts w:ascii="Arial" w:cs="Arial" w:eastAsia="Arial" w:hAnsi="Arial"/>
                <w:sz w:val="5"/>
                <w:szCs w:val="5"/>
                <w:color w:val="auto"/>
                <w:w w:val="70"/>
              </w:rPr>
              <w:t>$</w:t>
            </w:r>
          </w:p>
        </w:tc>
        <w:tc>
          <w:tcPr>
            <w:tcW w:w="96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(3,909)</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jc w:val="right"/>
              <w:ind w:right="129"/>
              <w:spacing w:after="0" w:line="100" w:lineRule="exact"/>
              <w:rPr>
                <w:sz w:val="20"/>
                <w:szCs w:val="20"/>
                <w:color w:val="auto"/>
              </w:rPr>
            </w:pPr>
            <w:r>
              <w:rPr>
                <w:rFonts w:ascii="Arial" w:cs="Arial" w:eastAsia="Arial" w:hAnsi="Arial"/>
                <w:sz w:val="10"/>
                <w:szCs w:val="10"/>
                <w:i w:val="1"/>
                <w:iCs w:val="1"/>
                <w:color w:val="auto"/>
              </w:rPr>
              <w:t>(37)%</w:t>
            </w:r>
          </w:p>
        </w:tc>
        <w:tc>
          <w:tcPr>
            <w:tcW w:w="180" w:type="dxa"/>
            <w:vAlign w:val="bottom"/>
          </w:tcPr>
          <w:p>
            <w:pPr>
              <w:spacing w:after="0"/>
              <w:rPr>
                <w:sz w:val="8"/>
                <w:szCs w:val="8"/>
                <w:color w:val="auto"/>
              </w:rPr>
            </w:pPr>
          </w:p>
        </w:tc>
        <w:tc>
          <w:tcPr>
            <w:tcW w:w="1060" w:type="dxa"/>
            <w:vAlign w:val="bottom"/>
          </w:tcPr>
          <w:p>
            <w:pPr>
              <w:jc w:val="right"/>
              <w:ind w:right="69"/>
              <w:spacing w:after="0" w:line="100" w:lineRule="exact"/>
              <w:rPr>
                <w:sz w:val="20"/>
                <w:szCs w:val="20"/>
                <w:color w:val="auto"/>
              </w:rPr>
            </w:pPr>
            <w:r>
              <w:rPr>
                <w:rFonts w:ascii="Arial" w:cs="Arial" w:eastAsia="Arial" w:hAnsi="Arial"/>
                <w:sz w:val="10"/>
                <w:szCs w:val="10"/>
                <w:color w:val="auto"/>
              </w:rPr>
              <w:t>17 %</w:t>
            </w:r>
          </w:p>
        </w:tc>
      </w:tr>
      <w:tr>
        <w:trPr>
          <w:trHeight w:val="108"/>
        </w:trPr>
        <w:tc>
          <w:tcPr>
            <w:tcW w:w="162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b w:val="1"/>
                <w:bCs w:val="1"/>
                <w:color w:val="auto"/>
              </w:rPr>
              <w:t>New Zealand</w:t>
            </w:r>
          </w:p>
        </w:tc>
        <w:tc>
          <w:tcPr>
            <w:tcW w:w="350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color w:val="auto"/>
              </w:rPr>
              <w:t>Depreciation and amortization</w:t>
            </w:r>
          </w:p>
        </w:tc>
        <w:tc>
          <w:tcPr>
            <w:tcW w:w="460" w:type="dxa"/>
            <w:vAlign w:val="bottom"/>
            <w:gridSpan w:val="2"/>
            <w:shd w:val="clear" w:color="auto" w:fill="CCEEFF"/>
          </w:tcPr>
          <w:p>
            <w:pPr>
              <w:jc w:val="right"/>
              <w:ind w:right="215"/>
              <w:spacing w:after="0" w:line="109" w:lineRule="exact"/>
              <w:rPr>
                <w:sz w:val="20"/>
                <w:szCs w:val="20"/>
                <w:color w:val="auto"/>
              </w:rPr>
            </w:pPr>
            <w:r>
              <w:rPr>
                <w:rFonts w:ascii="Arial" w:cs="Arial" w:eastAsia="Arial" w:hAnsi="Arial"/>
                <w:sz w:val="10"/>
                <w:szCs w:val="10"/>
                <w:color w:val="auto"/>
              </w:rPr>
              <w:t>$</w:t>
            </w:r>
          </w:p>
        </w:tc>
        <w:tc>
          <w:tcPr>
            <w:tcW w:w="1140" w:type="dxa"/>
            <w:vAlign w:val="bottom"/>
            <w:gridSpan w:val="2"/>
            <w:shd w:val="clear" w:color="auto" w:fill="CCEEFF"/>
          </w:tcPr>
          <w:p>
            <w:pPr>
              <w:jc w:val="right"/>
              <w:ind w:right="180"/>
              <w:spacing w:after="0" w:line="109" w:lineRule="exact"/>
              <w:rPr>
                <w:sz w:val="20"/>
                <w:szCs w:val="20"/>
                <w:color w:val="auto"/>
              </w:rPr>
            </w:pPr>
            <w:r>
              <w:rPr>
                <w:rFonts w:ascii="Arial" w:cs="Arial" w:eastAsia="Arial" w:hAnsi="Arial"/>
                <w:sz w:val="10"/>
                <w:szCs w:val="10"/>
                <w:color w:val="auto"/>
              </w:rPr>
              <w:t>(979)</w:t>
            </w:r>
          </w:p>
        </w:tc>
        <w:tc>
          <w:tcPr>
            <w:tcW w:w="88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(100)%</w:t>
            </w:r>
          </w:p>
        </w:tc>
        <w:tc>
          <w:tcPr>
            <w:tcW w:w="18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95"/>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(945)</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(98)%</w:t>
            </w: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(4) %</w:t>
            </w:r>
          </w:p>
        </w:tc>
      </w:tr>
      <w:tr>
        <w:trPr>
          <w:trHeight w:val="108"/>
        </w:trPr>
        <w:tc>
          <w:tcPr>
            <w:tcW w:w="1620" w:type="dxa"/>
            <w:vAlign w:val="bottom"/>
          </w:tcPr>
          <w:p>
            <w:pPr>
              <w:spacing w:after="0"/>
              <w:rPr>
                <w:sz w:val="9"/>
                <w:szCs w:val="9"/>
                <w:color w:val="auto"/>
              </w:rPr>
            </w:pPr>
          </w:p>
        </w:tc>
        <w:tc>
          <w:tcPr>
            <w:tcW w:w="3500" w:type="dxa"/>
            <w:vAlign w:val="bottom"/>
          </w:tcPr>
          <w:p>
            <w:pPr>
              <w:ind w:left="200"/>
              <w:spacing w:after="0" w:line="109" w:lineRule="exact"/>
              <w:rPr>
                <w:sz w:val="20"/>
                <w:szCs w:val="20"/>
                <w:color w:val="auto"/>
              </w:rPr>
            </w:pPr>
            <w:r>
              <w:rPr>
                <w:rFonts w:ascii="Arial" w:cs="Arial" w:eastAsia="Arial" w:hAnsi="Arial"/>
                <w:sz w:val="10"/>
                <w:szCs w:val="10"/>
                <w:color w:val="auto"/>
              </w:rPr>
              <w:t>General and administrative expense</w:t>
            </w: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2"/>
          </w:tcPr>
          <w:p>
            <w:pPr>
              <w:jc w:val="right"/>
              <w:ind w:right="180"/>
              <w:spacing w:after="0" w:line="109" w:lineRule="exact"/>
              <w:rPr>
                <w:sz w:val="20"/>
                <w:szCs w:val="20"/>
                <w:color w:val="auto"/>
              </w:rPr>
            </w:pPr>
            <w:r>
              <w:rPr>
                <w:rFonts w:ascii="Arial" w:cs="Arial" w:eastAsia="Arial" w:hAnsi="Arial"/>
                <w:sz w:val="10"/>
                <w:szCs w:val="10"/>
                <w:color w:val="auto"/>
              </w:rPr>
              <w:t>(2)</w:t>
            </w:r>
          </w:p>
        </w:tc>
        <w:tc>
          <w:tcPr>
            <w:tcW w:w="880" w:type="dxa"/>
            <w:vAlign w:val="bottom"/>
          </w:tcPr>
          <w:p>
            <w:pPr>
              <w:jc w:val="right"/>
              <w:ind w:right="189"/>
              <w:spacing w:after="0" w:line="109" w:lineRule="exact"/>
              <w:rPr>
                <w:sz w:val="20"/>
                <w:szCs w:val="20"/>
                <w:color w:val="auto"/>
              </w:rPr>
            </w:pPr>
            <w:r>
              <w:rPr>
                <w:rFonts w:ascii="Arial" w:cs="Arial" w:eastAsia="Arial" w:hAnsi="Arial"/>
                <w:sz w:val="10"/>
                <w:szCs w:val="10"/>
                <w:i w:val="1"/>
                <w:iCs w:val="1"/>
                <w:color w:val="auto"/>
              </w:rPr>
              <w:t>(1)%</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14</w:t>
            </w:r>
          </w:p>
        </w:tc>
        <w:tc>
          <w:tcPr>
            <w:tcW w:w="180" w:type="dxa"/>
            <w:vAlign w:val="bottom"/>
          </w:tcPr>
          <w:p>
            <w:pPr>
              <w:spacing w:after="0"/>
              <w:rPr>
                <w:sz w:val="9"/>
                <w:szCs w:val="9"/>
                <w:color w:val="auto"/>
              </w:rPr>
            </w:pPr>
          </w:p>
        </w:tc>
        <w:tc>
          <w:tcPr>
            <w:tcW w:w="820" w:type="dxa"/>
            <w:vAlign w:val="bottom"/>
          </w:tcPr>
          <w:p>
            <w:pPr>
              <w:jc w:val="right"/>
              <w:ind w:right="129"/>
              <w:spacing w:after="0" w:line="109" w:lineRule="exact"/>
              <w:rPr>
                <w:sz w:val="20"/>
                <w:szCs w:val="20"/>
                <w:color w:val="auto"/>
              </w:rPr>
            </w:pPr>
            <w:r>
              <w:rPr>
                <w:rFonts w:ascii="Arial" w:cs="Arial" w:eastAsia="Arial" w:hAnsi="Arial"/>
                <w:sz w:val="10"/>
                <w:szCs w:val="10"/>
                <w:i w:val="1"/>
                <w:iCs w:val="1"/>
                <w:color w:val="auto"/>
              </w:rPr>
              <w:t>1%</w:t>
            </w:r>
          </w:p>
        </w:tc>
        <w:tc>
          <w:tcPr>
            <w:tcW w:w="180" w:type="dxa"/>
            <w:vAlign w:val="bottom"/>
          </w:tcPr>
          <w:p>
            <w:pPr>
              <w:spacing w:after="0"/>
              <w:rPr>
                <w:sz w:val="9"/>
                <w:szCs w:val="9"/>
                <w:color w:val="auto"/>
              </w:rPr>
            </w:pPr>
          </w:p>
        </w:tc>
        <w:tc>
          <w:tcPr>
            <w:tcW w:w="1060" w:type="dxa"/>
            <w:vAlign w:val="bottom"/>
          </w:tcPr>
          <w:p>
            <w:pPr>
              <w:jc w:val="right"/>
              <w:ind w:right="69"/>
              <w:spacing w:after="0" w:line="109" w:lineRule="exact"/>
              <w:rPr>
                <w:sz w:val="20"/>
                <w:szCs w:val="20"/>
                <w:color w:val="auto"/>
              </w:rPr>
            </w:pPr>
            <w:r>
              <w:rPr>
                <w:rFonts w:ascii="Arial" w:cs="Arial" w:eastAsia="Arial" w:hAnsi="Arial"/>
                <w:sz w:val="10"/>
                <w:szCs w:val="10"/>
                <w:color w:val="auto"/>
              </w:rPr>
              <w:t>(&gt;100) %</w:t>
            </w:r>
          </w:p>
        </w:tc>
      </w:tr>
      <w:tr>
        <w:trPr>
          <w:trHeight w:val="99"/>
        </w:trPr>
        <w:tc>
          <w:tcPr>
            <w:tcW w:w="1620" w:type="dxa"/>
            <w:vAlign w:val="bottom"/>
            <w:tcBorders>
              <w:top w:val="single" w:sz="8" w:color="CCEEFF"/>
            </w:tcBorders>
            <w:shd w:val="clear" w:color="auto" w:fill="CCEEFF"/>
          </w:tcPr>
          <w:p>
            <w:pPr>
              <w:spacing w:after="0"/>
              <w:rPr>
                <w:sz w:val="8"/>
                <w:szCs w:val="8"/>
                <w:color w:val="auto"/>
              </w:rPr>
            </w:pPr>
          </w:p>
        </w:tc>
        <w:tc>
          <w:tcPr>
            <w:tcW w:w="35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5"/>
                <w:szCs w:val="5"/>
                <w:color w:val="auto"/>
                <w:w w:val="70"/>
              </w:rPr>
              <w:t>$</w:t>
            </w: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(981)</w:t>
            </w:r>
          </w:p>
        </w:tc>
        <w:tc>
          <w:tcPr>
            <w:tcW w:w="18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jc w:val="right"/>
              <w:ind w:right="189"/>
              <w:spacing w:after="0" w:line="100" w:lineRule="exact"/>
              <w:rPr>
                <w:sz w:val="20"/>
                <w:szCs w:val="20"/>
                <w:color w:val="auto"/>
              </w:rPr>
            </w:pPr>
            <w:r>
              <w:rPr>
                <w:rFonts w:ascii="Arial" w:cs="Arial" w:eastAsia="Arial" w:hAnsi="Arial"/>
                <w:sz w:val="10"/>
                <w:szCs w:val="10"/>
                <w:i w:val="1"/>
                <w:iCs w:val="1"/>
                <w:color w:val="auto"/>
              </w:rPr>
              <w:t>(100)%</w:t>
            </w: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5"/>
                <w:szCs w:val="5"/>
                <w:color w:val="auto"/>
                <w:w w:val="70"/>
              </w:rPr>
              <w:t>$</w:t>
            </w: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(931)</w:t>
            </w: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jc w:val="right"/>
              <w:ind w:right="129"/>
              <w:spacing w:after="0" w:line="100" w:lineRule="exact"/>
              <w:rPr>
                <w:sz w:val="20"/>
                <w:szCs w:val="20"/>
                <w:color w:val="auto"/>
              </w:rPr>
            </w:pPr>
            <w:r>
              <w:rPr>
                <w:rFonts w:ascii="Arial" w:cs="Arial" w:eastAsia="Arial" w:hAnsi="Arial"/>
                <w:sz w:val="10"/>
                <w:szCs w:val="10"/>
                <w:i w:val="1"/>
                <w:iCs w:val="1"/>
                <w:color w:val="auto"/>
              </w:rPr>
              <w:t>(96)%</w:t>
            </w:r>
          </w:p>
        </w:tc>
        <w:tc>
          <w:tcPr>
            <w:tcW w:w="18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CCEEFF"/>
            </w:tcBorders>
            <w:shd w:val="clear" w:color="auto" w:fill="CCEEFF"/>
          </w:tcPr>
          <w:p>
            <w:pPr>
              <w:jc w:val="right"/>
              <w:ind w:right="69"/>
              <w:spacing w:after="0" w:line="100" w:lineRule="exact"/>
              <w:rPr>
                <w:sz w:val="20"/>
                <w:szCs w:val="20"/>
                <w:color w:val="auto"/>
              </w:rPr>
            </w:pPr>
            <w:r>
              <w:rPr>
                <w:rFonts w:ascii="Arial" w:cs="Arial" w:eastAsia="Arial" w:hAnsi="Arial"/>
                <w:sz w:val="10"/>
                <w:szCs w:val="10"/>
                <w:color w:val="auto"/>
              </w:rPr>
              <w:t>(5) %</w:t>
            </w:r>
          </w:p>
        </w:tc>
      </w:tr>
      <w:tr>
        <w:trPr>
          <w:trHeight w:val="110"/>
        </w:trPr>
        <w:tc>
          <w:tcPr>
            <w:tcW w:w="5120" w:type="dxa"/>
            <w:vAlign w:val="bottom"/>
            <w:tcBorders>
              <w:bottom w:val="single" w:sz="8" w:color="CCEEFF"/>
            </w:tcBorders>
            <w:gridSpan w:val="2"/>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1060" w:type="dxa"/>
            <w:vAlign w:val="bottom"/>
            <w:tcBorders>
              <w:bottom w:val="single" w:sz="8" w:color="CCEEFF"/>
            </w:tcBorders>
          </w:tcPr>
          <w:p>
            <w:pPr>
              <w:spacing w:after="0"/>
              <w:rPr>
                <w:sz w:val="9"/>
                <w:szCs w:val="9"/>
                <w:color w:val="auto"/>
              </w:rPr>
            </w:pPr>
          </w:p>
        </w:tc>
      </w:tr>
      <w:tr>
        <w:trPr>
          <w:trHeight w:val="110"/>
        </w:trPr>
        <w:tc>
          <w:tcPr>
            <w:tcW w:w="5120" w:type="dxa"/>
            <w:vAlign w:val="bottom"/>
            <w:tcBorders>
              <w:bottom w:val="single" w:sz="8" w:color="CCEEFF"/>
            </w:tcBorders>
            <w:gridSpan w:val="2"/>
            <w:shd w:val="clear" w:color="auto" w:fill="CCEEFF"/>
          </w:tcPr>
          <w:p>
            <w:pPr>
              <w:ind w:left="200"/>
              <w:spacing w:after="0" w:line="109" w:lineRule="exact"/>
              <w:rPr>
                <w:sz w:val="20"/>
                <w:szCs w:val="20"/>
                <w:color w:val="auto"/>
              </w:rPr>
            </w:pPr>
            <w:r>
              <w:rPr>
                <w:rFonts w:ascii="Arial" w:cs="Arial" w:eastAsia="Arial" w:hAnsi="Arial"/>
                <w:sz w:val="10"/>
                <w:szCs w:val="10"/>
                <w:b w:val="1"/>
                <w:bCs w:val="1"/>
                <w:color w:val="auto"/>
              </w:rPr>
              <w:t>Total depreciation, amortization, and general and administrative expense</w:t>
            </w:r>
          </w:p>
        </w:tc>
        <w:tc>
          <w:tcPr>
            <w:tcW w:w="18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b w:val="1"/>
                <w:bCs w:val="1"/>
                <w:color w:val="auto"/>
              </w:rPr>
              <w:t>(8,012)</w:t>
            </w:r>
          </w:p>
        </w:tc>
        <w:tc>
          <w:tcPr>
            <w:tcW w:w="18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(63)%</w:t>
            </w:r>
          </w:p>
        </w:tc>
        <w:tc>
          <w:tcPr>
            <w:tcW w:w="18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b w:val="1"/>
                <w:bCs w:val="1"/>
                <w:color w:val="auto"/>
              </w:rPr>
              <w:t>(6,849)</w:t>
            </w:r>
          </w:p>
        </w:tc>
        <w:tc>
          <w:tcPr>
            <w:tcW w:w="2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(53)%</w:t>
            </w:r>
          </w:p>
        </w:tc>
        <w:tc>
          <w:tcPr>
            <w:tcW w:w="180" w:type="dxa"/>
            <w:vAlign w:val="bottom"/>
            <w:tcBorders>
              <w:bottom w:val="single" w:sz="8" w:color="CCEEFF"/>
            </w:tcBorders>
            <w:shd w:val="clear" w:color="auto" w:fill="CCEEFF"/>
          </w:tcPr>
          <w:p>
            <w:pPr>
              <w:spacing w:after="0"/>
              <w:rPr>
                <w:sz w:val="9"/>
                <w:szCs w:val="9"/>
                <w:color w:val="auto"/>
              </w:rPr>
            </w:pPr>
          </w:p>
        </w:tc>
        <w:tc>
          <w:tcPr>
            <w:tcW w:w="1060" w:type="dxa"/>
            <w:vAlign w:val="bottom"/>
            <w:tcBorders>
              <w:bottom w:val="single" w:sz="8" w:color="CCEEFF"/>
            </w:tcBorders>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(17) %</w:t>
            </w:r>
          </w:p>
        </w:tc>
      </w:tr>
      <w:tr>
        <w:trPr>
          <w:trHeight w:val="110"/>
        </w:trPr>
        <w:tc>
          <w:tcPr>
            <w:tcW w:w="1620" w:type="dxa"/>
            <w:vAlign w:val="bottom"/>
            <w:tcBorders>
              <w:bottom w:val="single" w:sz="8" w:color="CCEEFF"/>
            </w:tcBorders>
          </w:tcPr>
          <w:p>
            <w:pPr>
              <w:spacing w:after="0"/>
              <w:rPr>
                <w:sz w:val="9"/>
                <w:szCs w:val="9"/>
                <w:color w:val="auto"/>
              </w:rPr>
            </w:pPr>
          </w:p>
        </w:tc>
        <w:tc>
          <w:tcPr>
            <w:tcW w:w="35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1060" w:type="dxa"/>
            <w:vAlign w:val="bottom"/>
            <w:tcBorders>
              <w:bottom w:val="single" w:sz="8" w:color="CCEEFF"/>
            </w:tcBorders>
          </w:tcPr>
          <w:p>
            <w:pPr>
              <w:spacing w:after="0"/>
              <w:rPr>
                <w:sz w:val="9"/>
                <w:szCs w:val="9"/>
                <w:color w:val="auto"/>
              </w:rPr>
            </w:pPr>
          </w:p>
        </w:tc>
      </w:tr>
      <w:tr>
        <w:trPr>
          <w:trHeight w:val="128"/>
        </w:trPr>
        <w:tc>
          <w:tcPr>
            <w:tcW w:w="1620" w:type="dxa"/>
            <w:vAlign w:val="bottom"/>
            <w:tcBorders>
              <w:bottom w:val="single" w:sz="8" w:color="CCEEFF"/>
            </w:tcBorders>
            <w:shd w:val="clear" w:color="auto" w:fill="CCEEFF"/>
          </w:tcPr>
          <w:p>
            <w:pPr>
              <w:ind w:left="200"/>
              <w:spacing w:after="0" w:line="109" w:lineRule="exact"/>
              <w:rPr>
                <w:sz w:val="20"/>
                <w:szCs w:val="20"/>
                <w:color w:val="auto"/>
              </w:rPr>
            </w:pPr>
            <w:r>
              <w:rPr>
                <w:rFonts w:ascii="Arial" w:cs="Arial" w:eastAsia="Arial" w:hAnsi="Arial"/>
                <w:sz w:val="10"/>
                <w:szCs w:val="10"/>
                <w:b w:val="1"/>
                <w:bCs w:val="1"/>
                <w:color w:val="auto"/>
              </w:rPr>
              <w:t>Total expenses</w:t>
            </w:r>
          </w:p>
        </w:tc>
        <w:tc>
          <w:tcPr>
            <w:tcW w:w="35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b w:val="1"/>
                <w:bCs w:val="1"/>
                <w:color w:val="auto"/>
              </w:rPr>
              <w:t>(18,118)</w:t>
            </w:r>
          </w:p>
        </w:tc>
        <w:tc>
          <w:tcPr>
            <w:tcW w:w="18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(142)%</w:t>
            </w:r>
          </w:p>
        </w:tc>
        <w:tc>
          <w:tcPr>
            <w:tcW w:w="1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b w:val="1"/>
                <w:bCs w:val="1"/>
                <w:color w:val="auto"/>
              </w:rPr>
              <w:t>(15,426)</w:t>
            </w: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(119)%</w:t>
            </w:r>
          </w:p>
        </w:tc>
        <w:tc>
          <w:tcPr>
            <w:tcW w:w="18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(17) %</w:t>
            </w:r>
          </w:p>
        </w:tc>
      </w:tr>
      <w:tr>
        <w:trPr>
          <w:trHeight w:val="90"/>
        </w:trPr>
        <w:tc>
          <w:tcPr>
            <w:tcW w:w="1620" w:type="dxa"/>
            <w:vAlign w:val="bottom"/>
          </w:tcPr>
          <w:p>
            <w:pPr>
              <w:spacing w:after="0" w:line="91" w:lineRule="exact"/>
              <w:rPr>
                <w:sz w:val="20"/>
                <w:szCs w:val="20"/>
                <w:color w:val="auto"/>
              </w:rPr>
            </w:pPr>
            <w:r>
              <w:rPr>
                <w:rFonts w:ascii="Arial" w:cs="Arial" w:eastAsia="Arial" w:hAnsi="Arial"/>
                <w:sz w:val="10"/>
                <w:szCs w:val="10"/>
                <w:b w:val="1"/>
                <w:bCs w:val="1"/>
                <w:color w:val="auto"/>
              </w:rPr>
              <w:t>OPERATING INCOME (LOSS)</w:t>
            </w:r>
          </w:p>
        </w:tc>
        <w:tc>
          <w:tcPr>
            <w:tcW w:w="3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108"/>
        </w:trPr>
        <w:tc>
          <w:tcPr>
            <w:tcW w:w="162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b w:val="1"/>
                <w:bCs w:val="1"/>
                <w:color w:val="auto"/>
              </w:rPr>
              <w:t>United States</w:t>
            </w:r>
          </w:p>
        </w:tc>
        <w:tc>
          <w:tcPr>
            <w:tcW w:w="35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15"/>
              <w:spacing w:after="0" w:line="109" w:lineRule="exact"/>
              <w:rPr>
                <w:sz w:val="20"/>
                <w:szCs w:val="20"/>
                <w:color w:val="auto"/>
              </w:rPr>
            </w:pPr>
            <w:r>
              <w:rPr>
                <w:rFonts w:ascii="Arial" w:cs="Arial" w:eastAsia="Arial" w:hAnsi="Arial"/>
                <w:sz w:val="10"/>
                <w:szCs w:val="10"/>
                <w:color w:val="auto"/>
              </w:rPr>
              <w:t>$</w:t>
            </w:r>
          </w:p>
        </w:tc>
        <w:tc>
          <w:tcPr>
            <w:tcW w:w="1140" w:type="dxa"/>
            <w:vAlign w:val="bottom"/>
            <w:gridSpan w:val="2"/>
            <w:shd w:val="clear" w:color="auto" w:fill="CCEEFF"/>
          </w:tcPr>
          <w:p>
            <w:pPr>
              <w:jc w:val="right"/>
              <w:ind w:right="180"/>
              <w:spacing w:after="0" w:line="109" w:lineRule="exact"/>
              <w:rPr>
                <w:sz w:val="20"/>
                <w:szCs w:val="20"/>
                <w:color w:val="auto"/>
              </w:rPr>
            </w:pPr>
            <w:r>
              <w:rPr>
                <w:rFonts w:ascii="Arial" w:cs="Arial" w:eastAsia="Arial" w:hAnsi="Arial"/>
                <w:sz w:val="10"/>
                <w:szCs w:val="10"/>
                <w:color w:val="auto"/>
              </w:rPr>
              <w:t>(5,083)</w:t>
            </w:r>
          </w:p>
        </w:tc>
        <w:tc>
          <w:tcPr>
            <w:tcW w:w="88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(264)%</w:t>
            </w:r>
          </w:p>
        </w:tc>
        <w:tc>
          <w:tcPr>
            <w:tcW w:w="18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95"/>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(3,399)</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(239)%</w:t>
            </w: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(50) %</w:t>
            </w:r>
          </w:p>
        </w:tc>
      </w:tr>
      <w:tr>
        <w:trPr>
          <w:trHeight w:val="108"/>
        </w:trPr>
        <w:tc>
          <w:tcPr>
            <w:tcW w:w="1620" w:type="dxa"/>
            <w:vAlign w:val="bottom"/>
          </w:tcPr>
          <w:p>
            <w:pPr>
              <w:ind w:left="200"/>
              <w:spacing w:after="0" w:line="109" w:lineRule="exact"/>
              <w:rPr>
                <w:sz w:val="20"/>
                <w:szCs w:val="20"/>
                <w:color w:val="auto"/>
              </w:rPr>
            </w:pPr>
            <w:r>
              <w:rPr>
                <w:rFonts w:ascii="Arial" w:cs="Arial" w:eastAsia="Arial" w:hAnsi="Arial"/>
                <w:sz w:val="10"/>
                <w:szCs w:val="10"/>
                <w:b w:val="1"/>
                <w:bCs w:val="1"/>
                <w:color w:val="auto"/>
              </w:rPr>
              <w:t>Australia</w:t>
            </w:r>
          </w:p>
        </w:tc>
        <w:tc>
          <w:tcPr>
            <w:tcW w:w="3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2"/>
          </w:tcPr>
          <w:p>
            <w:pPr>
              <w:jc w:val="right"/>
              <w:ind w:right="180"/>
              <w:spacing w:after="0" w:line="109" w:lineRule="exact"/>
              <w:rPr>
                <w:sz w:val="20"/>
                <w:szCs w:val="20"/>
                <w:color w:val="auto"/>
              </w:rPr>
            </w:pPr>
            <w:r>
              <w:rPr>
                <w:rFonts w:ascii="Arial" w:cs="Arial" w:eastAsia="Arial" w:hAnsi="Arial"/>
                <w:sz w:val="10"/>
                <w:szCs w:val="10"/>
                <w:color w:val="auto"/>
              </w:rPr>
              <w:t>1,645</w:t>
            </w:r>
          </w:p>
        </w:tc>
        <w:tc>
          <w:tcPr>
            <w:tcW w:w="880" w:type="dxa"/>
            <w:vAlign w:val="bottom"/>
          </w:tcPr>
          <w:p>
            <w:pPr>
              <w:jc w:val="right"/>
              <w:ind w:right="189"/>
              <w:spacing w:after="0" w:line="109" w:lineRule="exact"/>
              <w:rPr>
                <w:sz w:val="20"/>
                <w:szCs w:val="20"/>
                <w:color w:val="auto"/>
              </w:rPr>
            </w:pPr>
            <w:r>
              <w:rPr>
                <w:rFonts w:ascii="Arial" w:cs="Arial" w:eastAsia="Arial" w:hAnsi="Arial"/>
                <w:sz w:val="10"/>
                <w:szCs w:val="10"/>
                <w:i w:val="1"/>
                <w:iCs w:val="1"/>
                <w:color w:val="auto"/>
              </w:rPr>
              <w:t>17%</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2,336</w:t>
            </w:r>
          </w:p>
        </w:tc>
        <w:tc>
          <w:tcPr>
            <w:tcW w:w="180" w:type="dxa"/>
            <w:vAlign w:val="bottom"/>
          </w:tcPr>
          <w:p>
            <w:pPr>
              <w:spacing w:after="0"/>
              <w:rPr>
                <w:sz w:val="9"/>
                <w:szCs w:val="9"/>
                <w:color w:val="auto"/>
              </w:rPr>
            </w:pPr>
          </w:p>
        </w:tc>
        <w:tc>
          <w:tcPr>
            <w:tcW w:w="820" w:type="dxa"/>
            <w:vAlign w:val="bottom"/>
          </w:tcPr>
          <w:p>
            <w:pPr>
              <w:jc w:val="right"/>
              <w:ind w:right="129"/>
              <w:spacing w:after="0" w:line="109" w:lineRule="exact"/>
              <w:rPr>
                <w:sz w:val="20"/>
                <w:szCs w:val="20"/>
                <w:color w:val="auto"/>
              </w:rPr>
            </w:pPr>
            <w:r>
              <w:rPr>
                <w:rFonts w:ascii="Arial" w:cs="Arial" w:eastAsia="Arial" w:hAnsi="Arial"/>
                <w:sz w:val="10"/>
                <w:szCs w:val="10"/>
                <w:i w:val="1"/>
                <w:iCs w:val="1"/>
                <w:color w:val="auto"/>
              </w:rPr>
              <w:t>22%</w:t>
            </w:r>
          </w:p>
        </w:tc>
        <w:tc>
          <w:tcPr>
            <w:tcW w:w="180" w:type="dxa"/>
            <w:vAlign w:val="bottom"/>
          </w:tcPr>
          <w:p>
            <w:pPr>
              <w:spacing w:after="0"/>
              <w:rPr>
                <w:sz w:val="9"/>
                <w:szCs w:val="9"/>
                <w:color w:val="auto"/>
              </w:rPr>
            </w:pPr>
          </w:p>
        </w:tc>
        <w:tc>
          <w:tcPr>
            <w:tcW w:w="1060" w:type="dxa"/>
            <w:vAlign w:val="bottom"/>
          </w:tcPr>
          <w:p>
            <w:pPr>
              <w:jc w:val="right"/>
              <w:ind w:right="69"/>
              <w:spacing w:after="0" w:line="109" w:lineRule="exact"/>
              <w:rPr>
                <w:sz w:val="20"/>
                <w:szCs w:val="20"/>
                <w:color w:val="auto"/>
              </w:rPr>
            </w:pPr>
            <w:r>
              <w:rPr>
                <w:rFonts w:ascii="Arial" w:cs="Arial" w:eastAsia="Arial" w:hAnsi="Arial"/>
                <w:sz w:val="10"/>
                <w:szCs w:val="10"/>
                <w:color w:val="auto"/>
              </w:rPr>
              <w:t>(30) %</w:t>
            </w:r>
          </w:p>
        </w:tc>
      </w:tr>
      <w:tr>
        <w:trPr>
          <w:trHeight w:val="128"/>
        </w:trPr>
        <w:tc>
          <w:tcPr>
            <w:tcW w:w="1620" w:type="dxa"/>
            <w:vAlign w:val="bottom"/>
            <w:shd w:val="clear" w:color="auto" w:fill="CCEEFF"/>
          </w:tcPr>
          <w:p>
            <w:pPr>
              <w:ind w:left="200"/>
              <w:spacing w:after="0" w:line="109" w:lineRule="exact"/>
              <w:rPr>
                <w:sz w:val="20"/>
                <w:szCs w:val="20"/>
                <w:color w:val="auto"/>
              </w:rPr>
            </w:pPr>
            <w:r>
              <w:rPr>
                <w:rFonts w:ascii="Arial" w:cs="Arial" w:eastAsia="Arial" w:hAnsi="Arial"/>
                <w:sz w:val="10"/>
                <w:szCs w:val="10"/>
                <w:b w:val="1"/>
                <w:bCs w:val="1"/>
                <w:color w:val="auto"/>
              </w:rPr>
              <w:t>New Zealand</w:t>
            </w:r>
          </w:p>
        </w:tc>
        <w:tc>
          <w:tcPr>
            <w:tcW w:w="3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80"/>
              <w:spacing w:after="0" w:line="109" w:lineRule="exact"/>
              <w:rPr>
                <w:sz w:val="20"/>
                <w:szCs w:val="20"/>
                <w:color w:val="auto"/>
              </w:rPr>
            </w:pPr>
            <w:r>
              <w:rPr>
                <w:rFonts w:ascii="Arial" w:cs="Arial" w:eastAsia="Arial" w:hAnsi="Arial"/>
                <w:sz w:val="10"/>
                <w:szCs w:val="10"/>
                <w:color w:val="auto"/>
              </w:rPr>
              <w:t>(1,917)</w:t>
            </w:r>
          </w:p>
        </w:tc>
        <w:tc>
          <w:tcPr>
            <w:tcW w:w="88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(195)%</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(1,400)</w:t>
            </w: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(145)%</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rPr>
              <w:t>(37) %</w:t>
            </w:r>
          </w:p>
        </w:tc>
      </w:tr>
      <w:tr>
        <w:trPr>
          <w:trHeight w:val="90"/>
        </w:trPr>
        <w:tc>
          <w:tcPr>
            <w:tcW w:w="1620" w:type="dxa"/>
            <w:vAlign w:val="bottom"/>
            <w:tcBorders>
              <w:top w:val="single" w:sz="8" w:color="CCEEFF"/>
            </w:tcBorders>
          </w:tcPr>
          <w:p>
            <w:pPr>
              <w:ind w:left="200"/>
              <w:spacing w:after="0" w:line="91" w:lineRule="exact"/>
              <w:rPr>
                <w:sz w:val="20"/>
                <w:szCs w:val="20"/>
                <w:color w:val="auto"/>
              </w:rPr>
            </w:pPr>
            <w:r>
              <w:rPr>
                <w:rFonts w:ascii="Arial" w:cs="Arial" w:eastAsia="Arial" w:hAnsi="Arial"/>
                <w:sz w:val="10"/>
                <w:szCs w:val="10"/>
                <w:b w:val="1"/>
                <w:bCs w:val="1"/>
                <w:color w:val="auto"/>
              </w:rPr>
              <w:t>Total operating income (loss)</w:t>
            </w:r>
          </w:p>
        </w:tc>
        <w:tc>
          <w:tcPr>
            <w:tcW w:w="3500" w:type="dxa"/>
            <w:vAlign w:val="bottom"/>
            <w:tcBorders>
              <w:top w:val="single" w:sz="8" w:color="CCEEFF"/>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2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b w:val="1"/>
                <w:bCs w:val="1"/>
                <w:color w:val="auto"/>
              </w:rPr>
              <w:t>(5,355)</w:t>
            </w:r>
          </w:p>
        </w:tc>
        <w:tc>
          <w:tcPr>
            <w:tcW w:w="180" w:type="dxa"/>
            <w:vAlign w:val="bottom"/>
            <w:tcBorders>
              <w:top w:val="single" w:sz="8" w:color="CCEEFF"/>
            </w:tcBorders>
          </w:tcPr>
          <w:p>
            <w:pPr>
              <w:spacing w:after="0"/>
              <w:rPr>
                <w:sz w:val="7"/>
                <w:szCs w:val="7"/>
                <w:color w:val="auto"/>
              </w:rPr>
            </w:pPr>
          </w:p>
        </w:tc>
        <w:tc>
          <w:tcPr>
            <w:tcW w:w="880" w:type="dxa"/>
            <w:vAlign w:val="bottom"/>
            <w:tcBorders>
              <w:top w:val="single" w:sz="8" w:color="CCEEFF"/>
            </w:tcBorders>
          </w:tcPr>
          <w:p>
            <w:pPr>
              <w:jc w:val="right"/>
              <w:ind w:right="189"/>
              <w:spacing w:after="0" w:line="91" w:lineRule="exact"/>
              <w:rPr>
                <w:sz w:val="20"/>
                <w:szCs w:val="20"/>
                <w:color w:val="auto"/>
              </w:rPr>
            </w:pPr>
            <w:r>
              <w:rPr>
                <w:rFonts w:ascii="Arial" w:cs="Arial" w:eastAsia="Arial" w:hAnsi="Arial"/>
                <w:sz w:val="10"/>
                <w:szCs w:val="10"/>
                <w:i w:val="1"/>
                <w:iCs w:val="1"/>
                <w:color w:val="auto"/>
              </w:rPr>
              <w:t>(42)%</w:t>
            </w:r>
          </w:p>
        </w:tc>
        <w:tc>
          <w:tcPr>
            <w:tcW w:w="180" w:type="dxa"/>
            <w:vAlign w:val="bottom"/>
            <w:tcBorders>
              <w:top w:val="single" w:sz="8" w:color="CCEEFF"/>
            </w:tcBorders>
          </w:tcPr>
          <w:p>
            <w:pPr>
              <w:spacing w:after="0"/>
              <w:rPr>
                <w:sz w:val="7"/>
                <w:szCs w:val="7"/>
                <w:color w:val="auto"/>
              </w:rPr>
            </w:pPr>
          </w:p>
        </w:tc>
        <w:tc>
          <w:tcPr>
            <w:tcW w:w="20" w:type="dxa"/>
            <w:vAlign w:val="bottom"/>
            <w:tcBorders>
              <w:top w:val="single" w:sz="8" w:color="CCEEFF"/>
              <w:bottom w:val="single" w:sz="8" w:color="auto"/>
            </w:tcBorders>
          </w:tcPr>
          <w:p>
            <w:pPr>
              <w:spacing w:after="0"/>
              <w:rPr>
                <w:sz w:val="7"/>
                <w:szCs w:val="7"/>
                <w:color w:val="auto"/>
              </w:rPr>
            </w:pPr>
          </w:p>
        </w:tc>
        <w:tc>
          <w:tcPr>
            <w:tcW w:w="2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b w:val="1"/>
                <w:bCs w:val="1"/>
                <w:color w:val="auto"/>
              </w:rPr>
              <w:t>(2,463)</w:t>
            </w:r>
          </w:p>
        </w:tc>
        <w:tc>
          <w:tcPr>
            <w:tcW w:w="20" w:type="dxa"/>
            <w:vAlign w:val="bottom"/>
            <w:tcBorders>
              <w:top w:val="single" w:sz="8" w:color="CCEEFF"/>
              <w:bottom w:val="single" w:sz="8" w:color="auto"/>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820" w:type="dxa"/>
            <w:vAlign w:val="bottom"/>
            <w:tcBorders>
              <w:top w:val="single" w:sz="8" w:color="CCEEFF"/>
            </w:tcBorders>
          </w:tcPr>
          <w:p>
            <w:pPr>
              <w:jc w:val="right"/>
              <w:ind w:right="129"/>
              <w:spacing w:after="0" w:line="91" w:lineRule="exact"/>
              <w:rPr>
                <w:sz w:val="20"/>
                <w:szCs w:val="20"/>
                <w:color w:val="auto"/>
              </w:rPr>
            </w:pPr>
            <w:r>
              <w:rPr>
                <w:rFonts w:ascii="Arial" w:cs="Arial" w:eastAsia="Arial" w:hAnsi="Arial"/>
                <w:sz w:val="10"/>
                <w:szCs w:val="10"/>
                <w:i w:val="1"/>
                <w:iCs w:val="1"/>
                <w:color w:val="auto"/>
              </w:rPr>
              <w:t>(19)%</w:t>
            </w:r>
          </w:p>
        </w:tc>
        <w:tc>
          <w:tcPr>
            <w:tcW w:w="180" w:type="dxa"/>
            <w:vAlign w:val="bottom"/>
            <w:tcBorders>
              <w:top w:val="single" w:sz="8" w:color="CCEEFF"/>
            </w:tcBorders>
          </w:tcPr>
          <w:p>
            <w:pPr>
              <w:spacing w:after="0"/>
              <w:rPr>
                <w:sz w:val="7"/>
                <w:szCs w:val="7"/>
                <w:color w:val="auto"/>
              </w:rPr>
            </w:pPr>
          </w:p>
        </w:tc>
        <w:tc>
          <w:tcPr>
            <w:tcW w:w="1060" w:type="dxa"/>
            <w:vAlign w:val="bottom"/>
            <w:tcBorders>
              <w:top w:val="single" w:sz="8" w:color="CCEEFF"/>
            </w:tcBorders>
          </w:tcPr>
          <w:p>
            <w:pPr>
              <w:jc w:val="right"/>
              <w:ind w:right="69"/>
              <w:spacing w:after="0" w:line="91" w:lineRule="exact"/>
              <w:rPr>
                <w:sz w:val="20"/>
                <w:szCs w:val="20"/>
                <w:color w:val="auto"/>
              </w:rPr>
            </w:pPr>
            <w:r>
              <w:rPr>
                <w:rFonts w:ascii="Arial" w:cs="Arial" w:eastAsia="Arial" w:hAnsi="Arial"/>
                <w:sz w:val="10"/>
                <w:szCs w:val="10"/>
                <w:color w:val="auto"/>
              </w:rPr>
              <w:t>(&gt;100) %</w:t>
            </w:r>
          </w:p>
        </w:tc>
      </w:tr>
      <w:tr>
        <w:trPr>
          <w:trHeight w:val="20"/>
        </w:trPr>
        <w:tc>
          <w:tcPr>
            <w:tcW w:w="16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66"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auto"/>
        </w:rPr>
        <w:t>Real Estate</w:t>
      </w:r>
      <w:r>
        <w:rPr>
          <w:rFonts w:ascii="Arial" w:cs="Arial" w:eastAsia="Arial" w:hAnsi="Arial"/>
          <w:sz w:val="14"/>
          <w:szCs w:val="14"/>
          <w:b w:val="1"/>
          <w:bCs w:val="1"/>
          <w:color w:val="auto"/>
        </w:rPr>
        <w:t xml:space="preserve"> – </w:t>
      </w:r>
      <w:r>
        <w:rPr>
          <w:rFonts w:ascii="Arial" w:cs="Arial" w:eastAsia="Arial" w:hAnsi="Arial"/>
          <w:sz w:val="14"/>
          <w:szCs w:val="14"/>
          <w:b w:val="1"/>
          <w:bCs w:val="1"/>
          <w:i w:val="1"/>
          <w:iCs w:val="1"/>
          <w:color w:val="auto"/>
        </w:rPr>
        <w:t>The following table details our Real Estate segment operating results for the quarters ended December 31, 2021 and 2020, respectively: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0"/>
              </w:rPr>
              <w:t>2021 vs. 2020</w:t>
            </w:r>
          </w:p>
        </w:tc>
      </w:tr>
      <w:tr>
        <w:trPr>
          <w:trHeight w:val="108"/>
        </w:trPr>
        <w:tc>
          <w:tcPr>
            <w:tcW w:w="16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w w:val="91"/>
              </w:rPr>
              <w:t>Favorable/</w:t>
            </w:r>
          </w:p>
        </w:tc>
      </w:tr>
      <w:tr>
        <w:trPr>
          <w:trHeight w:val="123"/>
        </w:trPr>
        <w:tc>
          <w:tcPr>
            <w:tcW w:w="1640" w:type="dxa"/>
            <w:vAlign w:val="bottom"/>
          </w:tcPr>
          <w:p>
            <w:pPr>
              <w:spacing w:after="0"/>
              <w:rPr>
                <w:sz w:val="20"/>
                <w:szCs w:val="20"/>
                <w:color w:val="auto"/>
              </w:rPr>
            </w:pPr>
            <w:r>
              <w:rPr>
                <w:rFonts w:ascii="Arial" w:cs="Arial" w:eastAsia="Arial" w:hAnsi="Arial"/>
                <w:sz w:val="10"/>
                <w:szCs w:val="10"/>
                <w:i w:val="1"/>
                <w:iCs w:val="1"/>
                <w:color w:val="auto"/>
              </w:rPr>
              <w:t>(Dollars in thousands)</w:t>
            </w:r>
          </w:p>
        </w:tc>
        <w:tc>
          <w:tcPr>
            <w:tcW w:w="3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jc w:val="right"/>
              <w:ind w:right="469"/>
              <w:spacing w:after="0"/>
              <w:rPr>
                <w:sz w:val="20"/>
                <w:szCs w:val="20"/>
                <w:color w:val="auto"/>
              </w:rPr>
            </w:pPr>
            <w:r>
              <w:rPr>
                <w:rFonts w:ascii="Arial" w:cs="Arial" w:eastAsia="Arial" w:hAnsi="Arial"/>
                <w:sz w:val="10"/>
                <w:szCs w:val="10"/>
                <w:b w:val="1"/>
                <w:bCs w:val="1"/>
                <w:color w:val="auto"/>
              </w:rPr>
              <w:t>2021</w:t>
            </w:r>
          </w:p>
        </w:tc>
        <w:tc>
          <w:tcPr>
            <w:tcW w:w="200" w:type="dxa"/>
            <w:vAlign w:val="bottom"/>
          </w:tcPr>
          <w:p>
            <w:pPr>
              <w:spacing w:after="0"/>
              <w:rPr>
                <w:sz w:val="10"/>
                <w:szCs w:val="10"/>
                <w:color w:val="auto"/>
              </w:rPr>
            </w:pPr>
          </w:p>
        </w:tc>
        <w:tc>
          <w:tcPr>
            <w:tcW w:w="1100" w:type="dxa"/>
            <w:vAlign w:val="bottom"/>
            <w:gridSpan w:val="2"/>
          </w:tcPr>
          <w:p>
            <w:pPr>
              <w:ind w:left="180"/>
              <w:spacing w:after="0"/>
              <w:rPr>
                <w:sz w:val="20"/>
                <w:szCs w:val="20"/>
                <w:color w:val="auto"/>
              </w:rPr>
            </w:pPr>
            <w:r>
              <w:rPr>
                <w:rFonts w:ascii="Arial" w:cs="Arial" w:eastAsia="Arial" w:hAnsi="Arial"/>
                <w:sz w:val="10"/>
                <w:szCs w:val="10"/>
                <w:i w:val="1"/>
                <w:iCs w:val="1"/>
                <w:color w:val="auto"/>
              </w:rPr>
              <w:t>% of Revenue</w:t>
            </w:r>
          </w:p>
        </w:tc>
        <w:tc>
          <w:tcPr>
            <w:tcW w:w="280" w:type="dxa"/>
            <w:vAlign w:val="bottom"/>
          </w:tcPr>
          <w:p>
            <w:pPr>
              <w:spacing w:after="0"/>
              <w:rPr>
                <w:sz w:val="10"/>
                <w:szCs w:val="10"/>
                <w:color w:val="auto"/>
              </w:rPr>
            </w:pPr>
          </w:p>
        </w:tc>
        <w:tc>
          <w:tcPr>
            <w:tcW w:w="960" w:type="dxa"/>
            <w:vAlign w:val="bottom"/>
          </w:tcPr>
          <w:p>
            <w:pPr>
              <w:jc w:val="right"/>
              <w:ind w:right="469"/>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ind w:left="120"/>
              <w:spacing w:after="0"/>
              <w:rPr>
                <w:sz w:val="20"/>
                <w:szCs w:val="20"/>
                <w:color w:val="auto"/>
              </w:rPr>
            </w:pPr>
            <w:r>
              <w:rPr>
                <w:rFonts w:ascii="Arial" w:cs="Arial" w:eastAsia="Arial" w:hAnsi="Arial"/>
                <w:sz w:val="10"/>
                <w:szCs w:val="10"/>
                <w:i w:val="1"/>
                <w:iCs w:val="1"/>
                <w:color w:val="auto"/>
              </w:rPr>
              <w:t>% of Revenue</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6"/>
              </w:rPr>
              <w:t>(Unfavorable)</w:t>
            </w:r>
          </w:p>
        </w:tc>
      </w:tr>
      <w:tr>
        <w:trPr>
          <w:trHeight w:val="108"/>
        </w:trPr>
        <w:tc>
          <w:tcPr>
            <w:tcW w:w="1640" w:type="dxa"/>
            <w:vAlign w:val="bottom"/>
            <w:tcBorders>
              <w:top w:val="single" w:sz="8" w:color="auto"/>
            </w:tcBorders>
          </w:tcPr>
          <w:p>
            <w:pPr>
              <w:spacing w:after="0" w:line="109" w:lineRule="exact"/>
              <w:rPr>
                <w:sz w:val="20"/>
                <w:szCs w:val="20"/>
                <w:color w:val="auto"/>
              </w:rPr>
            </w:pPr>
            <w:r>
              <w:rPr>
                <w:rFonts w:ascii="Arial" w:cs="Arial" w:eastAsia="Arial" w:hAnsi="Arial"/>
                <w:sz w:val="10"/>
                <w:szCs w:val="10"/>
                <w:b w:val="1"/>
                <w:bCs w:val="1"/>
                <w:color w:val="auto"/>
              </w:rPr>
              <w:t>REVENUE</w:t>
            </w:r>
          </w:p>
        </w:tc>
        <w:tc>
          <w:tcPr>
            <w:tcW w:w="34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r>
      <w:tr>
        <w:trPr>
          <w:trHeight w:val="108"/>
        </w:trPr>
        <w:tc>
          <w:tcPr>
            <w:tcW w:w="1640" w:type="dxa"/>
            <w:vAlign w:val="bottom"/>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United States</w:t>
            </w:r>
          </w:p>
        </w:tc>
        <w:tc>
          <w:tcPr>
            <w:tcW w:w="3440" w:type="dxa"/>
            <w:vAlign w:val="bottom"/>
            <w:shd w:val="clear" w:color="auto" w:fill="CCEEFF"/>
          </w:tcPr>
          <w:p>
            <w:pPr>
              <w:ind w:left="180"/>
              <w:spacing w:after="0" w:line="109" w:lineRule="exact"/>
              <w:rPr>
                <w:sz w:val="20"/>
                <w:szCs w:val="20"/>
                <w:color w:val="auto"/>
              </w:rPr>
            </w:pPr>
            <w:r>
              <w:rPr>
                <w:rFonts w:ascii="Arial" w:cs="Arial" w:eastAsia="Arial" w:hAnsi="Arial"/>
                <w:sz w:val="10"/>
                <w:szCs w:val="10"/>
                <w:color w:val="auto"/>
              </w:rPr>
              <w:t>Live theatre rental and ancillary income</w:t>
            </w:r>
          </w:p>
        </w:tc>
        <w:tc>
          <w:tcPr>
            <w:tcW w:w="500" w:type="dxa"/>
            <w:vAlign w:val="bottom"/>
            <w:gridSpan w:val="2"/>
            <w:shd w:val="clear" w:color="auto" w:fill="CCEEFF"/>
          </w:tcPr>
          <w:p>
            <w:pPr>
              <w:jc w:val="right"/>
              <w:ind w:right="189"/>
              <w:spacing w:after="0" w:line="109" w:lineRule="exact"/>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567</w:t>
            </w:r>
          </w:p>
        </w:tc>
        <w:tc>
          <w:tcPr>
            <w:tcW w:w="90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81%</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jc w:val="right"/>
              <w:ind w:right="169"/>
              <w:spacing w:after="0" w:line="109" w:lineRule="exact"/>
              <w:rPr>
                <w:sz w:val="20"/>
                <w:szCs w:val="20"/>
                <w:color w:val="auto"/>
              </w:rPr>
            </w:pPr>
            <w:r>
              <w:rPr>
                <w:rFonts w:ascii="Arial" w:cs="Arial" w:eastAsia="Arial" w:hAnsi="Arial"/>
                <w:sz w:val="10"/>
                <w:szCs w:val="10"/>
                <w:color w:val="auto"/>
                <w:w w:val="71"/>
              </w:rPr>
              <w:t>$</w:t>
            </w:r>
          </w:p>
        </w:tc>
        <w:tc>
          <w:tcPr>
            <w:tcW w:w="1160" w:type="dxa"/>
            <w:vAlign w:val="bottom"/>
            <w:gridSpan w:val="3"/>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100</w:t>
            </w:r>
          </w:p>
        </w:tc>
        <w:tc>
          <w:tcPr>
            <w:tcW w:w="820" w:type="dxa"/>
            <w:vAlign w:val="bottom"/>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39%</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ind w:right="29"/>
              <w:spacing w:after="0" w:line="109" w:lineRule="exact"/>
              <w:rPr>
                <w:sz w:val="20"/>
                <w:szCs w:val="20"/>
                <w:color w:val="auto"/>
              </w:rPr>
            </w:pPr>
            <w:r>
              <w:rPr>
                <w:rFonts w:ascii="Arial" w:cs="Arial" w:eastAsia="Arial" w:hAnsi="Arial"/>
                <w:sz w:val="10"/>
                <w:szCs w:val="10"/>
                <w:color w:val="auto"/>
              </w:rPr>
              <w:t>&gt;100 %</w:t>
            </w:r>
          </w:p>
        </w:tc>
      </w:tr>
      <w:tr>
        <w:trPr>
          <w:trHeight w:val="108"/>
        </w:trPr>
        <w:tc>
          <w:tcPr>
            <w:tcW w:w="1640" w:type="dxa"/>
            <w:vAlign w:val="bottom"/>
          </w:tcPr>
          <w:p>
            <w:pPr>
              <w:spacing w:after="0"/>
              <w:rPr>
                <w:sz w:val="9"/>
                <w:szCs w:val="9"/>
                <w:color w:val="auto"/>
              </w:rPr>
            </w:pPr>
          </w:p>
        </w:tc>
        <w:tc>
          <w:tcPr>
            <w:tcW w:w="3440" w:type="dxa"/>
            <w:vAlign w:val="bottom"/>
          </w:tcPr>
          <w:p>
            <w:pPr>
              <w:ind w:left="180"/>
              <w:spacing w:after="0" w:line="109" w:lineRule="exact"/>
              <w:rPr>
                <w:sz w:val="20"/>
                <w:szCs w:val="20"/>
                <w:color w:val="auto"/>
              </w:rPr>
            </w:pPr>
            <w:r>
              <w:rPr>
                <w:rFonts w:ascii="Arial" w:cs="Arial" w:eastAsia="Arial" w:hAnsi="Arial"/>
                <w:sz w:val="10"/>
                <w:szCs w:val="10"/>
                <w:color w:val="auto"/>
              </w:rPr>
              <w:t>Property rental income</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130</w:t>
            </w:r>
          </w:p>
        </w:tc>
        <w:tc>
          <w:tcPr>
            <w:tcW w:w="900" w:type="dxa"/>
            <w:vAlign w:val="bottom"/>
          </w:tcPr>
          <w:p>
            <w:pPr>
              <w:jc w:val="right"/>
              <w:ind w:right="189"/>
              <w:spacing w:after="0" w:line="109" w:lineRule="exact"/>
              <w:rPr>
                <w:sz w:val="20"/>
                <w:szCs w:val="20"/>
                <w:color w:val="auto"/>
              </w:rPr>
            </w:pPr>
            <w:r>
              <w:rPr>
                <w:rFonts w:ascii="Arial" w:cs="Arial" w:eastAsia="Arial" w:hAnsi="Arial"/>
                <w:sz w:val="10"/>
                <w:szCs w:val="10"/>
                <w:i w:val="1"/>
                <w:iCs w:val="1"/>
                <w:color w:val="auto"/>
              </w:rPr>
              <w:t>19%</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gridSpan w:val="3"/>
          </w:tcPr>
          <w:p>
            <w:pPr>
              <w:jc w:val="right"/>
              <w:ind w:right="200"/>
              <w:spacing w:after="0" w:line="109" w:lineRule="exact"/>
              <w:rPr>
                <w:sz w:val="20"/>
                <w:szCs w:val="20"/>
                <w:color w:val="auto"/>
              </w:rPr>
            </w:pPr>
            <w:r>
              <w:rPr>
                <w:rFonts w:ascii="Arial" w:cs="Arial" w:eastAsia="Arial" w:hAnsi="Arial"/>
                <w:sz w:val="10"/>
                <w:szCs w:val="10"/>
                <w:color w:val="auto"/>
              </w:rPr>
              <w:t>157</w:t>
            </w:r>
          </w:p>
        </w:tc>
        <w:tc>
          <w:tcPr>
            <w:tcW w:w="820" w:type="dxa"/>
            <w:vAlign w:val="bottom"/>
          </w:tcPr>
          <w:p>
            <w:pPr>
              <w:jc w:val="right"/>
              <w:ind w:right="129"/>
              <w:spacing w:after="0" w:line="109" w:lineRule="exact"/>
              <w:rPr>
                <w:sz w:val="20"/>
                <w:szCs w:val="20"/>
                <w:color w:val="auto"/>
              </w:rPr>
            </w:pPr>
            <w:r>
              <w:rPr>
                <w:rFonts w:ascii="Arial" w:cs="Arial" w:eastAsia="Arial" w:hAnsi="Arial"/>
                <w:sz w:val="10"/>
                <w:szCs w:val="10"/>
                <w:i w:val="1"/>
                <w:iCs w:val="1"/>
                <w:color w:val="auto"/>
              </w:rPr>
              <w:t>61%</w:t>
            </w:r>
          </w:p>
        </w:tc>
        <w:tc>
          <w:tcPr>
            <w:tcW w:w="200" w:type="dxa"/>
            <w:vAlign w:val="bottom"/>
          </w:tcPr>
          <w:p>
            <w:pPr>
              <w:spacing w:after="0"/>
              <w:rPr>
                <w:sz w:val="9"/>
                <w:szCs w:val="9"/>
                <w:color w:val="auto"/>
              </w:rPr>
            </w:pPr>
          </w:p>
        </w:tc>
        <w:tc>
          <w:tcPr>
            <w:tcW w:w="980" w:type="dxa"/>
            <w:vAlign w:val="bottom"/>
          </w:tcPr>
          <w:p>
            <w:pPr>
              <w:jc w:val="right"/>
              <w:ind w:right="29"/>
              <w:spacing w:after="0" w:line="109" w:lineRule="exact"/>
              <w:rPr>
                <w:sz w:val="20"/>
                <w:szCs w:val="20"/>
                <w:color w:val="auto"/>
              </w:rPr>
            </w:pPr>
            <w:r>
              <w:rPr>
                <w:rFonts w:ascii="Arial" w:cs="Arial" w:eastAsia="Arial" w:hAnsi="Arial"/>
                <w:sz w:val="10"/>
                <w:szCs w:val="10"/>
                <w:color w:val="auto"/>
              </w:rPr>
              <w:t>(17) %</w:t>
            </w:r>
          </w:p>
        </w:tc>
      </w:tr>
      <w:tr>
        <w:trPr>
          <w:trHeight w:val="99"/>
        </w:trPr>
        <w:tc>
          <w:tcPr>
            <w:tcW w:w="1640" w:type="dxa"/>
            <w:vAlign w:val="bottom"/>
            <w:tcBorders>
              <w:top w:val="single" w:sz="8" w:color="CCEEFF"/>
            </w:tcBorders>
            <w:shd w:val="clear" w:color="auto" w:fill="CCEEFF"/>
          </w:tcPr>
          <w:p>
            <w:pPr>
              <w:spacing w:after="0"/>
              <w:rPr>
                <w:sz w:val="8"/>
                <w:szCs w:val="8"/>
                <w:color w:val="auto"/>
              </w:rPr>
            </w:pPr>
          </w:p>
        </w:tc>
        <w:tc>
          <w:tcPr>
            <w:tcW w:w="34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697</w:t>
            </w:r>
          </w:p>
        </w:tc>
        <w:tc>
          <w:tcPr>
            <w:tcW w:w="2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jc w:val="right"/>
              <w:ind w:right="189"/>
              <w:spacing w:after="0" w:line="100" w:lineRule="exact"/>
              <w:rPr>
                <w:sz w:val="20"/>
                <w:szCs w:val="20"/>
                <w:color w:val="auto"/>
              </w:rPr>
            </w:pPr>
            <w:r>
              <w:rPr>
                <w:rFonts w:ascii="Arial" w:cs="Arial" w:eastAsia="Arial" w:hAnsi="Arial"/>
                <w:sz w:val="10"/>
                <w:szCs w:val="10"/>
                <w:i w:val="1"/>
                <w:iCs w:val="1"/>
                <w:color w:val="auto"/>
              </w:rPr>
              <w:t>100%</w:t>
            </w:r>
          </w:p>
        </w:tc>
        <w:tc>
          <w:tcPr>
            <w:tcW w:w="20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257</w:t>
            </w:r>
          </w:p>
        </w:tc>
        <w:tc>
          <w:tcPr>
            <w:tcW w:w="200" w:type="dxa"/>
            <w:vAlign w:val="bottom"/>
            <w:tcBorders>
              <w:top w:val="single" w:sz="8" w:color="CCEEFF"/>
            </w:tcBorders>
            <w:gridSpan w:val="2"/>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jc w:val="right"/>
              <w:ind w:right="129"/>
              <w:spacing w:after="0" w:line="100" w:lineRule="exact"/>
              <w:rPr>
                <w:sz w:val="20"/>
                <w:szCs w:val="20"/>
                <w:color w:val="auto"/>
              </w:rPr>
            </w:pPr>
            <w:r>
              <w:rPr>
                <w:rFonts w:ascii="Arial" w:cs="Arial" w:eastAsia="Arial" w:hAnsi="Arial"/>
                <w:sz w:val="10"/>
                <w:szCs w:val="10"/>
                <w:i w:val="1"/>
                <w:iCs w:val="1"/>
                <w:color w:val="auto"/>
              </w:rPr>
              <w:t>100%</w:t>
            </w:r>
          </w:p>
        </w:tc>
        <w:tc>
          <w:tcPr>
            <w:tcW w:w="20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CCEEFF"/>
            </w:tcBorders>
            <w:shd w:val="clear" w:color="auto" w:fill="CCEEFF"/>
          </w:tcPr>
          <w:p>
            <w:pPr>
              <w:jc w:val="right"/>
              <w:ind w:right="29"/>
              <w:spacing w:after="0" w:line="100" w:lineRule="exact"/>
              <w:rPr>
                <w:sz w:val="20"/>
                <w:szCs w:val="20"/>
                <w:color w:val="auto"/>
              </w:rPr>
            </w:pPr>
            <w:r>
              <w:rPr>
                <w:rFonts w:ascii="Arial" w:cs="Arial" w:eastAsia="Arial" w:hAnsi="Arial"/>
                <w:sz w:val="10"/>
                <w:szCs w:val="10"/>
                <w:color w:val="auto"/>
              </w:rPr>
              <w:t>&gt;100 %</w:t>
            </w:r>
          </w:p>
        </w:tc>
      </w:tr>
      <w:tr>
        <w:trPr>
          <w:trHeight w:val="108"/>
        </w:trPr>
        <w:tc>
          <w:tcPr>
            <w:tcW w:w="1640" w:type="dxa"/>
            <w:vAlign w:val="bottom"/>
          </w:tcPr>
          <w:p>
            <w:pPr>
              <w:ind w:left="220"/>
              <w:spacing w:after="0" w:line="109" w:lineRule="exact"/>
              <w:rPr>
                <w:sz w:val="20"/>
                <w:szCs w:val="20"/>
                <w:color w:val="auto"/>
              </w:rPr>
            </w:pPr>
            <w:r>
              <w:rPr>
                <w:rFonts w:ascii="Arial" w:cs="Arial" w:eastAsia="Arial" w:hAnsi="Arial"/>
                <w:sz w:val="10"/>
                <w:szCs w:val="10"/>
                <w:b w:val="1"/>
                <w:bCs w:val="1"/>
                <w:color w:val="auto"/>
              </w:rPr>
              <w:t>Australia</w:t>
            </w:r>
          </w:p>
        </w:tc>
        <w:tc>
          <w:tcPr>
            <w:tcW w:w="3440" w:type="dxa"/>
            <w:vAlign w:val="bottom"/>
          </w:tcPr>
          <w:p>
            <w:pPr>
              <w:ind w:left="180"/>
              <w:spacing w:after="0" w:line="109" w:lineRule="exact"/>
              <w:rPr>
                <w:sz w:val="20"/>
                <w:szCs w:val="20"/>
                <w:color w:val="auto"/>
              </w:rPr>
            </w:pPr>
            <w:r>
              <w:rPr>
                <w:rFonts w:ascii="Arial" w:cs="Arial" w:eastAsia="Arial" w:hAnsi="Arial"/>
                <w:sz w:val="10"/>
                <w:szCs w:val="10"/>
                <w:color w:val="auto"/>
              </w:rPr>
              <w:t>Property rental income</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1,855</w:t>
            </w:r>
          </w:p>
        </w:tc>
        <w:tc>
          <w:tcPr>
            <w:tcW w:w="900" w:type="dxa"/>
            <w:vAlign w:val="bottom"/>
          </w:tcPr>
          <w:p>
            <w:pPr>
              <w:jc w:val="right"/>
              <w:ind w:right="189"/>
              <w:spacing w:after="0" w:line="109" w:lineRule="exact"/>
              <w:rPr>
                <w:sz w:val="20"/>
                <w:szCs w:val="20"/>
                <w:color w:val="auto"/>
              </w:rPr>
            </w:pPr>
            <w:r>
              <w:rPr>
                <w:rFonts w:ascii="Arial" w:cs="Arial" w:eastAsia="Arial" w:hAnsi="Arial"/>
                <w:sz w:val="10"/>
                <w:szCs w:val="10"/>
                <w:i w:val="1"/>
                <w:iCs w:val="1"/>
                <w:color w:val="auto"/>
              </w:rPr>
              <w:t>100%</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2,526</w:t>
            </w:r>
          </w:p>
        </w:tc>
        <w:tc>
          <w:tcPr>
            <w:tcW w:w="180" w:type="dxa"/>
            <w:vAlign w:val="bottom"/>
          </w:tcPr>
          <w:p>
            <w:pPr>
              <w:spacing w:after="0"/>
              <w:rPr>
                <w:sz w:val="9"/>
                <w:szCs w:val="9"/>
                <w:color w:val="auto"/>
              </w:rPr>
            </w:pPr>
          </w:p>
        </w:tc>
        <w:tc>
          <w:tcPr>
            <w:tcW w:w="820" w:type="dxa"/>
            <w:vAlign w:val="bottom"/>
          </w:tcPr>
          <w:p>
            <w:pPr>
              <w:jc w:val="right"/>
              <w:ind w:right="129"/>
              <w:spacing w:after="0" w:line="109" w:lineRule="exact"/>
              <w:rPr>
                <w:sz w:val="20"/>
                <w:szCs w:val="20"/>
                <w:color w:val="auto"/>
              </w:rPr>
            </w:pPr>
            <w:r>
              <w:rPr>
                <w:rFonts w:ascii="Arial" w:cs="Arial" w:eastAsia="Arial" w:hAnsi="Arial"/>
                <w:sz w:val="10"/>
                <w:szCs w:val="10"/>
                <w:i w:val="1"/>
                <w:iCs w:val="1"/>
                <w:color w:val="auto"/>
              </w:rPr>
              <w:t>100%</w:t>
            </w:r>
          </w:p>
        </w:tc>
        <w:tc>
          <w:tcPr>
            <w:tcW w:w="200" w:type="dxa"/>
            <w:vAlign w:val="bottom"/>
          </w:tcPr>
          <w:p>
            <w:pPr>
              <w:spacing w:after="0"/>
              <w:rPr>
                <w:sz w:val="9"/>
                <w:szCs w:val="9"/>
                <w:color w:val="auto"/>
              </w:rPr>
            </w:pPr>
          </w:p>
        </w:tc>
        <w:tc>
          <w:tcPr>
            <w:tcW w:w="980" w:type="dxa"/>
            <w:vAlign w:val="bottom"/>
          </w:tcPr>
          <w:p>
            <w:pPr>
              <w:jc w:val="right"/>
              <w:ind w:right="29"/>
              <w:spacing w:after="0" w:line="109" w:lineRule="exact"/>
              <w:rPr>
                <w:sz w:val="20"/>
                <w:szCs w:val="20"/>
                <w:color w:val="auto"/>
              </w:rPr>
            </w:pPr>
            <w:r>
              <w:rPr>
                <w:rFonts w:ascii="Arial" w:cs="Arial" w:eastAsia="Arial" w:hAnsi="Arial"/>
                <w:sz w:val="10"/>
                <w:szCs w:val="10"/>
                <w:color w:val="auto"/>
              </w:rPr>
              <w:t>(27) %</w:t>
            </w:r>
          </w:p>
        </w:tc>
      </w:tr>
      <w:tr>
        <w:trPr>
          <w:trHeight w:val="108"/>
        </w:trPr>
        <w:tc>
          <w:tcPr>
            <w:tcW w:w="1640" w:type="dxa"/>
            <w:vAlign w:val="bottom"/>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New Zealand</w:t>
            </w:r>
          </w:p>
        </w:tc>
        <w:tc>
          <w:tcPr>
            <w:tcW w:w="3440" w:type="dxa"/>
            <w:vAlign w:val="bottom"/>
            <w:shd w:val="clear" w:color="auto" w:fill="CCEEFF"/>
          </w:tcPr>
          <w:p>
            <w:pPr>
              <w:ind w:left="180"/>
              <w:spacing w:after="0" w:line="109" w:lineRule="exact"/>
              <w:rPr>
                <w:sz w:val="20"/>
                <w:szCs w:val="20"/>
                <w:color w:val="auto"/>
              </w:rPr>
            </w:pPr>
            <w:r>
              <w:rPr>
                <w:rFonts w:ascii="Arial" w:cs="Arial" w:eastAsia="Arial" w:hAnsi="Arial"/>
                <w:sz w:val="10"/>
                <w:szCs w:val="10"/>
                <w:color w:val="auto"/>
              </w:rPr>
              <w:t>Property rental income</w:t>
            </w: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6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264</w:t>
            </w:r>
          </w:p>
        </w:tc>
        <w:tc>
          <w:tcPr>
            <w:tcW w:w="90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100%</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60" w:type="dxa"/>
            <w:vAlign w:val="bottom"/>
            <w:gridSpan w:val="3"/>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252</w:t>
            </w:r>
          </w:p>
        </w:tc>
        <w:tc>
          <w:tcPr>
            <w:tcW w:w="820" w:type="dxa"/>
            <w:vAlign w:val="bottom"/>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100%</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ind w:right="29"/>
              <w:spacing w:after="0" w:line="109" w:lineRule="exact"/>
              <w:rPr>
                <w:sz w:val="20"/>
                <w:szCs w:val="20"/>
                <w:color w:val="auto"/>
              </w:rPr>
            </w:pPr>
            <w:r>
              <w:rPr>
                <w:rFonts w:ascii="Arial" w:cs="Arial" w:eastAsia="Arial" w:hAnsi="Arial"/>
                <w:sz w:val="10"/>
                <w:szCs w:val="10"/>
                <w:color w:val="auto"/>
              </w:rPr>
              <w:t>5 %</w:t>
            </w:r>
          </w:p>
        </w:tc>
      </w:tr>
      <w:tr>
        <w:trPr>
          <w:trHeight w:val="101"/>
        </w:trPr>
        <w:tc>
          <w:tcPr>
            <w:tcW w:w="1640" w:type="dxa"/>
            <w:vAlign w:val="bottom"/>
            <w:tcBorders>
              <w:bottom w:val="single" w:sz="8" w:color="CCEEFF"/>
            </w:tcBorders>
          </w:tcPr>
          <w:p>
            <w:pPr>
              <w:ind w:left="220"/>
              <w:spacing w:after="0" w:line="100" w:lineRule="exact"/>
              <w:rPr>
                <w:sz w:val="20"/>
                <w:szCs w:val="20"/>
                <w:color w:val="auto"/>
              </w:rPr>
            </w:pPr>
            <w:r>
              <w:rPr>
                <w:rFonts w:ascii="Arial" w:cs="Arial" w:eastAsia="Arial" w:hAnsi="Arial"/>
                <w:sz w:val="10"/>
                <w:szCs w:val="10"/>
                <w:b w:val="1"/>
                <w:bCs w:val="1"/>
                <w:color w:val="auto"/>
              </w:rPr>
              <w:t>Total revenue</w:t>
            </w:r>
          </w:p>
        </w:tc>
        <w:tc>
          <w:tcPr>
            <w:tcW w:w="344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89"/>
              <w:spacing w:after="0" w:line="100" w:lineRule="exact"/>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2,816</w:t>
            </w:r>
          </w:p>
        </w:tc>
        <w:tc>
          <w:tcPr>
            <w:tcW w:w="200" w:type="dxa"/>
            <w:vAlign w:val="bottom"/>
            <w:tcBorders>
              <w:bottom w:val="single" w:sz="8" w:color="CCEEFF"/>
            </w:tcBorders>
          </w:tcPr>
          <w:p>
            <w:pPr>
              <w:spacing w:after="0"/>
              <w:rPr>
                <w:sz w:val="8"/>
                <w:szCs w:val="8"/>
                <w:color w:val="auto"/>
              </w:rPr>
            </w:pPr>
          </w:p>
        </w:tc>
        <w:tc>
          <w:tcPr>
            <w:tcW w:w="900" w:type="dxa"/>
            <w:vAlign w:val="bottom"/>
            <w:tcBorders>
              <w:bottom w:val="single" w:sz="8" w:color="CCEEFF"/>
            </w:tcBorders>
          </w:tcPr>
          <w:p>
            <w:pPr>
              <w:jc w:val="right"/>
              <w:ind w:right="189"/>
              <w:spacing w:after="0" w:line="100" w:lineRule="exact"/>
              <w:rPr>
                <w:sz w:val="20"/>
                <w:szCs w:val="20"/>
                <w:color w:val="auto"/>
              </w:rPr>
            </w:pPr>
            <w:r>
              <w:rPr>
                <w:rFonts w:ascii="Arial" w:cs="Arial" w:eastAsia="Arial" w:hAnsi="Arial"/>
                <w:sz w:val="10"/>
                <w:szCs w:val="10"/>
                <w:i w:val="1"/>
                <w:iCs w:val="1"/>
                <w:color w:val="auto"/>
              </w:rPr>
              <w:t>100%</w:t>
            </w:r>
          </w:p>
        </w:tc>
        <w:tc>
          <w:tcPr>
            <w:tcW w:w="200" w:type="dxa"/>
            <w:vAlign w:val="bottom"/>
            <w:tcBorders>
              <w:bottom w:val="single" w:sz="8" w:color="CCEEFF"/>
            </w:tcBorders>
          </w:tcPr>
          <w:p>
            <w:pPr>
              <w:spacing w:after="0"/>
              <w:rPr>
                <w:sz w:val="8"/>
                <w:szCs w:val="8"/>
                <w:color w:val="auto"/>
              </w:rPr>
            </w:pPr>
          </w:p>
        </w:tc>
        <w:tc>
          <w:tcPr>
            <w:tcW w:w="280" w:type="dxa"/>
            <w:vAlign w:val="bottom"/>
            <w:tcBorders>
              <w:top w:val="single" w:sz="8" w:color="auto"/>
              <w:bottom w:val="single" w:sz="8" w:color="auto"/>
            </w:tcBorders>
          </w:tcPr>
          <w:p>
            <w:pPr>
              <w:jc w:val="right"/>
              <w:ind w:right="169"/>
              <w:spacing w:after="0" w:line="100" w:lineRule="exact"/>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3,035</w:t>
            </w:r>
          </w:p>
        </w:tc>
        <w:tc>
          <w:tcPr>
            <w:tcW w:w="2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jc w:val="right"/>
              <w:ind w:right="129"/>
              <w:spacing w:after="0" w:line="100" w:lineRule="exact"/>
              <w:rPr>
                <w:sz w:val="20"/>
                <w:szCs w:val="20"/>
                <w:color w:val="auto"/>
              </w:rPr>
            </w:pPr>
            <w:r>
              <w:rPr>
                <w:rFonts w:ascii="Arial" w:cs="Arial" w:eastAsia="Arial" w:hAnsi="Arial"/>
                <w:sz w:val="10"/>
                <w:szCs w:val="10"/>
                <w:i w:val="1"/>
                <w:iCs w:val="1"/>
                <w:color w:val="auto"/>
              </w:rPr>
              <w:t>100%</w:t>
            </w:r>
          </w:p>
        </w:tc>
        <w:tc>
          <w:tcPr>
            <w:tcW w:w="200" w:type="dxa"/>
            <w:vAlign w:val="bottom"/>
            <w:tcBorders>
              <w:bottom w:val="single" w:sz="8" w:color="CCEEFF"/>
            </w:tcBorders>
          </w:tcPr>
          <w:p>
            <w:pPr>
              <w:spacing w:after="0"/>
              <w:rPr>
                <w:sz w:val="8"/>
                <w:szCs w:val="8"/>
                <w:color w:val="auto"/>
              </w:rPr>
            </w:pPr>
          </w:p>
        </w:tc>
        <w:tc>
          <w:tcPr>
            <w:tcW w:w="980" w:type="dxa"/>
            <w:vAlign w:val="bottom"/>
            <w:tcBorders>
              <w:bottom w:val="single" w:sz="8" w:color="CCEEFF"/>
            </w:tcBorders>
          </w:tcPr>
          <w:p>
            <w:pPr>
              <w:jc w:val="right"/>
              <w:ind w:right="29"/>
              <w:spacing w:after="0" w:line="100" w:lineRule="exact"/>
              <w:rPr>
                <w:sz w:val="20"/>
                <w:szCs w:val="20"/>
                <w:color w:val="auto"/>
              </w:rPr>
            </w:pPr>
            <w:r>
              <w:rPr>
                <w:rFonts w:ascii="Arial" w:cs="Arial" w:eastAsia="Arial" w:hAnsi="Arial"/>
                <w:sz w:val="10"/>
                <w:szCs w:val="10"/>
                <w:color w:val="auto"/>
              </w:rPr>
              <w:t>(7) %</w:t>
            </w:r>
          </w:p>
        </w:tc>
      </w:tr>
      <w:tr>
        <w:trPr>
          <w:trHeight w:val="108"/>
        </w:trPr>
        <w:tc>
          <w:tcPr>
            <w:tcW w:w="1640" w:type="dxa"/>
            <w:vAlign w:val="bottom"/>
            <w:shd w:val="clear" w:color="auto" w:fill="CCEEFF"/>
          </w:tcPr>
          <w:p>
            <w:pPr>
              <w:spacing w:after="0" w:line="109" w:lineRule="exact"/>
              <w:rPr>
                <w:sz w:val="20"/>
                <w:szCs w:val="20"/>
                <w:color w:val="auto"/>
              </w:rPr>
            </w:pPr>
            <w:r>
              <w:rPr>
                <w:rFonts w:ascii="Arial" w:cs="Arial" w:eastAsia="Arial" w:hAnsi="Arial"/>
                <w:sz w:val="10"/>
                <w:szCs w:val="10"/>
                <w:b w:val="1"/>
                <w:bCs w:val="1"/>
                <w:color w:val="auto"/>
              </w:rPr>
              <w:t>OPERATING EXPENSE</w:t>
            </w:r>
          </w:p>
        </w:tc>
        <w:tc>
          <w:tcPr>
            <w:tcW w:w="3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108"/>
        </w:trPr>
        <w:tc>
          <w:tcPr>
            <w:tcW w:w="1640" w:type="dxa"/>
            <w:vAlign w:val="bottom"/>
          </w:tcPr>
          <w:p>
            <w:pPr>
              <w:ind w:left="220"/>
              <w:spacing w:after="0" w:line="109" w:lineRule="exact"/>
              <w:rPr>
                <w:sz w:val="20"/>
                <w:szCs w:val="20"/>
                <w:color w:val="auto"/>
              </w:rPr>
            </w:pPr>
            <w:r>
              <w:rPr>
                <w:rFonts w:ascii="Arial" w:cs="Arial" w:eastAsia="Arial" w:hAnsi="Arial"/>
                <w:sz w:val="10"/>
                <w:szCs w:val="10"/>
                <w:b w:val="1"/>
                <w:bCs w:val="1"/>
                <w:color w:val="auto"/>
              </w:rPr>
              <w:t>United States</w:t>
            </w:r>
          </w:p>
        </w:tc>
        <w:tc>
          <w:tcPr>
            <w:tcW w:w="3440" w:type="dxa"/>
            <w:vAlign w:val="bottom"/>
          </w:tcPr>
          <w:p>
            <w:pPr>
              <w:ind w:left="180"/>
              <w:spacing w:after="0" w:line="109" w:lineRule="exact"/>
              <w:rPr>
                <w:sz w:val="20"/>
                <w:szCs w:val="20"/>
                <w:color w:val="auto"/>
              </w:rPr>
            </w:pPr>
            <w:r>
              <w:rPr>
                <w:rFonts w:ascii="Arial" w:cs="Arial" w:eastAsia="Arial" w:hAnsi="Arial"/>
                <w:sz w:val="10"/>
                <w:szCs w:val="10"/>
                <w:color w:val="auto"/>
              </w:rPr>
              <w:t>Live theatre cost</w:t>
            </w:r>
          </w:p>
        </w:tc>
        <w:tc>
          <w:tcPr>
            <w:tcW w:w="500" w:type="dxa"/>
            <w:vAlign w:val="bottom"/>
            <w:gridSpan w:val="2"/>
          </w:tcPr>
          <w:p>
            <w:pPr>
              <w:jc w:val="right"/>
              <w:ind w:right="189"/>
              <w:spacing w:after="0" w:line="109" w:lineRule="exact"/>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(167)</w:t>
            </w:r>
          </w:p>
        </w:tc>
        <w:tc>
          <w:tcPr>
            <w:tcW w:w="900" w:type="dxa"/>
            <w:vAlign w:val="bottom"/>
          </w:tcPr>
          <w:p>
            <w:pPr>
              <w:jc w:val="right"/>
              <w:ind w:right="189"/>
              <w:spacing w:after="0" w:line="109" w:lineRule="exact"/>
              <w:rPr>
                <w:sz w:val="20"/>
                <w:szCs w:val="20"/>
                <w:color w:val="auto"/>
              </w:rPr>
            </w:pPr>
            <w:r>
              <w:rPr>
                <w:rFonts w:ascii="Arial" w:cs="Arial" w:eastAsia="Arial" w:hAnsi="Arial"/>
                <w:sz w:val="10"/>
                <w:szCs w:val="10"/>
                <w:i w:val="1"/>
                <w:iCs w:val="1"/>
                <w:color w:val="auto"/>
              </w:rPr>
              <w:t>(24)%</w:t>
            </w:r>
          </w:p>
        </w:tc>
        <w:tc>
          <w:tcPr>
            <w:tcW w:w="200" w:type="dxa"/>
            <w:vAlign w:val="bottom"/>
          </w:tcPr>
          <w:p>
            <w:pPr>
              <w:spacing w:after="0"/>
              <w:rPr>
                <w:sz w:val="9"/>
                <w:szCs w:val="9"/>
                <w:color w:val="auto"/>
              </w:rPr>
            </w:pPr>
          </w:p>
        </w:tc>
        <w:tc>
          <w:tcPr>
            <w:tcW w:w="280" w:type="dxa"/>
            <w:vAlign w:val="bottom"/>
          </w:tcPr>
          <w:p>
            <w:pPr>
              <w:jc w:val="right"/>
              <w:ind w:right="169"/>
              <w:spacing w:after="0" w:line="109" w:lineRule="exact"/>
              <w:rPr>
                <w:sz w:val="20"/>
                <w:szCs w:val="20"/>
                <w:color w:val="auto"/>
              </w:rPr>
            </w:pPr>
            <w:r>
              <w:rPr>
                <w:rFonts w:ascii="Arial" w:cs="Arial" w:eastAsia="Arial" w:hAnsi="Arial"/>
                <w:sz w:val="10"/>
                <w:szCs w:val="10"/>
                <w:color w:val="auto"/>
                <w:w w:val="71"/>
              </w:rPr>
              <w:t>$</w:t>
            </w:r>
          </w:p>
        </w:tc>
        <w:tc>
          <w:tcPr>
            <w:tcW w:w="1160" w:type="dxa"/>
            <w:vAlign w:val="bottom"/>
            <w:gridSpan w:val="3"/>
          </w:tcPr>
          <w:p>
            <w:pPr>
              <w:jc w:val="right"/>
              <w:ind w:right="200"/>
              <w:spacing w:after="0" w:line="109" w:lineRule="exact"/>
              <w:rPr>
                <w:sz w:val="20"/>
                <w:szCs w:val="20"/>
                <w:color w:val="auto"/>
              </w:rPr>
            </w:pPr>
            <w:r>
              <w:rPr>
                <w:rFonts w:ascii="Arial" w:cs="Arial" w:eastAsia="Arial" w:hAnsi="Arial"/>
                <w:sz w:val="10"/>
                <w:szCs w:val="10"/>
                <w:color w:val="auto"/>
              </w:rPr>
              <w:t>(86)</w:t>
            </w:r>
          </w:p>
        </w:tc>
        <w:tc>
          <w:tcPr>
            <w:tcW w:w="820" w:type="dxa"/>
            <w:vAlign w:val="bottom"/>
          </w:tcPr>
          <w:p>
            <w:pPr>
              <w:jc w:val="right"/>
              <w:ind w:right="129"/>
              <w:spacing w:after="0" w:line="109" w:lineRule="exact"/>
              <w:rPr>
                <w:sz w:val="20"/>
                <w:szCs w:val="20"/>
                <w:color w:val="auto"/>
              </w:rPr>
            </w:pPr>
            <w:r>
              <w:rPr>
                <w:rFonts w:ascii="Arial" w:cs="Arial" w:eastAsia="Arial" w:hAnsi="Arial"/>
                <w:sz w:val="10"/>
                <w:szCs w:val="10"/>
                <w:i w:val="1"/>
                <w:iCs w:val="1"/>
                <w:color w:val="auto"/>
              </w:rPr>
              <w:t>(33)%</w:t>
            </w:r>
          </w:p>
        </w:tc>
        <w:tc>
          <w:tcPr>
            <w:tcW w:w="200" w:type="dxa"/>
            <w:vAlign w:val="bottom"/>
          </w:tcPr>
          <w:p>
            <w:pPr>
              <w:spacing w:after="0"/>
              <w:rPr>
                <w:sz w:val="9"/>
                <w:szCs w:val="9"/>
                <w:color w:val="auto"/>
              </w:rPr>
            </w:pPr>
          </w:p>
        </w:tc>
        <w:tc>
          <w:tcPr>
            <w:tcW w:w="980" w:type="dxa"/>
            <w:vAlign w:val="bottom"/>
          </w:tcPr>
          <w:p>
            <w:pPr>
              <w:jc w:val="right"/>
              <w:ind w:right="29"/>
              <w:spacing w:after="0" w:line="109" w:lineRule="exact"/>
              <w:rPr>
                <w:sz w:val="20"/>
                <w:szCs w:val="20"/>
                <w:color w:val="auto"/>
              </w:rPr>
            </w:pPr>
            <w:r>
              <w:rPr>
                <w:rFonts w:ascii="Arial" w:cs="Arial" w:eastAsia="Arial" w:hAnsi="Arial"/>
                <w:sz w:val="10"/>
                <w:szCs w:val="10"/>
                <w:color w:val="auto"/>
              </w:rPr>
              <w:t>(94) %</w:t>
            </w:r>
          </w:p>
        </w:tc>
      </w:tr>
      <w:tr>
        <w:trPr>
          <w:trHeight w:val="108"/>
        </w:trPr>
        <w:tc>
          <w:tcPr>
            <w:tcW w:w="1640" w:type="dxa"/>
            <w:vAlign w:val="bottom"/>
            <w:shd w:val="clear" w:color="auto" w:fill="CCEEFF"/>
          </w:tcPr>
          <w:p>
            <w:pPr>
              <w:spacing w:after="0"/>
              <w:rPr>
                <w:sz w:val="9"/>
                <w:szCs w:val="9"/>
                <w:color w:val="auto"/>
              </w:rPr>
            </w:pPr>
          </w:p>
        </w:tc>
        <w:tc>
          <w:tcPr>
            <w:tcW w:w="3440" w:type="dxa"/>
            <w:vAlign w:val="bottom"/>
            <w:shd w:val="clear" w:color="auto" w:fill="CCEEFF"/>
          </w:tcPr>
          <w:p>
            <w:pPr>
              <w:ind w:left="180"/>
              <w:spacing w:after="0" w:line="109" w:lineRule="exact"/>
              <w:rPr>
                <w:sz w:val="20"/>
                <w:szCs w:val="20"/>
                <w:color w:val="auto"/>
              </w:rPr>
            </w:pPr>
            <w:r>
              <w:rPr>
                <w:rFonts w:ascii="Arial" w:cs="Arial" w:eastAsia="Arial" w:hAnsi="Arial"/>
                <w:sz w:val="10"/>
                <w:szCs w:val="10"/>
                <w:color w:val="auto"/>
              </w:rPr>
              <w:t>Property cost</w:t>
            </w: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6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(275)</w:t>
            </w:r>
          </w:p>
        </w:tc>
        <w:tc>
          <w:tcPr>
            <w:tcW w:w="90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(39)%</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jc w:val="right"/>
              <w:ind w:right="169"/>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(240)</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(93)%</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ind w:right="29"/>
              <w:spacing w:after="0" w:line="109" w:lineRule="exact"/>
              <w:rPr>
                <w:sz w:val="20"/>
                <w:szCs w:val="20"/>
                <w:color w:val="auto"/>
              </w:rPr>
            </w:pPr>
            <w:r>
              <w:rPr>
                <w:rFonts w:ascii="Arial" w:cs="Arial" w:eastAsia="Arial" w:hAnsi="Arial"/>
                <w:sz w:val="10"/>
                <w:szCs w:val="10"/>
                <w:color w:val="auto"/>
              </w:rPr>
              <w:t>(15) %</w:t>
            </w:r>
          </w:p>
        </w:tc>
      </w:tr>
      <w:tr>
        <w:trPr>
          <w:trHeight w:val="108"/>
        </w:trPr>
        <w:tc>
          <w:tcPr>
            <w:tcW w:w="1640" w:type="dxa"/>
            <w:vAlign w:val="bottom"/>
          </w:tcPr>
          <w:p>
            <w:pPr>
              <w:spacing w:after="0"/>
              <w:rPr>
                <w:sz w:val="9"/>
                <w:szCs w:val="9"/>
                <w:color w:val="auto"/>
              </w:rPr>
            </w:pPr>
          </w:p>
        </w:tc>
        <w:tc>
          <w:tcPr>
            <w:tcW w:w="3440" w:type="dxa"/>
            <w:vAlign w:val="bottom"/>
          </w:tcPr>
          <w:p>
            <w:pPr>
              <w:ind w:left="180"/>
              <w:spacing w:after="0" w:line="109" w:lineRule="exact"/>
              <w:rPr>
                <w:sz w:val="20"/>
                <w:szCs w:val="20"/>
                <w:color w:val="auto"/>
              </w:rPr>
            </w:pPr>
            <w:r>
              <w:rPr>
                <w:rFonts w:ascii="Arial" w:cs="Arial" w:eastAsia="Arial" w:hAnsi="Arial"/>
                <w:sz w:val="10"/>
                <w:szCs w:val="10"/>
                <w:color w:val="auto"/>
              </w:rPr>
              <w:t>Occupancy expense</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(39)</w:t>
            </w:r>
          </w:p>
        </w:tc>
        <w:tc>
          <w:tcPr>
            <w:tcW w:w="900" w:type="dxa"/>
            <w:vAlign w:val="bottom"/>
          </w:tcPr>
          <w:p>
            <w:pPr>
              <w:jc w:val="right"/>
              <w:ind w:right="189"/>
              <w:spacing w:after="0" w:line="109" w:lineRule="exact"/>
              <w:rPr>
                <w:sz w:val="20"/>
                <w:szCs w:val="20"/>
                <w:color w:val="auto"/>
              </w:rPr>
            </w:pPr>
            <w:r>
              <w:rPr>
                <w:rFonts w:ascii="Arial" w:cs="Arial" w:eastAsia="Arial" w:hAnsi="Arial"/>
                <w:sz w:val="10"/>
                <w:szCs w:val="10"/>
                <w:i w:val="1"/>
                <w:iCs w:val="1"/>
                <w:color w:val="auto"/>
              </w:rPr>
              <w:t>(6)%</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(369)</w:t>
            </w:r>
          </w:p>
        </w:tc>
        <w:tc>
          <w:tcPr>
            <w:tcW w:w="180" w:type="dxa"/>
            <w:vAlign w:val="bottom"/>
          </w:tcPr>
          <w:p>
            <w:pPr>
              <w:spacing w:after="0"/>
              <w:rPr>
                <w:sz w:val="9"/>
                <w:szCs w:val="9"/>
                <w:color w:val="auto"/>
              </w:rPr>
            </w:pPr>
          </w:p>
        </w:tc>
        <w:tc>
          <w:tcPr>
            <w:tcW w:w="820" w:type="dxa"/>
            <w:vAlign w:val="bottom"/>
          </w:tcPr>
          <w:p>
            <w:pPr>
              <w:jc w:val="right"/>
              <w:ind w:right="129"/>
              <w:spacing w:after="0" w:line="109" w:lineRule="exact"/>
              <w:rPr>
                <w:sz w:val="20"/>
                <w:szCs w:val="20"/>
                <w:color w:val="auto"/>
              </w:rPr>
            </w:pPr>
            <w:r>
              <w:rPr>
                <w:rFonts w:ascii="Arial" w:cs="Arial" w:eastAsia="Arial" w:hAnsi="Arial"/>
                <w:sz w:val="10"/>
                <w:szCs w:val="10"/>
                <w:i w:val="1"/>
                <w:iCs w:val="1"/>
                <w:color w:val="auto"/>
              </w:rPr>
              <w:t>(144)%</w:t>
            </w:r>
          </w:p>
        </w:tc>
        <w:tc>
          <w:tcPr>
            <w:tcW w:w="200" w:type="dxa"/>
            <w:vAlign w:val="bottom"/>
          </w:tcPr>
          <w:p>
            <w:pPr>
              <w:spacing w:after="0"/>
              <w:rPr>
                <w:sz w:val="9"/>
                <w:szCs w:val="9"/>
                <w:color w:val="auto"/>
              </w:rPr>
            </w:pPr>
          </w:p>
        </w:tc>
        <w:tc>
          <w:tcPr>
            <w:tcW w:w="980" w:type="dxa"/>
            <w:vAlign w:val="bottom"/>
          </w:tcPr>
          <w:p>
            <w:pPr>
              <w:jc w:val="right"/>
              <w:ind w:right="29"/>
              <w:spacing w:after="0" w:line="109" w:lineRule="exact"/>
              <w:rPr>
                <w:sz w:val="20"/>
                <w:szCs w:val="20"/>
                <w:color w:val="auto"/>
              </w:rPr>
            </w:pPr>
            <w:r>
              <w:rPr>
                <w:rFonts w:ascii="Arial" w:cs="Arial" w:eastAsia="Arial" w:hAnsi="Arial"/>
                <w:sz w:val="10"/>
                <w:szCs w:val="10"/>
                <w:color w:val="auto"/>
              </w:rPr>
              <w:t>89 %</w:t>
            </w:r>
          </w:p>
        </w:tc>
      </w:tr>
      <w:tr>
        <w:trPr>
          <w:trHeight w:val="99"/>
        </w:trPr>
        <w:tc>
          <w:tcPr>
            <w:tcW w:w="1640" w:type="dxa"/>
            <w:vAlign w:val="bottom"/>
            <w:tcBorders>
              <w:top w:val="single" w:sz="8" w:color="CCEEFF"/>
            </w:tcBorders>
            <w:shd w:val="clear" w:color="auto" w:fill="CCEEFF"/>
          </w:tcPr>
          <w:p>
            <w:pPr>
              <w:spacing w:after="0"/>
              <w:rPr>
                <w:sz w:val="8"/>
                <w:szCs w:val="8"/>
                <w:color w:val="auto"/>
              </w:rPr>
            </w:pPr>
          </w:p>
        </w:tc>
        <w:tc>
          <w:tcPr>
            <w:tcW w:w="34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jc w:val="right"/>
              <w:ind w:right="189"/>
              <w:spacing w:after="0" w:line="100" w:lineRule="exact"/>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(481)</w:t>
            </w:r>
          </w:p>
        </w:tc>
        <w:tc>
          <w:tcPr>
            <w:tcW w:w="2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jc w:val="right"/>
              <w:ind w:right="189"/>
              <w:spacing w:after="0" w:line="100" w:lineRule="exact"/>
              <w:rPr>
                <w:sz w:val="20"/>
                <w:szCs w:val="20"/>
                <w:color w:val="auto"/>
              </w:rPr>
            </w:pPr>
            <w:r>
              <w:rPr>
                <w:rFonts w:ascii="Arial" w:cs="Arial" w:eastAsia="Arial" w:hAnsi="Arial"/>
                <w:sz w:val="10"/>
                <w:szCs w:val="10"/>
                <w:i w:val="1"/>
                <w:iCs w:val="1"/>
                <w:color w:val="auto"/>
              </w:rPr>
              <w:t>(69)%</w:t>
            </w:r>
          </w:p>
        </w:tc>
        <w:tc>
          <w:tcPr>
            <w:tcW w:w="20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jc w:val="right"/>
              <w:ind w:right="169"/>
              <w:spacing w:after="0" w:line="100" w:lineRule="exact"/>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(695)</w:t>
            </w: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jc w:val="right"/>
              <w:ind w:right="129"/>
              <w:spacing w:after="0" w:line="100" w:lineRule="exact"/>
              <w:rPr>
                <w:sz w:val="20"/>
                <w:szCs w:val="20"/>
                <w:color w:val="auto"/>
              </w:rPr>
            </w:pPr>
            <w:r>
              <w:rPr>
                <w:rFonts w:ascii="Arial" w:cs="Arial" w:eastAsia="Arial" w:hAnsi="Arial"/>
                <w:sz w:val="10"/>
                <w:szCs w:val="10"/>
                <w:i w:val="1"/>
                <w:iCs w:val="1"/>
                <w:color w:val="auto"/>
              </w:rPr>
              <w:t>(270)%</w:t>
            </w:r>
          </w:p>
        </w:tc>
        <w:tc>
          <w:tcPr>
            <w:tcW w:w="20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CCEEFF"/>
            </w:tcBorders>
            <w:shd w:val="clear" w:color="auto" w:fill="CCEEFF"/>
          </w:tcPr>
          <w:p>
            <w:pPr>
              <w:jc w:val="right"/>
              <w:ind w:right="29"/>
              <w:spacing w:after="0" w:line="100" w:lineRule="exact"/>
              <w:rPr>
                <w:sz w:val="20"/>
                <w:szCs w:val="20"/>
                <w:color w:val="auto"/>
              </w:rPr>
            </w:pPr>
            <w:r>
              <w:rPr>
                <w:rFonts w:ascii="Arial" w:cs="Arial" w:eastAsia="Arial" w:hAnsi="Arial"/>
                <w:sz w:val="10"/>
                <w:szCs w:val="10"/>
                <w:color w:val="auto"/>
              </w:rPr>
              <w:t>31 %</w:t>
            </w:r>
          </w:p>
        </w:tc>
      </w:tr>
      <w:tr>
        <w:trPr>
          <w:trHeight w:val="108"/>
        </w:trPr>
        <w:tc>
          <w:tcPr>
            <w:tcW w:w="1640" w:type="dxa"/>
            <w:vAlign w:val="bottom"/>
          </w:tcPr>
          <w:p>
            <w:pPr>
              <w:ind w:left="220"/>
              <w:spacing w:after="0" w:line="109" w:lineRule="exact"/>
              <w:rPr>
                <w:sz w:val="20"/>
                <w:szCs w:val="20"/>
                <w:color w:val="auto"/>
              </w:rPr>
            </w:pPr>
            <w:r>
              <w:rPr>
                <w:rFonts w:ascii="Arial" w:cs="Arial" w:eastAsia="Arial" w:hAnsi="Arial"/>
                <w:sz w:val="10"/>
                <w:szCs w:val="10"/>
                <w:b w:val="1"/>
                <w:bCs w:val="1"/>
                <w:color w:val="auto"/>
              </w:rPr>
              <w:t>Australia</w:t>
            </w:r>
          </w:p>
        </w:tc>
        <w:tc>
          <w:tcPr>
            <w:tcW w:w="3440" w:type="dxa"/>
            <w:vAlign w:val="bottom"/>
          </w:tcPr>
          <w:p>
            <w:pPr>
              <w:ind w:left="180"/>
              <w:spacing w:after="0" w:line="109" w:lineRule="exact"/>
              <w:rPr>
                <w:sz w:val="20"/>
                <w:szCs w:val="20"/>
                <w:color w:val="auto"/>
              </w:rPr>
            </w:pPr>
            <w:r>
              <w:rPr>
                <w:rFonts w:ascii="Arial" w:cs="Arial" w:eastAsia="Arial" w:hAnsi="Arial"/>
                <w:sz w:val="10"/>
                <w:szCs w:val="10"/>
                <w:color w:val="auto"/>
              </w:rPr>
              <w:t>Property cost</w:t>
            </w:r>
          </w:p>
        </w:tc>
        <w:tc>
          <w:tcPr>
            <w:tcW w:w="500" w:type="dxa"/>
            <w:vAlign w:val="bottom"/>
            <w:gridSpan w:val="2"/>
          </w:tcPr>
          <w:p>
            <w:pPr>
              <w:jc w:val="right"/>
              <w:ind w:right="189"/>
              <w:spacing w:after="0" w:line="109" w:lineRule="exact"/>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(658)</w:t>
            </w:r>
          </w:p>
        </w:tc>
        <w:tc>
          <w:tcPr>
            <w:tcW w:w="900" w:type="dxa"/>
            <w:vAlign w:val="bottom"/>
          </w:tcPr>
          <w:p>
            <w:pPr>
              <w:jc w:val="right"/>
              <w:ind w:right="189"/>
              <w:spacing w:after="0" w:line="109" w:lineRule="exact"/>
              <w:rPr>
                <w:sz w:val="20"/>
                <w:szCs w:val="20"/>
                <w:color w:val="auto"/>
              </w:rPr>
            </w:pPr>
            <w:r>
              <w:rPr>
                <w:rFonts w:ascii="Arial" w:cs="Arial" w:eastAsia="Arial" w:hAnsi="Arial"/>
                <w:sz w:val="10"/>
                <w:szCs w:val="10"/>
                <w:i w:val="1"/>
                <w:iCs w:val="1"/>
                <w:color w:val="auto"/>
              </w:rPr>
              <w:t>(35)%</w:t>
            </w:r>
          </w:p>
        </w:tc>
        <w:tc>
          <w:tcPr>
            <w:tcW w:w="200" w:type="dxa"/>
            <w:vAlign w:val="bottom"/>
          </w:tcPr>
          <w:p>
            <w:pPr>
              <w:spacing w:after="0"/>
              <w:rPr>
                <w:sz w:val="9"/>
                <w:szCs w:val="9"/>
                <w:color w:val="auto"/>
              </w:rPr>
            </w:pPr>
          </w:p>
        </w:tc>
        <w:tc>
          <w:tcPr>
            <w:tcW w:w="280" w:type="dxa"/>
            <w:vAlign w:val="bottom"/>
          </w:tcPr>
          <w:p>
            <w:pPr>
              <w:jc w:val="right"/>
              <w:ind w:right="169"/>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(724)</w:t>
            </w:r>
          </w:p>
        </w:tc>
        <w:tc>
          <w:tcPr>
            <w:tcW w:w="180" w:type="dxa"/>
            <w:vAlign w:val="bottom"/>
          </w:tcPr>
          <w:p>
            <w:pPr>
              <w:spacing w:after="0"/>
              <w:rPr>
                <w:sz w:val="9"/>
                <w:szCs w:val="9"/>
                <w:color w:val="auto"/>
              </w:rPr>
            </w:pPr>
          </w:p>
        </w:tc>
        <w:tc>
          <w:tcPr>
            <w:tcW w:w="820" w:type="dxa"/>
            <w:vAlign w:val="bottom"/>
          </w:tcPr>
          <w:p>
            <w:pPr>
              <w:jc w:val="right"/>
              <w:ind w:right="129"/>
              <w:spacing w:after="0" w:line="109" w:lineRule="exact"/>
              <w:rPr>
                <w:sz w:val="20"/>
                <w:szCs w:val="20"/>
                <w:color w:val="auto"/>
              </w:rPr>
            </w:pPr>
            <w:r>
              <w:rPr>
                <w:rFonts w:ascii="Arial" w:cs="Arial" w:eastAsia="Arial" w:hAnsi="Arial"/>
                <w:sz w:val="10"/>
                <w:szCs w:val="10"/>
                <w:i w:val="1"/>
                <w:iCs w:val="1"/>
                <w:color w:val="auto"/>
              </w:rPr>
              <w:t>(29)%</w:t>
            </w:r>
          </w:p>
        </w:tc>
        <w:tc>
          <w:tcPr>
            <w:tcW w:w="200" w:type="dxa"/>
            <w:vAlign w:val="bottom"/>
          </w:tcPr>
          <w:p>
            <w:pPr>
              <w:spacing w:after="0"/>
              <w:rPr>
                <w:sz w:val="9"/>
                <w:szCs w:val="9"/>
                <w:color w:val="auto"/>
              </w:rPr>
            </w:pPr>
          </w:p>
        </w:tc>
        <w:tc>
          <w:tcPr>
            <w:tcW w:w="980" w:type="dxa"/>
            <w:vAlign w:val="bottom"/>
          </w:tcPr>
          <w:p>
            <w:pPr>
              <w:jc w:val="right"/>
              <w:ind w:right="29"/>
              <w:spacing w:after="0" w:line="109" w:lineRule="exact"/>
              <w:rPr>
                <w:sz w:val="20"/>
                <w:szCs w:val="20"/>
                <w:color w:val="auto"/>
              </w:rPr>
            </w:pPr>
            <w:r>
              <w:rPr>
                <w:rFonts w:ascii="Arial" w:cs="Arial" w:eastAsia="Arial" w:hAnsi="Arial"/>
                <w:sz w:val="10"/>
                <w:szCs w:val="10"/>
                <w:color w:val="auto"/>
              </w:rPr>
              <w:t>9 %</w:t>
            </w:r>
          </w:p>
        </w:tc>
      </w:tr>
      <w:tr>
        <w:trPr>
          <w:trHeight w:val="108"/>
        </w:trPr>
        <w:tc>
          <w:tcPr>
            <w:tcW w:w="1640" w:type="dxa"/>
            <w:vAlign w:val="bottom"/>
            <w:shd w:val="clear" w:color="auto" w:fill="CCEEFF"/>
          </w:tcPr>
          <w:p>
            <w:pPr>
              <w:spacing w:after="0"/>
              <w:rPr>
                <w:sz w:val="9"/>
                <w:szCs w:val="9"/>
                <w:color w:val="auto"/>
              </w:rPr>
            </w:pPr>
          </w:p>
        </w:tc>
        <w:tc>
          <w:tcPr>
            <w:tcW w:w="3440" w:type="dxa"/>
            <w:vAlign w:val="bottom"/>
            <w:shd w:val="clear" w:color="auto" w:fill="CCEEFF"/>
          </w:tcPr>
          <w:p>
            <w:pPr>
              <w:ind w:left="180"/>
              <w:spacing w:after="0" w:line="109" w:lineRule="exact"/>
              <w:rPr>
                <w:sz w:val="20"/>
                <w:szCs w:val="20"/>
                <w:color w:val="auto"/>
              </w:rPr>
            </w:pPr>
            <w:r>
              <w:rPr>
                <w:rFonts w:ascii="Arial" w:cs="Arial" w:eastAsia="Arial" w:hAnsi="Arial"/>
                <w:sz w:val="10"/>
                <w:szCs w:val="10"/>
                <w:color w:val="auto"/>
              </w:rPr>
              <w:t>Occupancy expense</w:t>
            </w: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6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(548)</w:t>
            </w:r>
          </w:p>
        </w:tc>
        <w:tc>
          <w:tcPr>
            <w:tcW w:w="90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(30)%</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(521)</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(21)%</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ind w:right="29"/>
              <w:spacing w:after="0" w:line="109" w:lineRule="exact"/>
              <w:rPr>
                <w:sz w:val="20"/>
                <w:szCs w:val="20"/>
                <w:color w:val="auto"/>
              </w:rPr>
            </w:pPr>
            <w:r>
              <w:rPr>
                <w:rFonts w:ascii="Arial" w:cs="Arial" w:eastAsia="Arial" w:hAnsi="Arial"/>
                <w:sz w:val="10"/>
                <w:szCs w:val="10"/>
                <w:color w:val="auto"/>
              </w:rPr>
              <w:t>(5) %</w:t>
            </w:r>
          </w:p>
        </w:tc>
      </w:tr>
      <w:tr>
        <w:trPr>
          <w:trHeight w:val="99"/>
        </w:trPr>
        <w:tc>
          <w:tcPr>
            <w:tcW w:w="16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ind w:right="189"/>
              <w:spacing w:after="0" w:line="100" w:lineRule="exact"/>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(1,206)</w:t>
            </w:r>
          </w:p>
        </w:tc>
        <w:tc>
          <w:tcPr>
            <w:tcW w:w="200" w:type="dxa"/>
            <w:vAlign w:val="bottom"/>
          </w:tcPr>
          <w:p>
            <w:pPr>
              <w:spacing w:after="0"/>
              <w:rPr>
                <w:sz w:val="8"/>
                <w:szCs w:val="8"/>
                <w:color w:val="auto"/>
              </w:rPr>
            </w:pPr>
          </w:p>
        </w:tc>
        <w:tc>
          <w:tcPr>
            <w:tcW w:w="900" w:type="dxa"/>
            <w:vAlign w:val="bottom"/>
          </w:tcPr>
          <w:p>
            <w:pPr>
              <w:jc w:val="right"/>
              <w:ind w:right="189"/>
              <w:spacing w:after="0" w:line="100" w:lineRule="exact"/>
              <w:rPr>
                <w:sz w:val="20"/>
                <w:szCs w:val="20"/>
                <w:color w:val="auto"/>
              </w:rPr>
            </w:pPr>
            <w:r>
              <w:rPr>
                <w:rFonts w:ascii="Arial" w:cs="Arial" w:eastAsia="Arial" w:hAnsi="Arial"/>
                <w:sz w:val="10"/>
                <w:szCs w:val="10"/>
                <w:i w:val="1"/>
                <w:iCs w:val="1"/>
                <w:color w:val="auto"/>
              </w:rPr>
              <w:t>(65)%</w:t>
            </w:r>
          </w:p>
        </w:tc>
        <w:tc>
          <w:tcPr>
            <w:tcW w:w="200" w:type="dxa"/>
            <w:vAlign w:val="bottom"/>
          </w:tcPr>
          <w:p>
            <w:pPr>
              <w:spacing w:after="0"/>
              <w:rPr>
                <w:sz w:val="8"/>
                <w:szCs w:val="8"/>
                <w:color w:val="auto"/>
              </w:rPr>
            </w:pPr>
          </w:p>
        </w:tc>
        <w:tc>
          <w:tcPr>
            <w:tcW w:w="280" w:type="dxa"/>
            <w:vAlign w:val="bottom"/>
            <w:tcBorders>
              <w:top w:val="single" w:sz="8" w:color="auto"/>
            </w:tcBorders>
          </w:tcPr>
          <w:p>
            <w:pPr>
              <w:jc w:val="right"/>
              <w:ind w:right="169"/>
              <w:spacing w:after="0" w:line="100" w:lineRule="exact"/>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(1,245)</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jc w:val="right"/>
              <w:ind w:right="129"/>
              <w:spacing w:after="0" w:line="100" w:lineRule="exact"/>
              <w:rPr>
                <w:sz w:val="20"/>
                <w:szCs w:val="20"/>
                <w:color w:val="auto"/>
              </w:rPr>
            </w:pPr>
            <w:r>
              <w:rPr>
                <w:rFonts w:ascii="Arial" w:cs="Arial" w:eastAsia="Arial" w:hAnsi="Arial"/>
                <w:sz w:val="10"/>
                <w:szCs w:val="10"/>
                <w:i w:val="1"/>
                <w:iCs w:val="1"/>
                <w:color w:val="auto"/>
              </w:rPr>
              <w:t>(49)%</w:t>
            </w:r>
          </w:p>
        </w:tc>
        <w:tc>
          <w:tcPr>
            <w:tcW w:w="200" w:type="dxa"/>
            <w:vAlign w:val="bottom"/>
          </w:tcPr>
          <w:p>
            <w:pPr>
              <w:spacing w:after="0"/>
              <w:rPr>
                <w:sz w:val="8"/>
                <w:szCs w:val="8"/>
                <w:color w:val="auto"/>
              </w:rPr>
            </w:pPr>
          </w:p>
        </w:tc>
        <w:tc>
          <w:tcPr>
            <w:tcW w:w="980" w:type="dxa"/>
            <w:vAlign w:val="bottom"/>
          </w:tcPr>
          <w:p>
            <w:pPr>
              <w:jc w:val="right"/>
              <w:ind w:right="29"/>
              <w:spacing w:after="0" w:line="100" w:lineRule="exact"/>
              <w:rPr>
                <w:sz w:val="20"/>
                <w:szCs w:val="20"/>
                <w:color w:val="auto"/>
              </w:rPr>
            </w:pPr>
            <w:r>
              <w:rPr>
                <w:rFonts w:ascii="Arial" w:cs="Arial" w:eastAsia="Arial" w:hAnsi="Arial"/>
                <w:sz w:val="10"/>
                <w:szCs w:val="10"/>
                <w:color w:val="auto"/>
              </w:rPr>
              <w:t>3 %</w:t>
            </w:r>
          </w:p>
        </w:tc>
      </w:tr>
      <w:tr>
        <w:trPr>
          <w:trHeight w:val="108"/>
        </w:trPr>
        <w:tc>
          <w:tcPr>
            <w:tcW w:w="1640" w:type="dxa"/>
            <w:vAlign w:val="bottom"/>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New Zealand</w:t>
            </w:r>
          </w:p>
        </w:tc>
        <w:tc>
          <w:tcPr>
            <w:tcW w:w="3440" w:type="dxa"/>
            <w:vAlign w:val="bottom"/>
            <w:shd w:val="clear" w:color="auto" w:fill="CCEEFF"/>
          </w:tcPr>
          <w:p>
            <w:pPr>
              <w:ind w:left="180"/>
              <w:spacing w:after="0" w:line="109" w:lineRule="exact"/>
              <w:rPr>
                <w:sz w:val="20"/>
                <w:szCs w:val="20"/>
                <w:color w:val="auto"/>
              </w:rPr>
            </w:pPr>
            <w:r>
              <w:rPr>
                <w:rFonts w:ascii="Arial" w:cs="Arial" w:eastAsia="Arial" w:hAnsi="Arial"/>
                <w:sz w:val="10"/>
                <w:szCs w:val="10"/>
                <w:color w:val="auto"/>
              </w:rPr>
              <w:t>Property cost</w:t>
            </w:r>
          </w:p>
        </w:tc>
        <w:tc>
          <w:tcPr>
            <w:tcW w:w="500" w:type="dxa"/>
            <w:vAlign w:val="bottom"/>
            <w:gridSpan w:val="2"/>
            <w:shd w:val="clear" w:color="auto" w:fill="CCEEFF"/>
          </w:tcPr>
          <w:p>
            <w:pPr>
              <w:jc w:val="right"/>
              <w:ind w:right="189"/>
              <w:spacing w:after="0" w:line="109" w:lineRule="exact"/>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(402)</w:t>
            </w:r>
          </w:p>
        </w:tc>
        <w:tc>
          <w:tcPr>
            <w:tcW w:w="90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(152)%</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jc w:val="right"/>
              <w:ind w:right="169"/>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(264)</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(105)%</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ind w:right="29"/>
              <w:spacing w:after="0" w:line="109" w:lineRule="exact"/>
              <w:rPr>
                <w:sz w:val="20"/>
                <w:szCs w:val="20"/>
                <w:color w:val="auto"/>
              </w:rPr>
            </w:pPr>
            <w:r>
              <w:rPr>
                <w:rFonts w:ascii="Arial" w:cs="Arial" w:eastAsia="Arial" w:hAnsi="Arial"/>
                <w:sz w:val="10"/>
                <w:szCs w:val="10"/>
                <w:color w:val="auto"/>
              </w:rPr>
              <w:t>(52) %</w:t>
            </w:r>
          </w:p>
        </w:tc>
      </w:tr>
      <w:tr>
        <w:trPr>
          <w:trHeight w:val="108"/>
        </w:trPr>
        <w:tc>
          <w:tcPr>
            <w:tcW w:w="1640" w:type="dxa"/>
            <w:vAlign w:val="bottom"/>
          </w:tcPr>
          <w:p>
            <w:pPr>
              <w:spacing w:after="0"/>
              <w:rPr>
                <w:sz w:val="9"/>
                <w:szCs w:val="9"/>
                <w:color w:val="auto"/>
              </w:rPr>
            </w:pPr>
          </w:p>
        </w:tc>
        <w:tc>
          <w:tcPr>
            <w:tcW w:w="3440" w:type="dxa"/>
            <w:vAlign w:val="bottom"/>
          </w:tcPr>
          <w:p>
            <w:pPr>
              <w:ind w:left="180"/>
              <w:spacing w:after="0" w:line="109" w:lineRule="exact"/>
              <w:rPr>
                <w:sz w:val="20"/>
                <w:szCs w:val="20"/>
                <w:color w:val="auto"/>
              </w:rPr>
            </w:pPr>
            <w:r>
              <w:rPr>
                <w:rFonts w:ascii="Arial" w:cs="Arial" w:eastAsia="Arial" w:hAnsi="Arial"/>
                <w:sz w:val="10"/>
                <w:szCs w:val="10"/>
                <w:color w:val="auto"/>
              </w:rPr>
              <w:t>Occupancy expense</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(115)</w:t>
            </w:r>
          </w:p>
        </w:tc>
        <w:tc>
          <w:tcPr>
            <w:tcW w:w="900" w:type="dxa"/>
            <w:vAlign w:val="bottom"/>
          </w:tcPr>
          <w:p>
            <w:pPr>
              <w:jc w:val="right"/>
              <w:ind w:right="189"/>
              <w:spacing w:after="0" w:line="109" w:lineRule="exact"/>
              <w:rPr>
                <w:sz w:val="20"/>
                <w:szCs w:val="20"/>
                <w:color w:val="auto"/>
              </w:rPr>
            </w:pPr>
            <w:r>
              <w:rPr>
                <w:rFonts w:ascii="Arial" w:cs="Arial" w:eastAsia="Arial" w:hAnsi="Arial"/>
                <w:sz w:val="10"/>
                <w:szCs w:val="10"/>
                <w:i w:val="1"/>
                <w:iCs w:val="1"/>
                <w:color w:val="auto"/>
              </w:rPr>
              <w:t>(44)%</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(115)</w:t>
            </w:r>
          </w:p>
        </w:tc>
        <w:tc>
          <w:tcPr>
            <w:tcW w:w="180" w:type="dxa"/>
            <w:vAlign w:val="bottom"/>
          </w:tcPr>
          <w:p>
            <w:pPr>
              <w:spacing w:after="0"/>
              <w:rPr>
                <w:sz w:val="9"/>
                <w:szCs w:val="9"/>
                <w:color w:val="auto"/>
              </w:rPr>
            </w:pPr>
          </w:p>
        </w:tc>
        <w:tc>
          <w:tcPr>
            <w:tcW w:w="820" w:type="dxa"/>
            <w:vAlign w:val="bottom"/>
          </w:tcPr>
          <w:p>
            <w:pPr>
              <w:jc w:val="right"/>
              <w:ind w:right="129"/>
              <w:spacing w:after="0" w:line="109" w:lineRule="exact"/>
              <w:rPr>
                <w:sz w:val="20"/>
                <w:szCs w:val="20"/>
                <w:color w:val="auto"/>
              </w:rPr>
            </w:pPr>
            <w:r>
              <w:rPr>
                <w:rFonts w:ascii="Arial" w:cs="Arial" w:eastAsia="Arial" w:hAnsi="Arial"/>
                <w:sz w:val="10"/>
                <w:szCs w:val="10"/>
                <w:i w:val="1"/>
                <w:iCs w:val="1"/>
                <w:color w:val="auto"/>
              </w:rPr>
              <w:t>(46)%</w:t>
            </w:r>
          </w:p>
        </w:tc>
        <w:tc>
          <w:tcPr>
            <w:tcW w:w="200" w:type="dxa"/>
            <w:vAlign w:val="bottom"/>
          </w:tcPr>
          <w:p>
            <w:pPr>
              <w:spacing w:after="0"/>
              <w:rPr>
                <w:sz w:val="9"/>
                <w:szCs w:val="9"/>
                <w:color w:val="auto"/>
              </w:rPr>
            </w:pPr>
          </w:p>
        </w:tc>
        <w:tc>
          <w:tcPr>
            <w:tcW w:w="980" w:type="dxa"/>
            <w:vAlign w:val="bottom"/>
          </w:tcPr>
          <w:p>
            <w:pPr>
              <w:jc w:val="right"/>
              <w:ind w:right="29"/>
              <w:spacing w:after="0" w:line="109" w:lineRule="exact"/>
              <w:rPr>
                <w:sz w:val="20"/>
                <w:szCs w:val="20"/>
                <w:color w:val="auto"/>
              </w:rPr>
            </w:pPr>
            <w:r>
              <w:rPr>
                <w:rFonts w:ascii="Arial" w:cs="Arial" w:eastAsia="Arial" w:hAnsi="Arial"/>
                <w:sz w:val="10"/>
                <w:szCs w:val="10"/>
                <w:color w:val="auto"/>
              </w:rPr>
              <w:t>— %</w:t>
            </w:r>
          </w:p>
        </w:tc>
      </w:tr>
      <w:tr>
        <w:trPr>
          <w:trHeight w:val="99"/>
        </w:trPr>
        <w:tc>
          <w:tcPr>
            <w:tcW w:w="1640" w:type="dxa"/>
            <w:vAlign w:val="bottom"/>
            <w:tcBorders>
              <w:top w:val="single" w:sz="8" w:color="CCEEFF"/>
            </w:tcBorders>
            <w:shd w:val="clear" w:color="auto" w:fill="CCEEFF"/>
          </w:tcPr>
          <w:p>
            <w:pPr>
              <w:spacing w:after="0"/>
              <w:rPr>
                <w:sz w:val="8"/>
                <w:szCs w:val="8"/>
                <w:color w:val="auto"/>
              </w:rPr>
            </w:pPr>
          </w:p>
        </w:tc>
        <w:tc>
          <w:tcPr>
            <w:tcW w:w="34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jc w:val="right"/>
              <w:ind w:right="189"/>
              <w:spacing w:after="0" w:line="100" w:lineRule="exact"/>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(517)</w:t>
            </w:r>
          </w:p>
        </w:tc>
        <w:tc>
          <w:tcPr>
            <w:tcW w:w="2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jc w:val="right"/>
              <w:ind w:right="189"/>
              <w:spacing w:after="0" w:line="100" w:lineRule="exact"/>
              <w:rPr>
                <w:sz w:val="20"/>
                <w:szCs w:val="20"/>
                <w:color w:val="auto"/>
              </w:rPr>
            </w:pPr>
            <w:r>
              <w:rPr>
                <w:rFonts w:ascii="Arial" w:cs="Arial" w:eastAsia="Arial" w:hAnsi="Arial"/>
                <w:sz w:val="10"/>
                <w:szCs w:val="10"/>
                <w:i w:val="1"/>
                <w:iCs w:val="1"/>
                <w:color w:val="auto"/>
              </w:rPr>
              <w:t>(196)%</w:t>
            </w:r>
          </w:p>
        </w:tc>
        <w:tc>
          <w:tcPr>
            <w:tcW w:w="20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jc w:val="right"/>
              <w:ind w:right="169"/>
              <w:spacing w:after="0" w:line="100" w:lineRule="exact"/>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(379)</w:t>
            </w: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jc w:val="right"/>
              <w:ind w:right="129"/>
              <w:spacing w:after="0" w:line="100" w:lineRule="exact"/>
              <w:rPr>
                <w:sz w:val="20"/>
                <w:szCs w:val="20"/>
                <w:color w:val="auto"/>
              </w:rPr>
            </w:pPr>
            <w:r>
              <w:rPr>
                <w:rFonts w:ascii="Arial" w:cs="Arial" w:eastAsia="Arial" w:hAnsi="Arial"/>
                <w:sz w:val="10"/>
                <w:szCs w:val="10"/>
                <w:i w:val="1"/>
                <w:iCs w:val="1"/>
                <w:color w:val="auto"/>
              </w:rPr>
              <w:t>(150)%</w:t>
            </w:r>
          </w:p>
        </w:tc>
        <w:tc>
          <w:tcPr>
            <w:tcW w:w="20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CCEEFF"/>
            </w:tcBorders>
            <w:shd w:val="clear" w:color="auto" w:fill="CCEEFF"/>
          </w:tcPr>
          <w:p>
            <w:pPr>
              <w:jc w:val="right"/>
              <w:ind w:right="29"/>
              <w:spacing w:after="0" w:line="100" w:lineRule="exact"/>
              <w:rPr>
                <w:sz w:val="20"/>
                <w:szCs w:val="20"/>
                <w:color w:val="auto"/>
              </w:rPr>
            </w:pPr>
            <w:r>
              <w:rPr>
                <w:rFonts w:ascii="Arial" w:cs="Arial" w:eastAsia="Arial" w:hAnsi="Arial"/>
                <w:sz w:val="10"/>
                <w:szCs w:val="10"/>
                <w:color w:val="auto"/>
              </w:rPr>
              <w:t>(36) %</w:t>
            </w:r>
          </w:p>
        </w:tc>
      </w:tr>
      <w:tr>
        <w:trPr>
          <w:trHeight w:val="110"/>
        </w:trPr>
        <w:tc>
          <w:tcPr>
            <w:tcW w:w="1640" w:type="dxa"/>
            <w:vAlign w:val="bottom"/>
            <w:tcBorders>
              <w:bottom w:val="single" w:sz="8" w:color="CCEEFF"/>
            </w:tcBorders>
          </w:tcPr>
          <w:p>
            <w:pPr>
              <w:spacing w:after="0"/>
              <w:rPr>
                <w:sz w:val="9"/>
                <w:szCs w:val="9"/>
                <w:color w:val="auto"/>
              </w:rPr>
            </w:pPr>
          </w:p>
        </w:tc>
        <w:tc>
          <w:tcPr>
            <w:tcW w:w="344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90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r>
      <w:tr>
        <w:trPr>
          <w:trHeight w:val="128"/>
        </w:trPr>
        <w:tc>
          <w:tcPr>
            <w:tcW w:w="1640" w:type="dxa"/>
            <w:vAlign w:val="bottom"/>
            <w:tcBorders>
              <w:bottom w:val="single" w:sz="8" w:color="CCEEFF"/>
            </w:tcBorders>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Total operating expense</w:t>
            </w:r>
          </w:p>
        </w:tc>
        <w:tc>
          <w:tcPr>
            <w:tcW w:w="34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89"/>
              <w:spacing w:after="0" w:line="109" w:lineRule="exact"/>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b w:val="1"/>
                <w:bCs w:val="1"/>
                <w:color w:val="auto"/>
              </w:rPr>
              <w:t>(2,204)</w:t>
            </w:r>
          </w:p>
        </w:tc>
        <w:tc>
          <w:tcPr>
            <w:tcW w:w="2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(78)%</w:t>
            </w:r>
          </w:p>
        </w:tc>
        <w:tc>
          <w:tcPr>
            <w:tcW w:w="2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69"/>
              <w:spacing w:after="0" w:line="109" w:lineRule="exact"/>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b w:val="1"/>
                <w:bCs w:val="1"/>
                <w:color w:val="auto"/>
              </w:rPr>
              <w:t>(2,319)</w:t>
            </w: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(76)%</w:t>
            </w:r>
          </w:p>
        </w:tc>
        <w:tc>
          <w:tcPr>
            <w:tcW w:w="2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ind w:right="29"/>
              <w:spacing w:after="0" w:line="109" w:lineRule="exact"/>
              <w:rPr>
                <w:sz w:val="20"/>
                <w:szCs w:val="20"/>
                <w:color w:val="auto"/>
              </w:rPr>
            </w:pPr>
            <w:r>
              <w:rPr>
                <w:rFonts w:ascii="Arial" w:cs="Arial" w:eastAsia="Arial" w:hAnsi="Arial"/>
                <w:sz w:val="10"/>
                <w:szCs w:val="10"/>
                <w:color w:val="auto"/>
              </w:rPr>
              <w:t>5 %</w:t>
            </w:r>
          </w:p>
        </w:tc>
      </w:tr>
      <w:tr>
        <w:trPr>
          <w:trHeight w:val="90"/>
        </w:trPr>
        <w:tc>
          <w:tcPr>
            <w:tcW w:w="5080" w:type="dxa"/>
            <w:vAlign w:val="bottom"/>
            <w:gridSpan w:val="2"/>
          </w:tcPr>
          <w:p>
            <w:pPr>
              <w:spacing w:after="0" w:line="91" w:lineRule="exact"/>
              <w:rPr>
                <w:sz w:val="20"/>
                <w:szCs w:val="20"/>
                <w:color w:val="auto"/>
              </w:rPr>
            </w:pPr>
            <w:r>
              <w:rPr>
                <w:rFonts w:ascii="Arial" w:cs="Arial" w:eastAsia="Arial" w:hAnsi="Arial"/>
                <w:sz w:val="10"/>
                <w:szCs w:val="10"/>
                <w:b w:val="1"/>
                <w:bCs w:val="1"/>
                <w:color w:val="auto"/>
              </w:rPr>
              <w:t>DEPRECIATION, AMORTIZATION, GENERAL AND ADMINISTRATIVE EXPENSE</w:t>
            </w: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108"/>
        </w:trPr>
        <w:tc>
          <w:tcPr>
            <w:tcW w:w="1640" w:type="dxa"/>
            <w:vAlign w:val="bottom"/>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United States</w:t>
            </w:r>
          </w:p>
        </w:tc>
        <w:tc>
          <w:tcPr>
            <w:tcW w:w="3440" w:type="dxa"/>
            <w:vAlign w:val="bottom"/>
            <w:shd w:val="clear" w:color="auto" w:fill="CCEEFF"/>
          </w:tcPr>
          <w:p>
            <w:pPr>
              <w:ind w:left="180"/>
              <w:spacing w:after="0" w:line="109" w:lineRule="exact"/>
              <w:rPr>
                <w:sz w:val="20"/>
                <w:szCs w:val="20"/>
                <w:color w:val="auto"/>
              </w:rPr>
            </w:pPr>
            <w:r>
              <w:rPr>
                <w:rFonts w:ascii="Arial" w:cs="Arial" w:eastAsia="Arial" w:hAnsi="Arial"/>
                <w:sz w:val="10"/>
                <w:szCs w:val="10"/>
                <w:color w:val="auto"/>
              </w:rPr>
              <w:t>Depreciation and amortization</w:t>
            </w:r>
          </w:p>
        </w:tc>
        <w:tc>
          <w:tcPr>
            <w:tcW w:w="500" w:type="dxa"/>
            <w:vAlign w:val="bottom"/>
            <w:gridSpan w:val="2"/>
            <w:shd w:val="clear" w:color="auto" w:fill="CCEEFF"/>
          </w:tcPr>
          <w:p>
            <w:pPr>
              <w:jc w:val="right"/>
              <w:ind w:right="189"/>
              <w:spacing w:after="0" w:line="109" w:lineRule="exact"/>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(822)</w:t>
            </w:r>
          </w:p>
        </w:tc>
        <w:tc>
          <w:tcPr>
            <w:tcW w:w="90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(119)%</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jc w:val="right"/>
              <w:ind w:right="169"/>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(731)</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(284)%</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ind w:right="29"/>
              <w:spacing w:after="0" w:line="109" w:lineRule="exact"/>
              <w:rPr>
                <w:sz w:val="20"/>
                <w:szCs w:val="20"/>
                <w:color w:val="auto"/>
              </w:rPr>
            </w:pPr>
            <w:r>
              <w:rPr>
                <w:rFonts w:ascii="Arial" w:cs="Arial" w:eastAsia="Arial" w:hAnsi="Arial"/>
                <w:sz w:val="10"/>
                <w:szCs w:val="10"/>
                <w:color w:val="auto"/>
              </w:rPr>
              <w:t>(12) %</w:t>
            </w:r>
          </w:p>
        </w:tc>
      </w:tr>
      <w:tr>
        <w:trPr>
          <w:trHeight w:val="108"/>
        </w:trPr>
        <w:tc>
          <w:tcPr>
            <w:tcW w:w="1640" w:type="dxa"/>
            <w:vAlign w:val="bottom"/>
          </w:tcPr>
          <w:p>
            <w:pPr>
              <w:spacing w:after="0"/>
              <w:rPr>
                <w:sz w:val="9"/>
                <w:szCs w:val="9"/>
                <w:color w:val="auto"/>
              </w:rPr>
            </w:pPr>
          </w:p>
        </w:tc>
        <w:tc>
          <w:tcPr>
            <w:tcW w:w="3440" w:type="dxa"/>
            <w:vAlign w:val="bottom"/>
          </w:tcPr>
          <w:p>
            <w:pPr>
              <w:ind w:left="180"/>
              <w:spacing w:after="0" w:line="109" w:lineRule="exact"/>
              <w:rPr>
                <w:sz w:val="20"/>
                <w:szCs w:val="20"/>
                <w:color w:val="auto"/>
              </w:rPr>
            </w:pPr>
            <w:r>
              <w:rPr>
                <w:rFonts w:ascii="Arial" w:cs="Arial" w:eastAsia="Arial" w:hAnsi="Arial"/>
                <w:sz w:val="10"/>
                <w:szCs w:val="10"/>
                <w:color w:val="auto"/>
              </w:rPr>
              <w:t>General and administrative expense</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(217)</w:t>
            </w:r>
          </w:p>
        </w:tc>
        <w:tc>
          <w:tcPr>
            <w:tcW w:w="900" w:type="dxa"/>
            <w:vAlign w:val="bottom"/>
          </w:tcPr>
          <w:p>
            <w:pPr>
              <w:jc w:val="right"/>
              <w:ind w:right="189"/>
              <w:spacing w:after="0" w:line="109" w:lineRule="exact"/>
              <w:rPr>
                <w:sz w:val="20"/>
                <w:szCs w:val="20"/>
                <w:color w:val="auto"/>
              </w:rPr>
            </w:pPr>
            <w:r>
              <w:rPr>
                <w:rFonts w:ascii="Arial" w:cs="Arial" w:eastAsia="Arial" w:hAnsi="Arial"/>
                <w:sz w:val="10"/>
                <w:szCs w:val="10"/>
                <w:i w:val="1"/>
                <w:iCs w:val="1"/>
                <w:color w:val="auto"/>
              </w:rPr>
              <w:t>(31)%</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114</w:t>
            </w:r>
          </w:p>
        </w:tc>
        <w:tc>
          <w:tcPr>
            <w:tcW w:w="180" w:type="dxa"/>
            <w:vAlign w:val="bottom"/>
          </w:tcPr>
          <w:p>
            <w:pPr>
              <w:spacing w:after="0"/>
              <w:rPr>
                <w:sz w:val="9"/>
                <w:szCs w:val="9"/>
                <w:color w:val="auto"/>
              </w:rPr>
            </w:pPr>
          </w:p>
        </w:tc>
        <w:tc>
          <w:tcPr>
            <w:tcW w:w="820" w:type="dxa"/>
            <w:vAlign w:val="bottom"/>
          </w:tcPr>
          <w:p>
            <w:pPr>
              <w:jc w:val="right"/>
              <w:ind w:right="129"/>
              <w:spacing w:after="0" w:line="109" w:lineRule="exact"/>
              <w:rPr>
                <w:sz w:val="20"/>
                <w:szCs w:val="20"/>
                <w:color w:val="auto"/>
              </w:rPr>
            </w:pPr>
            <w:r>
              <w:rPr>
                <w:rFonts w:ascii="Arial" w:cs="Arial" w:eastAsia="Arial" w:hAnsi="Arial"/>
                <w:sz w:val="10"/>
                <w:szCs w:val="10"/>
                <w:i w:val="1"/>
                <w:iCs w:val="1"/>
                <w:color w:val="auto"/>
              </w:rPr>
              <w:t>43%</w:t>
            </w:r>
          </w:p>
        </w:tc>
        <w:tc>
          <w:tcPr>
            <w:tcW w:w="200" w:type="dxa"/>
            <w:vAlign w:val="bottom"/>
          </w:tcPr>
          <w:p>
            <w:pPr>
              <w:spacing w:after="0"/>
              <w:rPr>
                <w:sz w:val="9"/>
                <w:szCs w:val="9"/>
                <w:color w:val="auto"/>
              </w:rPr>
            </w:pPr>
          </w:p>
        </w:tc>
        <w:tc>
          <w:tcPr>
            <w:tcW w:w="980" w:type="dxa"/>
            <w:vAlign w:val="bottom"/>
          </w:tcPr>
          <w:p>
            <w:pPr>
              <w:jc w:val="right"/>
              <w:ind w:right="29"/>
              <w:spacing w:after="0" w:line="109" w:lineRule="exact"/>
              <w:rPr>
                <w:sz w:val="20"/>
                <w:szCs w:val="20"/>
                <w:color w:val="auto"/>
              </w:rPr>
            </w:pPr>
            <w:r>
              <w:rPr>
                <w:rFonts w:ascii="Arial" w:cs="Arial" w:eastAsia="Arial" w:hAnsi="Arial"/>
                <w:sz w:val="10"/>
                <w:szCs w:val="10"/>
                <w:color w:val="auto"/>
              </w:rPr>
              <w:t>(&gt;100) %</w:t>
            </w:r>
          </w:p>
        </w:tc>
      </w:tr>
      <w:tr>
        <w:trPr>
          <w:trHeight w:val="99"/>
        </w:trPr>
        <w:tc>
          <w:tcPr>
            <w:tcW w:w="1640" w:type="dxa"/>
            <w:vAlign w:val="bottom"/>
            <w:tcBorders>
              <w:top w:val="single" w:sz="8" w:color="CCEEFF"/>
            </w:tcBorders>
            <w:shd w:val="clear" w:color="auto" w:fill="CCEEFF"/>
          </w:tcPr>
          <w:p>
            <w:pPr>
              <w:spacing w:after="0"/>
              <w:rPr>
                <w:sz w:val="8"/>
                <w:szCs w:val="8"/>
                <w:color w:val="auto"/>
              </w:rPr>
            </w:pPr>
          </w:p>
        </w:tc>
        <w:tc>
          <w:tcPr>
            <w:tcW w:w="34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jc w:val="right"/>
              <w:ind w:right="189"/>
              <w:spacing w:after="0" w:line="100" w:lineRule="exact"/>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(1,039)</w:t>
            </w:r>
          </w:p>
        </w:tc>
        <w:tc>
          <w:tcPr>
            <w:tcW w:w="2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jc w:val="right"/>
              <w:ind w:right="189"/>
              <w:spacing w:after="0" w:line="100" w:lineRule="exact"/>
              <w:rPr>
                <w:sz w:val="20"/>
                <w:szCs w:val="20"/>
                <w:color w:val="auto"/>
              </w:rPr>
            </w:pPr>
            <w:r>
              <w:rPr>
                <w:rFonts w:ascii="Arial" w:cs="Arial" w:eastAsia="Arial" w:hAnsi="Arial"/>
                <w:sz w:val="10"/>
                <w:szCs w:val="10"/>
                <w:i w:val="1"/>
                <w:iCs w:val="1"/>
                <w:color w:val="auto"/>
              </w:rPr>
              <w:t>(150)%</w:t>
            </w:r>
          </w:p>
        </w:tc>
        <w:tc>
          <w:tcPr>
            <w:tcW w:w="20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jc w:val="right"/>
              <w:ind w:right="169"/>
              <w:spacing w:after="0" w:line="100" w:lineRule="exact"/>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(617)</w:t>
            </w: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jc w:val="right"/>
              <w:ind w:right="129"/>
              <w:spacing w:after="0" w:line="100" w:lineRule="exact"/>
              <w:rPr>
                <w:sz w:val="20"/>
                <w:szCs w:val="20"/>
                <w:color w:val="auto"/>
              </w:rPr>
            </w:pPr>
            <w:r>
              <w:rPr>
                <w:rFonts w:ascii="Arial" w:cs="Arial" w:eastAsia="Arial" w:hAnsi="Arial"/>
                <w:sz w:val="10"/>
                <w:szCs w:val="10"/>
                <w:i w:val="1"/>
                <w:iCs w:val="1"/>
                <w:color w:val="auto"/>
              </w:rPr>
              <w:t>(240)%</w:t>
            </w:r>
          </w:p>
        </w:tc>
        <w:tc>
          <w:tcPr>
            <w:tcW w:w="20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CCEEFF"/>
            </w:tcBorders>
            <w:shd w:val="clear" w:color="auto" w:fill="CCEEFF"/>
          </w:tcPr>
          <w:p>
            <w:pPr>
              <w:jc w:val="right"/>
              <w:ind w:right="29"/>
              <w:spacing w:after="0" w:line="100" w:lineRule="exact"/>
              <w:rPr>
                <w:sz w:val="20"/>
                <w:szCs w:val="20"/>
                <w:color w:val="auto"/>
              </w:rPr>
            </w:pPr>
            <w:r>
              <w:rPr>
                <w:rFonts w:ascii="Arial" w:cs="Arial" w:eastAsia="Arial" w:hAnsi="Arial"/>
                <w:sz w:val="10"/>
                <w:szCs w:val="10"/>
                <w:color w:val="auto"/>
              </w:rPr>
              <w:t>(68) %</w:t>
            </w:r>
          </w:p>
        </w:tc>
      </w:tr>
      <w:tr>
        <w:trPr>
          <w:trHeight w:val="108"/>
        </w:trPr>
        <w:tc>
          <w:tcPr>
            <w:tcW w:w="1640" w:type="dxa"/>
            <w:vAlign w:val="bottom"/>
          </w:tcPr>
          <w:p>
            <w:pPr>
              <w:ind w:left="220"/>
              <w:spacing w:after="0" w:line="109" w:lineRule="exact"/>
              <w:rPr>
                <w:sz w:val="20"/>
                <w:szCs w:val="20"/>
                <w:color w:val="auto"/>
              </w:rPr>
            </w:pPr>
            <w:r>
              <w:rPr>
                <w:rFonts w:ascii="Arial" w:cs="Arial" w:eastAsia="Arial" w:hAnsi="Arial"/>
                <w:sz w:val="10"/>
                <w:szCs w:val="10"/>
                <w:b w:val="1"/>
                <w:bCs w:val="1"/>
                <w:color w:val="auto"/>
              </w:rPr>
              <w:t>Australia</w:t>
            </w:r>
          </w:p>
        </w:tc>
        <w:tc>
          <w:tcPr>
            <w:tcW w:w="3440" w:type="dxa"/>
            <w:vAlign w:val="bottom"/>
          </w:tcPr>
          <w:p>
            <w:pPr>
              <w:ind w:left="180"/>
              <w:spacing w:after="0" w:line="109" w:lineRule="exact"/>
              <w:rPr>
                <w:sz w:val="20"/>
                <w:szCs w:val="20"/>
                <w:color w:val="auto"/>
              </w:rPr>
            </w:pPr>
            <w:r>
              <w:rPr>
                <w:rFonts w:ascii="Arial" w:cs="Arial" w:eastAsia="Arial" w:hAnsi="Arial"/>
                <w:sz w:val="10"/>
                <w:szCs w:val="10"/>
                <w:color w:val="auto"/>
              </w:rPr>
              <w:t>Depreciation and amortization</w:t>
            </w:r>
          </w:p>
        </w:tc>
        <w:tc>
          <w:tcPr>
            <w:tcW w:w="500" w:type="dxa"/>
            <w:vAlign w:val="bottom"/>
            <w:gridSpan w:val="2"/>
          </w:tcPr>
          <w:p>
            <w:pPr>
              <w:jc w:val="right"/>
              <w:ind w:right="189"/>
              <w:spacing w:after="0" w:line="109" w:lineRule="exact"/>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(744)</w:t>
            </w:r>
          </w:p>
        </w:tc>
        <w:tc>
          <w:tcPr>
            <w:tcW w:w="900" w:type="dxa"/>
            <w:vAlign w:val="bottom"/>
          </w:tcPr>
          <w:p>
            <w:pPr>
              <w:jc w:val="right"/>
              <w:ind w:right="189"/>
              <w:spacing w:after="0" w:line="109" w:lineRule="exact"/>
              <w:rPr>
                <w:sz w:val="20"/>
                <w:szCs w:val="20"/>
                <w:color w:val="auto"/>
              </w:rPr>
            </w:pPr>
            <w:r>
              <w:rPr>
                <w:rFonts w:ascii="Arial" w:cs="Arial" w:eastAsia="Arial" w:hAnsi="Arial"/>
                <w:sz w:val="10"/>
                <w:szCs w:val="10"/>
                <w:i w:val="1"/>
                <w:iCs w:val="1"/>
                <w:color w:val="auto"/>
              </w:rPr>
              <w:t>(40)%</w:t>
            </w:r>
          </w:p>
        </w:tc>
        <w:tc>
          <w:tcPr>
            <w:tcW w:w="200" w:type="dxa"/>
            <w:vAlign w:val="bottom"/>
          </w:tcPr>
          <w:p>
            <w:pPr>
              <w:spacing w:after="0"/>
              <w:rPr>
                <w:sz w:val="9"/>
                <w:szCs w:val="9"/>
                <w:color w:val="auto"/>
              </w:rPr>
            </w:pPr>
          </w:p>
        </w:tc>
        <w:tc>
          <w:tcPr>
            <w:tcW w:w="280" w:type="dxa"/>
            <w:vAlign w:val="bottom"/>
          </w:tcPr>
          <w:p>
            <w:pPr>
              <w:jc w:val="right"/>
              <w:ind w:right="169"/>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(1,001)</w:t>
            </w:r>
          </w:p>
        </w:tc>
        <w:tc>
          <w:tcPr>
            <w:tcW w:w="180" w:type="dxa"/>
            <w:vAlign w:val="bottom"/>
          </w:tcPr>
          <w:p>
            <w:pPr>
              <w:spacing w:after="0"/>
              <w:rPr>
                <w:sz w:val="9"/>
                <w:szCs w:val="9"/>
                <w:color w:val="auto"/>
              </w:rPr>
            </w:pPr>
          </w:p>
        </w:tc>
        <w:tc>
          <w:tcPr>
            <w:tcW w:w="820" w:type="dxa"/>
            <w:vAlign w:val="bottom"/>
          </w:tcPr>
          <w:p>
            <w:pPr>
              <w:jc w:val="right"/>
              <w:ind w:right="129"/>
              <w:spacing w:after="0" w:line="109" w:lineRule="exact"/>
              <w:rPr>
                <w:sz w:val="20"/>
                <w:szCs w:val="20"/>
                <w:color w:val="auto"/>
              </w:rPr>
            </w:pPr>
            <w:r>
              <w:rPr>
                <w:rFonts w:ascii="Arial" w:cs="Arial" w:eastAsia="Arial" w:hAnsi="Arial"/>
                <w:sz w:val="10"/>
                <w:szCs w:val="10"/>
                <w:i w:val="1"/>
                <w:iCs w:val="1"/>
                <w:color w:val="auto"/>
              </w:rPr>
              <w:t>(40)%</w:t>
            </w:r>
          </w:p>
        </w:tc>
        <w:tc>
          <w:tcPr>
            <w:tcW w:w="200" w:type="dxa"/>
            <w:vAlign w:val="bottom"/>
          </w:tcPr>
          <w:p>
            <w:pPr>
              <w:spacing w:after="0"/>
              <w:rPr>
                <w:sz w:val="9"/>
                <w:szCs w:val="9"/>
                <w:color w:val="auto"/>
              </w:rPr>
            </w:pPr>
          </w:p>
        </w:tc>
        <w:tc>
          <w:tcPr>
            <w:tcW w:w="980" w:type="dxa"/>
            <w:vAlign w:val="bottom"/>
          </w:tcPr>
          <w:p>
            <w:pPr>
              <w:jc w:val="right"/>
              <w:ind w:right="29"/>
              <w:spacing w:after="0" w:line="109" w:lineRule="exact"/>
              <w:rPr>
                <w:sz w:val="20"/>
                <w:szCs w:val="20"/>
                <w:color w:val="auto"/>
              </w:rPr>
            </w:pPr>
            <w:r>
              <w:rPr>
                <w:rFonts w:ascii="Arial" w:cs="Arial" w:eastAsia="Arial" w:hAnsi="Arial"/>
                <w:sz w:val="10"/>
                <w:szCs w:val="10"/>
                <w:color w:val="auto"/>
              </w:rPr>
              <w:t>26 %</w:t>
            </w:r>
          </w:p>
        </w:tc>
      </w:tr>
      <w:tr>
        <w:trPr>
          <w:trHeight w:val="108"/>
        </w:trPr>
        <w:tc>
          <w:tcPr>
            <w:tcW w:w="1640" w:type="dxa"/>
            <w:vAlign w:val="bottom"/>
            <w:shd w:val="clear" w:color="auto" w:fill="CCEEFF"/>
          </w:tcPr>
          <w:p>
            <w:pPr>
              <w:spacing w:after="0"/>
              <w:rPr>
                <w:sz w:val="9"/>
                <w:szCs w:val="9"/>
                <w:color w:val="auto"/>
              </w:rPr>
            </w:pPr>
          </w:p>
        </w:tc>
        <w:tc>
          <w:tcPr>
            <w:tcW w:w="3440" w:type="dxa"/>
            <w:vAlign w:val="bottom"/>
            <w:shd w:val="clear" w:color="auto" w:fill="CCEEFF"/>
          </w:tcPr>
          <w:p>
            <w:pPr>
              <w:ind w:left="180"/>
              <w:spacing w:after="0" w:line="109" w:lineRule="exact"/>
              <w:rPr>
                <w:sz w:val="20"/>
                <w:szCs w:val="20"/>
                <w:color w:val="auto"/>
              </w:rPr>
            </w:pPr>
            <w:r>
              <w:rPr>
                <w:rFonts w:ascii="Arial" w:cs="Arial" w:eastAsia="Arial" w:hAnsi="Arial"/>
                <w:sz w:val="10"/>
                <w:szCs w:val="10"/>
                <w:color w:val="auto"/>
              </w:rPr>
              <w:t>General and administrative expense</w:t>
            </w: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6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(42)</w:t>
            </w:r>
          </w:p>
        </w:tc>
        <w:tc>
          <w:tcPr>
            <w:tcW w:w="90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(2)%</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60" w:type="dxa"/>
            <w:vAlign w:val="bottom"/>
            <w:gridSpan w:val="3"/>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154</w:t>
            </w:r>
          </w:p>
        </w:tc>
        <w:tc>
          <w:tcPr>
            <w:tcW w:w="820" w:type="dxa"/>
            <w:vAlign w:val="bottom"/>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6%</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ind w:right="29"/>
              <w:spacing w:after="0" w:line="109" w:lineRule="exact"/>
              <w:rPr>
                <w:sz w:val="20"/>
                <w:szCs w:val="20"/>
                <w:color w:val="auto"/>
              </w:rPr>
            </w:pPr>
            <w:r>
              <w:rPr>
                <w:rFonts w:ascii="Arial" w:cs="Arial" w:eastAsia="Arial" w:hAnsi="Arial"/>
                <w:sz w:val="10"/>
                <w:szCs w:val="10"/>
                <w:color w:val="auto"/>
              </w:rPr>
              <w:t>(&gt;100) %</w:t>
            </w:r>
          </w:p>
        </w:tc>
      </w:tr>
      <w:tr>
        <w:trPr>
          <w:trHeight w:val="99"/>
        </w:trPr>
        <w:tc>
          <w:tcPr>
            <w:tcW w:w="16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top w:val="single" w:sz="8" w:color="auto"/>
            </w:tcBorders>
          </w:tcPr>
          <w:p>
            <w:pPr>
              <w:jc w:val="right"/>
              <w:ind w:right="189"/>
              <w:spacing w:after="0" w:line="100" w:lineRule="exact"/>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(786)</w:t>
            </w:r>
          </w:p>
        </w:tc>
        <w:tc>
          <w:tcPr>
            <w:tcW w:w="200" w:type="dxa"/>
            <w:vAlign w:val="bottom"/>
          </w:tcPr>
          <w:p>
            <w:pPr>
              <w:spacing w:after="0"/>
              <w:rPr>
                <w:sz w:val="8"/>
                <w:szCs w:val="8"/>
                <w:color w:val="auto"/>
              </w:rPr>
            </w:pPr>
          </w:p>
        </w:tc>
        <w:tc>
          <w:tcPr>
            <w:tcW w:w="900" w:type="dxa"/>
            <w:vAlign w:val="bottom"/>
          </w:tcPr>
          <w:p>
            <w:pPr>
              <w:jc w:val="right"/>
              <w:ind w:right="189"/>
              <w:spacing w:after="0" w:line="100" w:lineRule="exact"/>
              <w:rPr>
                <w:sz w:val="20"/>
                <w:szCs w:val="20"/>
                <w:color w:val="auto"/>
              </w:rPr>
            </w:pPr>
            <w:r>
              <w:rPr>
                <w:rFonts w:ascii="Arial" w:cs="Arial" w:eastAsia="Arial" w:hAnsi="Arial"/>
                <w:sz w:val="10"/>
                <w:szCs w:val="10"/>
                <w:i w:val="1"/>
                <w:iCs w:val="1"/>
                <w:color w:val="auto"/>
              </w:rPr>
              <w:t>(42)%</w:t>
            </w:r>
          </w:p>
        </w:tc>
        <w:tc>
          <w:tcPr>
            <w:tcW w:w="200" w:type="dxa"/>
            <w:vAlign w:val="bottom"/>
          </w:tcPr>
          <w:p>
            <w:pPr>
              <w:spacing w:after="0"/>
              <w:rPr>
                <w:sz w:val="8"/>
                <w:szCs w:val="8"/>
                <w:color w:val="auto"/>
              </w:rPr>
            </w:pPr>
          </w:p>
        </w:tc>
        <w:tc>
          <w:tcPr>
            <w:tcW w:w="280" w:type="dxa"/>
            <w:vAlign w:val="bottom"/>
            <w:tcBorders>
              <w:top w:val="single" w:sz="8" w:color="auto"/>
            </w:tcBorders>
          </w:tcPr>
          <w:p>
            <w:pPr>
              <w:jc w:val="right"/>
              <w:ind w:right="169"/>
              <w:spacing w:after="0" w:line="100" w:lineRule="exact"/>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(847)</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jc w:val="right"/>
              <w:ind w:right="129"/>
              <w:spacing w:after="0" w:line="100" w:lineRule="exact"/>
              <w:rPr>
                <w:sz w:val="20"/>
                <w:szCs w:val="20"/>
                <w:color w:val="auto"/>
              </w:rPr>
            </w:pPr>
            <w:r>
              <w:rPr>
                <w:rFonts w:ascii="Arial" w:cs="Arial" w:eastAsia="Arial" w:hAnsi="Arial"/>
                <w:sz w:val="10"/>
                <w:szCs w:val="10"/>
                <w:i w:val="1"/>
                <w:iCs w:val="1"/>
                <w:color w:val="auto"/>
              </w:rPr>
              <w:t>(34)%</w:t>
            </w:r>
          </w:p>
        </w:tc>
        <w:tc>
          <w:tcPr>
            <w:tcW w:w="200" w:type="dxa"/>
            <w:vAlign w:val="bottom"/>
          </w:tcPr>
          <w:p>
            <w:pPr>
              <w:spacing w:after="0"/>
              <w:rPr>
                <w:sz w:val="8"/>
                <w:szCs w:val="8"/>
                <w:color w:val="auto"/>
              </w:rPr>
            </w:pPr>
          </w:p>
        </w:tc>
        <w:tc>
          <w:tcPr>
            <w:tcW w:w="980" w:type="dxa"/>
            <w:vAlign w:val="bottom"/>
          </w:tcPr>
          <w:p>
            <w:pPr>
              <w:jc w:val="right"/>
              <w:ind w:right="29"/>
              <w:spacing w:after="0" w:line="100" w:lineRule="exact"/>
              <w:rPr>
                <w:sz w:val="20"/>
                <w:szCs w:val="20"/>
                <w:color w:val="auto"/>
              </w:rPr>
            </w:pPr>
            <w:r>
              <w:rPr>
                <w:rFonts w:ascii="Arial" w:cs="Arial" w:eastAsia="Arial" w:hAnsi="Arial"/>
                <w:sz w:val="10"/>
                <w:szCs w:val="10"/>
                <w:color w:val="auto"/>
              </w:rPr>
              <w:t>7 %</w:t>
            </w:r>
          </w:p>
        </w:tc>
      </w:tr>
      <w:tr>
        <w:trPr>
          <w:trHeight w:val="108"/>
        </w:trPr>
        <w:tc>
          <w:tcPr>
            <w:tcW w:w="1640" w:type="dxa"/>
            <w:vAlign w:val="bottom"/>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New Zealand</w:t>
            </w:r>
          </w:p>
        </w:tc>
        <w:tc>
          <w:tcPr>
            <w:tcW w:w="3440" w:type="dxa"/>
            <w:vAlign w:val="bottom"/>
            <w:shd w:val="clear" w:color="auto" w:fill="CCEEFF"/>
          </w:tcPr>
          <w:p>
            <w:pPr>
              <w:ind w:left="180"/>
              <w:spacing w:after="0" w:line="109" w:lineRule="exact"/>
              <w:rPr>
                <w:sz w:val="20"/>
                <w:szCs w:val="20"/>
                <w:color w:val="auto"/>
              </w:rPr>
            </w:pPr>
            <w:r>
              <w:rPr>
                <w:rFonts w:ascii="Arial" w:cs="Arial" w:eastAsia="Arial" w:hAnsi="Arial"/>
                <w:sz w:val="10"/>
                <w:szCs w:val="10"/>
                <w:color w:val="auto"/>
              </w:rPr>
              <w:t>Depreciation and amortization</w:t>
            </w:r>
          </w:p>
        </w:tc>
        <w:tc>
          <w:tcPr>
            <w:tcW w:w="500" w:type="dxa"/>
            <w:vAlign w:val="bottom"/>
            <w:gridSpan w:val="2"/>
            <w:shd w:val="clear" w:color="auto" w:fill="CCEEFF"/>
          </w:tcPr>
          <w:p>
            <w:pPr>
              <w:jc w:val="right"/>
              <w:ind w:right="189"/>
              <w:spacing w:after="0" w:line="109" w:lineRule="exact"/>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(232)</w:t>
            </w:r>
          </w:p>
        </w:tc>
        <w:tc>
          <w:tcPr>
            <w:tcW w:w="90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(88)%</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jc w:val="right"/>
              <w:ind w:right="169"/>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(242)</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(96)%</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ind w:right="29"/>
              <w:spacing w:after="0" w:line="109" w:lineRule="exact"/>
              <w:rPr>
                <w:sz w:val="20"/>
                <w:szCs w:val="20"/>
                <w:color w:val="auto"/>
              </w:rPr>
            </w:pPr>
            <w:r>
              <w:rPr>
                <w:rFonts w:ascii="Arial" w:cs="Arial" w:eastAsia="Arial" w:hAnsi="Arial"/>
                <w:sz w:val="10"/>
                <w:szCs w:val="10"/>
                <w:color w:val="auto"/>
              </w:rPr>
              <w:t>4 %</w:t>
            </w:r>
          </w:p>
        </w:tc>
      </w:tr>
      <w:tr>
        <w:trPr>
          <w:trHeight w:val="108"/>
        </w:trPr>
        <w:tc>
          <w:tcPr>
            <w:tcW w:w="1640" w:type="dxa"/>
            <w:vAlign w:val="bottom"/>
          </w:tcPr>
          <w:p>
            <w:pPr>
              <w:spacing w:after="0"/>
              <w:rPr>
                <w:sz w:val="9"/>
                <w:szCs w:val="9"/>
                <w:color w:val="auto"/>
              </w:rPr>
            </w:pPr>
          </w:p>
        </w:tc>
        <w:tc>
          <w:tcPr>
            <w:tcW w:w="3440" w:type="dxa"/>
            <w:vAlign w:val="bottom"/>
          </w:tcPr>
          <w:p>
            <w:pPr>
              <w:ind w:left="180"/>
              <w:spacing w:after="0" w:line="109" w:lineRule="exact"/>
              <w:rPr>
                <w:sz w:val="20"/>
                <w:szCs w:val="20"/>
                <w:color w:val="auto"/>
              </w:rPr>
            </w:pPr>
            <w:r>
              <w:rPr>
                <w:rFonts w:ascii="Arial" w:cs="Arial" w:eastAsia="Arial" w:hAnsi="Arial"/>
                <w:sz w:val="10"/>
                <w:szCs w:val="10"/>
                <w:color w:val="auto"/>
              </w:rPr>
              <w:t>General and administrative expense</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(2)</w:t>
            </w:r>
          </w:p>
        </w:tc>
        <w:tc>
          <w:tcPr>
            <w:tcW w:w="900" w:type="dxa"/>
            <w:vAlign w:val="bottom"/>
          </w:tcPr>
          <w:p>
            <w:pPr>
              <w:jc w:val="right"/>
              <w:ind w:right="189"/>
              <w:spacing w:after="0" w:line="109" w:lineRule="exact"/>
              <w:rPr>
                <w:sz w:val="20"/>
                <w:szCs w:val="20"/>
                <w:color w:val="auto"/>
              </w:rPr>
            </w:pPr>
            <w:r>
              <w:rPr>
                <w:rFonts w:ascii="Arial" w:cs="Arial" w:eastAsia="Arial" w:hAnsi="Arial"/>
                <w:sz w:val="10"/>
                <w:szCs w:val="10"/>
                <w:i w:val="1"/>
                <w:iCs w:val="1"/>
                <w:color w:val="auto"/>
              </w:rPr>
              <w:t>(1)%</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(9)</w:t>
            </w:r>
          </w:p>
        </w:tc>
        <w:tc>
          <w:tcPr>
            <w:tcW w:w="180" w:type="dxa"/>
            <w:vAlign w:val="bottom"/>
          </w:tcPr>
          <w:p>
            <w:pPr>
              <w:spacing w:after="0"/>
              <w:rPr>
                <w:sz w:val="9"/>
                <w:szCs w:val="9"/>
                <w:color w:val="auto"/>
              </w:rPr>
            </w:pPr>
          </w:p>
        </w:tc>
        <w:tc>
          <w:tcPr>
            <w:tcW w:w="820" w:type="dxa"/>
            <w:vAlign w:val="bottom"/>
          </w:tcPr>
          <w:p>
            <w:pPr>
              <w:jc w:val="right"/>
              <w:ind w:right="129"/>
              <w:spacing w:after="0" w:line="109" w:lineRule="exact"/>
              <w:rPr>
                <w:sz w:val="20"/>
                <w:szCs w:val="20"/>
                <w:color w:val="auto"/>
              </w:rPr>
            </w:pPr>
            <w:r>
              <w:rPr>
                <w:rFonts w:ascii="Arial" w:cs="Arial" w:eastAsia="Arial" w:hAnsi="Arial"/>
                <w:sz w:val="10"/>
                <w:szCs w:val="10"/>
                <w:i w:val="1"/>
                <w:iCs w:val="1"/>
                <w:color w:val="auto"/>
              </w:rPr>
              <w:t>(4)%</w:t>
            </w:r>
          </w:p>
        </w:tc>
        <w:tc>
          <w:tcPr>
            <w:tcW w:w="200" w:type="dxa"/>
            <w:vAlign w:val="bottom"/>
          </w:tcPr>
          <w:p>
            <w:pPr>
              <w:spacing w:after="0"/>
              <w:rPr>
                <w:sz w:val="9"/>
                <w:szCs w:val="9"/>
                <w:color w:val="auto"/>
              </w:rPr>
            </w:pPr>
          </w:p>
        </w:tc>
        <w:tc>
          <w:tcPr>
            <w:tcW w:w="980" w:type="dxa"/>
            <w:vAlign w:val="bottom"/>
          </w:tcPr>
          <w:p>
            <w:pPr>
              <w:jc w:val="right"/>
              <w:ind w:right="29"/>
              <w:spacing w:after="0" w:line="109" w:lineRule="exact"/>
              <w:rPr>
                <w:sz w:val="20"/>
                <w:szCs w:val="20"/>
                <w:color w:val="auto"/>
              </w:rPr>
            </w:pPr>
            <w:r>
              <w:rPr>
                <w:rFonts w:ascii="Arial" w:cs="Arial" w:eastAsia="Arial" w:hAnsi="Arial"/>
                <w:sz w:val="10"/>
                <w:szCs w:val="10"/>
                <w:color w:val="auto"/>
              </w:rPr>
              <w:t>78 %</w:t>
            </w:r>
          </w:p>
        </w:tc>
      </w:tr>
      <w:tr>
        <w:trPr>
          <w:trHeight w:val="99"/>
        </w:trPr>
        <w:tc>
          <w:tcPr>
            <w:tcW w:w="1640" w:type="dxa"/>
            <w:vAlign w:val="bottom"/>
            <w:tcBorders>
              <w:top w:val="single" w:sz="8" w:color="CCEEFF"/>
            </w:tcBorders>
            <w:shd w:val="clear" w:color="auto" w:fill="CCEEFF"/>
          </w:tcPr>
          <w:p>
            <w:pPr>
              <w:spacing w:after="0"/>
              <w:rPr>
                <w:sz w:val="8"/>
                <w:szCs w:val="8"/>
                <w:color w:val="auto"/>
              </w:rPr>
            </w:pPr>
          </w:p>
        </w:tc>
        <w:tc>
          <w:tcPr>
            <w:tcW w:w="34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jc w:val="right"/>
              <w:ind w:right="189"/>
              <w:spacing w:after="0" w:line="100" w:lineRule="exact"/>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(234)</w:t>
            </w:r>
          </w:p>
        </w:tc>
        <w:tc>
          <w:tcPr>
            <w:tcW w:w="2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jc w:val="right"/>
              <w:ind w:right="189"/>
              <w:spacing w:after="0" w:line="100" w:lineRule="exact"/>
              <w:rPr>
                <w:sz w:val="20"/>
                <w:szCs w:val="20"/>
                <w:color w:val="auto"/>
              </w:rPr>
            </w:pPr>
            <w:r>
              <w:rPr>
                <w:rFonts w:ascii="Arial" w:cs="Arial" w:eastAsia="Arial" w:hAnsi="Arial"/>
                <w:sz w:val="10"/>
                <w:szCs w:val="10"/>
                <w:i w:val="1"/>
                <w:iCs w:val="1"/>
                <w:color w:val="auto"/>
              </w:rPr>
              <w:t>(89)%</w:t>
            </w:r>
          </w:p>
        </w:tc>
        <w:tc>
          <w:tcPr>
            <w:tcW w:w="20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jc w:val="right"/>
              <w:ind w:right="169"/>
              <w:spacing w:after="0" w:line="100" w:lineRule="exact"/>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(251)</w:t>
            </w: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jc w:val="right"/>
              <w:ind w:right="129"/>
              <w:spacing w:after="0" w:line="100" w:lineRule="exact"/>
              <w:rPr>
                <w:sz w:val="20"/>
                <w:szCs w:val="20"/>
                <w:color w:val="auto"/>
              </w:rPr>
            </w:pPr>
            <w:r>
              <w:rPr>
                <w:rFonts w:ascii="Arial" w:cs="Arial" w:eastAsia="Arial" w:hAnsi="Arial"/>
                <w:sz w:val="10"/>
                <w:szCs w:val="10"/>
                <w:i w:val="1"/>
                <w:iCs w:val="1"/>
                <w:color w:val="auto"/>
              </w:rPr>
              <w:t>(100)%</w:t>
            </w:r>
          </w:p>
        </w:tc>
        <w:tc>
          <w:tcPr>
            <w:tcW w:w="20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CCEEFF"/>
            </w:tcBorders>
            <w:shd w:val="clear" w:color="auto" w:fill="CCEEFF"/>
          </w:tcPr>
          <w:p>
            <w:pPr>
              <w:jc w:val="right"/>
              <w:ind w:right="29"/>
              <w:spacing w:after="0" w:line="100" w:lineRule="exact"/>
              <w:rPr>
                <w:sz w:val="20"/>
                <w:szCs w:val="20"/>
                <w:color w:val="auto"/>
              </w:rPr>
            </w:pPr>
            <w:r>
              <w:rPr>
                <w:rFonts w:ascii="Arial" w:cs="Arial" w:eastAsia="Arial" w:hAnsi="Arial"/>
                <w:sz w:val="10"/>
                <w:szCs w:val="10"/>
                <w:color w:val="auto"/>
              </w:rPr>
              <w:t>7 %</w:t>
            </w:r>
          </w:p>
        </w:tc>
      </w:tr>
      <w:tr>
        <w:trPr>
          <w:trHeight w:val="110"/>
        </w:trPr>
        <w:tc>
          <w:tcPr>
            <w:tcW w:w="5080" w:type="dxa"/>
            <w:vAlign w:val="bottom"/>
            <w:tcBorders>
              <w:bottom w:val="single" w:sz="8" w:color="CCEEFF"/>
            </w:tcBorders>
            <w:gridSpan w:val="2"/>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90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r>
      <w:tr>
        <w:trPr>
          <w:trHeight w:val="110"/>
        </w:trPr>
        <w:tc>
          <w:tcPr>
            <w:tcW w:w="5080" w:type="dxa"/>
            <w:vAlign w:val="bottom"/>
            <w:tcBorders>
              <w:bottom w:val="single" w:sz="8" w:color="CCEEFF"/>
            </w:tcBorders>
            <w:gridSpan w:val="2"/>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Total depreciation, amortization, and general and administrative expense</w:t>
            </w:r>
          </w:p>
        </w:tc>
        <w:tc>
          <w:tcPr>
            <w:tcW w:w="20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jc w:val="right"/>
              <w:ind w:right="189"/>
              <w:spacing w:after="0" w:line="109" w:lineRule="exact"/>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b w:val="1"/>
                <w:bCs w:val="1"/>
                <w:color w:val="auto"/>
              </w:rPr>
              <w:t>(2,059)</w:t>
            </w:r>
          </w:p>
        </w:tc>
        <w:tc>
          <w:tcPr>
            <w:tcW w:w="20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(73)%</w:t>
            </w:r>
          </w:p>
        </w:tc>
        <w:tc>
          <w:tcPr>
            <w:tcW w:w="20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jc w:val="right"/>
              <w:ind w:right="169"/>
              <w:spacing w:after="0" w:line="109" w:lineRule="exact"/>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b w:val="1"/>
                <w:bCs w:val="1"/>
                <w:color w:val="auto"/>
              </w:rPr>
              <w:t>(1,715)</w:t>
            </w:r>
          </w:p>
        </w:tc>
        <w:tc>
          <w:tcPr>
            <w:tcW w:w="2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(57)%</w:t>
            </w:r>
          </w:p>
        </w:tc>
        <w:tc>
          <w:tcPr>
            <w:tcW w:w="20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jc w:val="right"/>
              <w:ind w:right="29"/>
              <w:spacing w:after="0" w:line="109" w:lineRule="exact"/>
              <w:rPr>
                <w:sz w:val="20"/>
                <w:szCs w:val="20"/>
                <w:color w:val="auto"/>
              </w:rPr>
            </w:pPr>
            <w:r>
              <w:rPr>
                <w:rFonts w:ascii="Arial" w:cs="Arial" w:eastAsia="Arial" w:hAnsi="Arial"/>
                <w:sz w:val="10"/>
                <w:szCs w:val="10"/>
                <w:color w:val="auto"/>
              </w:rPr>
              <w:t>(20) %</w:t>
            </w:r>
          </w:p>
        </w:tc>
      </w:tr>
      <w:tr>
        <w:trPr>
          <w:trHeight w:val="110"/>
        </w:trPr>
        <w:tc>
          <w:tcPr>
            <w:tcW w:w="1640" w:type="dxa"/>
            <w:vAlign w:val="bottom"/>
            <w:tcBorders>
              <w:bottom w:val="single" w:sz="8" w:color="CCEEFF"/>
            </w:tcBorders>
          </w:tcPr>
          <w:p>
            <w:pPr>
              <w:spacing w:after="0"/>
              <w:rPr>
                <w:sz w:val="9"/>
                <w:szCs w:val="9"/>
                <w:color w:val="auto"/>
              </w:rPr>
            </w:pPr>
          </w:p>
        </w:tc>
        <w:tc>
          <w:tcPr>
            <w:tcW w:w="344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90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r>
      <w:tr>
        <w:trPr>
          <w:trHeight w:val="128"/>
        </w:trPr>
        <w:tc>
          <w:tcPr>
            <w:tcW w:w="1640" w:type="dxa"/>
            <w:vAlign w:val="bottom"/>
            <w:tcBorders>
              <w:bottom w:val="single" w:sz="8" w:color="CCEEFF"/>
            </w:tcBorders>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Total expenses</w:t>
            </w:r>
          </w:p>
        </w:tc>
        <w:tc>
          <w:tcPr>
            <w:tcW w:w="34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89"/>
              <w:spacing w:after="0" w:line="109" w:lineRule="exact"/>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b w:val="1"/>
                <w:bCs w:val="1"/>
                <w:color w:val="auto"/>
              </w:rPr>
              <w:t>(4,263)</w:t>
            </w:r>
          </w:p>
        </w:tc>
        <w:tc>
          <w:tcPr>
            <w:tcW w:w="2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(151)%</w:t>
            </w:r>
          </w:p>
        </w:tc>
        <w:tc>
          <w:tcPr>
            <w:tcW w:w="2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69"/>
              <w:spacing w:after="0" w:line="109" w:lineRule="exact"/>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b w:val="1"/>
                <w:bCs w:val="1"/>
                <w:color w:val="auto"/>
              </w:rPr>
              <w:t>(4,034)</w:t>
            </w: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(133)%</w:t>
            </w:r>
          </w:p>
        </w:tc>
        <w:tc>
          <w:tcPr>
            <w:tcW w:w="2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ind w:right="29"/>
              <w:spacing w:after="0" w:line="109" w:lineRule="exact"/>
              <w:rPr>
                <w:sz w:val="20"/>
                <w:szCs w:val="20"/>
                <w:color w:val="auto"/>
              </w:rPr>
            </w:pPr>
            <w:r>
              <w:rPr>
                <w:rFonts w:ascii="Arial" w:cs="Arial" w:eastAsia="Arial" w:hAnsi="Arial"/>
                <w:sz w:val="10"/>
                <w:szCs w:val="10"/>
                <w:color w:val="auto"/>
              </w:rPr>
              <w:t>(6) %</w:t>
            </w:r>
          </w:p>
        </w:tc>
      </w:tr>
      <w:tr>
        <w:trPr>
          <w:trHeight w:val="90"/>
        </w:trPr>
        <w:tc>
          <w:tcPr>
            <w:tcW w:w="1640" w:type="dxa"/>
            <w:vAlign w:val="bottom"/>
          </w:tcPr>
          <w:p>
            <w:pPr>
              <w:spacing w:after="0" w:line="91" w:lineRule="exact"/>
              <w:rPr>
                <w:sz w:val="20"/>
                <w:szCs w:val="20"/>
                <w:color w:val="auto"/>
              </w:rPr>
            </w:pPr>
            <w:r>
              <w:rPr>
                <w:rFonts w:ascii="Arial" w:cs="Arial" w:eastAsia="Arial" w:hAnsi="Arial"/>
                <w:sz w:val="10"/>
                <w:szCs w:val="10"/>
                <w:b w:val="1"/>
                <w:bCs w:val="1"/>
                <w:color w:val="auto"/>
              </w:rPr>
              <w:t>OPERATING INCOME (LOSS)</w:t>
            </w:r>
          </w:p>
        </w:tc>
        <w:tc>
          <w:tcPr>
            <w:tcW w:w="3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108"/>
        </w:trPr>
        <w:tc>
          <w:tcPr>
            <w:tcW w:w="1640" w:type="dxa"/>
            <w:vAlign w:val="bottom"/>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United States</w:t>
            </w:r>
          </w:p>
        </w:tc>
        <w:tc>
          <w:tcPr>
            <w:tcW w:w="34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89"/>
              <w:spacing w:after="0" w:line="109" w:lineRule="exact"/>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(823)</w:t>
            </w:r>
          </w:p>
        </w:tc>
        <w:tc>
          <w:tcPr>
            <w:tcW w:w="90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(118)%</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jc w:val="right"/>
              <w:ind w:right="169"/>
              <w:spacing w:after="0" w:line="109" w:lineRule="exact"/>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(1,055)</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(411)%</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ind w:right="29"/>
              <w:spacing w:after="0" w:line="109" w:lineRule="exact"/>
              <w:rPr>
                <w:sz w:val="20"/>
                <w:szCs w:val="20"/>
                <w:color w:val="auto"/>
              </w:rPr>
            </w:pPr>
            <w:r>
              <w:rPr>
                <w:rFonts w:ascii="Arial" w:cs="Arial" w:eastAsia="Arial" w:hAnsi="Arial"/>
                <w:sz w:val="10"/>
                <w:szCs w:val="10"/>
                <w:color w:val="auto"/>
              </w:rPr>
              <w:t>22 %</w:t>
            </w:r>
          </w:p>
        </w:tc>
      </w:tr>
      <w:tr>
        <w:trPr>
          <w:trHeight w:val="108"/>
        </w:trPr>
        <w:tc>
          <w:tcPr>
            <w:tcW w:w="1640" w:type="dxa"/>
            <w:vAlign w:val="bottom"/>
          </w:tcPr>
          <w:p>
            <w:pPr>
              <w:ind w:left="220"/>
              <w:spacing w:after="0" w:line="109" w:lineRule="exact"/>
              <w:rPr>
                <w:sz w:val="20"/>
                <w:szCs w:val="20"/>
                <w:color w:val="auto"/>
              </w:rPr>
            </w:pPr>
            <w:r>
              <w:rPr>
                <w:rFonts w:ascii="Arial" w:cs="Arial" w:eastAsia="Arial" w:hAnsi="Arial"/>
                <w:sz w:val="10"/>
                <w:szCs w:val="10"/>
                <w:b w:val="1"/>
                <w:bCs w:val="1"/>
                <w:color w:val="auto"/>
              </w:rPr>
              <w:t>Australia</w:t>
            </w:r>
          </w:p>
        </w:tc>
        <w:tc>
          <w:tcPr>
            <w:tcW w:w="3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(137)</w:t>
            </w:r>
          </w:p>
        </w:tc>
        <w:tc>
          <w:tcPr>
            <w:tcW w:w="900" w:type="dxa"/>
            <w:vAlign w:val="bottom"/>
          </w:tcPr>
          <w:p>
            <w:pPr>
              <w:jc w:val="right"/>
              <w:ind w:right="189"/>
              <w:spacing w:after="0" w:line="109" w:lineRule="exact"/>
              <w:rPr>
                <w:sz w:val="20"/>
                <w:szCs w:val="20"/>
                <w:color w:val="auto"/>
              </w:rPr>
            </w:pPr>
            <w:r>
              <w:rPr>
                <w:rFonts w:ascii="Arial" w:cs="Arial" w:eastAsia="Arial" w:hAnsi="Arial"/>
                <w:sz w:val="10"/>
                <w:szCs w:val="10"/>
                <w:i w:val="1"/>
                <w:iCs w:val="1"/>
                <w:color w:val="auto"/>
              </w:rPr>
              <w:t>(7)%</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gridSpan w:val="3"/>
          </w:tcPr>
          <w:p>
            <w:pPr>
              <w:jc w:val="right"/>
              <w:ind w:right="200"/>
              <w:spacing w:after="0" w:line="109" w:lineRule="exact"/>
              <w:rPr>
                <w:sz w:val="20"/>
                <w:szCs w:val="20"/>
                <w:color w:val="auto"/>
              </w:rPr>
            </w:pPr>
            <w:r>
              <w:rPr>
                <w:rFonts w:ascii="Arial" w:cs="Arial" w:eastAsia="Arial" w:hAnsi="Arial"/>
                <w:sz w:val="10"/>
                <w:szCs w:val="10"/>
                <w:color w:val="auto"/>
              </w:rPr>
              <w:t>434</w:t>
            </w:r>
          </w:p>
        </w:tc>
        <w:tc>
          <w:tcPr>
            <w:tcW w:w="820" w:type="dxa"/>
            <w:vAlign w:val="bottom"/>
          </w:tcPr>
          <w:p>
            <w:pPr>
              <w:jc w:val="right"/>
              <w:ind w:right="129"/>
              <w:spacing w:after="0" w:line="109" w:lineRule="exact"/>
              <w:rPr>
                <w:sz w:val="20"/>
                <w:szCs w:val="20"/>
                <w:color w:val="auto"/>
              </w:rPr>
            </w:pPr>
            <w:r>
              <w:rPr>
                <w:rFonts w:ascii="Arial" w:cs="Arial" w:eastAsia="Arial" w:hAnsi="Arial"/>
                <w:sz w:val="10"/>
                <w:szCs w:val="10"/>
                <w:i w:val="1"/>
                <w:iCs w:val="1"/>
                <w:color w:val="auto"/>
              </w:rPr>
              <w:t>17%</w:t>
            </w:r>
          </w:p>
        </w:tc>
        <w:tc>
          <w:tcPr>
            <w:tcW w:w="200" w:type="dxa"/>
            <w:vAlign w:val="bottom"/>
          </w:tcPr>
          <w:p>
            <w:pPr>
              <w:spacing w:after="0"/>
              <w:rPr>
                <w:sz w:val="9"/>
                <w:szCs w:val="9"/>
                <w:color w:val="auto"/>
              </w:rPr>
            </w:pPr>
          </w:p>
        </w:tc>
        <w:tc>
          <w:tcPr>
            <w:tcW w:w="980" w:type="dxa"/>
            <w:vAlign w:val="bottom"/>
          </w:tcPr>
          <w:p>
            <w:pPr>
              <w:jc w:val="right"/>
              <w:ind w:right="29"/>
              <w:spacing w:after="0" w:line="109" w:lineRule="exact"/>
              <w:rPr>
                <w:sz w:val="20"/>
                <w:szCs w:val="20"/>
                <w:color w:val="auto"/>
              </w:rPr>
            </w:pPr>
            <w:r>
              <w:rPr>
                <w:rFonts w:ascii="Arial" w:cs="Arial" w:eastAsia="Arial" w:hAnsi="Arial"/>
                <w:sz w:val="10"/>
                <w:szCs w:val="10"/>
                <w:color w:val="auto"/>
              </w:rPr>
              <w:t>(&gt;100) %</w:t>
            </w:r>
          </w:p>
        </w:tc>
      </w:tr>
      <w:tr>
        <w:trPr>
          <w:trHeight w:val="128"/>
        </w:trPr>
        <w:tc>
          <w:tcPr>
            <w:tcW w:w="1640" w:type="dxa"/>
            <w:vAlign w:val="bottom"/>
            <w:shd w:val="clear" w:color="auto" w:fill="CCEEFF"/>
          </w:tcPr>
          <w:p>
            <w:pPr>
              <w:ind w:left="220"/>
              <w:spacing w:after="0" w:line="109" w:lineRule="exact"/>
              <w:rPr>
                <w:sz w:val="20"/>
                <w:szCs w:val="20"/>
                <w:color w:val="auto"/>
              </w:rPr>
            </w:pPr>
            <w:r>
              <w:rPr>
                <w:rFonts w:ascii="Arial" w:cs="Arial" w:eastAsia="Arial" w:hAnsi="Arial"/>
                <w:sz w:val="10"/>
                <w:szCs w:val="10"/>
                <w:b w:val="1"/>
                <w:bCs w:val="1"/>
                <w:color w:val="auto"/>
              </w:rPr>
              <w:t>New Zealand</w:t>
            </w:r>
          </w:p>
        </w:tc>
        <w:tc>
          <w:tcPr>
            <w:tcW w:w="3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0"/>
                <w:szCs w:val="10"/>
                <w:color w:val="auto"/>
              </w:rPr>
              <w:t>(487)</w:t>
            </w:r>
          </w:p>
        </w:tc>
        <w:tc>
          <w:tcPr>
            <w:tcW w:w="900" w:type="dxa"/>
            <w:vAlign w:val="bottom"/>
            <w:shd w:val="clear" w:color="auto" w:fill="CCEEFF"/>
          </w:tcPr>
          <w:p>
            <w:pPr>
              <w:jc w:val="right"/>
              <w:ind w:right="189"/>
              <w:spacing w:after="0" w:line="109" w:lineRule="exact"/>
              <w:rPr>
                <w:sz w:val="20"/>
                <w:szCs w:val="20"/>
                <w:color w:val="auto"/>
              </w:rPr>
            </w:pPr>
            <w:r>
              <w:rPr>
                <w:rFonts w:ascii="Arial" w:cs="Arial" w:eastAsia="Arial" w:hAnsi="Arial"/>
                <w:sz w:val="10"/>
                <w:szCs w:val="10"/>
                <w:i w:val="1"/>
                <w:iCs w:val="1"/>
                <w:color w:val="auto"/>
              </w:rPr>
              <w:t>(184)%</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
              <w:spacing w:after="0" w:line="109" w:lineRule="exact"/>
              <w:rPr>
                <w:sz w:val="20"/>
                <w:szCs w:val="20"/>
                <w:color w:val="auto"/>
              </w:rPr>
            </w:pPr>
            <w:r>
              <w:rPr>
                <w:rFonts w:ascii="Arial" w:cs="Arial" w:eastAsia="Arial" w:hAnsi="Arial"/>
                <w:sz w:val="10"/>
                <w:szCs w:val="10"/>
                <w:color w:val="auto"/>
              </w:rPr>
              <w:t>(378)</w:t>
            </w: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29"/>
              <w:spacing w:after="0" w:line="109" w:lineRule="exact"/>
              <w:rPr>
                <w:sz w:val="20"/>
                <w:szCs w:val="20"/>
                <w:color w:val="auto"/>
              </w:rPr>
            </w:pPr>
            <w:r>
              <w:rPr>
                <w:rFonts w:ascii="Arial" w:cs="Arial" w:eastAsia="Arial" w:hAnsi="Arial"/>
                <w:sz w:val="10"/>
                <w:szCs w:val="10"/>
                <w:i w:val="1"/>
                <w:iCs w:val="1"/>
                <w:color w:val="auto"/>
              </w:rPr>
              <w:t>(150)%</w:t>
            </w: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29"/>
              <w:spacing w:after="0" w:line="109" w:lineRule="exact"/>
              <w:rPr>
                <w:sz w:val="20"/>
                <w:szCs w:val="20"/>
                <w:color w:val="auto"/>
              </w:rPr>
            </w:pPr>
            <w:r>
              <w:rPr>
                <w:rFonts w:ascii="Arial" w:cs="Arial" w:eastAsia="Arial" w:hAnsi="Arial"/>
                <w:sz w:val="10"/>
                <w:szCs w:val="10"/>
                <w:color w:val="auto"/>
              </w:rPr>
              <w:t>(29) %</w:t>
            </w:r>
          </w:p>
        </w:tc>
      </w:tr>
      <w:tr>
        <w:trPr>
          <w:trHeight w:val="90"/>
        </w:trPr>
        <w:tc>
          <w:tcPr>
            <w:tcW w:w="1640" w:type="dxa"/>
            <w:vAlign w:val="bottom"/>
            <w:tcBorders>
              <w:top w:val="single" w:sz="8" w:color="CCEEFF"/>
            </w:tcBorders>
          </w:tcPr>
          <w:p>
            <w:pPr>
              <w:ind w:left="220"/>
              <w:spacing w:after="0" w:line="91" w:lineRule="exact"/>
              <w:rPr>
                <w:sz w:val="20"/>
                <w:szCs w:val="20"/>
                <w:color w:val="auto"/>
              </w:rPr>
            </w:pPr>
            <w:r>
              <w:rPr>
                <w:rFonts w:ascii="Arial" w:cs="Arial" w:eastAsia="Arial" w:hAnsi="Arial"/>
                <w:sz w:val="10"/>
                <w:szCs w:val="10"/>
                <w:b w:val="1"/>
                <w:bCs w:val="1"/>
                <w:color w:val="auto"/>
              </w:rPr>
              <w:t>Total operating income (loss)</w:t>
            </w:r>
          </w:p>
        </w:tc>
        <w:tc>
          <w:tcPr>
            <w:tcW w:w="3440" w:type="dxa"/>
            <w:vAlign w:val="bottom"/>
            <w:tcBorders>
              <w:top w:val="single" w:sz="8" w:color="CCEEFF"/>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300" w:type="dxa"/>
            <w:vAlign w:val="bottom"/>
            <w:tcBorders>
              <w:top w:val="single" w:sz="8" w:color="auto"/>
              <w:bottom w:val="single" w:sz="8" w:color="auto"/>
            </w:tcBorders>
          </w:tcPr>
          <w:p>
            <w:pPr>
              <w:jc w:val="right"/>
              <w:ind w:right="189"/>
              <w:spacing w:after="0" w:line="91" w:lineRule="exact"/>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b w:val="1"/>
                <w:bCs w:val="1"/>
                <w:color w:val="auto"/>
              </w:rPr>
              <w:t>(1,447)</w:t>
            </w:r>
          </w:p>
        </w:tc>
        <w:tc>
          <w:tcPr>
            <w:tcW w:w="200" w:type="dxa"/>
            <w:vAlign w:val="bottom"/>
            <w:tcBorders>
              <w:top w:val="single" w:sz="8" w:color="CCEEFF"/>
            </w:tcBorders>
          </w:tcPr>
          <w:p>
            <w:pPr>
              <w:spacing w:after="0"/>
              <w:rPr>
                <w:sz w:val="7"/>
                <w:szCs w:val="7"/>
                <w:color w:val="auto"/>
              </w:rPr>
            </w:pPr>
          </w:p>
        </w:tc>
        <w:tc>
          <w:tcPr>
            <w:tcW w:w="900" w:type="dxa"/>
            <w:vAlign w:val="bottom"/>
            <w:tcBorders>
              <w:top w:val="single" w:sz="8" w:color="CCEEFF"/>
            </w:tcBorders>
          </w:tcPr>
          <w:p>
            <w:pPr>
              <w:jc w:val="right"/>
              <w:ind w:right="189"/>
              <w:spacing w:after="0" w:line="91" w:lineRule="exact"/>
              <w:rPr>
                <w:sz w:val="20"/>
                <w:szCs w:val="20"/>
                <w:color w:val="auto"/>
              </w:rPr>
            </w:pPr>
            <w:r>
              <w:rPr>
                <w:rFonts w:ascii="Arial" w:cs="Arial" w:eastAsia="Arial" w:hAnsi="Arial"/>
                <w:sz w:val="10"/>
                <w:szCs w:val="10"/>
                <w:i w:val="1"/>
                <w:iCs w:val="1"/>
                <w:color w:val="auto"/>
              </w:rPr>
              <w:t>(51)%</w:t>
            </w:r>
          </w:p>
        </w:tc>
        <w:tc>
          <w:tcPr>
            <w:tcW w:w="200" w:type="dxa"/>
            <w:vAlign w:val="bottom"/>
            <w:tcBorders>
              <w:top w:val="single" w:sz="8" w:color="CCEEFF"/>
            </w:tcBorders>
          </w:tcPr>
          <w:p>
            <w:pPr>
              <w:spacing w:after="0"/>
              <w:rPr>
                <w:sz w:val="7"/>
                <w:szCs w:val="7"/>
                <w:color w:val="auto"/>
              </w:rPr>
            </w:pPr>
          </w:p>
        </w:tc>
        <w:tc>
          <w:tcPr>
            <w:tcW w:w="280" w:type="dxa"/>
            <w:vAlign w:val="bottom"/>
            <w:tcBorders>
              <w:top w:val="single" w:sz="8" w:color="auto"/>
              <w:bottom w:val="single" w:sz="8" w:color="auto"/>
            </w:tcBorders>
          </w:tcPr>
          <w:p>
            <w:pPr>
              <w:jc w:val="right"/>
              <w:ind w:right="169"/>
              <w:spacing w:after="0" w:line="91" w:lineRule="exact"/>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b w:val="1"/>
                <w:bCs w:val="1"/>
                <w:color w:val="auto"/>
              </w:rPr>
              <w:t>(999)</w:t>
            </w:r>
          </w:p>
        </w:tc>
        <w:tc>
          <w:tcPr>
            <w:tcW w:w="20" w:type="dxa"/>
            <w:vAlign w:val="bottom"/>
            <w:tcBorders>
              <w:top w:val="single" w:sz="8" w:color="CCEEFF"/>
              <w:bottom w:val="single" w:sz="8" w:color="auto"/>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820" w:type="dxa"/>
            <w:vAlign w:val="bottom"/>
            <w:tcBorders>
              <w:top w:val="single" w:sz="8" w:color="CCEEFF"/>
            </w:tcBorders>
          </w:tcPr>
          <w:p>
            <w:pPr>
              <w:jc w:val="right"/>
              <w:ind w:right="129"/>
              <w:spacing w:after="0" w:line="91" w:lineRule="exact"/>
              <w:rPr>
                <w:sz w:val="20"/>
                <w:szCs w:val="20"/>
                <w:color w:val="auto"/>
              </w:rPr>
            </w:pPr>
            <w:r>
              <w:rPr>
                <w:rFonts w:ascii="Arial" w:cs="Arial" w:eastAsia="Arial" w:hAnsi="Arial"/>
                <w:sz w:val="10"/>
                <w:szCs w:val="10"/>
                <w:i w:val="1"/>
                <w:iCs w:val="1"/>
                <w:color w:val="auto"/>
              </w:rPr>
              <w:t>(33)%</w:t>
            </w:r>
          </w:p>
        </w:tc>
        <w:tc>
          <w:tcPr>
            <w:tcW w:w="200" w:type="dxa"/>
            <w:vAlign w:val="bottom"/>
            <w:tcBorders>
              <w:top w:val="single" w:sz="8" w:color="CCEEFF"/>
            </w:tcBorders>
          </w:tcPr>
          <w:p>
            <w:pPr>
              <w:spacing w:after="0"/>
              <w:rPr>
                <w:sz w:val="7"/>
                <w:szCs w:val="7"/>
                <w:color w:val="auto"/>
              </w:rPr>
            </w:pPr>
          </w:p>
        </w:tc>
        <w:tc>
          <w:tcPr>
            <w:tcW w:w="980" w:type="dxa"/>
            <w:vAlign w:val="bottom"/>
            <w:tcBorders>
              <w:top w:val="single" w:sz="8" w:color="CCEEFF"/>
            </w:tcBorders>
          </w:tcPr>
          <w:p>
            <w:pPr>
              <w:jc w:val="right"/>
              <w:ind w:right="29"/>
              <w:spacing w:after="0" w:line="91" w:lineRule="exact"/>
              <w:rPr>
                <w:sz w:val="20"/>
                <w:szCs w:val="20"/>
                <w:color w:val="auto"/>
              </w:rPr>
            </w:pPr>
            <w:r>
              <w:rPr>
                <w:rFonts w:ascii="Arial" w:cs="Arial" w:eastAsia="Arial" w:hAnsi="Arial"/>
                <w:sz w:val="10"/>
                <w:szCs w:val="10"/>
                <w:color w:val="auto"/>
              </w:rPr>
              <w:t>(45) %</w:t>
            </w:r>
          </w:p>
        </w:tc>
      </w:tr>
      <w:tr>
        <w:trPr>
          <w:trHeight w:val="20"/>
        </w:trPr>
        <w:tc>
          <w:tcPr>
            <w:tcW w:w="16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Real Estate Segment Operating Income</w:t>
      </w:r>
    </w:p>
    <w:p>
      <w:pPr>
        <w:spacing w:after="0" w:line="143" w:lineRule="exact"/>
        <w:rPr>
          <w:sz w:val="20"/>
          <w:szCs w:val="20"/>
          <w:color w:val="auto"/>
        </w:rPr>
      </w:pPr>
    </w:p>
    <w:p>
      <w:pPr>
        <w:ind w:right="40"/>
        <w:spacing w:after="0" w:line="261" w:lineRule="auto"/>
        <w:rPr>
          <w:sz w:val="20"/>
          <w:szCs w:val="20"/>
          <w:color w:val="auto"/>
        </w:rPr>
      </w:pPr>
      <w:r>
        <w:rPr>
          <w:rFonts w:ascii="Arial" w:cs="Arial" w:eastAsia="Arial" w:hAnsi="Arial"/>
          <w:sz w:val="13"/>
          <w:szCs w:val="13"/>
          <w:color w:val="auto"/>
        </w:rPr>
        <w:t>Real estate segment operating loss increased by $2.9 million, to a loss of $5.4 million for the year ended December 31, 2021, compared to 2020. These results reflect (i) increased property carrying costs related to our 44 Union Square property, which had been capitalized in the past, as well as the commencement of depreciation for this property and (ii) a decrease in property rental income in Australia due to the monetization of our Auburn/Redyard center during the second quarter of 2021. This loss was offset by our Live Theatres in New York City which reported increased operating income during the fourth quarter 2021 as both the Orpheum and Minetta Lane theatres were open and holding public performances for most of the fourth quarter 2021.</w:t>
      </w:r>
    </w:p>
    <w:p>
      <w:pPr>
        <w:spacing w:after="0" w:line="109" w:lineRule="exact"/>
        <w:rPr>
          <w:sz w:val="20"/>
          <w:szCs w:val="20"/>
          <w:color w:val="auto"/>
        </w:rPr>
      </w:pPr>
    </w:p>
    <w:p>
      <w:pPr>
        <w:ind w:right="280"/>
        <w:spacing w:after="0" w:line="232" w:lineRule="auto"/>
        <w:rPr>
          <w:sz w:val="20"/>
          <w:szCs w:val="20"/>
          <w:color w:val="auto"/>
        </w:rPr>
      </w:pPr>
      <w:r>
        <w:rPr>
          <w:rFonts w:ascii="Arial" w:cs="Arial" w:eastAsia="Arial" w:hAnsi="Arial"/>
          <w:sz w:val="14"/>
          <w:szCs w:val="14"/>
          <w:color w:val="auto"/>
        </w:rPr>
        <w:t>Real estate segment operating loss increased by $0.4 million, to a loss of $1.4 million for the quarter ended December 31, 2021, compared to 2020. A decrease in property rental income in Australia due to the monetization of our Auburn/Redyard center during the second quarter of 2021 negatively impacted our annual results. This loss was offset by the operating income of our Live Theatres in New York City which increased compared to 2020, when the theaters closed in mid-March 2020 due to the pandemic.</w:t>
      </w:r>
    </w:p>
    <w:p>
      <w:pPr>
        <w:jc w:val="center"/>
        <w:spacing w:after="0"/>
        <w:rPr>
          <w:sz w:val="20"/>
          <w:szCs w:val="20"/>
          <w:color w:val="auto"/>
        </w:rPr>
      </w:pPr>
      <w:r>
        <w:rPr>
          <w:rFonts w:ascii="Arial" w:cs="Arial" w:eastAsia="Arial" w:hAnsi="Arial"/>
          <w:sz w:val="14"/>
          <w:szCs w:val="14"/>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66"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i w:val="1"/>
          <w:iCs w:val="1"/>
          <w:color w:val="auto"/>
        </w:rPr>
        <w:t>Revenue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is the revenue breakdown by country for each year:</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w w:val="83"/>
              </w:rPr>
              <w:t>2021 vs. 2020</w:t>
            </w:r>
          </w:p>
        </w:tc>
      </w:tr>
      <w:tr>
        <w:trPr>
          <w:trHeight w:val="119"/>
        </w:trPr>
        <w:tc>
          <w:tcPr>
            <w:tcW w:w="5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ind w:left="380"/>
              <w:spacing w:after="0" w:line="120" w:lineRule="exact"/>
              <w:rPr>
                <w:sz w:val="20"/>
                <w:szCs w:val="20"/>
                <w:color w:val="auto"/>
              </w:rPr>
            </w:pPr>
            <w:r>
              <w:rPr>
                <w:rFonts w:ascii="Arial" w:cs="Arial" w:eastAsia="Arial" w:hAnsi="Arial"/>
                <w:sz w:val="12"/>
                <w:szCs w:val="12"/>
                <w:i w:val="1"/>
                <w:iCs w:val="1"/>
                <w:color w:val="auto"/>
              </w:rPr>
              <w:t>% of</w:t>
            </w: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360"/>
              <w:spacing w:after="0" w:line="120" w:lineRule="exact"/>
              <w:rPr>
                <w:sz w:val="20"/>
                <w:szCs w:val="20"/>
                <w:color w:val="auto"/>
              </w:rPr>
            </w:pPr>
            <w:r>
              <w:rPr>
                <w:rFonts w:ascii="Arial" w:cs="Arial" w:eastAsia="Arial" w:hAnsi="Arial"/>
                <w:sz w:val="12"/>
                <w:szCs w:val="12"/>
                <w:i w:val="1"/>
                <w:iCs w:val="1"/>
                <w:color w:val="auto"/>
              </w:rPr>
              <w:t>% of</w:t>
            </w:r>
          </w:p>
        </w:tc>
        <w:tc>
          <w:tcPr>
            <w:tcW w:w="12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6"/>
              </w:rPr>
              <w:t>Favorable/</w:t>
            </w:r>
          </w:p>
        </w:tc>
      </w:tr>
      <w:tr>
        <w:trPr>
          <w:trHeight w:val="138"/>
        </w:trPr>
        <w:tc>
          <w:tcPr>
            <w:tcW w:w="5500" w:type="dxa"/>
            <w:vAlign w:val="bottom"/>
            <w:tcBorders>
              <w:bottom w:val="single" w:sz="8" w:color="auto"/>
            </w:tcBorders>
          </w:tcPr>
          <w:p>
            <w:pPr>
              <w:spacing w:after="0" w:line="137" w:lineRule="exact"/>
              <w:rPr>
                <w:sz w:val="20"/>
                <w:szCs w:val="20"/>
                <w:color w:val="auto"/>
              </w:rPr>
            </w:pPr>
            <w:r>
              <w:rPr>
                <w:rFonts w:ascii="Arial" w:cs="Arial" w:eastAsia="Arial" w:hAnsi="Arial"/>
                <w:sz w:val="12"/>
                <w:szCs w:val="12"/>
                <w:i w:val="1"/>
                <w:iCs w:val="1"/>
                <w:color w:val="auto"/>
              </w:rPr>
              <w:t>(Dollars in thousands)</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2"/>
              <w:spacing w:after="0" w:line="137" w:lineRule="exact"/>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22"/>
              <w:spacing w:after="0" w:line="137" w:lineRule="exact"/>
              <w:rPr>
                <w:sz w:val="20"/>
                <w:szCs w:val="20"/>
                <w:color w:val="auto"/>
              </w:rPr>
            </w:pPr>
            <w:r>
              <w:rPr>
                <w:rFonts w:ascii="Arial" w:cs="Arial" w:eastAsia="Arial" w:hAnsi="Arial"/>
                <w:sz w:val="12"/>
                <w:szCs w:val="12"/>
                <w:i w:val="1"/>
                <w:iCs w:val="1"/>
                <w:color w:val="auto"/>
              </w:rPr>
              <w:t>Revenue</w:t>
            </w: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b w:val="1"/>
                <w:bCs w:val="1"/>
                <w:color w:val="auto"/>
              </w:rPr>
              <w:t>2020</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22"/>
              <w:spacing w:after="0" w:line="137" w:lineRule="exact"/>
              <w:rPr>
                <w:sz w:val="20"/>
                <w:szCs w:val="20"/>
                <w:color w:val="auto"/>
              </w:rPr>
            </w:pPr>
            <w:r>
              <w:rPr>
                <w:rFonts w:ascii="Arial" w:cs="Arial" w:eastAsia="Arial" w:hAnsi="Arial"/>
                <w:sz w:val="12"/>
                <w:szCs w:val="12"/>
                <w:i w:val="1"/>
                <w:iCs w:val="1"/>
                <w:color w:val="auto"/>
              </w:rPr>
              <w:t>Revenue</w:t>
            </w:r>
          </w:p>
        </w:tc>
        <w:tc>
          <w:tcPr>
            <w:tcW w:w="10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2"/>
                <w:szCs w:val="12"/>
                <w:b w:val="1"/>
                <w:bCs w:val="1"/>
                <w:color w:val="auto"/>
                <w:w w:val="90"/>
              </w:rPr>
              <w:t>(Unfavorable)</w:t>
            </w:r>
          </w:p>
        </w:tc>
      </w:tr>
      <w:tr>
        <w:trPr>
          <w:trHeight w:val="152"/>
        </w:trPr>
        <w:tc>
          <w:tcPr>
            <w:tcW w:w="5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United States</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1,926</w:t>
            </w:r>
          </w:p>
        </w:tc>
        <w:tc>
          <w:tcPr>
            <w:tcW w:w="1040" w:type="dxa"/>
            <w:vAlign w:val="bottom"/>
            <w:gridSpan w:val="2"/>
            <w:shd w:val="clear" w:color="auto" w:fill="CCEEFF"/>
          </w:tcPr>
          <w:p>
            <w:pPr>
              <w:jc w:val="right"/>
              <w:ind w:right="122"/>
              <w:spacing w:after="0"/>
              <w:rPr>
                <w:sz w:val="20"/>
                <w:szCs w:val="20"/>
                <w:color w:val="auto"/>
              </w:rPr>
            </w:pPr>
            <w:r>
              <w:rPr>
                <w:rFonts w:ascii="Arial" w:cs="Arial" w:eastAsia="Arial" w:hAnsi="Arial"/>
                <w:sz w:val="12"/>
                <w:szCs w:val="12"/>
                <w:i w:val="1"/>
                <w:iCs w:val="1"/>
                <w:color w:val="auto"/>
              </w:rPr>
              <w:t>15%</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86"/>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1,422</w:t>
            </w:r>
          </w:p>
        </w:tc>
        <w:tc>
          <w:tcPr>
            <w:tcW w:w="1040" w:type="dxa"/>
            <w:vAlign w:val="bottom"/>
            <w:gridSpan w:val="2"/>
            <w:shd w:val="clear" w:color="auto" w:fill="CCEEFF"/>
          </w:tcPr>
          <w:p>
            <w:pPr>
              <w:jc w:val="right"/>
              <w:ind w:right="102"/>
              <w:spacing w:after="0"/>
              <w:rPr>
                <w:sz w:val="20"/>
                <w:szCs w:val="20"/>
                <w:color w:val="auto"/>
              </w:rPr>
            </w:pPr>
            <w:r>
              <w:rPr>
                <w:rFonts w:ascii="Arial" w:cs="Arial" w:eastAsia="Arial" w:hAnsi="Arial"/>
                <w:sz w:val="12"/>
                <w:szCs w:val="12"/>
                <w:i w:val="1"/>
                <w:iCs w:val="1"/>
                <w:color w:val="auto"/>
              </w:rPr>
              <w:t>11 %</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 xml:space="preserve">35 </w:t>
            </w:r>
            <w:r>
              <w:rPr>
                <w:rFonts w:ascii="Arial" w:cs="Arial" w:eastAsia="Arial" w:hAnsi="Arial"/>
                <w:sz w:val="12"/>
                <w:szCs w:val="12"/>
                <w:i w:val="1"/>
                <w:iCs w:val="1"/>
                <w:color w:val="auto"/>
              </w:rPr>
              <w:t>%</w:t>
            </w:r>
          </w:p>
        </w:tc>
      </w:tr>
      <w:tr>
        <w:trPr>
          <w:trHeight w:val="163"/>
        </w:trPr>
        <w:tc>
          <w:tcPr>
            <w:tcW w:w="5580" w:type="dxa"/>
            <w:vAlign w:val="bottom"/>
            <w:gridSpan w:val="2"/>
          </w:tcPr>
          <w:p>
            <w:pPr>
              <w:spacing w:after="0"/>
              <w:rPr>
                <w:sz w:val="20"/>
                <w:szCs w:val="20"/>
                <w:color w:val="auto"/>
              </w:rPr>
            </w:pPr>
            <w:r>
              <w:rPr>
                <w:rFonts w:ascii="Arial" w:cs="Arial" w:eastAsia="Arial" w:hAnsi="Arial"/>
                <w:sz w:val="12"/>
                <w:szCs w:val="12"/>
                <w:color w:val="auto"/>
              </w:rPr>
              <w:t>Australia</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9,855</w:t>
            </w:r>
          </w:p>
        </w:tc>
        <w:tc>
          <w:tcPr>
            <w:tcW w:w="1040" w:type="dxa"/>
            <w:vAlign w:val="bottom"/>
            <w:gridSpan w:val="2"/>
          </w:tcPr>
          <w:p>
            <w:pPr>
              <w:jc w:val="right"/>
              <w:ind w:right="122"/>
              <w:spacing w:after="0"/>
              <w:rPr>
                <w:sz w:val="20"/>
                <w:szCs w:val="20"/>
                <w:color w:val="auto"/>
              </w:rPr>
            </w:pPr>
            <w:r>
              <w:rPr>
                <w:rFonts w:ascii="Arial" w:cs="Arial" w:eastAsia="Arial" w:hAnsi="Arial"/>
                <w:sz w:val="12"/>
                <w:szCs w:val="12"/>
                <w:i w:val="1"/>
                <w:iCs w:val="1"/>
                <w:color w:val="auto"/>
              </w:rPr>
              <w:t>77%</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2"/>
              </w:rPr>
              <w:t>10,576</w:t>
            </w:r>
          </w:p>
        </w:tc>
        <w:tc>
          <w:tcPr>
            <w:tcW w:w="1040" w:type="dxa"/>
            <w:vAlign w:val="bottom"/>
            <w:gridSpan w:val="2"/>
          </w:tcPr>
          <w:p>
            <w:pPr>
              <w:jc w:val="right"/>
              <w:ind w:right="102"/>
              <w:spacing w:after="0"/>
              <w:rPr>
                <w:sz w:val="20"/>
                <w:szCs w:val="20"/>
                <w:color w:val="auto"/>
              </w:rPr>
            </w:pPr>
            <w:r>
              <w:rPr>
                <w:rFonts w:ascii="Arial" w:cs="Arial" w:eastAsia="Arial" w:hAnsi="Arial"/>
                <w:sz w:val="12"/>
                <w:szCs w:val="12"/>
                <w:i w:val="1"/>
                <w:iCs w:val="1"/>
                <w:color w:val="auto"/>
              </w:rPr>
              <w:t>82 %</w:t>
            </w:r>
          </w:p>
        </w:tc>
        <w:tc>
          <w:tcPr>
            <w:tcW w:w="100" w:type="dxa"/>
            <w:vAlign w:val="bottom"/>
          </w:tcPr>
          <w:p>
            <w:pPr>
              <w:spacing w:after="0"/>
              <w:rPr>
                <w:sz w:val="14"/>
                <w:szCs w:val="14"/>
                <w:color w:val="auto"/>
              </w:rPr>
            </w:pPr>
          </w:p>
        </w:tc>
        <w:tc>
          <w:tcPr>
            <w:tcW w:w="1280" w:type="dxa"/>
            <w:vAlign w:val="bottom"/>
          </w:tcPr>
          <w:p>
            <w:pPr>
              <w:jc w:val="right"/>
              <w:ind w:right="102"/>
              <w:spacing w:after="0"/>
              <w:rPr>
                <w:sz w:val="20"/>
                <w:szCs w:val="20"/>
                <w:color w:val="auto"/>
              </w:rPr>
            </w:pPr>
            <w:r>
              <w:rPr>
                <w:rFonts w:ascii="Arial" w:cs="Arial" w:eastAsia="Arial" w:hAnsi="Arial"/>
                <w:sz w:val="12"/>
                <w:szCs w:val="12"/>
                <w:color w:val="auto"/>
              </w:rPr>
              <w:t>(7)</w:t>
            </w:r>
            <w:r>
              <w:rPr>
                <w:rFonts w:ascii="Arial" w:cs="Arial" w:eastAsia="Arial" w:hAnsi="Arial"/>
                <w:sz w:val="12"/>
                <w:szCs w:val="12"/>
                <w:i w:val="1"/>
                <w:iCs w:val="1"/>
                <w:color w:val="auto"/>
              </w:rPr>
              <w:t>%</w:t>
            </w:r>
          </w:p>
        </w:tc>
      </w:tr>
      <w:tr>
        <w:trPr>
          <w:trHeight w:val="163"/>
        </w:trPr>
        <w:tc>
          <w:tcPr>
            <w:tcW w:w="5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New Zealand</w:t>
            </w: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982</w:t>
            </w:r>
          </w:p>
        </w:tc>
        <w:tc>
          <w:tcPr>
            <w:tcW w:w="1040" w:type="dxa"/>
            <w:vAlign w:val="bottom"/>
            <w:gridSpan w:val="2"/>
            <w:shd w:val="clear" w:color="auto" w:fill="CCEEFF"/>
          </w:tcPr>
          <w:p>
            <w:pPr>
              <w:jc w:val="right"/>
              <w:ind w:right="122"/>
              <w:spacing w:after="0"/>
              <w:rPr>
                <w:sz w:val="20"/>
                <w:szCs w:val="20"/>
                <w:color w:val="auto"/>
              </w:rPr>
            </w:pPr>
            <w:r>
              <w:rPr>
                <w:rFonts w:ascii="Arial" w:cs="Arial" w:eastAsia="Arial" w:hAnsi="Arial"/>
                <w:sz w:val="12"/>
                <w:szCs w:val="12"/>
                <w:i w:val="1"/>
                <w:iCs w:val="1"/>
                <w:color w:val="auto"/>
              </w:rPr>
              <w:t>8%</w:t>
            </w:r>
          </w:p>
        </w:tc>
        <w:tc>
          <w:tcPr>
            <w:tcW w:w="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965</w:t>
            </w:r>
          </w:p>
        </w:tc>
        <w:tc>
          <w:tcPr>
            <w:tcW w:w="1040" w:type="dxa"/>
            <w:vAlign w:val="bottom"/>
            <w:gridSpan w:val="2"/>
            <w:shd w:val="clear" w:color="auto" w:fill="CCEEFF"/>
          </w:tcPr>
          <w:p>
            <w:pPr>
              <w:jc w:val="right"/>
              <w:ind w:right="102"/>
              <w:spacing w:after="0"/>
              <w:rPr>
                <w:sz w:val="20"/>
                <w:szCs w:val="20"/>
                <w:color w:val="auto"/>
              </w:rPr>
            </w:pPr>
            <w:r>
              <w:rPr>
                <w:rFonts w:ascii="Arial" w:cs="Arial" w:eastAsia="Arial" w:hAnsi="Arial"/>
                <w:sz w:val="12"/>
                <w:szCs w:val="12"/>
                <w:i w:val="1"/>
                <w:iCs w:val="1"/>
                <w:color w:val="auto"/>
              </w:rPr>
              <w:t>7 %</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 xml:space="preserve">2 </w:t>
            </w:r>
            <w:r>
              <w:rPr>
                <w:rFonts w:ascii="Arial" w:cs="Arial" w:eastAsia="Arial" w:hAnsi="Arial"/>
                <w:sz w:val="12"/>
                <w:szCs w:val="12"/>
                <w:i w:val="1"/>
                <w:iCs w:val="1"/>
                <w:color w:val="auto"/>
              </w:rPr>
              <w:t>%</w:t>
            </w:r>
          </w:p>
        </w:tc>
      </w:tr>
      <w:tr>
        <w:trPr>
          <w:trHeight w:val="133"/>
        </w:trPr>
        <w:tc>
          <w:tcPr>
            <w:tcW w:w="5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Total Segment Revenues</w:t>
            </w: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12,763</w:t>
            </w:r>
          </w:p>
        </w:tc>
        <w:tc>
          <w:tcPr>
            <w:tcW w:w="1040" w:type="dxa"/>
            <w:vAlign w:val="bottom"/>
            <w:gridSpan w:val="2"/>
          </w:tcPr>
          <w:p>
            <w:pPr>
              <w:jc w:val="right"/>
              <w:ind w:right="122"/>
              <w:spacing w:after="0" w:line="132" w:lineRule="exact"/>
              <w:rPr>
                <w:sz w:val="20"/>
                <w:szCs w:val="20"/>
                <w:color w:val="auto"/>
              </w:rPr>
            </w:pPr>
            <w:r>
              <w:rPr>
                <w:rFonts w:ascii="Arial" w:cs="Arial" w:eastAsia="Arial" w:hAnsi="Arial"/>
                <w:sz w:val="12"/>
                <w:szCs w:val="12"/>
                <w:i w:val="1"/>
                <w:iCs w:val="1"/>
                <w:color w:val="auto"/>
              </w:rPr>
              <w:t>100 %</w:t>
            </w:r>
          </w:p>
        </w:tc>
        <w:tc>
          <w:tcPr>
            <w:tcW w:w="80" w:type="dxa"/>
            <w:vAlign w:val="bottom"/>
          </w:tcPr>
          <w:p>
            <w:pPr>
              <w:spacing w:after="0"/>
              <w:rPr>
                <w:sz w:val="11"/>
                <w:szCs w:val="11"/>
                <w:color w:val="auto"/>
              </w:rPr>
            </w:pPr>
          </w:p>
        </w:tc>
        <w:tc>
          <w:tcPr>
            <w:tcW w:w="700" w:type="dxa"/>
            <w:vAlign w:val="bottom"/>
            <w:tcBorders>
              <w:bottom w:val="single" w:sz="8" w:color="auto"/>
            </w:tcBorders>
          </w:tcPr>
          <w:p>
            <w:pPr>
              <w:jc w:val="right"/>
              <w:ind w:right="586"/>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w w:val="92"/>
              </w:rPr>
              <w:t>12,963</w:t>
            </w:r>
          </w:p>
        </w:tc>
        <w:tc>
          <w:tcPr>
            <w:tcW w:w="1040" w:type="dxa"/>
            <w:vAlign w:val="bottom"/>
            <w:gridSpan w:val="2"/>
          </w:tcPr>
          <w:p>
            <w:pPr>
              <w:jc w:val="right"/>
              <w:ind w:right="102"/>
              <w:spacing w:after="0" w:line="132" w:lineRule="exact"/>
              <w:rPr>
                <w:sz w:val="20"/>
                <w:szCs w:val="20"/>
                <w:color w:val="auto"/>
              </w:rPr>
            </w:pPr>
            <w:r>
              <w:rPr>
                <w:rFonts w:ascii="Arial" w:cs="Arial" w:eastAsia="Arial" w:hAnsi="Arial"/>
                <w:sz w:val="12"/>
                <w:szCs w:val="12"/>
                <w:i w:val="1"/>
                <w:iCs w:val="1"/>
                <w:color w:val="auto"/>
              </w:rPr>
              <w:t>100 %</w:t>
            </w:r>
          </w:p>
        </w:tc>
        <w:tc>
          <w:tcPr>
            <w:tcW w:w="100" w:type="dxa"/>
            <w:vAlign w:val="bottom"/>
          </w:tcPr>
          <w:p>
            <w:pPr>
              <w:spacing w:after="0"/>
              <w:rPr>
                <w:sz w:val="11"/>
                <w:szCs w:val="11"/>
                <w:color w:val="auto"/>
              </w:rPr>
            </w:pPr>
          </w:p>
        </w:tc>
        <w:tc>
          <w:tcPr>
            <w:tcW w:w="1280" w:type="dxa"/>
            <w:vAlign w:val="bottom"/>
          </w:tcPr>
          <w:p>
            <w:pPr>
              <w:jc w:val="right"/>
              <w:ind w:right="102"/>
              <w:spacing w:after="0" w:line="132" w:lineRule="exact"/>
              <w:rPr>
                <w:sz w:val="20"/>
                <w:szCs w:val="20"/>
                <w:color w:val="auto"/>
              </w:rPr>
            </w:pPr>
            <w:r>
              <w:rPr>
                <w:rFonts w:ascii="Arial" w:cs="Arial" w:eastAsia="Arial" w:hAnsi="Arial"/>
                <w:sz w:val="12"/>
                <w:szCs w:val="12"/>
                <w:color w:val="auto"/>
              </w:rPr>
              <w:t>(2)</w:t>
            </w:r>
            <w:r>
              <w:rPr>
                <w:rFonts w:ascii="Arial" w:cs="Arial" w:eastAsia="Arial" w:hAnsi="Arial"/>
                <w:sz w:val="12"/>
                <w:szCs w:val="12"/>
                <w:i w:val="1"/>
                <w:iCs w:val="1"/>
                <w:color w:val="auto"/>
              </w:rPr>
              <w:t>%</w:t>
            </w:r>
          </w:p>
        </w:tc>
      </w:tr>
    </w:tbl>
    <w:p>
      <w:pPr>
        <w:spacing w:after="0" w:line="130" w:lineRule="exact"/>
        <w:rPr>
          <w:sz w:val="20"/>
          <w:szCs w:val="20"/>
          <w:color w:val="auto"/>
        </w:rPr>
      </w:pPr>
    </w:p>
    <w:p>
      <w:pPr>
        <w:jc w:val="both"/>
        <w:ind w:right="20"/>
        <w:spacing w:after="0" w:line="242" w:lineRule="auto"/>
        <w:rPr>
          <w:sz w:val="20"/>
          <w:szCs w:val="20"/>
          <w:color w:val="auto"/>
        </w:rPr>
      </w:pPr>
      <w:r>
        <w:rPr>
          <w:rFonts w:ascii="Arial" w:cs="Arial" w:eastAsia="Arial" w:hAnsi="Arial"/>
          <w:sz w:val="14"/>
          <w:szCs w:val="14"/>
          <w:color w:val="auto"/>
        </w:rPr>
        <w:t>Real estate revenues for the year ended December 31, 2021, decreased by $0.2 million, to $12.8 million compared to 2020. This decrease is attributable to a decrease in property rental income in Australia related to the monetization of our Auburn/Redyard shopping center during the second quarter of 2021, partially offset by the re-opening of our live theatres as well as rent received from our Culver City tenant.</w:t>
      </w:r>
    </w:p>
    <w:p>
      <w:pPr>
        <w:spacing w:after="0" w:line="120"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For the quarter ended December 31, 2021, real estate revenue decreased by $0.2 million, to $2.8 million compared to 2020. This decrease is primarily due to a decrease in property rental income in Australia related to the monetization of our Auburn/Redyard shopping center during the second quarter of 2021.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w:t>
      </w:r>
    </w:p>
    <w:p>
      <w:pPr>
        <w:spacing w:after="0" w:line="143" w:lineRule="exact"/>
        <w:rPr>
          <w:sz w:val="20"/>
          <w:szCs w:val="20"/>
          <w:color w:val="auto"/>
        </w:rPr>
      </w:pPr>
    </w:p>
    <w:p>
      <w:pPr>
        <w:jc w:val="both"/>
        <w:ind w:right="160"/>
        <w:spacing w:after="0" w:line="270" w:lineRule="auto"/>
        <w:rPr>
          <w:sz w:val="20"/>
          <w:szCs w:val="20"/>
          <w:color w:val="auto"/>
        </w:rPr>
      </w:pPr>
      <w:r>
        <w:rPr>
          <w:rFonts w:ascii="Arial" w:cs="Arial" w:eastAsia="Arial" w:hAnsi="Arial"/>
          <w:sz w:val="13"/>
          <w:szCs w:val="13"/>
          <w:color w:val="auto"/>
        </w:rPr>
        <w:t>Operating expense for the year ended December 31, 2021, increased by $1.5 million, to $10.1 million when compared to the same period in 2020 due to the increased operating costs related to our 44 Union Square property. In addition, the State Revenue Offices (SRO) in Australia implemented support measures for commercial landlords whereby land tax relief was provided in 2020 that did not recur in 2021. This result was partially offset by the reduction of costs related to the monetization of our Auburn/Redyard ETC during the second quarter of 2021.</w:t>
      </w:r>
    </w:p>
    <w:p>
      <w:pPr>
        <w:spacing w:after="0" w:line="103" w:lineRule="exact"/>
        <w:rPr>
          <w:sz w:val="20"/>
          <w:szCs w:val="20"/>
          <w:color w:val="auto"/>
        </w:rPr>
      </w:pPr>
    </w:p>
    <w:p>
      <w:pPr>
        <w:jc w:val="both"/>
        <w:ind w:right="180"/>
        <w:spacing w:after="0" w:line="258" w:lineRule="auto"/>
        <w:rPr>
          <w:sz w:val="20"/>
          <w:szCs w:val="20"/>
          <w:color w:val="auto"/>
        </w:rPr>
      </w:pPr>
      <w:r>
        <w:rPr>
          <w:rFonts w:ascii="Arial" w:cs="Arial" w:eastAsia="Arial" w:hAnsi="Arial"/>
          <w:sz w:val="14"/>
          <w:szCs w:val="14"/>
          <w:color w:val="auto"/>
        </w:rPr>
        <w:t>For the quarter ended December 31, 2021, operating expenses remained relatively flat with a slight decrease of $0.1 million, to $2.2 million when compared to the same period in 2020 due to a decrease in occupancy expenses related to the monetization of our Coachella property.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Depreciation, Amortization, General and Administrative Expense</w:t>
      </w:r>
    </w:p>
    <w:p>
      <w:pPr>
        <w:spacing w:after="0" w:line="143" w:lineRule="exact"/>
        <w:rPr>
          <w:sz w:val="20"/>
          <w:szCs w:val="20"/>
          <w:color w:val="auto"/>
        </w:rPr>
      </w:pPr>
    </w:p>
    <w:p>
      <w:pPr>
        <w:jc w:val="both"/>
        <w:ind w:right="160"/>
        <w:spacing w:after="0" w:line="297" w:lineRule="auto"/>
        <w:rPr>
          <w:sz w:val="20"/>
          <w:szCs w:val="20"/>
          <w:color w:val="auto"/>
        </w:rPr>
      </w:pPr>
      <w:r>
        <w:rPr>
          <w:rFonts w:ascii="Arial" w:cs="Arial" w:eastAsia="Arial" w:hAnsi="Arial"/>
          <w:sz w:val="13"/>
          <w:szCs w:val="13"/>
          <w:color w:val="auto"/>
        </w:rPr>
        <w:t>Depreciation, amortization, general and administrative expenses for 2021 increased by $1.2 million, to $8.0 million when compared to the same period in 2020 driven by the commencement of depreciation of our 44 Union Square property, partially offset by savings in depreciation related to the sale of our Auburn/Redyard shopping center, Royal George, and Invercargill properties.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For the quarter ended December 31, 2021, depreciation, amortization, and general, and administrative expenses increased by $0.3 million, to $2.1 million compared to the quarter ended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2020, due to which is attributable to the commencement of depreciation of our 44 Union Square property, offset by savings in depreciation related to the sale of our</w:t>
      </w:r>
    </w:p>
    <w:p>
      <w:pPr>
        <w:spacing w:after="0"/>
        <w:rPr>
          <w:sz w:val="20"/>
          <w:szCs w:val="20"/>
          <w:color w:val="auto"/>
        </w:rPr>
      </w:pPr>
      <w:r>
        <w:rPr>
          <w:rFonts w:ascii="Arial" w:cs="Arial" w:eastAsia="Arial" w:hAnsi="Arial"/>
          <w:sz w:val="14"/>
          <w:szCs w:val="14"/>
          <w:color w:val="auto"/>
        </w:rPr>
        <w:t>Auburn/Redyard shopping center, Royal George, and Invercargill properties.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NON-SEGMENT RESULTS –2021 vs. 2020</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w:t>
      </w:r>
    </w:p>
    <w:p>
      <w:pPr>
        <w:spacing w:after="0" w:line="143"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Non-segment general and administrative expense for the year ended December 31, 2021, increased by $3.7 million, to $16.6 million compared to the same period in the prior year. This increase in expense is due principally to (i) a return to the payment of executive bonuses in 2021 (no senior management officer bonuses were paid related to years 2019 or 2020) and (ii) the non-recurring income in 2020 related to the $0.8 million judgment in our favor in the James Cotter Jr. derivative litigation.</w:t>
      </w:r>
    </w:p>
    <w:p>
      <w:pPr>
        <w:spacing w:after="0" w:line="120" w:lineRule="exact"/>
        <w:rPr>
          <w:sz w:val="20"/>
          <w:szCs w:val="20"/>
          <w:color w:val="auto"/>
        </w:rPr>
      </w:pPr>
    </w:p>
    <w:p>
      <w:pPr>
        <w:ind w:right="660"/>
        <w:spacing w:after="0" w:line="258" w:lineRule="auto"/>
        <w:rPr>
          <w:sz w:val="20"/>
          <w:szCs w:val="20"/>
          <w:color w:val="auto"/>
        </w:rPr>
      </w:pPr>
      <w:r>
        <w:rPr>
          <w:rFonts w:ascii="Arial" w:cs="Arial" w:eastAsia="Arial" w:hAnsi="Arial"/>
          <w:sz w:val="14"/>
          <w:szCs w:val="14"/>
          <w:color w:val="auto"/>
        </w:rPr>
        <w:t xml:space="preserve">For more information about the legal expense, please refer to </w:t>
      </w:r>
      <w:r>
        <w:rPr>
          <w:rFonts w:ascii="Arial" w:cs="Arial" w:eastAsia="Arial" w:hAnsi="Arial"/>
          <w:sz w:val="14"/>
          <w:szCs w:val="14"/>
          <w:i w:val="1"/>
          <w:iCs w:val="1"/>
          <w:color w:val="auto"/>
        </w:rPr>
        <w:t>Part II, Item 8 – Financial Statements and Supplementary Data—Notes to Consolidated Financial Statements-- Note 13 –</w:t>
      </w:r>
      <w:r>
        <w:rPr>
          <w:rFonts w:ascii="Arial" w:cs="Arial" w:eastAsia="Arial" w:hAnsi="Arial"/>
          <w:sz w:val="14"/>
          <w:szCs w:val="14"/>
          <w:color w:val="auto"/>
        </w:rPr>
        <w:t xml:space="preserv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143"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 xml:space="preserve">Income tax expense increased by $10.9 million, to $5.9 million, when compared to 2020, mainly due to income tax as a result of the monetization of certain of our real estate assets. Please refer to </w:t>
      </w:r>
      <w:r>
        <w:rPr>
          <w:rFonts w:ascii="Arial" w:cs="Arial" w:eastAsia="Arial" w:hAnsi="Arial"/>
          <w:sz w:val="13"/>
          <w:szCs w:val="13"/>
          <w:i w:val="1"/>
          <w:iCs w:val="1"/>
          <w:color w:val="auto"/>
        </w:rPr>
        <w:t>Part II, Item 8 – Financial Statements and Supplementary Data—Notes to Consolidated Financial Statements-- Note 10 – Income Taxes</w:t>
      </w:r>
      <w:r>
        <w:rPr>
          <w:rFonts w:ascii="Arial" w:cs="Arial" w:eastAsia="Arial" w:hAnsi="Arial"/>
          <w:sz w:val="13"/>
          <w:szCs w:val="13"/>
          <w:color w:val="auto"/>
        </w:rPr>
        <w:t xml:space="preserve"> for further information.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22"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i w:val="1"/>
          <w:iCs w:val="1"/>
          <w:color w:val="auto"/>
        </w:rPr>
        <w:t>Interest Expense, Net</w:t>
      </w:r>
    </w:p>
    <w:p>
      <w:pPr>
        <w:spacing w:after="0" w:line="143"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Interest expense (net of interest income) increased by $4.3 million, to $13.7 million, mainly due to the termination of the capitalization of interest on 44 Union Square due to the completion of this development.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060"/>
          </w:cols>
          <w:pgMar w:left="300" w:top="270" w:right="5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Our Financing Strategy</w:t>
      </w:r>
    </w:p>
    <w:p>
      <w:pPr>
        <w:spacing w:after="0" w:line="147" w:lineRule="exact"/>
        <w:rPr>
          <w:sz w:val="20"/>
          <w:szCs w:val="20"/>
          <w:color w:val="auto"/>
        </w:rPr>
      </w:pPr>
    </w:p>
    <w:p>
      <w:pPr>
        <w:ind w:right="80"/>
        <w:spacing w:after="0" w:line="235" w:lineRule="auto"/>
        <w:rPr>
          <w:sz w:val="20"/>
          <w:szCs w:val="20"/>
          <w:color w:val="auto"/>
        </w:rPr>
      </w:pPr>
      <w:r>
        <w:rPr>
          <w:rFonts w:ascii="Arial" w:cs="Arial" w:eastAsia="Arial" w:hAnsi="Arial"/>
          <w:sz w:val="14"/>
          <w:szCs w:val="14"/>
          <w:color w:val="auto"/>
        </w:rPr>
        <w:t>Prior to the interruption to our revenues caused by the COVID-19 pandemic, we had used cash generated from operations and other excess cash to the extent not needed to fund capital investments contemplated by our business plan, to pay down our loans and credit facilities. This provided us with availability under our loan facilities for future use and thereby, reduced interest charges. On a periodic basis, we have reviewed the maturities of our borrowing arrangements and negotiated renewals and extensions where necessary. In 2020, we completed amending and extending various financing arrangements less than two weeks prior to the COVID-19 government mandated shutdowns, which we believe has helped provide the necessary liquidity to see us through the COVID-19 crisis.</w:t>
      </w:r>
    </w:p>
    <w:p>
      <w:pPr>
        <w:spacing w:after="0" w:line="122"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In response to the COVID-19 pandemic, the temporary closure of our cinemas, and the trading restrictions placed on many of our real estate tenants, we had fully drawn-down on all our available operating lines-of-credit by the end of the first quarter of 2020, to provide additional liquidity. In 2021, the monetization of certain real estate assets funded our ability to pay down debt thereby increasing our future availability and, in some places, permanently reducing our loan funding amounts:</w:t>
      </w:r>
    </w:p>
    <w:p>
      <w:pPr>
        <w:spacing w:after="0" w:line="120" w:lineRule="exact"/>
        <w:rPr>
          <w:sz w:val="20"/>
          <w:szCs w:val="20"/>
          <w:color w:val="auto"/>
        </w:rPr>
      </w:pPr>
    </w:p>
    <w:p>
      <w:pPr>
        <w:ind w:left="600" w:right="660"/>
        <w:spacing w:after="0" w:line="235" w:lineRule="auto"/>
        <w:rPr>
          <w:sz w:val="20"/>
          <w:szCs w:val="20"/>
          <w:color w:val="auto"/>
        </w:rPr>
      </w:pPr>
      <w:r>
        <w:rPr>
          <w:rFonts w:ascii="Arial" w:cs="Arial" w:eastAsia="Arial" w:hAnsi="Arial"/>
          <w:sz w:val="14"/>
          <w:szCs w:val="14"/>
          <w:color w:val="auto"/>
        </w:rPr>
        <w:t>During the second quarter of 2021, we refinanced our 44 Union Square loan with a new $55.0 million mortgage facility secured by the property with Emerald Creek Capital; In November 2021, we repaid and retired our $5.0 million line of credit with Bank of America;</w:t>
      </w:r>
    </w:p>
    <w:p>
      <w:pPr>
        <w:ind w:left="600" w:right="600"/>
        <w:spacing w:after="0" w:line="226" w:lineRule="auto"/>
        <w:rPr>
          <w:sz w:val="20"/>
          <w:szCs w:val="20"/>
          <w:color w:val="auto"/>
        </w:rPr>
      </w:pPr>
      <w:r>
        <w:rPr>
          <w:rFonts w:ascii="Arial" w:cs="Arial" w:eastAsia="Arial" w:hAnsi="Arial"/>
          <w:sz w:val="14"/>
          <w:szCs w:val="14"/>
          <w:color w:val="auto"/>
        </w:rPr>
        <w:t>In June 2021, we repaid $15.7 million (AU$20.0 million) of our Revolving Corporate Markets Loan facility with NAB, using a portion of the proceeds of our monetization of Auburn/Redyard to permanently reduce the availability under the line;</w:t>
      </w:r>
    </w:p>
    <w:p>
      <w:pPr>
        <w:ind w:left="600" w:right="40"/>
        <w:spacing w:after="0" w:line="226" w:lineRule="auto"/>
        <w:rPr>
          <w:sz w:val="20"/>
          <w:szCs w:val="20"/>
          <w:color w:val="auto"/>
        </w:rPr>
      </w:pPr>
      <w:r>
        <w:rPr>
          <w:rFonts w:ascii="Arial" w:cs="Arial" w:eastAsia="Arial" w:hAnsi="Arial"/>
          <w:sz w:val="14"/>
          <w:szCs w:val="14"/>
          <w:color w:val="auto"/>
        </w:rPr>
        <w:t>Throughout 2021, we repaid $11.7 million on our Bank of America revolving credit facility, bringing the outstanding balance to $39.5 million. In November 2021, we also restructured this facility into a term loan;</w:t>
      </w:r>
    </w:p>
    <w:p>
      <w:pPr>
        <w:ind w:left="600" w:right="2160"/>
        <w:spacing w:after="0" w:line="277" w:lineRule="auto"/>
        <w:rPr>
          <w:sz w:val="20"/>
          <w:szCs w:val="20"/>
          <w:color w:val="auto"/>
        </w:rPr>
      </w:pPr>
      <w:r>
        <w:rPr>
          <w:rFonts w:ascii="Arial" w:cs="Arial" w:eastAsia="Arial" w:hAnsi="Arial"/>
          <w:sz w:val="13"/>
          <w:szCs w:val="13"/>
          <w:color w:val="auto"/>
        </w:rPr>
        <w:t>Throughout 2021, we repaid $12.5 million (NZ$18.2 million) of our Westpac revolving facility, permanently reducing the funding available; and On March 3, 2022, we exercised the first of two six month options to extend the Cinemas 1,2,3 Term Loan, taking the maturity to October 1, 2022.</w:t>
      </w:r>
    </w:p>
    <w:p>
      <w:pPr>
        <w:spacing w:after="0" w:line="98" w:lineRule="exact"/>
        <w:rPr>
          <w:sz w:val="20"/>
          <w:szCs w:val="20"/>
          <w:color w:val="auto"/>
        </w:rPr>
      </w:pPr>
    </w:p>
    <w:p>
      <w:pPr>
        <w:ind w:right="460"/>
        <w:spacing w:after="0" w:line="270" w:lineRule="auto"/>
        <w:rPr>
          <w:sz w:val="20"/>
          <w:szCs w:val="20"/>
          <w:color w:val="auto"/>
        </w:rPr>
      </w:pPr>
      <w:r>
        <w:rPr>
          <w:rFonts w:ascii="Arial" w:cs="Arial" w:eastAsia="Arial" w:hAnsi="Arial"/>
          <w:sz w:val="13"/>
          <w:szCs w:val="13"/>
          <w:color w:val="auto"/>
        </w:rPr>
        <w:t>Our bank loans with Bank of America, NAB, and Westpac require that our Company comply with certain covenants. Furthermore, our Company’s use of these loan funds is limited due to limitations on the expatriation of funds from Australia and New Zealand to the United States. We believe that our lenders understand that the current situation, relating to the COVID-19 pandemic, is not of our making, that we are doing everything that can reasonably be done, and that, generally speaking, our relationship with our lenders is good.</w:t>
      </w:r>
    </w:p>
    <w:p>
      <w:pPr>
        <w:spacing w:after="0" w:line="103"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Our Company remains focused on the various economic factors affecting us as the markets in which we operate emerge from the worst effects of the COVID-19 pandemic, including financial, economic, competitive, regulatory, and other factors, many of which are beyond our control. If our Company is unable to generate sufficient cash flow in the upcoming months or if its cash needs exceed our Company’s borrowing capacity under its available facilities, we could be required to adopt one or more alternatives, such as reducing, delaying or eliminating planned capital expenditures, selling additional assets, or restructuring debt.</w:t>
      </w:r>
    </w:p>
    <w:p>
      <w:pPr>
        <w:spacing w:after="0" w:line="123" w:lineRule="exact"/>
        <w:rPr>
          <w:sz w:val="20"/>
          <w:szCs w:val="20"/>
          <w:color w:val="auto"/>
        </w:rPr>
      </w:pPr>
    </w:p>
    <w:p>
      <w:pPr>
        <w:ind w:right="700"/>
        <w:spacing w:after="0" w:line="258" w:lineRule="auto"/>
        <w:rPr>
          <w:sz w:val="20"/>
          <w:szCs w:val="20"/>
          <w:color w:val="auto"/>
        </w:rPr>
      </w:pPr>
      <w:r>
        <w:rPr>
          <w:rFonts w:ascii="Arial" w:cs="Arial" w:eastAsia="Arial" w:hAnsi="Arial"/>
          <w:sz w:val="14"/>
          <w:szCs w:val="14"/>
          <w:color w:val="auto"/>
        </w:rPr>
        <w:t xml:space="preserve">For more information about our borrowings, including loan modifications and modifications to waivers of certain covenants, please refer to </w:t>
      </w:r>
      <w:r>
        <w:rPr>
          <w:rFonts w:ascii="Arial" w:cs="Arial" w:eastAsia="Arial" w:hAnsi="Arial"/>
          <w:sz w:val="14"/>
          <w:szCs w:val="14"/>
          <w:i w:val="1"/>
          <w:iCs w:val="1"/>
          <w:color w:val="auto"/>
        </w:rPr>
        <w:t>Part II, Item 8 – Financial Statements and</w:t>
      </w:r>
      <w:r>
        <w:rPr>
          <w:rFonts w:ascii="Arial" w:cs="Arial" w:eastAsia="Arial" w:hAnsi="Arial"/>
          <w:sz w:val="14"/>
          <w:szCs w:val="14"/>
          <w:color w:val="auto"/>
        </w:rPr>
        <w:t xml:space="preserve"> </w:t>
      </w:r>
      <w:r>
        <w:rPr>
          <w:rFonts w:ascii="Arial" w:cs="Arial" w:eastAsia="Arial" w:hAnsi="Arial"/>
          <w:sz w:val="14"/>
          <w:szCs w:val="14"/>
          <w:i w:val="1"/>
          <w:iCs w:val="1"/>
          <w:color w:val="auto"/>
        </w:rPr>
        <w:t>Supplementary Data—Notes to Consolidated Financial Statements-- Note 11 – Borrowings</w:t>
      </w:r>
      <w:r>
        <w:rPr>
          <w:rFonts w:ascii="Arial" w:cs="Arial" w:eastAsia="Arial" w:hAnsi="Arial"/>
          <w:sz w:val="14"/>
          <w:szCs w:val="14"/>
          <w:color w:val="auto"/>
        </w:rPr>
        <w:t>.</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266" w:right="339" w:bottom="1440" w:gutter="0" w:footer="0" w:header="0"/>
        </w:sectPr>
      </w:pPr>
    </w:p>
    <w:bookmarkStart w:id="49" w:name="page50"/>
    <w:bookmarkEnd w:id="49"/>
    <w:p>
      <w:pPr>
        <w:ind w:right="160"/>
        <w:spacing w:after="0" w:line="258" w:lineRule="auto"/>
        <w:rPr>
          <w:sz w:val="20"/>
          <w:szCs w:val="20"/>
          <w:color w:val="auto"/>
        </w:rPr>
      </w:pPr>
      <w:r>
        <w:rPr>
          <w:rFonts w:ascii="Arial" w:cs="Arial" w:eastAsia="Arial" w:hAnsi="Arial"/>
          <w:sz w:val="14"/>
          <w:szCs w:val="14"/>
          <w:color w:val="auto"/>
        </w:rPr>
        <w:t>The table below presents the changes in our total available resources (cash and borrowings), debt-to-equity ratio, working capital, and other relevant information addressing our liquidity for the last five years: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2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 in thousands)</w:t>
            </w:r>
          </w:p>
        </w:tc>
        <w:tc>
          <w:tcPr>
            <w:tcW w:w="1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2"/>
                <w:szCs w:val="12"/>
                <w:b w:val="1"/>
                <w:bCs w:val="1"/>
                <w:color w:val="auto"/>
              </w:rPr>
              <w:t>2018</w:t>
            </w:r>
            <w:r>
              <w:rPr>
                <w:rFonts w:ascii="Arial" w:cs="Arial" w:eastAsia="Arial" w:hAnsi="Arial"/>
                <w:sz w:val="19"/>
                <w:szCs w:val="19"/>
                <w:b w:val="1"/>
                <w:bCs w:val="1"/>
                <w:color w:val="auto"/>
                <w:vertAlign w:val="superscript"/>
              </w:rPr>
              <w:t>(2)</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2"/>
                <w:szCs w:val="12"/>
                <w:b w:val="1"/>
                <w:bCs w:val="1"/>
                <w:color w:val="auto"/>
              </w:rPr>
              <w:t>2017</w:t>
            </w:r>
            <w:r>
              <w:rPr>
                <w:rFonts w:ascii="Arial" w:cs="Arial" w:eastAsia="Arial" w:hAnsi="Arial"/>
                <w:sz w:val="19"/>
                <w:szCs w:val="19"/>
                <w:b w:val="1"/>
                <w:bCs w:val="1"/>
                <w:color w:val="auto"/>
                <w:vertAlign w:val="superscript"/>
              </w:rPr>
              <w:t>(2)</w:t>
            </w:r>
          </w:p>
        </w:tc>
      </w:tr>
      <w:tr>
        <w:trPr>
          <w:trHeight w:val="152"/>
        </w:trPr>
        <w:tc>
          <w:tcPr>
            <w:tcW w:w="47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Net Cash from Operating Activities</w:t>
            </w:r>
          </w:p>
        </w:tc>
        <w:tc>
          <w:tcPr>
            <w:tcW w:w="720" w:type="dxa"/>
            <w:vAlign w:val="bottom"/>
            <w:shd w:val="clear" w:color="auto" w:fill="CCEEFF"/>
          </w:tcPr>
          <w:p>
            <w:pPr>
              <w:jc w:val="right"/>
              <w:ind w:right="607"/>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3"/>
              </w:rPr>
              <w:t>(13,498)</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3"/>
              </w:rPr>
              <w:t>(30,201)</w:t>
            </w:r>
          </w:p>
        </w:tc>
        <w:tc>
          <w:tcPr>
            <w:tcW w:w="260" w:type="dxa"/>
            <w:vAlign w:val="bottom"/>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24,607</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32,644</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23,851</w:t>
            </w:r>
          </w:p>
        </w:tc>
      </w:tr>
      <w:tr>
        <w:trPr>
          <w:trHeight w:val="163"/>
        </w:trPr>
        <w:tc>
          <w:tcPr>
            <w:tcW w:w="478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Total Resources (cash and borrowings)</w:t>
            </w: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47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Cash and cash equivalents (unrestricted)</w:t>
            </w:r>
          </w:p>
        </w:tc>
        <w:tc>
          <w:tcPr>
            <w:tcW w:w="720" w:type="dxa"/>
            <w:vAlign w:val="bottom"/>
            <w:shd w:val="clear" w:color="auto" w:fill="CCEEFF"/>
          </w:tcPr>
          <w:p>
            <w:pPr>
              <w:jc w:val="right"/>
              <w:ind w:right="607"/>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83,251</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26,826</w:t>
            </w:r>
          </w:p>
        </w:tc>
        <w:tc>
          <w:tcPr>
            <w:tcW w:w="260" w:type="dxa"/>
            <w:vAlign w:val="bottom"/>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12,135</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13,127</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13,668</w:t>
            </w:r>
          </w:p>
        </w:tc>
      </w:tr>
      <w:tr>
        <w:trPr>
          <w:trHeight w:val="163"/>
        </w:trPr>
        <w:tc>
          <w:tcPr>
            <w:tcW w:w="4780" w:type="dxa"/>
            <w:vAlign w:val="bottom"/>
            <w:gridSpan w:val="2"/>
          </w:tcPr>
          <w:p>
            <w:pPr>
              <w:ind w:left="80"/>
              <w:spacing w:after="0"/>
              <w:rPr>
                <w:sz w:val="20"/>
                <w:szCs w:val="20"/>
                <w:color w:val="auto"/>
              </w:rPr>
            </w:pPr>
            <w:r>
              <w:rPr>
                <w:rFonts w:ascii="Arial" w:cs="Arial" w:eastAsia="Arial" w:hAnsi="Arial"/>
                <w:sz w:val="12"/>
                <w:szCs w:val="12"/>
                <w:color w:val="auto"/>
              </w:rPr>
              <w:t>Unused borrowing facility</w:t>
            </w:r>
          </w:p>
        </w:tc>
        <w:tc>
          <w:tcPr>
            <w:tcW w:w="7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12,000</w:t>
            </w:r>
          </w:p>
        </w:tc>
        <w:tc>
          <w:tcPr>
            <w:tcW w:w="7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15,490</w:t>
            </w:r>
          </w:p>
        </w:tc>
        <w:tc>
          <w:tcPr>
            <w:tcW w:w="2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73,920</w:t>
            </w:r>
          </w:p>
        </w:tc>
        <w:tc>
          <w:tcPr>
            <w:tcW w:w="2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85,886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137,231</w:t>
            </w:r>
          </w:p>
        </w:tc>
      </w:tr>
      <w:tr>
        <w:trPr>
          <w:trHeight w:val="163"/>
        </w:trPr>
        <w:tc>
          <w:tcPr>
            <w:tcW w:w="4780" w:type="dxa"/>
            <w:vAlign w:val="bottom"/>
            <w:gridSpan w:val="2"/>
            <w:shd w:val="clear" w:color="auto" w:fill="CCEEFF"/>
          </w:tcPr>
          <w:p>
            <w:pPr>
              <w:ind w:left="260"/>
              <w:spacing w:after="0" w:line="163" w:lineRule="exact"/>
              <w:rPr>
                <w:sz w:val="20"/>
                <w:szCs w:val="20"/>
                <w:color w:val="auto"/>
              </w:rPr>
            </w:pPr>
            <w:r>
              <w:rPr>
                <w:rFonts w:ascii="Arial" w:cs="Arial" w:eastAsia="Arial" w:hAnsi="Arial"/>
                <w:sz w:val="11"/>
                <w:szCs w:val="11"/>
                <w:color w:val="auto"/>
              </w:rPr>
              <w:t>Restricted for capital projects</w:t>
            </w:r>
            <w:r>
              <w:rPr>
                <w:rFonts w:ascii="Arial" w:cs="Arial" w:eastAsia="Arial" w:hAnsi="Arial"/>
                <w:sz w:val="18"/>
                <w:szCs w:val="18"/>
                <w:color w:val="auto"/>
                <w:vertAlign w:val="superscript"/>
              </w:rPr>
              <w:t>(1)</w:t>
            </w:r>
          </w:p>
        </w:tc>
        <w:tc>
          <w:tcPr>
            <w:tcW w:w="7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12,000</w:t>
            </w:r>
          </w:p>
        </w:tc>
        <w:tc>
          <w:tcPr>
            <w:tcW w:w="7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9,377</w:t>
            </w: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13,952</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30,318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62,280</w:t>
            </w:r>
          </w:p>
        </w:tc>
      </w:tr>
      <w:tr>
        <w:trPr>
          <w:trHeight w:val="163"/>
        </w:trPr>
        <w:tc>
          <w:tcPr>
            <w:tcW w:w="4780" w:type="dxa"/>
            <w:vAlign w:val="bottom"/>
            <w:gridSpan w:val="2"/>
          </w:tcPr>
          <w:p>
            <w:pPr>
              <w:ind w:left="260"/>
              <w:spacing w:after="0"/>
              <w:rPr>
                <w:sz w:val="20"/>
                <w:szCs w:val="20"/>
                <w:color w:val="auto"/>
              </w:rPr>
            </w:pPr>
            <w:r>
              <w:rPr>
                <w:rFonts w:ascii="Arial" w:cs="Arial" w:eastAsia="Arial" w:hAnsi="Arial"/>
                <w:sz w:val="12"/>
                <w:szCs w:val="12"/>
                <w:color w:val="auto"/>
              </w:rPr>
              <w:t>Unrestricted capacity</w:t>
            </w:r>
          </w:p>
        </w:tc>
        <w:tc>
          <w:tcPr>
            <w:tcW w:w="7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0</w:t>
            </w:r>
          </w:p>
        </w:tc>
        <w:tc>
          <w:tcPr>
            <w:tcW w:w="7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6,113</w:t>
            </w:r>
          </w:p>
        </w:tc>
        <w:tc>
          <w:tcPr>
            <w:tcW w:w="2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59,968</w:t>
            </w:r>
          </w:p>
        </w:tc>
        <w:tc>
          <w:tcPr>
            <w:tcW w:w="2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55,568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74,951</w:t>
            </w:r>
          </w:p>
        </w:tc>
      </w:tr>
      <w:tr>
        <w:trPr>
          <w:trHeight w:val="163"/>
        </w:trPr>
        <w:tc>
          <w:tcPr>
            <w:tcW w:w="47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Total resources at 12/31</w:t>
            </w:r>
          </w:p>
        </w:tc>
        <w:tc>
          <w:tcPr>
            <w:tcW w:w="7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95,251</w:t>
            </w:r>
          </w:p>
        </w:tc>
        <w:tc>
          <w:tcPr>
            <w:tcW w:w="7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42,316</w:t>
            </w: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86,055</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99,013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150,899</w:t>
            </w:r>
          </w:p>
        </w:tc>
      </w:tr>
      <w:tr>
        <w:trPr>
          <w:trHeight w:val="163"/>
        </w:trPr>
        <w:tc>
          <w:tcPr>
            <w:tcW w:w="4780" w:type="dxa"/>
            <w:vAlign w:val="bottom"/>
            <w:gridSpan w:val="2"/>
          </w:tcPr>
          <w:p>
            <w:pPr>
              <w:ind w:left="80"/>
              <w:spacing w:after="0"/>
              <w:rPr>
                <w:sz w:val="20"/>
                <w:szCs w:val="20"/>
                <w:color w:val="auto"/>
              </w:rPr>
            </w:pPr>
            <w:r>
              <w:rPr>
                <w:rFonts w:ascii="Arial" w:cs="Arial" w:eastAsia="Arial" w:hAnsi="Arial"/>
                <w:sz w:val="12"/>
                <w:szCs w:val="12"/>
                <w:color w:val="auto"/>
              </w:rPr>
              <w:t>Total unrestricted resources at 12/31</w:t>
            </w:r>
          </w:p>
        </w:tc>
        <w:tc>
          <w:tcPr>
            <w:tcW w:w="7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83,251</w:t>
            </w:r>
          </w:p>
        </w:tc>
        <w:tc>
          <w:tcPr>
            <w:tcW w:w="7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32,939</w:t>
            </w:r>
          </w:p>
        </w:tc>
        <w:tc>
          <w:tcPr>
            <w:tcW w:w="2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72,103</w:t>
            </w:r>
          </w:p>
        </w:tc>
        <w:tc>
          <w:tcPr>
            <w:tcW w:w="2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68,695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88,619</w:t>
            </w:r>
          </w:p>
        </w:tc>
      </w:tr>
      <w:tr>
        <w:trPr>
          <w:trHeight w:val="163"/>
        </w:trPr>
        <w:tc>
          <w:tcPr>
            <w:tcW w:w="47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Debt-to-Equity Ratio</w:t>
            </w: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3"/>
        </w:trPr>
        <w:tc>
          <w:tcPr>
            <w:tcW w:w="4780" w:type="dxa"/>
            <w:vAlign w:val="bottom"/>
            <w:gridSpan w:val="2"/>
          </w:tcPr>
          <w:p>
            <w:pPr>
              <w:ind w:left="80"/>
              <w:spacing w:after="0"/>
              <w:rPr>
                <w:sz w:val="20"/>
                <w:szCs w:val="20"/>
                <w:color w:val="auto"/>
              </w:rPr>
            </w:pPr>
            <w:r>
              <w:rPr>
                <w:rFonts w:ascii="Arial" w:cs="Arial" w:eastAsia="Arial" w:hAnsi="Arial"/>
                <w:sz w:val="12"/>
                <w:szCs w:val="12"/>
                <w:color w:val="auto"/>
              </w:rPr>
              <w:t>Total contractual facility</w:t>
            </w:r>
          </w:p>
        </w:tc>
        <w:tc>
          <w:tcPr>
            <w:tcW w:w="720" w:type="dxa"/>
            <w:vAlign w:val="bottom"/>
          </w:tcPr>
          <w:p>
            <w:pPr>
              <w:jc w:val="right"/>
              <w:ind w:right="607"/>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w w:val="96"/>
              </w:rPr>
              <w:t>248,948</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w w:val="96"/>
              </w:rPr>
              <w:t>300,449</w:t>
            </w:r>
          </w:p>
        </w:tc>
        <w:tc>
          <w:tcPr>
            <w:tcW w:w="260" w:type="dxa"/>
            <w:vAlign w:val="bottom"/>
          </w:tcPr>
          <w:p>
            <w:pPr>
              <w:jc w:val="right"/>
              <w:ind w:right="148"/>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283,138</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252,929</w:t>
            </w: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271,732</w:t>
            </w:r>
          </w:p>
        </w:tc>
      </w:tr>
      <w:tr>
        <w:trPr>
          <w:trHeight w:val="163"/>
        </w:trPr>
        <w:tc>
          <w:tcPr>
            <w:tcW w:w="47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Total debt (gross of deferred financing costs)</w:t>
            </w:r>
          </w:p>
        </w:tc>
        <w:tc>
          <w:tcPr>
            <w:tcW w:w="7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6"/>
              </w:rPr>
              <w:t>236,948</w:t>
            </w:r>
          </w:p>
        </w:tc>
        <w:tc>
          <w:tcPr>
            <w:tcW w:w="7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6"/>
              </w:rPr>
              <w:t>284,959</w:t>
            </w: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209,218</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167,043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134,501</w:t>
            </w:r>
          </w:p>
        </w:tc>
      </w:tr>
      <w:tr>
        <w:trPr>
          <w:trHeight w:val="163"/>
        </w:trPr>
        <w:tc>
          <w:tcPr>
            <w:tcW w:w="4780" w:type="dxa"/>
            <w:vAlign w:val="bottom"/>
            <w:gridSpan w:val="2"/>
          </w:tcPr>
          <w:p>
            <w:pPr>
              <w:ind w:left="260"/>
              <w:spacing w:after="0"/>
              <w:rPr>
                <w:sz w:val="20"/>
                <w:szCs w:val="20"/>
                <w:color w:val="auto"/>
              </w:rPr>
            </w:pPr>
            <w:r>
              <w:rPr>
                <w:rFonts w:ascii="Arial" w:cs="Arial" w:eastAsia="Arial" w:hAnsi="Arial"/>
                <w:sz w:val="12"/>
                <w:szCs w:val="12"/>
                <w:color w:val="auto"/>
              </w:rPr>
              <w:t>Current</w:t>
            </w:r>
          </w:p>
        </w:tc>
        <w:tc>
          <w:tcPr>
            <w:tcW w:w="7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12,060</w:t>
            </w:r>
          </w:p>
        </w:tc>
        <w:tc>
          <w:tcPr>
            <w:tcW w:w="7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42,299</w:t>
            </w:r>
          </w:p>
        </w:tc>
        <w:tc>
          <w:tcPr>
            <w:tcW w:w="2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37,380</w:t>
            </w:r>
          </w:p>
        </w:tc>
        <w:tc>
          <w:tcPr>
            <w:tcW w:w="2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30,393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8,109</w:t>
            </w:r>
          </w:p>
        </w:tc>
      </w:tr>
      <w:tr>
        <w:trPr>
          <w:trHeight w:val="163"/>
        </w:trPr>
        <w:tc>
          <w:tcPr>
            <w:tcW w:w="478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Non-current</w:t>
            </w:r>
          </w:p>
        </w:tc>
        <w:tc>
          <w:tcPr>
            <w:tcW w:w="7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6"/>
              </w:rPr>
              <w:t>224,888</w:t>
            </w:r>
          </w:p>
        </w:tc>
        <w:tc>
          <w:tcPr>
            <w:tcW w:w="7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6"/>
              </w:rPr>
              <w:t>242,660</w:t>
            </w: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171,838</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136,650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126,392</w:t>
            </w:r>
          </w:p>
        </w:tc>
      </w:tr>
      <w:tr>
        <w:trPr>
          <w:trHeight w:val="163"/>
        </w:trPr>
        <w:tc>
          <w:tcPr>
            <w:tcW w:w="4780" w:type="dxa"/>
            <w:vAlign w:val="bottom"/>
            <w:gridSpan w:val="2"/>
          </w:tcPr>
          <w:p>
            <w:pPr>
              <w:ind w:left="260"/>
              <w:spacing w:after="0"/>
              <w:rPr>
                <w:sz w:val="20"/>
                <w:szCs w:val="20"/>
                <w:color w:val="auto"/>
              </w:rPr>
            </w:pPr>
            <w:r>
              <w:rPr>
                <w:rFonts w:ascii="Arial" w:cs="Arial" w:eastAsia="Arial" w:hAnsi="Arial"/>
                <w:sz w:val="12"/>
                <w:szCs w:val="12"/>
                <w:color w:val="auto"/>
              </w:rPr>
              <w:t>Finance lease liabilities</w:t>
            </w:r>
          </w:p>
        </w:tc>
        <w:tc>
          <w:tcPr>
            <w:tcW w:w="7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68</w:t>
            </w:r>
          </w:p>
        </w:tc>
        <w:tc>
          <w:tcPr>
            <w:tcW w:w="7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118</w:t>
            </w:r>
          </w:p>
        </w:tc>
        <w:tc>
          <w:tcPr>
            <w:tcW w:w="2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209</w:t>
            </w:r>
          </w:p>
        </w:tc>
        <w:tc>
          <w:tcPr>
            <w:tcW w:w="2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3"/>
        </w:trPr>
        <w:tc>
          <w:tcPr>
            <w:tcW w:w="47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Total book equity</w:t>
            </w:r>
          </w:p>
        </w:tc>
        <w:tc>
          <w:tcPr>
            <w:tcW w:w="7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6"/>
              </w:rPr>
              <w:t>105,060</w:t>
            </w:r>
          </w:p>
        </w:tc>
        <w:tc>
          <w:tcPr>
            <w:tcW w:w="7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81,173</w:t>
            </w: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139,616</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179,979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181,382</w:t>
            </w:r>
          </w:p>
        </w:tc>
      </w:tr>
      <w:tr>
        <w:trPr>
          <w:trHeight w:val="163"/>
        </w:trPr>
        <w:tc>
          <w:tcPr>
            <w:tcW w:w="4780" w:type="dxa"/>
            <w:vAlign w:val="bottom"/>
            <w:gridSpan w:val="2"/>
          </w:tcPr>
          <w:p>
            <w:pPr>
              <w:ind w:left="80"/>
              <w:spacing w:after="0"/>
              <w:rPr>
                <w:sz w:val="20"/>
                <w:szCs w:val="20"/>
                <w:color w:val="auto"/>
              </w:rPr>
            </w:pPr>
            <w:r>
              <w:rPr>
                <w:rFonts w:ascii="Arial" w:cs="Arial" w:eastAsia="Arial" w:hAnsi="Arial"/>
                <w:sz w:val="12"/>
                <w:szCs w:val="12"/>
                <w:color w:val="auto"/>
              </w:rPr>
              <w:t>Debt-to-equity ratio</w:t>
            </w:r>
          </w:p>
        </w:tc>
        <w:tc>
          <w:tcPr>
            <w:tcW w:w="7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2.26</w:t>
            </w:r>
          </w:p>
        </w:tc>
        <w:tc>
          <w:tcPr>
            <w:tcW w:w="7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3.51</w:t>
            </w:r>
          </w:p>
        </w:tc>
        <w:tc>
          <w:tcPr>
            <w:tcW w:w="2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1.50</w:t>
            </w:r>
          </w:p>
        </w:tc>
        <w:tc>
          <w:tcPr>
            <w:tcW w:w="2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0.93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0.74</w:t>
            </w:r>
          </w:p>
        </w:tc>
      </w:tr>
      <w:tr>
        <w:trPr>
          <w:trHeight w:val="163"/>
        </w:trPr>
        <w:tc>
          <w:tcPr>
            <w:tcW w:w="47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Changes in Working Capital</w:t>
            </w: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3"/>
        </w:trPr>
        <w:tc>
          <w:tcPr>
            <w:tcW w:w="4780" w:type="dxa"/>
            <w:vAlign w:val="bottom"/>
            <w:gridSpan w:val="2"/>
          </w:tcPr>
          <w:p>
            <w:pPr>
              <w:ind w:left="80"/>
              <w:spacing w:after="0" w:line="163" w:lineRule="exact"/>
              <w:rPr>
                <w:sz w:val="20"/>
                <w:szCs w:val="20"/>
                <w:color w:val="auto"/>
              </w:rPr>
            </w:pPr>
            <w:r>
              <w:rPr>
                <w:rFonts w:ascii="Arial" w:cs="Arial" w:eastAsia="Arial" w:hAnsi="Arial"/>
                <w:sz w:val="11"/>
                <w:szCs w:val="11"/>
                <w:color w:val="auto"/>
              </w:rPr>
              <w:t>Working capital (deficit)</w:t>
            </w:r>
            <w:r>
              <w:rPr>
                <w:rFonts w:ascii="Arial" w:cs="Arial" w:eastAsia="Arial" w:hAnsi="Arial"/>
                <w:sz w:val="18"/>
                <w:szCs w:val="18"/>
                <w:color w:val="auto"/>
                <w:vertAlign w:val="superscript"/>
              </w:rPr>
              <w:t>(3)</w:t>
            </w:r>
          </w:p>
        </w:tc>
        <w:tc>
          <w:tcPr>
            <w:tcW w:w="720" w:type="dxa"/>
            <w:vAlign w:val="bottom"/>
          </w:tcPr>
          <w:p>
            <w:pPr>
              <w:jc w:val="right"/>
              <w:ind w:right="607"/>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(6,673)</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w w:val="93"/>
              </w:rPr>
              <w:t>(64,140)</w:t>
            </w:r>
          </w:p>
        </w:tc>
        <w:tc>
          <w:tcPr>
            <w:tcW w:w="260" w:type="dxa"/>
            <w:vAlign w:val="bottom"/>
          </w:tcPr>
          <w:p>
            <w:pPr>
              <w:jc w:val="right"/>
              <w:ind w:right="148"/>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(84,138)</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(56,047)</w:t>
            </w: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(47,294)</w:t>
            </w:r>
          </w:p>
        </w:tc>
      </w:tr>
      <w:tr>
        <w:trPr>
          <w:trHeight w:val="163"/>
        </w:trPr>
        <w:tc>
          <w:tcPr>
            <w:tcW w:w="47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Current ratio</w:t>
            </w:r>
          </w:p>
        </w:tc>
        <w:tc>
          <w:tcPr>
            <w:tcW w:w="7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0.94</w:t>
            </w:r>
          </w:p>
        </w:tc>
        <w:tc>
          <w:tcPr>
            <w:tcW w:w="7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0.47</w:t>
            </w: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0.24</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0.35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0.41</w:t>
            </w:r>
          </w:p>
        </w:tc>
      </w:tr>
      <w:tr>
        <w:trPr>
          <w:trHeight w:val="175"/>
        </w:trPr>
        <w:tc>
          <w:tcPr>
            <w:tcW w:w="478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Capital Expenditures (including acquisitions)</w:t>
            </w:r>
          </w:p>
        </w:tc>
        <w:tc>
          <w:tcPr>
            <w:tcW w:w="720" w:type="dxa"/>
            <w:vAlign w:val="bottom"/>
          </w:tcPr>
          <w:p>
            <w:pPr>
              <w:jc w:val="right"/>
              <w:ind w:right="607"/>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14,428</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16,759</w:t>
            </w:r>
          </w:p>
        </w:tc>
        <w:tc>
          <w:tcPr>
            <w:tcW w:w="260" w:type="dxa"/>
            <w:vAlign w:val="bottom"/>
          </w:tcPr>
          <w:p>
            <w:pPr>
              <w:jc w:val="right"/>
              <w:ind w:right="148"/>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47,722</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56,827</w:t>
            </w: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76,708</w:t>
            </w:r>
          </w:p>
        </w:tc>
      </w:tr>
    </w:tbl>
    <w:p>
      <w:pPr>
        <w:spacing w:after="0" w:line="39" w:lineRule="exact"/>
        <w:rPr>
          <w:sz w:val="20"/>
          <w:szCs w:val="20"/>
          <w:color w:val="auto"/>
        </w:rPr>
      </w:pPr>
    </w:p>
    <w:p>
      <w:pPr>
        <w:ind w:left="520" w:hanging="253"/>
        <w:spacing w:after="0"/>
        <w:tabs>
          <w:tab w:leader="none" w:pos="5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This relates to the construction facilities specifically negotiated for 44 Union Square redevelopment project.</w:t>
      </w:r>
    </w:p>
    <w:p>
      <w:pPr>
        <w:ind w:left="520" w:right="200" w:hanging="253"/>
        <w:spacing w:after="0" w:line="207" w:lineRule="auto"/>
        <w:tabs>
          <w:tab w:leader="none" w:pos="520"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Certain 2018 and 2017 balances included the restatement impact as a result of a prior period financial statement correction of immaterial errors (see </w:t>
      </w:r>
      <w:r>
        <w:rPr>
          <w:rFonts w:ascii="Arial" w:cs="Arial" w:eastAsia="Arial" w:hAnsi="Arial"/>
          <w:sz w:val="12"/>
          <w:szCs w:val="12"/>
          <w:i w:val="1"/>
          <w:iCs w:val="1"/>
          <w:color w:val="auto"/>
        </w:rPr>
        <w:t>Item 8 – Financial Statements and Supplementary Data—Notes to Consolidated</w:t>
      </w:r>
      <w:r>
        <w:rPr>
          <w:rFonts w:ascii="Arial" w:cs="Arial" w:eastAsia="Arial" w:hAnsi="Arial"/>
          <w:sz w:val="12"/>
          <w:szCs w:val="12"/>
          <w:color w:val="auto"/>
        </w:rPr>
        <w:t xml:space="preserve"> </w:t>
      </w:r>
      <w:r>
        <w:rPr>
          <w:rFonts w:ascii="Arial" w:cs="Arial" w:eastAsia="Arial" w:hAnsi="Arial"/>
          <w:sz w:val="12"/>
          <w:szCs w:val="12"/>
          <w:i w:val="1"/>
          <w:iCs w:val="1"/>
          <w:color w:val="auto"/>
        </w:rPr>
        <w:t>Financial Statements-- Note 2 – Summary of Significant Accounting Policies – Prior Period Financial Statement Correction of Immaterial Errors</w:t>
      </w:r>
      <w:r>
        <w:rPr>
          <w:rFonts w:ascii="Arial" w:cs="Arial" w:eastAsia="Arial" w:hAnsi="Arial"/>
          <w:sz w:val="12"/>
          <w:szCs w:val="12"/>
          <w:color w:val="auto"/>
        </w:rPr>
        <w:t>).</w:t>
      </w:r>
    </w:p>
    <w:p>
      <w:pPr>
        <w:ind w:left="520" w:right="60" w:hanging="253"/>
        <w:spacing w:after="0" w:line="222" w:lineRule="auto"/>
        <w:tabs>
          <w:tab w:leader="none" w:pos="5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Typically, our working capital is reported as a deficit, as we receive revenue from our cinema business ahead of the time that we have to pay our associated liabilities. We use the money we receive to pay down our borrowings in the first instance.</w:t>
      </w:r>
    </w:p>
    <w:p>
      <w:pPr>
        <w:spacing w:after="0" w:line="119" w:lineRule="exact"/>
        <w:rPr>
          <w:sz w:val="20"/>
          <w:szCs w:val="20"/>
          <w:color w:val="auto"/>
        </w:rPr>
      </w:pPr>
    </w:p>
    <w:p>
      <w:pPr>
        <w:ind w:right="40"/>
        <w:spacing w:after="0" w:line="252" w:lineRule="auto"/>
        <w:rPr>
          <w:sz w:val="20"/>
          <w:szCs w:val="20"/>
          <w:color w:val="auto"/>
        </w:rPr>
      </w:pPr>
      <w:r>
        <w:rPr>
          <w:rFonts w:ascii="Arial" w:cs="Arial" w:eastAsia="Arial" w:hAnsi="Arial"/>
          <w:sz w:val="13"/>
          <w:szCs w:val="13"/>
          <w:color w:val="auto"/>
        </w:rPr>
        <w:t>We manage our cash, investments, and capital structure to meet the short-term and long-term obligations of our business, while maintaining financial flexibility and liquidity. We forecast, analyze, and monitor our cash flows to enable investment and financing within the overall constraints of our financial strategy. Before the COVID-19 pandemic, our treasury management has been focused on aggressive cash management using cash balances to reduce debt and minimize interest expense. In the past, we used cash generated from operations and other excess cash to the extent not needed for any capital expenditures, to pay down our loans and credit facilities providing us some flexibility on our available loan facilities for future use and thereby, reducing interest charges. As a result of the COVID-19 pandemic, we chose to fully draw down on most of our lines of credit in order to provide liquidity for the Company during a time of minimal revenues. Our current financial position, forecasts and cash flow estimates based on our current expectations of industry performance and recovery, mean that our Company has sufficient resources to meet its obligations as they become due within one year after the issuance of this report on Form 10-K.</w:t>
      </w:r>
    </w:p>
    <w:p>
      <w:pPr>
        <w:spacing w:after="0" w:line="115" w:lineRule="exact"/>
        <w:rPr>
          <w:sz w:val="20"/>
          <w:szCs w:val="20"/>
          <w:color w:val="auto"/>
        </w:rPr>
      </w:pPr>
    </w:p>
    <w:p>
      <w:pPr>
        <w:ind w:right="460"/>
        <w:spacing w:after="0" w:line="258" w:lineRule="auto"/>
        <w:rPr>
          <w:sz w:val="20"/>
          <w:szCs w:val="20"/>
          <w:color w:val="auto"/>
        </w:rPr>
      </w:pPr>
      <w:r>
        <w:rPr>
          <w:rFonts w:ascii="Arial" w:cs="Arial" w:eastAsia="Arial" w:hAnsi="Arial"/>
          <w:sz w:val="14"/>
          <w:szCs w:val="14"/>
          <w:color w:val="auto"/>
        </w:rPr>
        <w:t xml:space="preserve">Refer to </w:t>
      </w:r>
      <w:r>
        <w:rPr>
          <w:rFonts w:ascii="Arial" w:cs="Arial" w:eastAsia="Arial" w:hAnsi="Arial"/>
          <w:sz w:val="14"/>
          <w:szCs w:val="14"/>
          <w:i w:val="1"/>
          <w:iCs w:val="1"/>
          <w:color w:val="auto"/>
        </w:rPr>
        <w:t>Part II, Item 8 – Financial Statements and Supplementary Data—Notes to Consolidated Financial Statements-- Note 11 – Borrowings</w:t>
      </w:r>
      <w:r>
        <w:rPr>
          <w:rFonts w:ascii="Arial" w:cs="Arial" w:eastAsia="Arial" w:hAnsi="Arial"/>
          <w:sz w:val="14"/>
          <w:szCs w:val="14"/>
          <w:color w:val="auto"/>
        </w:rPr>
        <w:t xml:space="preserve"> for further details on our various borrowing arrangements.</w:t>
      </w:r>
    </w:p>
    <w:p>
      <w:pPr>
        <w:spacing w:after="0" w:line="109" w:lineRule="exact"/>
        <w:rPr>
          <w:sz w:val="20"/>
          <w:szCs w:val="20"/>
          <w:color w:val="auto"/>
        </w:rPr>
      </w:pPr>
    </w:p>
    <w:p>
      <w:pPr>
        <w:jc w:val="both"/>
        <w:ind w:right="240"/>
        <w:spacing w:after="0" w:line="242" w:lineRule="auto"/>
        <w:rPr>
          <w:sz w:val="20"/>
          <w:szCs w:val="20"/>
          <w:color w:val="auto"/>
        </w:rPr>
      </w:pPr>
      <w:r>
        <w:rPr>
          <w:rFonts w:ascii="Arial" w:cs="Arial" w:eastAsia="Arial" w:hAnsi="Arial"/>
          <w:sz w:val="14"/>
          <w:szCs w:val="14"/>
          <w:color w:val="auto"/>
        </w:rPr>
        <w:t>At December 31, 2021, our consolidated cash and cash equivalents totaled $83.3 million. Of this amount, $10.9 million, $49.5 million and $22.8 million were held by our U.S., Australian and New Zealand operations, respectively. Due to the impact of the COVID-19 pandemic, we no longer intend to indefinitely reinvest offshore any earnings derived from our Australian and New Zealand operations.</w:t>
      </w:r>
    </w:p>
    <w:p>
      <w:pPr>
        <w:spacing w:after="0" w:line="120" w:lineRule="exact"/>
        <w:rPr>
          <w:sz w:val="20"/>
          <w:szCs w:val="20"/>
          <w:color w:val="auto"/>
        </w:rPr>
      </w:pPr>
    </w:p>
    <w:p>
      <w:pPr>
        <w:ind w:right="120"/>
        <w:spacing w:after="0" w:line="237" w:lineRule="auto"/>
        <w:rPr>
          <w:sz w:val="20"/>
          <w:szCs w:val="20"/>
          <w:color w:val="auto"/>
        </w:rPr>
      </w:pPr>
      <w:r>
        <w:rPr>
          <w:rFonts w:ascii="Arial" w:cs="Arial" w:eastAsia="Arial" w:hAnsi="Arial"/>
          <w:sz w:val="14"/>
          <w:szCs w:val="14"/>
          <w:color w:val="auto"/>
        </w:rPr>
        <w:t>We have historically funded our working capital requirements, capital expenditures and investments in individual properties primarily from a combination of internally generated cash flows and debt. During 2021 and into 2022 the need for such funding, apart from working capital, has been and will be substantially reduced, due to the COVID-19 pandemic. The funding that has been required, has been funded predominantly from cost reductions, debt and strategic asset sales. As noted in the preceding table, we had no unused available corporate credit facilities at December 31, 2021.</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70"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auto"/>
        </w:rPr>
        <w:t>The change in cash and cash equivalents for the three years ended December 31, 2021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140" w:type="dxa"/>
            <w:vAlign w:val="bottom"/>
            <w:vMerge w:val="restart"/>
          </w:tcPr>
          <w:p>
            <w:pPr>
              <w:spacing w:after="0"/>
              <w:rPr>
                <w:sz w:val="20"/>
                <w:szCs w:val="20"/>
                <w:color w:val="auto"/>
              </w:rPr>
            </w:pPr>
            <w:r>
              <w:rPr>
                <w:rFonts w:ascii="Arial" w:cs="Arial" w:eastAsia="Arial" w:hAnsi="Arial"/>
                <w:sz w:val="12"/>
                <w:szCs w:val="12"/>
                <w:i w:val="1"/>
                <w:iCs w:val="1"/>
                <w:color w:val="auto"/>
              </w:rPr>
              <w:t>(Dollars in thousands)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422"/>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422"/>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ind w:right="422"/>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2"/>
                <w:szCs w:val="12"/>
                <w:color w:val="auto"/>
              </w:rPr>
            </w:pPr>
          </w:p>
        </w:tc>
        <w:tc>
          <w:tcPr>
            <w:tcW w:w="2240" w:type="dxa"/>
            <w:vAlign w:val="bottom"/>
            <w:tcBorders>
              <w:bottom w:val="single" w:sz="8" w:color="auto"/>
            </w:tcBorders>
            <w:gridSpan w:val="3"/>
          </w:tcPr>
          <w:p>
            <w:pPr>
              <w:jc w:val="right"/>
              <w:ind w:right="802"/>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21"/>
        </w:trPr>
        <w:tc>
          <w:tcPr>
            <w:tcW w:w="5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200"/>
              <w:spacing w:after="0" w:line="120" w:lineRule="exact"/>
              <w:rPr>
                <w:sz w:val="20"/>
                <w:szCs w:val="20"/>
                <w:color w:val="auto"/>
              </w:rPr>
            </w:pPr>
            <w:r>
              <w:rPr>
                <w:rFonts w:ascii="Arial" w:cs="Arial" w:eastAsia="Arial" w:hAnsi="Arial"/>
                <w:sz w:val="12"/>
                <w:szCs w:val="12"/>
                <w:b w:val="1"/>
                <w:bCs w:val="1"/>
                <w:color w:val="auto"/>
              </w:rPr>
              <w:t>2021 vs. 2020</w:t>
            </w:r>
          </w:p>
        </w:tc>
        <w:tc>
          <w:tcPr>
            <w:tcW w:w="1080" w:type="dxa"/>
            <w:vAlign w:val="bottom"/>
          </w:tcPr>
          <w:p>
            <w:pPr>
              <w:jc w:val="right"/>
              <w:ind w:right="162"/>
              <w:spacing w:after="0" w:line="120" w:lineRule="exact"/>
              <w:rPr>
                <w:sz w:val="20"/>
                <w:szCs w:val="20"/>
                <w:color w:val="auto"/>
              </w:rPr>
            </w:pPr>
            <w:r>
              <w:rPr>
                <w:rFonts w:ascii="Arial" w:cs="Arial" w:eastAsia="Arial" w:hAnsi="Arial"/>
                <w:sz w:val="12"/>
                <w:szCs w:val="12"/>
                <w:b w:val="1"/>
                <w:bCs w:val="1"/>
                <w:color w:val="auto"/>
              </w:rPr>
              <w:t>2020 vs. 2019</w:t>
            </w:r>
          </w:p>
        </w:tc>
        <w:tc>
          <w:tcPr>
            <w:tcW w:w="0" w:type="dxa"/>
            <w:vAlign w:val="bottom"/>
          </w:tcPr>
          <w:p>
            <w:pPr>
              <w:spacing w:after="0"/>
              <w:rPr>
                <w:sz w:val="1"/>
                <w:szCs w:val="1"/>
                <w:color w:val="auto"/>
              </w:rPr>
            </w:pPr>
          </w:p>
        </w:tc>
      </w:tr>
      <w:tr>
        <w:trPr>
          <w:trHeight w:val="119"/>
        </w:trPr>
        <w:tc>
          <w:tcPr>
            <w:tcW w:w="5140" w:type="dxa"/>
            <w:vAlign w:val="bottom"/>
            <w:tcBorders>
              <w:top w:val="single" w:sz="8" w:color="auto"/>
            </w:tcBorders>
            <w:shd w:val="clear" w:color="auto" w:fill="CCEEFF"/>
          </w:tcPr>
          <w:p>
            <w:pPr>
              <w:spacing w:after="0" w:line="120" w:lineRule="exact"/>
              <w:rPr>
                <w:sz w:val="20"/>
                <w:szCs w:val="20"/>
                <w:color w:val="auto"/>
              </w:rPr>
            </w:pPr>
            <w:r>
              <w:rPr>
                <w:rFonts w:ascii="Arial" w:cs="Arial" w:eastAsia="Arial" w:hAnsi="Arial"/>
                <w:sz w:val="12"/>
                <w:szCs w:val="12"/>
                <w:color w:val="auto"/>
              </w:rPr>
              <w:t>Net cash provided by (used in) operating activities</w:t>
            </w: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(13,498)</w:t>
            </w: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(30,200)</w:t>
            </w: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24,607</w:t>
            </w:r>
          </w:p>
        </w:tc>
        <w:tc>
          <w:tcPr>
            <w:tcW w:w="8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jc w:val="right"/>
              <w:ind w:right="122"/>
              <w:spacing w:after="0" w:line="120" w:lineRule="exact"/>
              <w:rPr>
                <w:sz w:val="20"/>
                <w:szCs w:val="20"/>
                <w:color w:val="auto"/>
              </w:rPr>
            </w:pPr>
            <w:r>
              <w:rPr>
                <w:rFonts w:ascii="Arial" w:cs="Arial" w:eastAsia="Arial" w:hAnsi="Arial"/>
                <w:sz w:val="12"/>
                <w:szCs w:val="12"/>
                <w:color w:val="auto"/>
              </w:rPr>
              <w:t>55%</w:t>
            </w:r>
          </w:p>
        </w:tc>
        <w:tc>
          <w:tcPr>
            <w:tcW w:w="8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(&gt;100)%</w:t>
            </w:r>
          </w:p>
        </w:tc>
        <w:tc>
          <w:tcPr>
            <w:tcW w:w="0" w:type="dxa"/>
            <w:vAlign w:val="bottom"/>
          </w:tcPr>
          <w:p>
            <w:pPr>
              <w:spacing w:after="0"/>
              <w:rPr>
                <w:sz w:val="1"/>
                <w:szCs w:val="1"/>
                <w:color w:val="auto"/>
              </w:rPr>
            </w:pPr>
          </w:p>
        </w:tc>
      </w:tr>
      <w:tr>
        <w:trPr>
          <w:trHeight w:val="119"/>
        </w:trPr>
        <w:tc>
          <w:tcPr>
            <w:tcW w:w="5140" w:type="dxa"/>
            <w:vAlign w:val="bottom"/>
          </w:tcPr>
          <w:p>
            <w:pPr>
              <w:spacing w:after="0" w:line="120" w:lineRule="exact"/>
              <w:rPr>
                <w:sz w:val="20"/>
                <w:szCs w:val="20"/>
                <w:color w:val="auto"/>
              </w:rPr>
            </w:pPr>
            <w:r>
              <w:rPr>
                <w:rFonts w:ascii="Arial" w:cs="Arial" w:eastAsia="Arial" w:hAnsi="Arial"/>
                <w:sz w:val="12"/>
                <w:szCs w:val="12"/>
                <w:color w:val="auto"/>
              </w:rPr>
              <w:t>Net cash provided by (used in) investing activities</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129,610</w:t>
            </w:r>
          </w:p>
        </w:tc>
        <w:tc>
          <w:tcPr>
            <w:tcW w:w="260" w:type="dxa"/>
            <w:vAlign w:val="bottom"/>
          </w:tcPr>
          <w:p>
            <w:pPr>
              <w:spacing w:after="0"/>
              <w:rPr>
                <w:sz w:val="10"/>
                <w:szCs w:val="10"/>
                <w:color w:val="auto"/>
              </w:rPr>
            </w:pPr>
          </w:p>
        </w:tc>
        <w:tc>
          <w:tcPr>
            <w:tcW w:w="100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(18,771)</w:t>
            </w:r>
          </w:p>
        </w:tc>
        <w:tc>
          <w:tcPr>
            <w:tcW w:w="280" w:type="dxa"/>
            <w:vAlign w:val="bottom"/>
          </w:tcPr>
          <w:p>
            <w:pPr>
              <w:spacing w:after="0"/>
              <w:rPr>
                <w:sz w:val="10"/>
                <w:szCs w:val="10"/>
                <w:color w:val="auto"/>
              </w:rPr>
            </w:pPr>
          </w:p>
        </w:tc>
        <w:tc>
          <w:tcPr>
            <w:tcW w:w="100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(53,263)</w:t>
            </w:r>
          </w:p>
        </w:tc>
        <w:tc>
          <w:tcPr>
            <w:tcW w:w="1080" w:type="dxa"/>
            <w:vAlign w:val="bottom"/>
          </w:tcPr>
          <w:p>
            <w:pPr>
              <w:jc w:val="right"/>
              <w:ind w:right="122"/>
              <w:spacing w:after="0" w:line="120" w:lineRule="exact"/>
              <w:rPr>
                <w:sz w:val="20"/>
                <w:szCs w:val="20"/>
                <w:color w:val="auto"/>
              </w:rPr>
            </w:pPr>
            <w:r>
              <w:rPr>
                <w:rFonts w:ascii="Arial" w:cs="Arial" w:eastAsia="Arial" w:hAnsi="Arial"/>
                <w:sz w:val="12"/>
                <w:szCs w:val="12"/>
                <w:color w:val="auto"/>
              </w:rPr>
              <w:t>&gt;100%</w:t>
            </w:r>
          </w:p>
        </w:tc>
        <w:tc>
          <w:tcPr>
            <w:tcW w:w="80" w:type="dxa"/>
            <w:vAlign w:val="bottom"/>
          </w:tcPr>
          <w:p>
            <w:pPr>
              <w:spacing w:after="0"/>
              <w:rPr>
                <w:sz w:val="10"/>
                <w:szCs w:val="10"/>
                <w:color w:val="auto"/>
              </w:rPr>
            </w:pPr>
          </w:p>
        </w:tc>
        <w:tc>
          <w:tcPr>
            <w:tcW w:w="1080" w:type="dxa"/>
            <w:vAlign w:val="bottom"/>
          </w:tcPr>
          <w:p>
            <w:pPr>
              <w:jc w:val="right"/>
              <w:ind w:right="102"/>
              <w:spacing w:after="0" w:line="120" w:lineRule="exact"/>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19"/>
        </w:trPr>
        <w:tc>
          <w:tcPr>
            <w:tcW w:w="514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Net cash provided by (used in) financing activities</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(50,280)</w:t>
            </w:r>
          </w:p>
        </w:tc>
        <w:tc>
          <w:tcPr>
            <w:tcW w:w="2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59,330</w:t>
            </w: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26,008</w:t>
            </w: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122"/>
              <w:spacing w:after="0" w:line="120" w:lineRule="exact"/>
              <w:rPr>
                <w:sz w:val="20"/>
                <w:szCs w:val="20"/>
                <w:color w:val="auto"/>
              </w:rPr>
            </w:pPr>
            <w:r>
              <w:rPr>
                <w:rFonts w:ascii="Arial" w:cs="Arial" w:eastAsia="Arial" w:hAnsi="Arial"/>
                <w:sz w:val="12"/>
                <w:szCs w:val="12"/>
                <w:color w:val="auto"/>
              </w:rPr>
              <w:t>(&gt;100)%</w:t>
            </w: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&gt;100%</w:t>
            </w:r>
          </w:p>
        </w:tc>
        <w:tc>
          <w:tcPr>
            <w:tcW w:w="0" w:type="dxa"/>
            <w:vAlign w:val="bottom"/>
          </w:tcPr>
          <w:p>
            <w:pPr>
              <w:spacing w:after="0"/>
              <w:rPr>
                <w:sz w:val="1"/>
                <w:szCs w:val="1"/>
                <w:color w:val="auto"/>
              </w:rPr>
            </w:pPr>
          </w:p>
        </w:tc>
      </w:tr>
      <w:tr>
        <w:trPr>
          <w:trHeight w:val="119"/>
        </w:trPr>
        <w:tc>
          <w:tcPr>
            <w:tcW w:w="5140" w:type="dxa"/>
            <w:vAlign w:val="bottom"/>
          </w:tcPr>
          <w:p>
            <w:pPr>
              <w:spacing w:after="0" w:line="120" w:lineRule="exact"/>
              <w:rPr>
                <w:sz w:val="20"/>
                <w:szCs w:val="20"/>
                <w:color w:val="auto"/>
              </w:rPr>
            </w:pPr>
            <w:r>
              <w:rPr>
                <w:rFonts w:ascii="Arial" w:cs="Arial" w:eastAsia="Arial" w:hAnsi="Arial"/>
                <w:sz w:val="12"/>
                <w:szCs w:val="12"/>
                <w:color w:val="auto"/>
              </w:rPr>
              <w:t>Impact of exchange rate on cash</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(4,095)</w:t>
            </w:r>
          </w:p>
        </w:tc>
        <w:tc>
          <w:tcPr>
            <w:tcW w:w="260" w:type="dxa"/>
            <w:vAlign w:val="bottom"/>
          </w:tcPr>
          <w:p>
            <w:pPr>
              <w:spacing w:after="0"/>
              <w:rPr>
                <w:sz w:val="10"/>
                <w:szCs w:val="10"/>
                <w:color w:val="auto"/>
              </w:rPr>
            </w:pPr>
          </w:p>
        </w:tc>
        <w:tc>
          <w:tcPr>
            <w:tcW w:w="100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4,333</w:t>
            </w:r>
          </w:p>
        </w:tc>
        <w:tc>
          <w:tcPr>
            <w:tcW w:w="280" w:type="dxa"/>
            <w:vAlign w:val="bottom"/>
          </w:tcPr>
          <w:p>
            <w:pPr>
              <w:spacing w:after="0"/>
              <w:rPr>
                <w:sz w:val="10"/>
                <w:szCs w:val="10"/>
                <w:color w:val="auto"/>
              </w:rPr>
            </w:pPr>
          </w:p>
        </w:tc>
        <w:tc>
          <w:tcPr>
            <w:tcW w:w="100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322</w:t>
            </w:r>
          </w:p>
        </w:tc>
        <w:tc>
          <w:tcPr>
            <w:tcW w:w="1080" w:type="dxa"/>
            <w:vAlign w:val="bottom"/>
          </w:tcPr>
          <w:p>
            <w:pPr>
              <w:jc w:val="right"/>
              <w:ind w:right="122"/>
              <w:spacing w:after="0" w:line="120" w:lineRule="exact"/>
              <w:rPr>
                <w:sz w:val="20"/>
                <w:szCs w:val="20"/>
                <w:color w:val="auto"/>
              </w:rPr>
            </w:pPr>
            <w:r>
              <w:rPr>
                <w:rFonts w:ascii="Arial" w:cs="Arial" w:eastAsia="Arial" w:hAnsi="Arial"/>
                <w:sz w:val="12"/>
                <w:szCs w:val="12"/>
                <w:color w:val="auto"/>
              </w:rPr>
              <w:t>(&gt;100)%</w:t>
            </w:r>
          </w:p>
        </w:tc>
        <w:tc>
          <w:tcPr>
            <w:tcW w:w="80" w:type="dxa"/>
            <w:vAlign w:val="bottom"/>
          </w:tcPr>
          <w:p>
            <w:pPr>
              <w:spacing w:after="0"/>
              <w:rPr>
                <w:sz w:val="10"/>
                <w:szCs w:val="10"/>
                <w:color w:val="auto"/>
              </w:rPr>
            </w:pPr>
          </w:p>
        </w:tc>
        <w:tc>
          <w:tcPr>
            <w:tcW w:w="1080" w:type="dxa"/>
            <w:vAlign w:val="bottom"/>
          </w:tcPr>
          <w:p>
            <w:pPr>
              <w:jc w:val="right"/>
              <w:ind w:right="102"/>
              <w:spacing w:after="0" w:line="120" w:lineRule="exact"/>
              <w:rPr>
                <w:sz w:val="20"/>
                <w:szCs w:val="20"/>
                <w:color w:val="auto"/>
              </w:rPr>
            </w:pPr>
            <w:r>
              <w:rPr>
                <w:rFonts w:ascii="Arial" w:cs="Arial" w:eastAsia="Arial" w:hAnsi="Arial"/>
                <w:sz w:val="12"/>
                <w:szCs w:val="12"/>
                <w:color w:val="auto"/>
              </w:rPr>
              <w:t>&gt;100%</w:t>
            </w:r>
          </w:p>
        </w:tc>
        <w:tc>
          <w:tcPr>
            <w:tcW w:w="0" w:type="dxa"/>
            <w:vAlign w:val="bottom"/>
          </w:tcPr>
          <w:p>
            <w:pPr>
              <w:spacing w:after="0"/>
              <w:rPr>
                <w:sz w:val="1"/>
                <w:szCs w:val="1"/>
                <w:color w:val="auto"/>
              </w:rPr>
            </w:pPr>
          </w:p>
        </w:tc>
      </w:tr>
      <w:tr>
        <w:trPr>
          <w:trHeight w:val="112"/>
        </w:trPr>
        <w:tc>
          <w:tcPr>
            <w:tcW w:w="5140" w:type="dxa"/>
            <w:vAlign w:val="bottom"/>
            <w:tcBorders>
              <w:top w:val="single" w:sz="8" w:color="CCEEFF"/>
              <w:bottom w:val="single" w:sz="8" w:color="CCEEFF"/>
            </w:tcBorders>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Net increase (decrease) in cash and cash equivalents</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26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5"/>
                <w:szCs w:val="5"/>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2"/>
                <w:szCs w:val="12"/>
                <w:b w:val="1"/>
                <w:bCs w:val="1"/>
                <w:color w:val="auto"/>
              </w:rPr>
              <w:t>61,737</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260" w:type="dxa"/>
            <w:vAlign w:val="bottom"/>
            <w:tcBorders>
              <w:top w:val="single" w:sz="8" w:color="auto"/>
              <w:bottom w:val="single" w:sz="8" w:color="auto"/>
            </w:tcBorders>
            <w:shd w:val="clear" w:color="auto" w:fill="CCEEFF"/>
          </w:tcPr>
          <w:p>
            <w:pPr>
              <w:jc w:val="right"/>
              <w:ind w:right="148"/>
              <w:spacing w:after="0" w:line="110" w:lineRule="exact"/>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2"/>
                <w:szCs w:val="12"/>
                <w:b w:val="1"/>
                <w:bCs w:val="1"/>
                <w:color w:val="auto"/>
              </w:rPr>
              <w:t>14,692</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280" w:type="dxa"/>
            <w:vAlign w:val="bottom"/>
            <w:tcBorders>
              <w:top w:val="single" w:sz="8" w:color="auto"/>
              <w:bottom w:val="single" w:sz="8" w:color="auto"/>
            </w:tcBorders>
            <w:shd w:val="clear" w:color="auto" w:fill="CCEEFF"/>
          </w:tcPr>
          <w:p>
            <w:pPr>
              <w:jc w:val="right"/>
              <w:ind w:right="168"/>
              <w:spacing w:after="0" w:line="110" w:lineRule="exact"/>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2"/>
                <w:szCs w:val="12"/>
                <w:b w:val="1"/>
                <w:bCs w:val="1"/>
                <w:color w:val="auto"/>
              </w:rPr>
              <w:t>(2,326)</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080" w:type="dxa"/>
            <w:vAlign w:val="bottom"/>
            <w:tcBorders>
              <w:top w:val="single" w:sz="8" w:color="CCEEFF"/>
              <w:bottom w:val="single" w:sz="8" w:color="CCEEFF"/>
            </w:tcBorders>
            <w:shd w:val="clear" w:color="auto" w:fill="CCEEFF"/>
          </w:tcPr>
          <w:p>
            <w:pPr>
              <w:jc w:val="right"/>
              <w:ind w:right="102"/>
              <w:spacing w:after="0" w:line="110" w:lineRule="exact"/>
              <w:rPr>
                <w:sz w:val="20"/>
                <w:szCs w:val="20"/>
                <w:color w:val="auto"/>
              </w:rPr>
            </w:pPr>
            <w:r>
              <w:rPr>
                <w:rFonts w:ascii="Arial" w:cs="Arial" w:eastAsia="Arial" w:hAnsi="Arial"/>
                <w:sz w:val="12"/>
                <w:szCs w:val="12"/>
                <w:color w:val="auto"/>
              </w:rPr>
              <w:t>&gt;100</w:t>
            </w:r>
            <w:r>
              <w:rPr>
                <w:rFonts w:ascii="Arial" w:cs="Arial" w:eastAsia="Arial" w:hAnsi="Arial"/>
                <w:sz w:val="12"/>
                <w:szCs w:val="12"/>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080" w:type="dxa"/>
            <w:vAlign w:val="bottom"/>
            <w:tcBorders>
              <w:top w:val="single" w:sz="8" w:color="CCEEFF"/>
              <w:bottom w:val="single" w:sz="8" w:color="CCEEFF"/>
            </w:tcBorders>
            <w:shd w:val="clear" w:color="auto" w:fill="CCEEFF"/>
          </w:tcPr>
          <w:p>
            <w:pPr>
              <w:jc w:val="right"/>
              <w:ind w:right="82"/>
              <w:spacing w:after="0" w:line="110" w:lineRule="exact"/>
              <w:rPr>
                <w:sz w:val="20"/>
                <w:szCs w:val="20"/>
                <w:color w:val="auto"/>
              </w:rPr>
            </w:pPr>
            <w:r>
              <w:rPr>
                <w:rFonts w:ascii="Arial" w:cs="Arial" w:eastAsia="Arial" w:hAnsi="Arial"/>
                <w:sz w:val="12"/>
                <w:szCs w:val="12"/>
                <w:b w:val="1"/>
                <w:bCs w:val="1"/>
                <w:color w:val="auto"/>
              </w:rPr>
              <w:t>&gt;100%</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2021 vs. 2020</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Cash used in operating activities for 2021 decreased by $16.7 million, to cash used of $13.5 million, due to improved trading performance.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2021 vs. 2020</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The $129.6 million of cash provided by investing activities increased significantly primarily due to the 2021 asset monetizations described herein.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2021 vs. 2020</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The cash used in financing activities of $50.3 million is primarily due to developments in our debt portfolio as discussed above.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COMMITMENTS AND CONTINGENCIES</w:t>
      </w:r>
    </w:p>
    <w:p>
      <w:pPr>
        <w:spacing w:after="0" w:line="147" w:lineRule="exact"/>
        <w:rPr>
          <w:sz w:val="20"/>
          <w:szCs w:val="20"/>
          <w:color w:val="auto"/>
        </w:rPr>
      </w:pPr>
    </w:p>
    <w:p>
      <w:pPr>
        <w:ind w:right="260"/>
        <w:spacing w:after="0" w:line="258" w:lineRule="auto"/>
        <w:rPr>
          <w:sz w:val="20"/>
          <w:szCs w:val="20"/>
          <w:color w:val="auto"/>
        </w:rPr>
      </w:pPr>
      <w:r>
        <w:rPr>
          <w:rFonts w:ascii="Arial" w:cs="Arial" w:eastAsia="Arial" w:hAnsi="Arial"/>
          <w:sz w:val="14"/>
          <w:szCs w:val="14"/>
          <w:color w:val="auto"/>
        </w:rPr>
        <w:t>The following table provides information with respect to the future maturities and scheduled principal repayments of our recorded contractual obligations and certain of our commitments and contingencies, either recorded or off-balance sheet, as of December 31,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32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2"/>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2"/>
              <w:spacing w:after="0"/>
              <w:rPr>
                <w:sz w:val="20"/>
                <w:szCs w:val="20"/>
                <w:color w:val="auto"/>
              </w:rPr>
            </w:pPr>
            <w:r>
              <w:rPr>
                <w:rFonts w:ascii="Arial" w:cs="Arial" w:eastAsia="Arial" w:hAnsi="Arial"/>
                <w:sz w:val="12"/>
                <w:szCs w:val="12"/>
                <w:b w:val="1"/>
                <w:bCs w:val="1"/>
                <w:color w:val="auto"/>
              </w:rPr>
              <w:t>2023</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2"/>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2"/>
              <w:spacing w:after="0"/>
              <w:rPr>
                <w:sz w:val="20"/>
                <w:szCs w:val="20"/>
                <w:color w:val="auto"/>
              </w:rPr>
            </w:pPr>
            <w:r>
              <w:rPr>
                <w:rFonts w:ascii="Arial" w:cs="Arial" w:eastAsia="Arial" w:hAnsi="Arial"/>
                <w:sz w:val="12"/>
                <w:szCs w:val="12"/>
                <w:b w:val="1"/>
                <w:bCs w:val="1"/>
                <w:color w:val="auto"/>
              </w:rPr>
              <w:t>2025</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2"/>
              <w:spacing w:after="0"/>
              <w:rPr>
                <w:sz w:val="20"/>
                <w:szCs w:val="20"/>
                <w:color w:val="auto"/>
              </w:rPr>
            </w:pPr>
            <w:r>
              <w:rPr>
                <w:rFonts w:ascii="Arial" w:cs="Arial" w:eastAsia="Arial" w:hAnsi="Arial"/>
                <w:sz w:val="12"/>
                <w:szCs w:val="12"/>
                <w:b w:val="1"/>
                <w:bCs w:val="1"/>
                <w:color w:val="auto"/>
              </w:rPr>
              <w:t>2026</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Thereafter</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2"/>
              <w:spacing w:after="0"/>
              <w:rPr>
                <w:sz w:val="20"/>
                <w:szCs w:val="20"/>
                <w:color w:val="auto"/>
              </w:rPr>
            </w:pPr>
            <w:r>
              <w:rPr>
                <w:rFonts w:ascii="Arial" w:cs="Arial" w:eastAsia="Arial" w:hAnsi="Arial"/>
                <w:sz w:val="12"/>
                <w:szCs w:val="12"/>
                <w:b w:val="1"/>
                <w:bCs w:val="1"/>
                <w:color w:val="auto"/>
              </w:rPr>
              <w:t>Total</w:t>
            </w:r>
          </w:p>
        </w:tc>
      </w:tr>
      <w:tr>
        <w:trPr>
          <w:trHeight w:val="152"/>
        </w:trPr>
        <w:tc>
          <w:tcPr>
            <w:tcW w:w="3320" w:type="dxa"/>
            <w:vAlign w:val="bottom"/>
            <w:shd w:val="clear" w:color="auto" w:fill="CCEEFF"/>
          </w:tcPr>
          <w:p>
            <w:pPr>
              <w:spacing w:after="0" w:line="152" w:lineRule="exact"/>
              <w:rPr>
                <w:sz w:val="20"/>
                <w:szCs w:val="20"/>
                <w:color w:val="auto"/>
              </w:rPr>
            </w:pPr>
            <w:r>
              <w:rPr>
                <w:rFonts w:ascii="Arial" w:cs="Arial" w:eastAsia="Arial" w:hAnsi="Arial"/>
                <w:sz w:val="11"/>
                <w:szCs w:val="11"/>
                <w:color w:val="auto"/>
              </w:rPr>
              <w:t>Debt</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32,776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122,815</w:t>
            </w:r>
          </w:p>
        </w:tc>
        <w:tc>
          <w:tcPr>
            <w:tcW w:w="280" w:type="dxa"/>
            <w:vAlign w:val="bottom"/>
            <w:gridSpan w:val="2"/>
            <w:shd w:val="clear" w:color="auto" w:fill="CCEEFF"/>
          </w:tcPr>
          <w:p>
            <w:pPr>
              <w:jc w:val="right"/>
              <w:ind w:right="128"/>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43,287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300</w:t>
            </w:r>
          </w:p>
        </w:tc>
        <w:tc>
          <w:tcPr>
            <w:tcW w:w="280" w:type="dxa"/>
            <w:vAlign w:val="bottom"/>
            <w:gridSpan w:val="2"/>
            <w:shd w:val="clear" w:color="auto" w:fill="CCEEFF"/>
          </w:tcPr>
          <w:p>
            <w:pPr>
              <w:jc w:val="right"/>
              <w:ind w:right="128"/>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313</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7,500</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206,991</w:t>
            </w:r>
          </w:p>
        </w:tc>
      </w:tr>
      <w:tr>
        <w:trPr>
          <w:trHeight w:val="163"/>
        </w:trPr>
        <w:tc>
          <w:tcPr>
            <w:tcW w:w="3400" w:type="dxa"/>
            <w:vAlign w:val="bottom"/>
            <w:gridSpan w:val="2"/>
          </w:tcPr>
          <w:p>
            <w:pPr>
              <w:spacing w:after="0"/>
              <w:rPr>
                <w:sz w:val="20"/>
                <w:szCs w:val="20"/>
                <w:color w:val="auto"/>
              </w:rPr>
            </w:pPr>
            <w:r>
              <w:rPr>
                <w:rFonts w:ascii="Arial" w:cs="Arial" w:eastAsia="Arial" w:hAnsi="Arial"/>
                <w:sz w:val="12"/>
                <w:szCs w:val="12"/>
                <w:color w:val="auto"/>
              </w:rPr>
              <w:t>Operating leases, including imputed interest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34,325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2"/>
                <w:szCs w:val="12"/>
                <w:color w:val="auto"/>
              </w:rPr>
              <w:t>34,281</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32,838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2"/>
                <w:szCs w:val="12"/>
                <w:color w:val="auto"/>
              </w:rPr>
              <w:t>30,855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28,608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158,713</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319,620</w:t>
            </w:r>
          </w:p>
        </w:tc>
      </w:tr>
      <w:tr>
        <w:trPr>
          <w:trHeight w:val="163"/>
        </w:trPr>
        <w:tc>
          <w:tcPr>
            <w:tcW w:w="3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Finance leases, including imputed interest</w:t>
            </w: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43</w:t>
            </w: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28</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w:t>
            </w:r>
          </w:p>
        </w:tc>
      </w:tr>
      <w:tr>
        <w:trPr>
          <w:trHeight w:val="163"/>
        </w:trPr>
        <w:tc>
          <w:tcPr>
            <w:tcW w:w="3400" w:type="dxa"/>
            <w:vAlign w:val="bottom"/>
            <w:gridSpan w:val="2"/>
          </w:tcPr>
          <w:p>
            <w:pPr>
              <w:spacing w:after="0" w:line="163" w:lineRule="exact"/>
              <w:rPr>
                <w:sz w:val="20"/>
                <w:szCs w:val="20"/>
                <w:color w:val="auto"/>
              </w:rPr>
            </w:pPr>
            <w:r>
              <w:rPr>
                <w:rFonts w:ascii="Arial" w:cs="Arial" w:eastAsia="Arial" w:hAnsi="Arial"/>
                <w:sz w:val="11"/>
                <w:szCs w:val="11"/>
                <w:color w:val="auto"/>
              </w:rPr>
              <w:t>Subordinated debt</w:t>
            </w:r>
            <w:r>
              <w:rPr>
                <w:rFonts w:ascii="Arial" w:cs="Arial" w:eastAsia="Arial" w:hAnsi="Arial"/>
                <w:sz w:val="18"/>
                <w:szCs w:val="18"/>
                <w:color w:val="auto"/>
                <w:vertAlign w:val="superscript"/>
              </w:rPr>
              <w:t>(1)</w:t>
            </w:r>
          </w:p>
        </w:tc>
        <w:tc>
          <w:tcPr>
            <w:tcW w:w="2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711</w:t>
            </w:r>
          </w:p>
        </w:tc>
        <w:tc>
          <w:tcPr>
            <w:tcW w:w="24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2"/>
                <w:szCs w:val="12"/>
                <w:color w:val="auto"/>
              </w:rPr>
              <w:t>747</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586</w:t>
            </w:r>
          </w:p>
        </w:tc>
        <w:tc>
          <w:tcPr>
            <w:tcW w:w="24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27,913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29,957</w:t>
            </w:r>
          </w:p>
        </w:tc>
      </w:tr>
      <w:tr>
        <w:trPr>
          <w:trHeight w:val="163"/>
        </w:trPr>
        <w:tc>
          <w:tcPr>
            <w:tcW w:w="3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Pension liability</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869</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4,289</w:t>
            </w:r>
          </w:p>
        </w:tc>
      </w:tr>
      <w:tr>
        <w:trPr>
          <w:trHeight w:val="163"/>
        </w:trPr>
        <w:tc>
          <w:tcPr>
            <w:tcW w:w="3400" w:type="dxa"/>
            <w:vAlign w:val="bottom"/>
            <w:gridSpan w:val="2"/>
          </w:tcPr>
          <w:p>
            <w:pPr>
              <w:spacing w:after="0" w:line="163" w:lineRule="exact"/>
              <w:rPr>
                <w:sz w:val="20"/>
                <w:szCs w:val="20"/>
                <w:color w:val="auto"/>
              </w:rPr>
            </w:pPr>
            <w:r>
              <w:rPr>
                <w:rFonts w:ascii="Arial" w:cs="Arial" w:eastAsia="Arial" w:hAnsi="Arial"/>
                <w:sz w:val="11"/>
                <w:szCs w:val="11"/>
                <w:color w:val="auto"/>
              </w:rPr>
              <w:t>Village East purchase option</w:t>
            </w:r>
            <w:r>
              <w:rPr>
                <w:rFonts w:ascii="Arial" w:cs="Arial" w:eastAsia="Arial" w:hAnsi="Arial"/>
                <w:sz w:val="18"/>
                <w:szCs w:val="18"/>
                <w:color w:val="auto"/>
                <w:vertAlign w:val="superscript"/>
              </w:rPr>
              <w:t>(2)</w:t>
            </w:r>
          </w:p>
        </w:tc>
        <w:tc>
          <w:tcPr>
            <w:tcW w:w="2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2"/>
                <w:szCs w:val="12"/>
                <w:color w:val="auto"/>
              </w:rPr>
              <w:t>5,900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5,900</w:t>
            </w:r>
          </w:p>
        </w:tc>
      </w:tr>
      <w:tr>
        <w:trPr>
          <w:trHeight w:val="163"/>
        </w:trPr>
        <w:tc>
          <w:tcPr>
            <w:tcW w:w="3400" w:type="dxa"/>
            <w:vAlign w:val="bottom"/>
            <w:gridSpan w:val="2"/>
            <w:shd w:val="clear" w:color="auto" w:fill="CCEEFF"/>
          </w:tcPr>
          <w:p>
            <w:pPr>
              <w:spacing w:after="0" w:line="163" w:lineRule="exact"/>
              <w:rPr>
                <w:sz w:val="20"/>
                <w:szCs w:val="20"/>
                <w:color w:val="auto"/>
              </w:rPr>
            </w:pPr>
            <w:r>
              <w:rPr>
                <w:rFonts w:ascii="Arial" w:cs="Arial" w:eastAsia="Arial" w:hAnsi="Arial"/>
                <w:sz w:val="11"/>
                <w:szCs w:val="11"/>
                <w:color w:val="auto"/>
              </w:rPr>
              <w:t>Estimated interest on debt</w:t>
            </w:r>
            <w:r>
              <w:rPr>
                <w:rFonts w:ascii="Arial" w:cs="Arial" w:eastAsia="Arial" w:hAnsi="Arial"/>
                <w:sz w:val="18"/>
                <w:szCs w:val="18"/>
                <w:color w:val="auto"/>
                <w:vertAlign w:val="superscript"/>
              </w:rPr>
              <w:t>(3)</w:t>
            </w: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9,929</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7,763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2,592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1,497</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23,893</w:t>
            </w:r>
          </w:p>
        </w:tc>
      </w:tr>
      <w:tr>
        <w:trPr>
          <w:trHeight w:val="133"/>
        </w:trPr>
        <w:tc>
          <w:tcPr>
            <w:tcW w:w="34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Total</w:t>
            </w: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78,468</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172,218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79,987</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33,350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31,102</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195,596</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590,721</w:t>
            </w:r>
          </w:p>
        </w:tc>
      </w:tr>
    </w:tbl>
    <w:p>
      <w:pPr>
        <w:spacing w:after="0" w:line="128" w:lineRule="exact"/>
        <w:rPr>
          <w:sz w:val="20"/>
          <w:szCs w:val="20"/>
          <w:color w:val="auto"/>
        </w:rPr>
      </w:pPr>
    </w:p>
    <w:p>
      <w:pPr>
        <w:ind w:left="520" w:hanging="253"/>
        <w:spacing w:after="0"/>
        <w:tabs>
          <w:tab w:leader="none" w:pos="52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Information is presented gross of deferred financing costs.</w:t>
      </w:r>
    </w:p>
    <w:p>
      <w:pPr>
        <w:ind w:left="520" w:hanging="253"/>
        <w:spacing w:after="0" w:line="207" w:lineRule="auto"/>
        <w:tabs>
          <w:tab w:leader="none" w:pos="52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the lease liability of the option associated with the ground lease purchase of the Village East Cinema.</w:t>
      </w:r>
    </w:p>
    <w:p>
      <w:pPr>
        <w:ind w:left="520" w:hanging="253"/>
        <w:spacing w:after="0" w:line="238" w:lineRule="auto"/>
        <w:tabs>
          <w:tab w:leader="none" w:pos="520" w:val="left"/>
        </w:tabs>
        <w:numPr>
          <w:ilvl w:val="0"/>
          <w:numId w:val="7"/>
        </w:numPr>
        <w:rPr>
          <w:rFonts w:ascii="Arial" w:cs="Arial" w:eastAsia="Arial" w:hAnsi="Arial"/>
          <w:sz w:val="12"/>
          <w:szCs w:val="12"/>
          <w:color w:val="auto"/>
        </w:rPr>
      </w:pPr>
      <w:r>
        <w:rPr>
          <w:rFonts w:ascii="Arial" w:cs="Arial" w:eastAsia="Arial" w:hAnsi="Arial"/>
          <w:sz w:val="12"/>
          <w:szCs w:val="12"/>
          <w:color w:val="auto"/>
        </w:rPr>
        <w:t>Estimated interest on debt is based on the anticipated loan balances for future periods and current applicable interest rates.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Please refer to </w:t>
      </w:r>
      <w:r>
        <w:rPr>
          <w:rFonts w:ascii="Arial" w:cs="Arial" w:eastAsia="Arial" w:hAnsi="Arial"/>
          <w:sz w:val="13"/>
          <w:szCs w:val="13"/>
          <w:i w:val="1"/>
          <w:iCs w:val="1"/>
          <w:color w:val="auto"/>
        </w:rPr>
        <w:t>Part II, Item 8 – Financial Statements and Supplementary Data—Notes to Consolidated Financial Statements-- Note 13 – Commitments and Contingencies</w:t>
      </w:r>
      <w:r>
        <w:rPr>
          <w:rFonts w:ascii="Arial" w:cs="Arial" w:eastAsia="Arial" w:hAnsi="Arial"/>
          <w:sz w:val="13"/>
          <w:szCs w:val="13"/>
          <w:color w:val="auto"/>
        </w:rPr>
        <w:t xml:space="preserve"> for more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Litigation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We are currently involved in certain legal proceedings and, as required, have accrued estimates of probable and estimable losses for the resolution of these claims.</w:t>
      </w:r>
    </w:p>
    <w:p>
      <w:pPr>
        <w:spacing w:after="0" w:line="143" w:lineRule="exact"/>
        <w:rPr>
          <w:sz w:val="20"/>
          <w:szCs w:val="20"/>
          <w:color w:val="auto"/>
        </w:rPr>
      </w:pPr>
    </w:p>
    <w:p>
      <w:pPr>
        <w:ind w:right="100"/>
        <w:spacing w:after="0" w:line="270" w:lineRule="auto"/>
        <w:rPr>
          <w:sz w:val="20"/>
          <w:szCs w:val="20"/>
          <w:color w:val="auto"/>
        </w:rPr>
      </w:pPr>
      <w:r>
        <w:rPr>
          <w:rFonts w:ascii="Arial" w:cs="Arial" w:eastAsia="Arial" w:hAnsi="Arial"/>
          <w:sz w:val="13"/>
          <w:szCs w:val="13"/>
          <w:color w:val="auto"/>
        </w:rPr>
        <w:t>Where we are the plaintiffs, we expense all legal fees on an ongoing basis and make no provision for any potential settlement amounts until received. In Australia, the prevailing party is usually entitled to recover its attorneys’ fees, which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spacing w:after="0" w:line="103" w:lineRule="exact"/>
        <w:rPr>
          <w:sz w:val="20"/>
          <w:szCs w:val="20"/>
          <w:color w:val="auto"/>
        </w:rPr>
      </w:pPr>
    </w:p>
    <w:p>
      <w:pPr>
        <w:ind w:right="100"/>
        <w:spacing w:after="0" w:line="235" w:lineRule="auto"/>
        <w:rPr>
          <w:sz w:val="20"/>
          <w:szCs w:val="20"/>
          <w:color w:val="auto"/>
        </w:rPr>
      </w:pPr>
      <w:r>
        <w:rPr>
          <w:rFonts w:ascii="Arial" w:cs="Arial" w:eastAsia="Arial" w:hAnsi="Arial"/>
          <w:sz w:val="14"/>
          <w:szCs w:val="14"/>
          <w:color w:val="auto"/>
        </w:rPr>
        <w:t>Where we are the defendants, we accrue for probable damages that insurance may not cover as they become known and can be reasonably estimated. In our opinion, any claims and litigation in which we are currently involved are not reasonably likely to have a</w:t>
      </w:r>
    </w:p>
    <w:p>
      <w:pPr>
        <w:jc w:val="center"/>
        <w:spacing w:after="0"/>
        <w:rPr>
          <w:sz w:val="20"/>
          <w:szCs w:val="20"/>
          <w:color w:val="auto"/>
        </w:rPr>
      </w:pPr>
      <w:r>
        <w:rPr>
          <w:rFonts w:ascii="Arial" w:cs="Arial" w:eastAsia="Arial" w:hAnsi="Arial"/>
          <w:sz w:val="14"/>
          <w:szCs w:val="14"/>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70" w:right="319" w:bottom="1440" w:gutter="0" w:footer="0" w:header="0"/>
        </w:sectPr>
      </w:pPr>
    </w:p>
    <w:bookmarkStart w:id="51" w:name="page52"/>
    <w:bookmarkEnd w:id="51"/>
    <w:p>
      <w:pPr>
        <w:ind w:right="300"/>
        <w:spacing w:after="0" w:line="259" w:lineRule="auto"/>
        <w:rPr>
          <w:sz w:val="20"/>
          <w:szCs w:val="20"/>
          <w:color w:val="auto"/>
        </w:rPr>
      </w:pPr>
      <w:r>
        <w:rPr>
          <w:rFonts w:ascii="Arial" w:cs="Arial" w:eastAsia="Arial" w:hAnsi="Arial"/>
          <w:sz w:val="14"/>
          <w:szCs w:val="14"/>
          <w:color w:val="auto"/>
        </w:rPr>
        <w:t>material adverse effect on our business, results of operations, financial position, or liquidity. It is possible, however, that future results of the operations for any particular quarterly or annual period could be materially affected by the ultimate outcome of the legal proceedings.</w:t>
      </w:r>
    </w:p>
    <w:p>
      <w:pPr>
        <w:spacing w:after="0" w:line="108"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 xml:space="preserve">Please refer to </w:t>
      </w:r>
      <w:r>
        <w:rPr>
          <w:rFonts w:ascii="Arial" w:cs="Arial" w:eastAsia="Arial" w:hAnsi="Arial"/>
          <w:sz w:val="14"/>
          <w:szCs w:val="14"/>
          <w:i w:val="1"/>
          <w:iCs w:val="1"/>
          <w:color w:val="auto"/>
        </w:rPr>
        <w:t>Part I, Item 3 – Legal Proceedings</w:t>
      </w:r>
      <w:r>
        <w:rPr>
          <w:rFonts w:ascii="Arial" w:cs="Arial" w:eastAsia="Arial" w:hAnsi="Arial"/>
          <w:sz w:val="14"/>
          <w:szCs w:val="14"/>
          <w:color w:val="auto"/>
        </w:rPr>
        <w:t xml:space="preserve"> for more information. There have been no material changes to our litigation, except as set forth in </w:t>
      </w:r>
      <w:r>
        <w:rPr>
          <w:rFonts w:ascii="Arial" w:cs="Arial" w:eastAsia="Arial" w:hAnsi="Arial"/>
          <w:sz w:val="14"/>
          <w:szCs w:val="14"/>
          <w:i w:val="1"/>
          <w:iCs w:val="1"/>
          <w:color w:val="auto"/>
        </w:rPr>
        <w:t>Part II, Item 8 – Financial Statements and</w:t>
      </w:r>
      <w:r>
        <w:rPr>
          <w:rFonts w:ascii="Arial" w:cs="Arial" w:eastAsia="Arial" w:hAnsi="Arial"/>
          <w:sz w:val="14"/>
          <w:szCs w:val="14"/>
          <w:color w:val="auto"/>
        </w:rPr>
        <w:t xml:space="preserve"> </w:t>
      </w:r>
      <w:r>
        <w:rPr>
          <w:rFonts w:ascii="Arial" w:cs="Arial" w:eastAsia="Arial" w:hAnsi="Arial"/>
          <w:sz w:val="14"/>
          <w:szCs w:val="14"/>
          <w:i w:val="1"/>
          <w:iCs w:val="1"/>
          <w:color w:val="auto"/>
        </w:rPr>
        <w:t>Supplementary Data—Notes to Consolidated Financial Statements-- Note 13 – Commitments and Contingencies</w:t>
      </w:r>
      <w:r>
        <w:rPr>
          <w:rFonts w:ascii="Arial" w:cs="Arial" w:eastAsia="Arial" w:hAnsi="Arial"/>
          <w:sz w:val="14"/>
          <w:szCs w:val="14"/>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47" w:lineRule="exact"/>
        <w:rPr>
          <w:sz w:val="20"/>
          <w:szCs w:val="20"/>
          <w:color w:val="auto"/>
        </w:rPr>
      </w:pPr>
    </w:p>
    <w:p>
      <w:pPr>
        <w:ind w:right="460"/>
        <w:spacing w:after="0" w:line="258" w:lineRule="auto"/>
        <w:rPr>
          <w:sz w:val="20"/>
          <w:szCs w:val="20"/>
          <w:color w:val="auto"/>
        </w:rPr>
      </w:pPr>
      <w:r>
        <w:rPr>
          <w:rFonts w:ascii="Arial" w:cs="Arial" w:eastAsia="Arial" w:hAnsi="Arial"/>
          <w:sz w:val="14"/>
          <w:szCs w:val="14"/>
          <w:color w:val="auto"/>
        </w:rPr>
        <w:t>There are no off-balance sheet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RISK MANAGEMENT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Currency and Interest Rate Risk</w:t>
      </w:r>
    </w:p>
    <w:p>
      <w:pPr>
        <w:spacing w:after="0" w:line="147"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Our Company’s objective in managing exposure to foreign currency and interest rate fluctuations is to reduce volatility of earnings and cash flows in order to allow management to focus on core business issues and challenges.</w:t>
      </w:r>
    </w:p>
    <w:p>
      <w:pPr>
        <w:spacing w:after="0" w:line="109" w:lineRule="exact"/>
        <w:rPr>
          <w:sz w:val="20"/>
          <w:szCs w:val="20"/>
          <w:color w:val="auto"/>
        </w:rPr>
      </w:pPr>
    </w:p>
    <w:p>
      <w:pPr>
        <w:ind w:right="100"/>
        <w:spacing w:after="0" w:line="270" w:lineRule="auto"/>
        <w:rPr>
          <w:sz w:val="20"/>
          <w:szCs w:val="20"/>
          <w:color w:val="auto"/>
        </w:rPr>
      </w:pPr>
      <w:r>
        <w:rPr>
          <w:rFonts w:ascii="Arial" w:cs="Arial" w:eastAsia="Arial" w:hAnsi="Arial"/>
          <w:sz w:val="13"/>
          <w:szCs w:val="13"/>
          <w:color w:val="auto"/>
        </w:rPr>
        <w:t>Historically, we have managed our currency exposure by creating, whenever possible, natural hedges in Australia and New Zealand. This involves local country sourcing of goods and services, as well as borrowing in local currencies to match revenues and expenses. We have also historically paid management fees to the U.S. to cover a portion of our domestic overhead. The fluctuations of the Australian and New Zealand currencies, however, may impact our ability to rely on such funding for ongoing support of our domestic overhead.</w:t>
      </w:r>
    </w:p>
    <w:p>
      <w:pPr>
        <w:spacing w:after="0" w:line="103" w:lineRule="exact"/>
        <w:rPr>
          <w:sz w:val="20"/>
          <w:szCs w:val="20"/>
          <w:color w:val="auto"/>
        </w:rPr>
      </w:pPr>
    </w:p>
    <w:p>
      <w:pPr>
        <w:ind w:right="100"/>
        <w:spacing w:after="0" w:line="242" w:lineRule="auto"/>
        <w:rPr>
          <w:sz w:val="20"/>
          <w:szCs w:val="20"/>
          <w:color w:val="auto"/>
        </w:rPr>
      </w:pPr>
      <w:r>
        <w:rPr>
          <w:rFonts w:ascii="Arial" w:cs="Arial" w:eastAsia="Arial" w:hAnsi="Arial"/>
          <w:sz w:val="14"/>
          <w:szCs w:val="14"/>
          <w:color w:val="auto"/>
        </w:rPr>
        <w:t>Our exposure to interest rate risk arises out of our long-term floating-rate borrowings. To manage the risk, we utilize interest rate derivative contracts to convert certain floating-rate borrowings into fixed-rate borrowings. It is our Company’s policy to enter into interest rate derivative transactions only to the extent considered necessary to meet its objectives as stated above. Our Company does not enter into these transactions or any other hedging transactions for speculative purposes.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Inflation</w:t>
      </w:r>
    </w:p>
    <w:p>
      <w:pPr>
        <w:spacing w:after="0" w:line="147" w:lineRule="exact"/>
        <w:rPr>
          <w:sz w:val="20"/>
          <w:szCs w:val="20"/>
          <w:color w:val="auto"/>
        </w:rPr>
      </w:pPr>
    </w:p>
    <w:p>
      <w:pPr>
        <w:ind w:right="80"/>
        <w:spacing w:after="0" w:line="237" w:lineRule="auto"/>
        <w:rPr>
          <w:sz w:val="20"/>
          <w:szCs w:val="20"/>
          <w:color w:val="auto"/>
        </w:rPr>
      </w:pPr>
      <w:r>
        <w:rPr>
          <w:rFonts w:ascii="Arial" w:cs="Arial" w:eastAsia="Arial" w:hAnsi="Arial"/>
          <w:sz w:val="14"/>
          <w:szCs w:val="14"/>
          <w:color w:val="auto"/>
        </w:rPr>
        <w:t>We continually monitor inflation and the effects of changing prices. Inflation increases the cost of goods and services used. Competitive conditions in many of our markets restrict our ability to recover fully the higher costs of acquired goods and services through price increases. We attempt to mitigate the impact of inflation by implementing continuous process improvement solutions to enhance productivity and efficiency and, as a result, lower costs and operating expenses. The effects of inflation have not had a material impact on our operations and the resulting financial position or liquidity, but the current uptrend in inflation could impact us in the future</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147" w:lineRule="exact"/>
        <w:rPr>
          <w:sz w:val="20"/>
          <w:szCs w:val="20"/>
          <w:color w:val="auto"/>
        </w:rPr>
      </w:pPr>
    </w:p>
    <w:p>
      <w:pPr>
        <w:ind w:right="400"/>
        <w:spacing w:after="0" w:line="258" w:lineRule="auto"/>
        <w:rPr>
          <w:sz w:val="20"/>
          <w:szCs w:val="20"/>
          <w:color w:val="auto"/>
        </w:rPr>
      </w:pPr>
      <w:r>
        <w:rPr>
          <w:rFonts w:ascii="Arial" w:cs="Arial" w:eastAsia="Arial" w:hAnsi="Arial"/>
          <w:sz w:val="14"/>
          <w:szCs w:val="14"/>
          <w:color w:val="auto"/>
        </w:rPr>
        <w:t>We believe that the application of the following accounting policies requires significant judgments and estimates in the preparation of our Consolidated Financial Statements and hence, are critical to our business operations and the understanding of our financial results: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of Long-Lived Assets, Including Goodwill and Intangible Assets</w:t>
      </w:r>
    </w:p>
    <w:p>
      <w:pPr>
        <w:spacing w:after="0" w:line="143"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review long-lived assets, including goodwill and intangibles, for impairment as part of our annual budgeting process, at the beginning of the fourth quarter, and whenever events or changes in circumstances indicate that the carrying amount of the asset may not be fully recoverable.</w:t>
      </w:r>
    </w:p>
    <w:p>
      <w:pPr>
        <w:spacing w:after="0" w:line="109" w:lineRule="exact"/>
        <w:rPr>
          <w:sz w:val="20"/>
          <w:szCs w:val="20"/>
          <w:color w:val="auto"/>
        </w:rPr>
      </w:pPr>
    </w:p>
    <w:p>
      <w:pPr>
        <w:ind w:left="520" w:right="200" w:hanging="253"/>
        <w:spacing w:after="0" w:line="235" w:lineRule="auto"/>
        <w:tabs>
          <w:tab w:leader="none" w:pos="5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Impairment of Long-lived Assets (other than Goodwill and Intangible Assets with indefinite lives) – </w:t>
      </w:r>
      <w:r>
        <w:rPr>
          <w:rFonts w:ascii="Arial" w:cs="Arial" w:eastAsia="Arial" w:hAnsi="Arial"/>
          <w:sz w:val="14"/>
          <w:szCs w:val="14"/>
          <w:color w:val="auto"/>
        </w:rPr>
        <w:t>we evaluate our long-lived assets and finite-lived intangible assets using historical</w:t>
      </w:r>
      <w:r>
        <w:rPr>
          <w:rFonts w:ascii="Arial" w:cs="Arial" w:eastAsia="Arial" w:hAnsi="Arial"/>
          <w:sz w:val="14"/>
          <w:szCs w:val="14"/>
          <w:i w:val="1"/>
          <w:iCs w:val="1"/>
          <w:color w:val="auto"/>
        </w:rPr>
        <w:t xml:space="preserve"> </w:t>
      </w:r>
      <w:r>
        <w:rPr>
          <w:rFonts w:ascii="Arial" w:cs="Arial" w:eastAsia="Arial" w:hAnsi="Arial"/>
          <w:sz w:val="14"/>
          <w:szCs w:val="14"/>
          <w:color w:val="auto"/>
        </w:rPr>
        <w:t>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spacing w:after="0" w:line="122" w:lineRule="exact"/>
        <w:rPr>
          <w:rFonts w:ascii="Arial" w:cs="Arial" w:eastAsia="Arial" w:hAnsi="Arial"/>
          <w:sz w:val="14"/>
          <w:szCs w:val="14"/>
          <w:i w:val="1"/>
          <w:iCs w:val="1"/>
          <w:color w:val="auto"/>
        </w:rPr>
      </w:pPr>
    </w:p>
    <w:p>
      <w:pPr>
        <w:ind w:left="5580" w:hanging="93"/>
        <w:spacing w:after="0"/>
        <w:tabs>
          <w:tab w:leader="none" w:pos="5580" w:val="left"/>
        </w:tabs>
        <w:numPr>
          <w:ilvl w:val="1"/>
          <w:numId w:val="8"/>
        </w:numPr>
        <w:rPr>
          <w:rFonts w:ascii="Arial" w:cs="Arial" w:eastAsia="Arial" w:hAnsi="Arial"/>
          <w:sz w:val="14"/>
          <w:szCs w:val="14"/>
          <w:color w:val="auto"/>
        </w:rPr>
      </w:pPr>
      <w:r>
        <w:rPr>
          <w:rFonts w:ascii="Arial" w:cs="Arial" w:eastAsia="Arial" w:hAnsi="Arial"/>
          <w:sz w:val="14"/>
          <w:szCs w:val="14"/>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52" w:name="page53"/>
    <w:bookmarkEnd w:id="52"/>
    <w:p>
      <w:pPr>
        <w:jc w:val="both"/>
        <w:ind w:left="520" w:right="40"/>
        <w:spacing w:after="0" w:line="242" w:lineRule="auto"/>
        <w:rPr>
          <w:sz w:val="20"/>
          <w:szCs w:val="20"/>
          <w:color w:val="auto"/>
        </w:rPr>
      </w:pPr>
      <w:r>
        <w:rPr>
          <w:rFonts w:ascii="Arial" w:cs="Arial" w:eastAsia="Arial" w:hAnsi="Arial"/>
          <w:sz w:val="14"/>
          <w:szCs w:val="14"/>
          <w:color w:val="auto"/>
        </w:rPr>
        <w:t>No impairment losses were recorded for long-lived and finite-lived intangible assets for the year ended December 31, 2021. $217,000 of impairment losses were recorded for long-lived and finite-lived intangible assets for the year ended December 31, 2020, based on historical information and projected cash flow. No impairment losses were recorded for the year ended December 31, 2019.</w:t>
      </w:r>
    </w:p>
    <w:p>
      <w:pPr>
        <w:spacing w:after="0" w:line="120" w:lineRule="exact"/>
        <w:rPr>
          <w:sz w:val="20"/>
          <w:szCs w:val="20"/>
          <w:color w:val="auto"/>
        </w:rPr>
      </w:pPr>
    </w:p>
    <w:p>
      <w:pPr>
        <w:ind w:left="520" w:right="120" w:hanging="253"/>
        <w:spacing w:after="0" w:line="261" w:lineRule="auto"/>
        <w:tabs>
          <w:tab w:leader="none" w:pos="5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Impairment of Goodwill and Intangible Assets with indefinite lives – </w:t>
      </w:r>
      <w:r>
        <w:rPr>
          <w:rFonts w:ascii="Arial" w:cs="Arial" w:eastAsia="Arial" w:hAnsi="Arial"/>
          <w:sz w:val="13"/>
          <w:szCs w:val="13"/>
          <w:color w:val="auto"/>
        </w:rPr>
        <w:t>goodwill and intangible assets with indefinite useful lives are not amortized, but instead, tested for impairment at</w:t>
      </w:r>
      <w:r>
        <w:rPr>
          <w:rFonts w:ascii="Arial" w:cs="Arial" w:eastAsia="Arial" w:hAnsi="Arial"/>
          <w:sz w:val="13"/>
          <w:szCs w:val="13"/>
          <w:i w:val="1"/>
          <w:iCs w:val="1"/>
          <w:color w:val="auto"/>
        </w:rPr>
        <w:t xml:space="preserve"> </w:t>
      </w:r>
      <w:r>
        <w:rPr>
          <w:rFonts w:ascii="Arial" w:cs="Arial" w:eastAsia="Arial" w:hAnsi="Arial"/>
          <w:sz w:val="13"/>
          <w:szCs w:val="13"/>
          <w:color w:val="auto"/>
        </w:rPr>
        <w:t>least annually on a reporting unit basis. The impairment evaluation is based on the present value of estimated future cash flows of each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w:t>
      </w:r>
    </w:p>
    <w:p>
      <w:pPr>
        <w:spacing w:after="0" w:line="108" w:lineRule="exact"/>
        <w:rPr>
          <w:rFonts w:ascii="Arial" w:cs="Arial" w:eastAsia="Arial" w:hAnsi="Arial"/>
          <w:sz w:val="13"/>
          <w:szCs w:val="13"/>
          <w:i w:val="1"/>
          <w:iCs w:val="1"/>
          <w:color w:val="auto"/>
        </w:rPr>
      </w:pPr>
    </w:p>
    <w:p>
      <w:pPr>
        <w:ind w:left="520"/>
        <w:spacing w:after="0"/>
        <w:rPr>
          <w:rFonts w:ascii="Arial" w:cs="Arial" w:eastAsia="Arial" w:hAnsi="Arial"/>
          <w:sz w:val="13"/>
          <w:szCs w:val="13"/>
          <w:i w:val="1"/>
          <w:iCs w:val="1"/>
          <w:color w:val="auto"/>
        </w:rPr>
      </w:pPr>
      <w:r>
        <w:rPr>
          <w:rFonts w:ascii="Arial" w:cs="Arial" w:eastAsia="Arial" w:hAnsi="Arial"/>
          <w:sz w:val="14"/>
          <w:szCs w:val="14"/>
          <w:color w:val="auto"/>
        </w:rPr>
        <w:t>No impairment losses were recorded for goodwill and indefinite-lived intangible assets for the years ended December 31, 2021, 2020, or 2019.</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 Valuation Allowance and Deferred Taxes</w:t>
      </w:r>
    </w:p>
    <w:p>
      <w:pPr>
        <w:spacing w:after="0" w:line="143"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We record our estimated future tax benefits and liabilities arising from the temporary differences between the tax basis of assets and liabilities and amounts reported in the accompanying consolidated balance sheets, as well as operating loss carryforwards. In evaluating our ability to recover our deferred tax assets in the jurisdiction from which they arise, we consider all available positive and negative evidence, including scheduled reversals of deferred tax liabilities, projected future taxable income, tax planning strategies, and results of recent operations. In projecting future taxable income, we begin with historical results and incorporate assumptions about the amount of future federal, state, and foreign pretax operating income adjusted for items that do not have tax consequences. The assumptions about future taxable income require the use of significant judgment and are consistent with the plans and estimates we are using to manage the underlying businesses. In evaluating the objective evidence that historical results provide, we consider three years of cumulative operating income (loss). As of December 31, 2021, we had recorded approximately $43.1 million of deferred tax assets (net of $64.7 million deferred tax liabilities) related to the temporary differences between the tax bases of assets and liabilities and amounts reported in the accompanying consolidated balance sheets, as well as operating loss carryforwards and tax credit carryforwards. These deferred tax assets were offset by a valuation allowance of $40.9 million resulting in a net deferred tax asset of $2.2 million. The recoverability of deferred tax assets is dependent upon our ability to generate future taxable income.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Recognition of Gift Card Breakage Income</w:t>
      </w:r>
    </w:p>
    <w:p>
      <w:pPr>
        <w:spacing w:after="0" w:line="143"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Generally, our revenue recognition is not assessed as an area requiring significant judgment or estimation. Revenues from ticket and food and beverage sales are recognized when the service is provided – that is when the show has commenced, or the food has been provided. Transaction fees from online sales are recorded at the time of the online transaction. In regard to our real estate business, we execute lease contracts for existing tenancies, but revenue is recognized on a straight-line basis over the lease term.</w:t>
      </w:r>
    </w:p>
    <w:p>
      <w:pPr>
        <w:spacing w:after="0" w:line="120" w:lineRule="exact"/>
        <w:rPr>
          <w:sz w:val="20"/>
          <w:szCs w:val="20"/>
          <w:color w:val="auto"/>
        </w:rPr>
      </w:pPr>
    </w:p>
    <w:p>
      <w:pPr>
        <w:ind w:right="100"/>
        <w:spacing w:after="0" w:line="242" w:lineRule="auto"/>
        <w:rPr>
          <w:sz w:val="20"/>
          <w:szCs w:val="20"/>
          <w:color w:val="auto"/>
        </w:rPr>
      </w:pPr>
      <w:r>
        <w:rPr>
          <w:rFonts w:ascii="Arial" w:cs="Arial" w:eastAsia="Arial" w:hAnsi="Arial"/>
          <w:sz w:val="14"/>
          <w:szCs w:val="14"/>
          <w:color w:val="auto"/>
        </w:rPr>
        <w:t xml:space="preserve">In contrast, recognition of gift card breakage income requires certain estimates and judgements to be made in regarding the pattern of customer behavior at our cinemas. This policy is described in detail in the section </w:t>
      </w:r>
      <w:r>
        <w:rPr>
          <w:rFonts w:ascii="Arial" w:cs="Arial" w:eastAsia="Arial" w:hAnsi="Arial"/>
          <w:sz w:val="14"/>
          <w:szCs w:val="14"/>
          <w:i w:val="1"/>
          <w:iCs w:val="1"/>
          <w:color w:val="auto"/>
        </w:rPr>
        <w:t>Part II, Item 8 – Financial Statements and Supplementary Data—Notes to Consolidated Financial Statements-- Note 2 – Summary of Significant Accounting Policies –</w:t>
      </w:r>
      <w:r>
        <w:rPr>
          <w:rFonts w:ascii="Arial" w:cs="Arial" w:eastAsia="Arial" w:hAnsi="Arial"/>
          <w:sz w:val="14"/>
          <w:szCs w:val="14"/>
          <w:color w:val="auto"/>
        </w:rPr>
        <w:t xml:space="preserve"> </w:t>
      </w:r>
      <w:r>
        <w:rPr>
          <w:rFonts w:ascii="Arial" w:cs="Arial" w:eastAsia="Arial" w:hAnsi="Arial"/>
          <w:sz w:val="14"/>
          <w:szCs w:val="14"/>
          <w:i w:val="1"/>
          <w:iCs w:val="1"/>
          <w:color w:val="auto"/>
        </w:rPr>
        <w:t>Accounting Changes</w:t>
      </w:r>
      <w:r>
        <w:rPr>
          <w:rFonts w:ascii="Arial" w:cs="Arial" w:eastAsia="Arial" w:hAnsi="Arial"/>
          <w:sz w:val="14"/>
          <w:szCs w:val="14"/>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Contingencies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For </w:t>
      </w:r>
      <w:r>
        <w:rPr>
          <w:rFonts w:ascii="Arial" w:cs="Arial" w:eastAsia="Arial" w:hAnsi="Arial"/>
          <w:sz w:val="13"/>
          <w:szCs w:val="13"/>
          <w:u w:val="single" w:color="auto"/>
          <w:color w:val="auto"/>
        </w:rPr>
        <w:t>loss contingencies</w:t>
      </w:r>
      <w:r>
        <w:rPr>
          <w:rFonts w:ascii="Arial" w:cs="Arial" w:eastAsia="Arial" w:hAnsi="Arial"/>
          <w:sz w:val="13"/>
          <w:szCs w:val="13"/>
          <w:color w:val="auto"/>
        </w:rPr>
        <w:t>, we record any loss contingencies when there is a probable likelihood that the liability has been incurred and the amount of the loss can be reasonably estimated.</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For </w:t>
      </w:r>
      <w:r>
        <w:rPr>
          <w:rFonts w:ascii="Arial" w:cs="Arial" w:eastAsia="Arial" w:hAnsi="Arial"/>
          <w:sz w:val="14"/>
          <w:szCs w:val="14"/>
          <w:u w:val="single" w:color="auto"/>
          <w:color w:val="auto"/>
        </w:rPr>
        <w:t>other contingencies</w:t>
      </w:r>
      <w:r>
        <w:rPr>
          <w:rFonts w:ascii="Arial" w:cs="Arial" w:eastAsia="Arial" w:hAnsi="Arial"/>
          <w:sz w:val="14"/>
          <w:szCs w:val="14"/>
          <w:i w:val="1"/>
          <w:iCs w:val="1"/>
          <w:u w:val="single" w:color="auto"/>
          <w:color w:val="auto"/>
        </w:rPr>
        <w:t>,</w:t>
      </w:r>
    </w:p>
    <w:p>
      <w:pPr>
        <w:spacing w:after="0" w:line="143" w:lineRule="exact"/>
        <w:rPr>
          <w:sz w:val="20"/>
          <w:szCs w:val="20"/>
          <w:color w:val="auto"/>
        </w:rPr>
      </w:pPr>
    </w:p>
    <w:p>
      <w:pPr>
        <w:ind w:left="520" w:right="140" w:hanging="253"/>
        <w:spacing w:after="0" w:line="258" w:lineRule="auto"/>
        <w:tabs>
          <w:tab w:leader="none" w:pos="520" w:val="left"/>
        </w:tabs>
        <w:numPr>
          <w:ilvl w:val="0"/>
          <w:numId w:val="10"/>
        </w:numPr>
        <w:rPr>
          <w:rFonts w:ascii="Arial" w:cs="Arial" w:eastAsia="Arial" w:hAnsi="Arial"/>
          <w:sz w:val="14"/>
          <w:szCs w:val="14"/>
          <w:i w:val="1"/>
          <w:iCs w:val="1"/>
          <w:color w:val="auto"/>
        </w:rPr>
      </w:pPr>
      <w:r>
        <w:rPr>
          <w:rFonts w:ascii="Arial" w:cs="Arial" w:eastAsia="Arial" w:hAnsi="Arial"/>
          <w:sz w:val="14"/>
          <w:szCs w:val="14"/>
          <w:color w:val="auto"/>
        </w:rPr>
        <w:t>for recoveries through an insurance claim, we record a recoverable asset (not to exceed the amount of the total losses incurred) only when the collectability of such claim is considered probable. To evaluate the probable collectability of an insurance claim, we consider communications with our insurance company.</w:t>
      </w:r>
    </w:p>
    <w:p>
      <w:pPr>
        <w:spacing w:after="0" w:line="109" w:lineRule="exact"/>
        <w:rPr>
          <w:rFonts w:ascii="Arial" w:cs="Arial" w:eastAsia="Arial" w:hAnsi="Arial"/>
          <w:sz w:val="14"/>
          <w:szCs w:val="14"/>
          <w:i w:val="1"/>
          <w:iCs w:val="1"/>
          <w:color w:val="auto"/>
        </w:rPr>
      </w:pPr>
    </w:p>
    <w:p>
      <w:pPr>
        <w:ind w:left="520" w:hanging="253"/>
        <w:spacing w:after="0"/>
        <w:tabs>
          <w:tab w:leader="none" w:pos="520" w:val="left"/>
        </w:tabs>
        <w:numPr>
          <w:ilvl w:val="0"/>
          <w:numId w:val="10"/>
        </w:numPr>
        <w:rPr>
          <w:rFonts w:ascii="Arial" w:cs="Arial" w:eastAsia="Arial" w:hAnsi="Arial"/>
          <w:sz w:val="13"/>
          <w:szCs w:val="13"/>
          <w:i w:val="1"/>
          <w:iCs w:val="1"/>
          <w:color w:val="auto"/>
        </w:rPr>
      </w:pPr>
      <w:r>
        <w:rPr>
          <w:rFonts w:ascii="Arial" w:cs="Arial" w:eastAsia="Arial" w:hAnsi="Arial"/>
          <w:sz w:val="13"/>
          <w:szCs w:val="13"/>
          <w:color w:val="auto"/>
        </w:rPr>
        <w:t>for gain contingencies resulting from legal settlements, we record those settlements in our consolidated statements of operations when cash or other forms of payments are received.</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contingencies</w:t>
      </w:r>
    </w:p>
    <w:p>
      <w:pPr>
        <w:spacing w:after="0" w:line="143" w:lineRule="exact"/>
        <w:rPr>
          <w:sz w:val="20"/>
          <w:szCs w:val="20"/>
          <w:color w:val="auto"/>
        </w:rPr>
      </w:pPr>
    </w:p>
    <w:p>
      <w:pPr>
        <w:ind w:right="240"/>
        <w:spacing w:after="0" w:line="232" w:lineRule="auto"/>
        <w:rPr>
          <w:sz w:val="20"/>
          <w:szCs w:val="20"/>
          <w:color w:val="auto"/>
        </w:rPr>
      </w:pPr>
      <w:r>
        <w:rPr>
          <w:rFonts w:ascii="Arial" w:cs="Arial" w:eastAsia="Arial" w:hAnsi="Arial"/>
          <w:sz w:val="14"/>
          <w:szCs w:val="14"/>
          <w:color w:val="auto"/>
        </w:rPr>
        <w:t>From time to time, we are involved with claims and lawsuits arising in the ordinary course of our business that may include contractual obligations, insurance claims, tax claims, employment matters, and anti-trust issues, among other matters. We provide accruals for matters that have probable likelihood of occurrence and can be properly estimated as to their expected negative outcome.</w:t>
      </w:r>
    </w:p>
    <w:p>
      <w:pPr>
        <w:jc w:val="center"/>
        <w:ind w:right="-59"/>
        <w:spacing w:after="0"/>
        <w:rPr>
          <w:sz w:val="20"/>
          <w:szCs w:val="20"/>
          <w:color w:val="auto"/>
        </w:rPr>
      </w:pPr>
      <w:r>
        <w:rPr>
          <w:rFonts w:ascii="Arial" w:cs="Arial" w:eastAsia="Arial" w:hAnsi="Arial"/>
          <w:sz w:val="14"/>
          <w:szCs w:val="14"/>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40"/>
          </w:cols>
          <w:pgMar w:left="300" w:top="270" w:right="359" w:bottom="1440" w:gutter="0" w:footer="0" w:header="0"/>
        </w:sectPr>
      </w:pPr>
    </w:p>
    <w:bookmarkStart w:id="53" w:name="page54"/>
    <w:bookmarkEnd w:id="53"/>
    <w:p>
      <w:pPr>
        <w:ind w:right="40"/>
        <w:spacing w:after="0" w:line="259" w:lineRule="auto"/>
        <w:rPr>
          <w:sz w:val="20"/>
          <w:szCs w:val="20"/>
          <w:color w:val="auto"/>
        </w:rPr>
      </w:pPr>
      <w:r>
        <w:rPr>
          <w:rFonts w:ascii="Arial" w:cs="Arial" w:eastAsia="Arial" w:hAnsi="Arial"/>
          <w:sz w:val="14"/>
          <w:szCs w:val="14"/>
          <w:color w:val="auto"/>
        </w:rPr>
        <w:t xml:space="preserve">We do not record expected gains until the proceeds (either in cash or other forms of payments) are received by us. Please refer to </w:t>
      </w:r>
      <w:r>
        <w:rPr>
          <w:rFonts w:ascii="Arial" w:cs="Arial" w:eastAsia="Arial" w:hAnsi="Arial"/>
          <w:sz w:val="14"/>
          <w:szCs w:val="14"/>
          <w:i w:val="1"/>
          <w:iCs w:val="1"/>
          <w:color w:val="auto"/>
        </w:rPr>
        <w:t>Part II, Item 8 – Financial Statements and Supplementary Data</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—Notes to Consolidated Financial Statements-- Note 13 – Commitments and Contingencies </w:t>
      </w:r>
      <w:r>
        <w:rPr>
          <w:rFonts w:ascii="Arial" w:cs="Arial" w:eastAsia="Arial" w:hAnsi="Arial"/>
          <w:sz w:val="14"/>
          <w:szCs w:val="14"/>
          <w:color w:val="auto"/>
        </w:rPr>
        <w:t>for more information on legal matters.</w:t>
      </w:r>
    </w:p>
    <w:p>
      <w:pPr>
        <w:spacing w:after="0" w:line="108" w:lineRule="exact"/>
        <w:rPr>
          <w:sz w:val="20"/>
          <w:szCs w:val="20"/>
          <w:color w:val="auto"/>
        </w:rPr>
      </w:pPr>
    </w:p>
    <w:p>
      <w:pPr>
        <w:ind w:right="120"/>
        <w:spacing w:after="0" w:line="235" w:lineRule="auto"/>
        <w:rPr>
          <w:sz w:val="20"/>
          <w:szCs w:val="20"/>
          <w:color w:val="auto"/>
        </w:rPr>
      </w:pPr>
      <w:r>
        <w:rPr>
          <w:rFonts w:ascii="Arial" w:cs="Arial" w:eastAsia="Arial" w:hAnsi="Arial"/>
          <w:sz w:val="14"/>
          <w:szCs w:val="14"/>
          <w:color w:val="auto"/>
        </w:rPr>
        <w:t xml:space="preserve">For a summary of our significant accounting policies, including the critical accounting estimates discussed above, see </w:t>
      </w:r>
      <w:r>
        <w:rPr>
          <w:rFonts w:ascii="Arial" w:cs="Arial" w:eastAsia="Arial" w:hAnsi="Arial"/>
          <w:sz w:val="14"/>
          <w:szCs w:val="14"/>
          <w:i w:val="1"/>
          <w:iCs w:val="1"/>
          <w:color w:val="auto"/>
        </w:rPr>
        <w:t>Part II, Item 8 – Financial Statements and Supplementary Data—Notes to</w:t>
      </w:r>
      <w:r>
        <w:rPr>
          <w:rFonts w:ascii="Arial" w:cs="Arial" w:eastAsia="Arial" w:hAnsi="Arial"/>
          <w:sz w:val="14"/>
          <w:szCs w:val="14"/>
          <w:color w:val="auto"/>
        </w:rPr>
        <w:t xml:space="preserve"> </w:t>
      </w:r>
      <w:r>
        <w:rPr>
          <w:rFonts w:ascii="Arial" w:cs="Arial" w:eastAsia="Arial" w:hAnsi="Arial"/>
          <w:sz w:val="14"/>
          <w:szCs w:val="14"/>
          <w:i w:val="1"/>
          <w:iCs w:val="1"/>
          <w:color w:val="auto"/>
        </w:rPr>
        <w:t>Consolidated Financial Statements-- Note 2</w:t>
      </w:r>
      <w:r>
        <w:rPr>
          <w:rFonts w:ascii="Arial" w:cs="Arial" w:eastAsia="Arial" w:hAnsi="Arial"/>
          <w:sz w:val="14"/>
          <w:szCs w:val="14"/>
          <w:color w:val="auto"/>
        </w:rPr>
        <w:t>.</w:t>
      </w:r>
    </w:p>
    <w:p>
      <w:pPr>
        <w:spacing w:after="0" w:line="236" w:lineRule="auto"/>
        <w:rPr>
          <w:sz w:val="20"/>
          <w:szCs w:val="20"/>
          <w:color w:val="auto"/>
        </w:rPr>
      </w:pPr>
      <w:r>
        <w:rPr>
          <w:rFonts w:ascii="Arial" w:cs="Arial" w:eastAsia="Arial" w:hAnsi="Arial"/>
          <w:sz w:val="14"/>
          <w:szCs w:val="14"/>
          <w:color w:val="808080"/>
        </w:rPr>
        <w:t>Click or tap here to enter text.</w:t>
      </w:r>
    </w:p>
    <w:p>
      <w:pPr>
        <w:spacing w:after="0"/>
        <w:rPr>
          <w:sz w:val="20"/>
          <w:szCs w:val="20"/>
          <w:color w:val="auto"/>
        </w:rPr>
      </w:pPr>
      <w:r>
        <w:rPr>
          <w:rFonts w:ascii="Arial" w:cs="Arial" w:eastAsia="Arial" w:hAnsi="Arial"/>
          <w:sz w:val="17"/>
          <w:szCs w:val="17"/>
          <w:b w:val="1"/>
          <w:bCs w:val="1"/>
          <w:u w:val="single" w:color="auto"/>
          <w:color w:val="auto"/>
        </w:rPr>
        <w:t>Item 7A – Quantitative and Qualitative Disclosure about Market Risk</w:t>
      </w:r>
    </w:p>
    <w:p>
      <w:pPr>
        <w:spacing w:after="0" w:line="154" w:lineRule="exact"/>
        <w:rPr>
          <w:sz w:val="20"/>
          <w:szCs w:val="20"/>
          <w:color w:val="auto"/>
        </w:rPr>
      </w:pPr>
    </w:p>
    <w:p>
      <w:pPr>
        <w:ind w:right="80"/>
        <w:spacing w:after="0" w:line="242" w:lineRule="auto"/>
        <w:rPr>
          <w:sz w:val="20"/>
          <w:szCs w:val="20"/>
          <w:color w:val="auto"/>
        </w:rPr>
      </w:pPr>
      <w:r>
        <w:rPr>
          <w:rFonts w:ascii="Arial" w:cs="Arial" w:eastAsia="Arial" w:hAnsi="Arial"/>
          <w:sz w:val="14"/>
          <w:szCs w:val="14"/>
          <w:color w:val="auto"/>
        </w:rPr>
        <w:t>The SEC requires that registrants include information about potential effects of changes in currency exchange and interest rates in their Form 10-K filings. Several alternatives, all with some limitations, have been offered. The following discussion is based on a sensitivity analysis, which models the effects of fluctuations in currency exchange rates and interest rates. This analysis is constrained by several factors, including the following:</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it is based on a single point in time; and</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it does not include the effects of other complex market reactions that would arise from the changes modeled.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Although the results of such an analysis may be useful as a benchmark, they should not be viewed as forecasts.</w:t>
      </w:r>
    </w:p>
    <w:p>
      <w:pPr>
        <w:spacing w:after="0" w:line="14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At December 31, 2021, approximately 40% and 8% of our assets were invested in assets denominated in Australian dollars (Reading Australia) and New Zealand dollars (Reading New Zealand), respectively, including approximately $51.8 million in cash and cash equivalents. At December 31, 2020, approximately 39% and 12% of our assets were invested in assets denominated in Australian and New Zealand dollars, respectively, including approximately $19.1 million in cash and cash equivalents.</w:t>
      </w:r>
    </w:p>
    <w:p>
      <w:pPr>
        <w:spacing w:after="0" w:line="120" w:lineRule="exact"/>
        <w:rPr>
          <w:sz w:val="20"/>
          <w:szCs w:val="20"/>
          <w:color w:val="auto"/>
        </w:rPr>
      </w:pPr>
    </w:p>
    <w:p>
      <w:pPr>
        <w:ind w:right="60"/>
        <w:spacing w:after="0" w:line="261" w:lineRule="auto"/>
        <w:rPr>
          <w:sz w:val="20"/>
          <w:szCs w:val="20"/>
          <w:color w:val="auto"/>
        </w:rPr>
      </w:pPr>
      <w:r>
        <w:rPr>
          <w:rFonts w:ascii="Arial" w:cs="Arial" w:eastAsia="Arial" w:hAnsi="Arial"/>
          <w:sz w:val="13"/>
          <w:szCs w:val="13"/>
          <w:color w:val="auto"/>
        </w:rPr>
        <w:t>Our policy in Australia and New Zealand is to match revenues and expenses, whenever possible, in local currencies. As a result, we have procured in local currencies a majority of our expenses in Australia and New Zealand. Despite this natural hedge, recent movements in foreign currencies have had an effect on our current earnings. The effect of the translation adjustment on our assets and liabilities noted in our other comprehensive income was an increase of $8.1 million for the year ended December 31, 2021. As we continue to progress our acquisition and development activities in Australia and New Zealand, no assurances can be given that the foreign currency effect on our earnings will not be material in the future.</w:t>
      </w:r>
    </w:p>
    <w:p>
      <w:pPr>
        <w:spacing w:after="0" w:line="109" w:lineRule="exact"/>
        <w:rPr>
          <w:sz w:val="20"/>
          <w:szCs w:val="20"/>
          <w:color w:val="auto"/>
        </w:rPr>
      </w:pPr>
    </w:p>
    <w:p>
      <w:pPr>
        <w:ind w:right="40"/>
        <w:spacing w:after="0" w:line="233" w:lineRule="auto"/>
        <w:rPr>
          <w:sz w:val="20"/>
          <w:szCs w:val="20"/>
          <w:color w:val="auto"/>
        </w:rPr>
      </w:pPr>
      <w:r>
        <w:rPr>
          <w:rFonts w:ascii="Arial" w:cs="Arial" w:eastAsia="Arial" w:hAnsi="Arial"/>
          <w:sz w:val="14"/>
          <w:szCs w:val="14"/>
          <w:color w:val="auto"/>
        </w:rPr>
        <w:t>Historically, our policy has been to borrow in local currencies to finance the development and construction of our long-term assets in Australia, and New Zealand. As a result, the borrowings in local currencies have provided somewhat of a natural hedge against the foreign currency exchange exposure. Even so, and as a result of our issuance of fully subordinated Trust Preferred Securities in 2007, and their subsequent partial repayment, approximately 24% and 37% of our Australian and New Zealand assets, respectively, remain subject to such exposure, unless we elect to hedge our foreign currency exchange between the U.S. and Australian and New Zealand dollars. If the foreign currency rates were to fluctuate by 10%, the resulting change in Australian and New Zealand assets would result in an increase or decrease of $6.7 million and $2.1 million, respectively, and the change in our net income for the year would be $2.5 million and $3.4 million, respectively. Presently, we have no plans to hedge such exposure.</w:t>
      </w:r>
    </w:p>
    <w:p>
      <w:pPr>
        <w:spacing w:after="0" w:line="125" w:lineRule="exact"/>
        <w:rPr>
          <w:sz w:val="20"/>
          <w:szCs w:val="20"/>
          <w:color w:val="auto"/>
        </w:rPr>
      </w:pPr>
    </w:p>
    <w:p>
      <w:pPr>
        <w:jc w:val="both"/>
        <w:ind w:right="20"/>
        <w:spacing w:after="0" w:line="242" w:lineRule="auto"/>
        <w:rPr>
          <w:sz w:val="20"/>
          <w:szCs w:val="20"/>
          <w:color w:val="auto"/>
        </w:rPr>
      </w:pPr>
      <w:r>
        <w:rPr>
          <w:rFonts w:ascii="Arial" w:cs="Arial" w:eastAsia="Arial" w:hAnsi="Arial"/>
          <w:sz w:val="14"/>
          <w:szCs w:val="14"/>
          <w:color w:val="auto"/>
        </w:rPr>
        <w:t>With changes in the tax landscape caused by the Tax Cuts and Jobs Act of 2017, we may reconsider our strategy for financing operations and redevelopment projects in the three countries we are invested in, which may include increased borrowings from banks in higher-tax countries, and dividends to the U.S. from foreign subsidiaries, being mindful of withholding taxes on interest, and thin capitalization limitations on interest deduction in Australia and New Zealand.</w:t>
      </w:r>
    </w:p>
    <w:p>
      <w:pPr>
        <w:spacing w:after="0" w:line="120" w:lineRule="exact"/>
        <w:rPr>
          <w:sz w:val="20"/>
          <w:szCs w:val="20"/>
          <w:color w:val="auto"/>
        </w:rPr>
      </w:pPr>
    </w:p>
    <w:p>
      <w:pPr>
        <w:ind w:right="460"/>
        <w:spacing w:after="0" w:line="258" w:lineRule="auto"/>
        <w:rPr>
          <w:sz w:val="20"/>
          <w:szCs w:val="20"/>
          <w:color w:val="auto"/>
        </w:rPr>
      </w:pPr>
      <w:r>
        <w:rPr>
          <w:rFonts w:ascii="Arial" w:cs="Arial" w:eastAsia="Arial" w:hAnsi="Arial"/>
          <w:sz w:val="14"/>
          <w:szCs w:val="14"/>
          <w:color w:val="auto"/>
        </w:rPr>
        <w:t>We record unrealized foreign currency translation gains or losses that could materially affect our financial position. We have accumulated unrealized foreign currency translation gains of approximately $6.8 million and $15.0 million as of December 31, 2021 and 2020, respectively.</w:t>
      </w:r>
    </w:p>
    <w:p>
      <w:pPr>
        <w:spacing w:after="0" w:line="109" w:lineRule="exact"/>
        <w:rPr>
          <w:sz w:val="20"/>
          <w:szCs w:val="20"/>
          <w:color w:val="auto"/>
        </w:rPr>
      </w:pPr>
    </w:p>
    <w:p>
      <w:pPr>
        <w:jc w:val="both"/>
        <w:ind w:right="60"/>
        <w:spacing w:after="0" w:line="270" w:lineRule="auto"/>
        <w:rPr>
          <w:sz w:val="20"/>
          <w:szCs w:val="20"/>
          <w:color w:val="auto"/>
        </w:rPr>
      </w:pPr>
      <w:r>
        <w:rPr>
          <w:rFonts w:ascii="Arial" w:cs="Arial" w:eastAsia="Arial" w:hAnsi="Arial"/>
          <w:sz w:val="13"/>
          <w:szCs w:val="13"/>
          <w:color w:val="auto"/>
        </w:rPr>
        <w:t>Historically, we maintained most of our cash and cash equivalent balances in short-term money market instruments with original maturities of three months or less. Due to the short-term nature of such investments, a change of 1% in short-term interest rates would not have a material effect on our financial condition. The negative spread between our borrowing costs and earned interest will exacerbate as we hold cash to provide a safety net to meet our expenses while some of our cinema operations remain closed and some of our tenant income curtailed.</w:t>
      </w:r>
    </w:p>
    <w:p>
      <w:pPr>
        <w:spacing w:after="0" w:line="103" w:lineRule="exact"/>
        <w:rPr>
          <w:sz w:val="20"/>
          <w:szCs w:val="20"/>
          <w:color w:val="auto"/>
        </w:rPr>
      </w:pPr>
    </w:p>
    <w:p>
      <w:pPr>
        <w:jc w:val="both"/>
        <w:ind w:right="60"/>
        <w:spacing w:after="0" w:line="258" w:lineRule="auto"/>
        <w:rPr>
          <w:sz w:val="20"/>
          <w:szCs w:val="20"/>
          <w:color w:val="auto"/>
        </w:rPr>
      </w:pPr>
      <w:r>
        <w:rPr>
          <w:rFonts w:ascii="Arial" w:cs="Arial" w:eastAsia="Arial" w:hAnsi="Arial"/>
          <w:sz w:val="14"/>
          <w:szCs w:val="14"/>
          <w:color w:val="auto"/>
        </w:rPr>
        <w:t>We have a combination of fixed and variable interest rate loans. In connection with our variable interest rate loans, a change of approximately 1% in short-term interest rates would have resulted in approximately $1.6 million increase or decrease in our 2021 interest expense.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For further discussion on market risks, please refer to </w:t>
      </w:r>
      <w:r>
        <w:rPr>
          <w:rFonts w:ascii="Arial" w:cs="Arial" w:eastAsia="Arial" w:hAnsi="Arial"/>
          <w:sz w:val="14"/>
          <w:szCs w:val="14"/>
          <w:i w:val="1"/>
          <w:iCs w:val="1"/>
          <w:color w:val="auto"/>
        </w:rPr>
        <w:t>International Business Risks</w:t>
      </w:r>
      <w:r>
        <w:rPr>
          <w:rFonts w:ascii="Arial" w:cs="Arial" w:eastAsia="Arial" w:hAnsi="Arial"/>
          <w:sz w:val="14"/>
          <w:szCs w:val="14"/>
          <w:color w:val="auto"/>
        </w:rPr>
        <w:t xml:space="preserve"> included in </w:t>
      </w:r>
      <w:r>
        <w:rPr>
          <w:rFonts w:ascii="Arial" w:cs="Arial" w:eastAsia="Arial" w:hAnsi="Arial"/>
          <w:sz w:val="14"/>
          <w:szCs w:val="14"/>
          <w:i w:val="1"/>
          <w:iCs w:val="1"/>
          <w:color w:val="auto"/>
        </w:rPr>
        <w:t>Item 1A – Risk Factors</w:t>
      </w:r>
      <w:r>
        <w:rPr>
          <w:rFonts w:ascii="Arial" w:cs="Arial" w:eastAsia="Arial" w:hAnsi="Arial"/>
          <w:sz w:val="14"/>
          <w:szCs w:val="14"/>
          <w:color w:val="auto"/>
        </w:rPr>
        <w:t>.</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40"/>
          </w:cols>
          <w:pgMar w:left="300" w:top="118" w:right="35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u w:val="single" w:color="auto"/>
          <w:color w:val="auto"/>
        </w:rPr>
        <w:t>Item 8 – Financial Statements and Supplementary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6"/>
          </w:tcPr>
          <w:p>
            <w:pPr>
              <w:jc w:val="center"/>
              <w:ind w:left="168"/>
              <w:spacing w:after="0"/>
              <w:rPr>
                <w:sz w:val="20"/>
                <w:szCs w:val="20"/>
                <w:color w:val="auto"/>
              </w:rPr>
            </w:pPr>
            <w:r>
              <w:rPr>
                <w:rFonts w:ascii="Arial" w:cs="Arial" w:eastAsia="Arial" w:hAnsi="Arial"/>
                <w:sz w:val="14"/>
                <w:szCs w:val="14"/>
                <w:b w:val="1"/>
                <w:bCs w:val="1"/>
                <w:color w:val="auto"/>
              </w:rPr>
              <w:t>READING INTERNATIONAL, INC.</w:t>
            </w:r>
          </w:p>
        </w:tc>
        <w:tc>
          <w:tcPr>
            <w:tcW w:w="4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TABLE OF CONTENTS</w:t>
            </w:r>
          </w:p>
        </w:tc>
        <w:tc>
          <w:tcPr>
            <w:tcW w:w="4800" w:type="dxa"/>
            <w:vAlign w:val="bottom"/>
            <w:vMerge w:val="restart"/>
          </w:tcPr>
          <w:p>
            <w:pPr>
              <w:jc w:val="right"/>
              <w:ind w:right="268"/>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shd w:val="clear" w:color="auto" w:fill="CCEEFF"/>
          </w:tcPr>
          <w:p>
            <w:pPr>
              <w:spacing w:after="0"/>
              <w:rPr>
                <w:sz w:val="11"/>
                <w:szCs w:val="11"/>
                <w:color w:val="auto"/>
              </w:rPr>
            </w:pPr>
          </w:p>
        </w:tc>
        <w:tc>
          <w:tcPr>
            <w:tcW w:w="6460" w:type="dxa"/>
            <w:vAlign w:val="bottom"/>
            <w:gridSpan w:val="27"/>
            <w:shd w:val="clear" w:color="auto" w:fill="CCEEFF"/>
          </w:tcPr>
          <w:p>
            <w:pPr>
              <w:spacing w:after="0" w:line="130" w:lineRule="exact"/>
              <w:rPr>
                <w:rFonts w:ascii="Arial" w:cs="Arial" w:eastAsia="Arial" w:hAnsi="Arial"/>
                <w:sz w:val="14"/>
                <w:szCs w:val="14"/>
                <w:color w:val="0000FF"/>
              </w:rPr>
            </w:pPr>
            <w:hyperlink w:anchor="page56">
              <w:r>
                <w:rPr>
                  <w:rFonts w:ascii="Arial" w:cs="Arial" w:eastAsia="Arial" w:hAnsi="Arial"/>
                  <w:sz w:val="14"/>
                  <w:szCs w:val="14"/>
                  <w:color w:val="0000FF"/>
                </w:rPr>
                <w:t>Management’s Report on Internal Control over Financial Reporting</w:t>
              </w:r>
            </w:hyperlink>
          </w:p>
        </w:tc>
        <w:tc>
          <w:tcPr>
            <w:tcW w:w="4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460" w:type="dxa"/>
            <w:vAlign w:val="bottom"/>
            <w:gridSpan w:val="27"/>
          </w:tcPr>
          <w:p>
            <w:pPr>
              <w:spacing w:after="0" w:line="130" w:lineRule="exact"/>
              <w:rPr>
                <w:rFonts w:ascii="Arial" w:cs="Arial" w:eastAsia="Arial" w:hAnsi="Arial"/>
                <w:sz w:val="14"/>
                <w:szCs w:val="14"/>
                <w:color w:val="0000FF"/>
              </w:rPr>
            </w:pPr>
            <w:hyperlink w:anchor="page56">
              <w:r>
                <w:rPr>
                  <w:rFonts w:ascii="Arial" w:cs="Arial" w:eastAsia="Arial" w:hAnsi="Arial"/>
                  <w:sz w:val="14"/>
                  <w:szCs w:val="14"/>
                  <w:color w:val="0000FF"/>
                </w:rPr>
                <w:t xml:space="preserve">Report of Independent Registered Public Accounting Firm </w:t>
              </w:r>
            </w:hyperlink>
            <w:r>
              <w:rPr>
                <w:rFonts w:ascii="Arial" w:cs="Arial" w:eastAsia="Arial" w:hAnsi="Arial"/>
                <w:sz w:val="14"/>
                <w:szCs w:val="14"/>
                <w:color w:val="000000"/>
              </w:rPr>
              <w:t>(PCAOB</w:t>
            </w:r>
            <w:r>
              <w:rPr>
                <w:rFonts w:ascii="Arial" w:cs="Arial" w:eastAsia="Arial" w:hAnsi="Arial"/>
                <w:sz w:val="14"/>
                <w:szCs w:val="14"/>
                <w:color w:val="0000FF"/>
              </w:rPr>
              <w:t xml:space="preserve"> </w:t>
            </w:r>
            <w:r>
              <w:rPr>
                <w:rFonts w:ascii="Arial" w:cs="Arial" w:eastAsia="Arial" w:hAnsi="Arial"/>
                <w:sz w:val="14"/>
                <w:szCs w:val="14"/>
                <w:color w:val="000000"/>
              </w:rPr>
              <w:t>ID Number 248)</w:t>
            </w:r>
          </w:p>
        </w:tc>
        <w:tc>
          <w:tcPr>
            <w:tcW w:w="4800" w:type="dxa"/>
            <w:vAlign w:val="bottom"/>
          </w:tcPr>
          <w:p>
            <w:pPr>
              <w:jc w:val="right"/>
              <w:spacing w:after="0" w:line="130"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shd w:val="clear" w:color="auto" w:fill="CCEEFF"/>
          </w:tcPr>
          <w:p>
            <w:pPr>
              <w:spacing w:after="0"/>
              <w:rPr>
                <w:sz w:val="11"/>
                <w:szCs w:val="11"/>
                <w:color w:val="auto"/>
              </w:rPr>
            </w:pPr>
          </w:p>
        </w:tc>
        <w:tc>
          <w:tcPr>
            <w:tcW w:w="6460" w:type="dxa"/>
            <w:vAlign w:val="bottom"/>
            <w:gridSpan w:val="27"/>
            <w:shd w:val="clear" w:color="auto" w:fill="CCEEFF"/>
          </w:tcPr>
          <w:p>
            <w:pPr>
              <w:spacing w:after="0" w:line="130" w:lineRule="exact"/>
              <w:rPr>
                <w:rFonts w:ascii="Arial" w:cs="Arial" w:eastAsia="Arial" w:hAnsi="Arial"/>
                <w:sz w:val="14"/>
                <w:szCs w:val="14"/>
                <w:color w:val="0000FF"/>
              </w:rPr>
            </w:pPr>
            <w:hyperlink w:anchor="page58">
              <w:r>
                <w:rPr>
                  <w:rFonts w:ascii="Arial" w:cs="Arial" w:eastAsia="Arial" w:hAnsi="Arial"/>
                  <w:sz w:val="14"/>
                  <w:szCs w:val="14"/>
                  <w:color w:val="0000FF"/>
                </w:rPr>
                <w:t>Report of Independent Registered Public Accounting Firm (Internal Control over Financial Reporting)</w:t>
              </w:r>
            </w:hyperlink>
          </w:p>
        </w:tc>
        <w:tc>
          <w:tcPr>
            <w:tcW w:w="4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30"/>
        </w:trPr>
        <w:tc>
          <w:tcPr>
            <w:tcW w:w="20" w:type="dxa"/>
            <w:vAlign w:val="bottom"/>
            <w:tcBorders>
              <w:top w:val="single" w:sz="8" w:color="CCEEFF"/>
            </w:tcBorders>
          </w:tcPr>
          <w:p>
            <w:pPr>
              <w:spacing w:after="0"/>
              <w:rPr>
                <w:sz w:val="11"/>
                <w:szCs w:val="11"/>
                <w:color w:val="auto"/>
              </w:rPr>
            </w:pPr>
          </w:p>
        </w:tc>
        <w:tc>
          <w:tcPr>
            <w:tcW w:w="5920" w:type="dxa"/>
            <w:vAlign w:val="bottom"/>
            <w:tcBorders>
              <w:top w:val="single" w:sz="8" w:color="0000FF"/>
            </w:tcBorders>
            <w:gridSpan w:val="26"/>
          </w:tcPr>
          <w:p>
            <w:pPr>
              <w:spacing w:after="0" w:line="130" w:lineRule="exact"/>
              <w:rPr>
                <w:rFonts w:ascii="Arial" w:cs="Arial" w:eastAsia="Arial" w:hAnsi="Arial"/>
                <w:sz w:val="14"/>
                <w:szCs w:val="14"/>
                <w:color w:val="0000FF"/>
              </w:rPr>
            </w:pPr>
            <w:hyperlink w:anchor="page60">
              <w:r>
                <w:rPr>
                  <w:rFonts w:ascii="Arial" w:cs="Arial" w:eastAsia="Arial" w:hAnsi="Arial"/>
                  <w:sz w:val="14"/>
                  <w:szCs w:val="14"/>
                  <w:color w:val="0000FF"/>
                </w:rPr>
                <w:t>Consolidated Balance Sheets as of December 31, 2021 and 2020</w:t>
              </w:r>
            </w:hyperlink>
          </w:p>
        </w:tc>
        <w:tc>
          <w:tcPr>
            <w:tcW w:w="540" w:type="dxa"/>
            <w:vAlign w:val="bottom"/>
            <w:tcBorders>
              <w:top w:val="single" w:sz="8" w:color="CCEEFF"/>
            </w:tcBorders>
          </w:tcPr>
          <w:p>
            <w:pPr>
              <w:spacing w:after="0"/>
              <w:rPr>
                <w:sz w:val="11"/>
                <w:szCs w:val="11"/>
                <w:color w:val="auto"/>
              </w:rPr>
            </w:pPr>
          </w:p>
        </w:tc>
        <w:tc>
          <w:tcPr>
            <w:tcW w:w="4800" w:type="dxa"/>
            <w:vAlign w:val="bottom"/>
            <w:tcBorders>
              <w:top w:val="single" w:sz="8" w:color="CCEEFF"/>
            </w:tcBorders>
          </w:tcPr>
          <w:p>
            <w:pPr>
              <w:jc w:val="right"/>
              <w:spacing w:after="0" w:line="130"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shd w:val="clear" w:color="auto" w:fill="CCEEFF"/>
          </w:tcPr>
          <w:p>
            <w:pPr>
              <w:spacing w:after="0"/>
              <w:rPr>
                <w:sz w:val="11"/>
                <w:szCs w:val="11"/>
                <w:color w:val="auto"/>
              </w:rPr>
            </w:pPr>
          </w:p>
        </w:tc>
        <w:tc>
          <w:tcPr>
            <w:tcW w:w="6460" w:type="dxa"/>
            <w:vAlign w:val="bottom"/>
            <w:gridSpan w:val="27"/>
            <w:shd w:val="clear" w:color="auto" w:fill="CCEEFF"/>
          </w:tcPr>
          <w:p>
            <w:pPr>
              <w:spacing w:after="0" w:line="130" w:lineRule="exact"/>
              <w:rPr>
                <w:rFonts w:ascii="Arial" w:cs="Arial" w:eastAsia="Arial" w:hAnsi="Arial"/>
                <w:sz w:val="14"/>
                <w:szCs w:val="14"/>
                <w:color w:val="0000FF"/>
              </w:rPr>
            </w:pPr>
            <w:hyperlink w:anchor="page62">
              <w:r>
                <w:rPr>
                  <w:rFonts w:ascii="Arial" w:cs="Arial" w:eastAsia="Arial" w:hAnsi="Arial"/>
                  <w:sz w:val="14"/>
                  <w:szCs w:val="14"/>
                  <w:color w:val="0000FF"/>
                </w:rPr>
                <w:t>Consolidated Statements of Operations for the Three Years Ended December 31, 2021</w:t>
              </w:r>
            </w:hyperlink>
          </w:p>
        </w:tc>
        <w:tc>
          <w:tcPr>
            <w:tcW w:w="4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tcBorders>
              <w:right w:val="single" w:sz="8" w:color="CCEEFF"/>
            </w:tcBorders>
            <w:shd w:val="clear" w:color="auto" w:fill="0000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6460" w:type="dxa"/>
            <w:vAlign w:val="bottom"/>
            <w:gridSpan w:val="27"/>
          </w:tcPr>
          <w:p>
            <w:pPr>
              <w:spacing w:after="0" w:line="130" w:lineRule="exact"/>
              <w:rPr>
                <w:rFonts w:ascii="Arial" w:cs="Arial" w:eastAsia="Arial" w:hAnsi="Arial"/>
                <w:sz w:val="14"/>
                <w:szCs w:val="14"/>
                <w:color w:val="0000FF"/>
              </w:rPr>
            </w:pPr>
            <w:hyperlink w:anchor="page63">
              <w:r>
                <w:rPr>
                  <w:rFonts w:ascii="Arial" w:cs="Arial" w:eastAsia="Arial" w:hAnsi="Arial"/>
                  <w:sz w:val="14"/>
                  <w:szCs w:val="14"/>
                  <w:color w:val="0000FF"/>
                </w:rPr>
                <w:t>Consolidated Statements of Comprehensive Income for the Three Years Ended December 31, 2021</w:t>
              </w:r>
            </w:hyperlink>
          </w:p>
        </w:tc>
        <w:tc>
          <w:tcPr>
            <w:tcW w:w="4800" w:type="dxa"/>
            <w:vAlign w:val="bottom"/>
          </w:tcPr>
          <w:p>
            <w:pPr>
              <w:jc w:val="right"/>
              <w:spacing w:after="0" w:line="130"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2"/>
        </w:trPr>
        <w:tc>
          <w:tcPr>
            <w:tcW w:w="20" w:type="dxa"/>
            <w:vAlign w:val="bottom"/>
            <w:tcBorders>
              <w:bottom w:val="single" w:sz="8" w:color="CCEEFF"/>
            </w:tcBorders>
            <w:shd w:val="clear" w:color="auto" w:fill="CCEEFF"/>
          </w:tcPr>
          <w:p>
            <w:pPr>
              <w:spacing w:after="0"/>
              <w:rPr>
                <w:sz w:val="11"/>
                <w:szCs w:val="11"/>
                <w:color w:val="auto"/>
              </w:rPr>
            </w:pPr>
          </w:p>
        </w:tc>
        <w:tc>
          <w:tcPr>
            <w:tcW w:w="5580" w:type="dxa"/>
            <w:vAlign w:val="bottom"/>
            <w:tcBorders>
              <w:top w:val="single" w:sz="8" w:color="0000FF"/>
              <w:bottom w:val="single" w:sz="8" w:color="0000FF"/>
            </w:tcBorders>
            <w:gridSpan w:val="24"/>
            <w:shd w:val="clear" w:color="auto" w:fill="CCEEFF"/>
          </w:tcPr>
          <w:p>
            <w:pPr>
              <w:spacing w:after="0" w:line="130" w:lineRule="exact"/>
              <w:rPr>
                <w:rFonts w:ascii="Arial" w:cs="Arial" w:eastAsia="Arial" w:hAnsi="Arial"/>
                <w:sz w:val="14"/>
                <w:szCs w:val="14"/>
                <w:color w:val="0000FF"/>
                <w:w w:val="92"/>
              </w:rPr>
            </w:pPr>
            <w:hyperlink w:anchor="page64">
              <w:r>
                <w:rPr>
                  <w:rFonts w:ascii="Arial" w:cs="Arial" w:eastAsia="Arial" w:hAnsi="Arial"/>
                  <w:sz w:val="14"/>
                  <w:szCs w:val="14"/>
                  <w:color w:val="0000FF"/>
                  <w:w w:val="92"/>
                </w:rPr>
                <w:t>Consolidated Statements of Stockholders’ Equity for the Three Years Ended December 31, 2021</w:t>
              </w:r>
            </w:hyperlink>
          </w:p>
        </w:tc>
        <w:tc>
          <w:tcPr>
            <w:tcW w:w="140" w:type="dxa"/>
            <w:vAlign w:val="bottom"/>
            <w:tcBorders>
              <w:top w:val="single" w:sz="8" w:color="0000FF"/>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spacing w:after="0"/>
              <w:rPr>
                <w:sz w:val="11"/>
                <w:szCs w:val="11"/>
                <w:color w:val="auto"/>
              </w:rPr>
            </w:pPr>
          </w:p>
        </w:tc>
        <w:tc>
          <w:tcPr>
            <w:tcW w:w="4800" w:type="dxa"/>
            <w:vAlign w:val="bottom"/>
            <w:tcBorders>
              <w:bottom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60" w:type="dxa"/>
            <w:vAlign w:val="bottom"/>
            <w:gridSpan w:val="27"/>
          </w:tcPr>
          <w:p>
            <w:pPr>
              <w:spacing w:after="0" w:line="130" w:lineRule="exact"/>
              <w:rPr>
                <w:rFonts w:ascii="Arial" w:cs="Arial" w:eastAsia="Arial" w:hAnsi="Arial"/>
                <w:sz w:val="14"/>
                <w:szCs w:val="14"/>
                <w:color w:val="0000FF"/>
              </w:rPr>
            </w:pPr>
            <w:hyperlink w:anchor="page65">
              <w:r>
                <w:rPr>
                  <w:rFonts w:ascii="Arial" w:cs="Arial" w:eastAsia="Arial" w:hAnsi="Arial"/>
                  <w:sz w:val="14"/>
                  <w:szCs w:val="14"/>
                  <w:color w:val="0000FF"/>
                </w:rPr>
                <w:t>Consolidated Statements of Cash Flows for the Three Years Ended December 31, 2021</w:t>
              </w:r>
            </w:hyperlink>
          </w:p>
        </w:tc>
        <w:tc>
          <w:tcPr>
            <w:tcW w:w="4800" w:type="dxa"/>
            <w:vAlign w:val="bottom"/>
          </w:tcPr>
          <w:p>
            <w:pPr>
              <w:jc w:val="right"/>
              <w:spacing w:after="0" w:line="130"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30"/>
        </w:trPr>
        <w:tc>
          <w:tcPr>
            <w:tcW w:w="20" w:type="dxa"/>
            <w:vAlign w:val="bottom"/>
            <w:shd w:val="clear" w:color="auto" w:fill="CCEEFF"/>
          </w:tcPr>
          <w:p>
            <w:pPr>
              <w:spacing w:after="0"/>
              <w:rPr>
                <w:sz w:val="11"/>
                <w:szCs w:val="11"/>
                <w:color w:val="auto"/>
              </w:rPr>
            </w:pPr>
          </w:p>
        </w:tc>
        <w:tc>
          <w:tcPr>
            <w:tcW w:w="5020" w:type="dxa"/>
            <w:vAlign w:val="bottom"/>
            <w:tcBorders>
              <w:top w:val="single" w:sz="8" w:color="0000FF"/>
              <w:right w:val="single" w:sz="8" w:color="CCEEFF"/>
            </w:tcBorders>
            <w:gridSpan w:val="23"/>
            <w:shd w:val="clear" w:color="auto" w:fill="CCEEFF"/>
          </w:tcPr>
          <w:p>
            <w:pPr>
              <w:spacing w:after="0" w:line="130" w:lineRule="exact"/>
              <w:rPr>
                <w:rFonts w:ascii="Arial" w:cs="Arial" w:eastAsia="Arial" w:hAnsi="Arial"/>
                <w:sz w:val="14"/>
                <w:szCs w:val="14"/>
                <w:color w:val="0000FF"/>
              </w:rPr>
            </w:pPr>
            <w:hyperlink w:anchor="page67">
              <w:r>
                <w:rPr>
                  <w:rFonts w:ascii="Arial" w:cs="Arial" w:eastAsia="Arial" w:hAnsi="Arial"/>
                  <w:sz w:val="14"/>
                  <w:szCs w:val="14"/>
                  <w:color w:val="0000FF"/>
                </w:rPr>
                <w:t>Notes to Consolidated Financial Statements</w:t>
              </w:r>
            </w:hyperlink>
          </w:p>
        </w:tc>
        <w:tc>
          <w:tcPr>
            <w:tcW w:w="1440" w:type="dxa"/>
            <w:vAlign w:val="bottom"/>
            <w:gridSpan w:val="4"/>
            <w:shd w:val="clear" w:color="auto" w:fill="CCEEFF"/>
          </w:tcPr>
          <w:p>
            <w:pPr>
              <w:spacing w:after="0"/>
              <w:rPr>
                <w:sz w:val="11"/>
                <w:szCs w:val="11"/>
                <w:color w:val="auto"/>
              </w:rPr>
            </w:pPr>
          </w:p>
        </w:tc>
        <w:tc>
          <w:tcPr>
            <w:tcW w:w="4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CCEEFF"/>
            </w:tcBorders>
            <w:shd w:val="clear" w:color="auto" w:fill="0000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380" w:type="dxa"/>
            <w:vAlign w:val="bottom"/>
            <w:tcBorders>
              <w:bottom w:val="single" w:sz="8" w:color="0000FF"/>
            </w:tcBorders>
            <w:gridSpan w:val="18"/>
          </w:tcPr>
          <w:p>
            <w:pPr>
              <w:spacing w:after="0" w:line="130" w:lineRule="exact"/>
              <w:rPr>
                <w:rFonts w:ascii="Arial" w:cs="Arial" w:eastAsia="Arial" w:hAnsi="Arial"/>
                <w:sz w:val="14"/>
                <w:szCs w:val="14"/>
                <w:color w:val="0000FF"/>
                <w:w w:val="94"/>
              </w:rPr>
            </w:pPr>
            <w:hyperlink w:anchor="page67">
              <w:r>
                <w:rPr>
                  <w:rFonts w:ascii="Arial" w:cs="Arial" w:eastAsia="Arial" w:hAnsi="Arial"/>
                  <w:sz w:val="14"/>
                  <w:szCs w:val="14"/>
                  <w:color w:val="0000FF"/>
                  <w:w w:val="94"/>
                </w:rPr>
                <w:t>Note 1 – Description of Business and Segment Reporting</w:t>
              </w:r>
            </w:hyperlink>
          </w:p>
        </w:tc>
        <w:tc>
          <w:tcPr>
            <w:tcW w:w="3080" w:type="dxa"/>
            <w:vAlign w:val="bottom"/>
            <w:gridSpan w:val="9"/>
          </w:tcPr>
          <w:p>
            <w:pPr>
              <w:spacing w:after="0"/>
              <w:rPr>
                <w:sz w:val="11"/>
                <w:szCs w:val="11"/>
                <w:color w:val="auto"/>
              </w:rPr>
            </w:pPr>
          </w:p>
        </w:tc>
        <w:tc>
          <w:tcPr>
            <w:tcW w:w="4800" w:type="dxa"/>
            <w:vAlign w:val="bottom"/>
          </w:tcPr>
          <w:p>
            <w:pPr>
              <w:jc w:val="right"/>
              <w:spacing w:after="0" w:line="130"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30"/>
        </w:trPr>
        <w:tc>
          <w:tcPr>
            <w:tcW w:w="20" w:type="dxa"/>
            <w:vAlign w:val="bottom"/>
            <w:shd w:val="clear" w:color="auto" w:fill="CCEEFF"/>
          </w:tcPr>
          <w:p>
            <w:pPr>
              <w:spacing w:after="0"/>
              <w:rPr>
                <w:sz w:val="11"/>
                <w:szCs w:val="11"/>
                <w:color w:val="auto"/>
              </w:rPr>
            </w:pPr>
          </w:p>
        </w:tc>
        <w:tc>
          <w:tcPr>
            <w:tcW w:w="6460" w:type="dxa"/>
            <w:vAlign w:val="bottom"/>
            <w:gridSpan w:val="27"/>
            <w:shd w:val="clear" w:color="auto" w:fill="CCEEFF"/>
          </w:tcPr>
          <w:p>
            <w:pPr>
              <w:spacing w:after="0" w:line="130" w:lineRule="exact"/>
              <w:rPr>
                <w:rFonts w:ascii="Arial" w:cs="Arial" w:eastAsia="Arial" w:hAnsi="Arial"/>
                <w:sz w:val="14"/>
                <w:szCs w:val="14"/>
                <w:color w:val="0000FF"/>
              </w:rPr>
            </w:pPr>
            <w:hyperlink w:anchor="page68">
              <w:r>
                <w:rPr>
                  <w:rFonts w:ascii="Arial" w:cs="Arial" w:eastAsia="Arial" w:hAnsi="Arial"/>
                  <w:sz w:val="14"/>
                  <w:szCs w:val="14"/>
                  <w:color w:val="0000FF"/>
                </w:rPr>
                <w:t>Note 2 – Summary of Significant Accounting Policies</w:t>
              </w:r>
            </w:hyperlink>
          </w:p>
        </w:tc>
        <w:tc>
          <w:tcPr>
            <w:tcW w:w="4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CCEEFF"/>
            </w:tcBorders>
            <w:shd w:val="clear" w:color="auto" w:fill="0000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220" w:type="dxa"/>
            <w:vAlign w:val="bottom"/>
            <w:tcBorders>
              <w:bottom w:val="single" w:sz="8" w:color="0000FF"/>
            </w:tcBorders>
            <w:gridSpan w:val="17"/>
          </w:tcPr>
          <w:p>
            <w:pPr>
              <w:spacing w:after="0" w:line="130" w:lineRule="exact"/>
              <w:rPr>
                <w:rFonts w:ascii="Arial" w:cs="Arial" w:eastAsia="Arial" w:hAnsi="Arial"/>
                <w:sz w:val="14"/>
                <w:szCs w:val="14"/>
                <w:color w:val="0000FF"/>
                <w:w w:val="95"/>
              </w:rPr>
            </w:pPr>
            <w:hyperlink w:anchor="page77">
              <w:r>
                <w:rPr>
                  <w:rFonts w:ascii="Arial" w:cs="Arial" w:eastAsia="Arial" w:hAnsi="Arial"/>
                  <w:sz w:val="14"/>
                  <w:szCs w:val="14"/>
                  <w:color w:val="0000FF"/>
                  <w:w w:val="95"/>
                </w:rPr>
                <w:t>Note 3 – Impact of COVID-19 Pandemic and Liquidity</w:t>
              </w:r>
            </w:hyperlink>
          </w:p>
        </w:tc>
        <w:tc>
          <w:tcPr>
            <w:tcW w:w="3240" w:type="dxa"/>
            <w:vAlign w:val="bottom"/>
            <w:gridSpan w:val="10"/>
          </w:tcPr>
          <w:p>
            <w:pPr>
              <w:spacing w:after="0"/>
              <w:rPr>
                <w:sz w:val="11"/>
                <w:szCs w:val="11"/>
                <w:color w:val="auto"/>
              </w:rPr>
            </w:pPr>
          </w:p>
        </w:tc>
        <w:tc>
          <w:tcPr>
            <w:tcW w:w="4800" w:type="dxa"/>
            <w:vAlign w:val="bottom"/>
          </w:tcPr>
          <w:p>
            <w:pPr>
              <w:jc w:val="right"/>
              <w:spacing w:after="0" w:line="130"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32"/>
        </w:trPr>
        <w:tc>
          <w:tcPr>
            <w:tcW w:w="20" w:type="dxa"/>
            <w:vAlign w:val="bottom"/>
            <w:tcBorders>
              <w:bottom w:val="single" w:sz="8" w:color="CCEEFF"/>
            </w:tcBorders>
            <w:shd w:val="clear" w:color="auto" w:fill="CCEEFF"/>
          </w:tcPr>
          <w:p>
            <w:pPr>
              <w:spacing w:after="0"/>
              <w:rPr>
                <w:sz w:val="11"/>
                <w:szCs w:val="11"/>
                <w:color w:val="auto"/>
              </w:rPr>
            </w:pPr>
          </w:p>
        </w:tc>
        <w:tc>
          <w:tcPr>
            <w:tcW w:w="2080" w:type="dxa"/>
            <w:vAlign w:val="bottom"/>
            <w:tcBorders>
              <w:bottom w:val="single" w:sz="8" w:color="0000FF"/>
            </w:tcBorders>
            <w:gridSpan w:val="11"/>
            <w:shd w:val="clear" w:color="auto" w:fill="CCEEFF"/>
          </w:tcPr>
          <w:p>
            <w:pPr>
              <w:spacing w:after="0" w:line="130" w:lineRule="exact"/>
              <w:rPr>
                <w:rFonts w:ascii="Arial" w:cs="Arial" w:eastAsia="Arial" w:hAnsi="Arial"/>
                <w:sz w:val="14"/>
                <w:szCs w:val="14"/>
                <w:color w:val="0000FF"/>
                <w:w w:val="92"/>
              </w:rPr>
            </w:pPr>
            <w:hyperlink w:anchor="page78">
              <w:r>
                <w:rPr>
                  <w:rFonts w:ascii="Arial" w:cs="Arial" w:eastAsia="Arial" w:hAnsi="Arial"/>
                  <w:sz w:val="14"/>
                  <w:szCs w:val="14"/>
                  <w:color w:val="0000FF"/>
                  <w:w w:val="92"/>
                </w:rPr>
                <w:t>Note 4 – Earnings (Loss) Per Share</w:t>
              </w:r>
            </w:hyperlink>
          </w:p>
        </w:tc>
        <w:tc>
          <w:tcPr>
            <w:tcW w:w="4380" w:type="dxa"/>
            <w:vAlign w:val="bottom"/>
            <w:tcBorders>
              <w:bottom w:val="single" w:sz="8" w:color="CCEEFF"/>
            </w:tcBorders>
            <w:gridSpan w:val="16"/>
            <w:shd w:val="clear" w:color="auto" w:fill="CCEEFF"/>
          </w:tcPr>
          <w:p>
            <w:pPr>
              <w:spacing w:after="0"/>
              <w:rPr>
                <w:sz w:val="11"/>
                <w:szCs w:val="11"/>
                <w:color w:val="auto"/>
              </w:rPr>
            </w:pPr>
          </w:p>
        </w:tc>
        <w:tc>
          <w:tcPr>
            <w:tcW w:w="4800" w:type="dxa"/>
            <w:vAlign w:val="bottom"/>
            <w:tcBorders>
              <w:bottom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0" w:type="dxa"/>
            <w:vAlign w:val="bottom"/>
            <w:tcBorders>
              <w:bottom w:val="single" w:sz="8" w:color="0000FF"/>
            </w:tcBorders>
            <w:gridSpan w:val="8"/>
          </w:tcPr>
          <w:p>
            <w:pPr>
              <w:spacing w:after="0" w:line="130" w:lineRule="exact"/>
              <w:rPr>
                <w:rFonts w:ascii="Arial" w:cs="Arial" w:eastAsia="Arial" w:hAnsi="Arial"/>
                <w:sz w:val="14"/>
                <w:szCs w:val="14"/>
                <w:color w:val="0000FF"/>
                <w:w w:val="92"/>
              </w:rPr>
            </w:pPr>
            <w:hyperlink w:anchor="page79">
              <w:r>
                <w:rPr>
                  <w:rFonts w:ascii="Arial" w:cs="Arial" w:eastAsia="Arial" w:hAnsi="Arial"/>
                  <w:sz w:val="14"/>
                  <w:szCs w:val="14"/>
                  <w:color w:val="0000FF"/>
                  <w:w w:val="92"/>
                </w:rPr>
                <w:t>Note 5 – Real Estate Transactions</w:t>
              </w:r>
            </w:hyperlink>
          </w:p>
        </w:tc>
        <w:tc>
          <w:tcPr>
            <w:tcW w:w="4460" w:type="dxa"/>
            <w:vAlign w:val="bottom"/>
            <w:gridSpan w:val="19"/>
          </w:tcPr>
          <w:p>
            <w:pPr>
              <w:spacing w:after="0"/>
              <w:rPr>
                <w:sz w:val="11"/>
                <w:szCs w:val="11"/>
                <w:color w:val="auto"/>
              </w:rPr>
            </w:pPr>
          </w:p>
        </w:tc>
        <w:tc>
          <w:tcPr>
            <w:tcW w:w="4800" w:type="dxa"/>
            <w:vAlign w:val="bottom"/>
          </w:tcPr>
          <w:p>
            <w:pPr>
              <w:jc w:val="right"/>
              <w:spacing w:after="0" w:line="130"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32"/>
        </w:trPr>
        <w:tc>
          <w:tcPr>
            <w:tcW w:w="20" w:type="dxa"/>
            <w:vAlign w:val="bottom"/>
            <w:tcBorders>
              <w:bottom w:val="single" w:sz="8" w:color="CCEEFF"/>
            </w:tcBorders>
            <w:shd w:val="clear" w:color="auto" w:fill="CCEEFF"/>
          </w:tcPr>
          <w:p>
            <w:pPr>
              <w:spacing w:after="0"/>
              <w:rPr>
                <w:sz w:val="11"/>
                <w:szCs w:val="11"/>
                <w:color w:val="auto"/>
              </w:rPr>
            </w:pPr>
          </w:p>
        </w:tc>
        <w:tc>
          <w:tcPr>
            <w:tcW w:w="2060" w:type="dxa"/>
            <w:vAlign w:val="bottom"/>
            <w:tcBorders>
              <w:bottom w:val="single" w:sz="8" w:color="0000FF"/>
            </w:tcBorders>
            <w:gridSpan w:val="10"/>
            <w:shd w:val="clear" w:color="auto" w:fill="CCEEFF"/>
          </w:tcPr>
          <w:p>
            <w:pPr>
              <w:spacing w:after="0" w:line="130" w:lineRule="exact"/>
              <w:rPr>
                <w:rFonts w:ascii="Arial" w:cs="Arial" w:eastAsia="Arial" w:hAnsi="Arial"/>
                <w:sz w:val="14"/>
                <w:szCs w:val="14"/>
                <w:color w:val="0000FF"/>
                <w:w w:val="93"/>
              </w:rPr>
            </w:pPr>
            <w:hyperlink w:anchor="page81">
              <w:r>
                <w:rPr>
                  <w:rFonts w:ascii="Arial" w:cs="Arial" w:eastAsia="Arial" w:hAnsi="Arial"/>
                  <w:sz w:val="14"/>
                  <w:szCs w:val="14"/>
                  <w:color w:val="0000FF"/>
                  <w:w w:val="93"/>
                </w:rPr>
                <w:t>Note 6 – Properties and Equipment</w:t>
              </w:r>
            </w:hyperlink>
          </w:p>
        </w:tc>
        <w:tc>
          <w:tcPr>
            <w:tcW w:w="4400" w:type="dxa"/>
            <w:vAlign w:val="bottom"/>
            <w:tcBorders>
              <w:bottom w:val="single" w:sz="8" w:color="CCEEFF"/>
            </w:tcBorders>
            <w:gridSpan w:val="17"/>
            <w:shd w:val="clear" w:color="auto" w:fill="CCEEFF"/>
          </w:tcPr>
          <w:p>
            <w:pPr>
              <w:spacing w:after="0"/>
              <w:rPr>
                <w:sz w:val="11"/>
                <w:szCs w:val="11"/>
                <w:color w:val="auto"/>
              </w:rPr>
            </w:pPr>
          </w:p>
        </w:tc>
        <w:tc>
          <w:tcPr>
            <w:tcW w:w="4800" w:type="dxa"/>
            <w:vAlign w:val="bottom"/>
            <w:tcBorders>
              <w:bottom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20" w:type="dxa"/>
            <w:vAlign w:val="bottom"/>
            <w:tcBorders>
              <w:bottom w:val="single" w:sz="8" w:color="0000FF"/>
            </w:tcBorders>
            <w:gridSpan w:val="17"/>
          </w:tcPr>
          <w:p>
            <w:pPr>
              <w:spacing w:after="0" w:line="130" w:lineRule="exact"/>
              <w:rPr>
                <w:rFonts w:ascii="Arial" w:cs="Arial" w:eastAsia="Arial" w:hAnsi="Arial"/>
                <w:sz w:val="14"/>
                <w:szCs w:val="14"/>
                <w:color w:val="0000FF"/>
                <w:w w:val="93"/>
              </w:rPr>
            </w:pPr>
            <w:hyperlink w:anchor="page82">
              <w:r>
                <w:rPr>
                  <w:rFonts w:ascii="Arial" w:cs="Arial" w:eastAsia="Arial" w:hAnsi="Arial"/>
                  <w:sz w:val="14"/>
                  <w:szCs w:val="14"/>
                  <w:color w:val="0000FF"/>
                  <w:w w:val="93"/>
                </w:rPr>
                <w:t>Note 7 – Investments in Unconsolidated Joint Ventures</w:t>
              </w:r>
            </w:hyperlink>
          </w:p>
        </w:tc>
        <w:tc>
          <w:tcPr>
            <w:tcW w:w="3240" w:type="dxa"/>
            <w:vAlign w:val="bottom"/>
            <w:gridSpan w:val="10"/>
          </w:tcPr>
          <w:p>
            <w:pPr>
              <w:spacing w:after="0"/>
              <w:rPr>
                <w:sz w:val="11"/>
                <w:szCs w:val="11"/>
                <w:color w:val="auto"/>
              </w:rPr>
            </w:pPr>
          </w:p>
        </w:tc>
        <w:tc>
          <w:tcPr>
            <w:tcW w:w="4800" w:type="dxa"/>
            <w:vAlign w:val="bottom"/>
          </w:tcPr>
          <w:p>
            <w:pPr>
              <w:jc w:val="right"/>
              <w:spacing w:after="0" w:line="130"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32"/>
        </w:trPr>
        <w:tc>
          <w:tcPr>
            <w:tcW w:w="20" w:type="dxa"/>
            <w:vAlign w:val="bottom"/>
            <w:tcBorders>
              <w:bottom w:val="single" w:sz="8" w:color="CCEEFF"/>
            </w:tcBorders>
            <w:shd w:val="clear" w:color="auto" w:fill="CCEEFF"/>
          </w:tcPr>
          <w:p>
            <w:pPr>
              <w:spacing w:after="0"/>
              <w:rPr>
                <w:sz w:val="11"/>
                <w:szCs w:val="11"/>
                <w:color w:val="auto"/>
              </w:rPr>
            </w:pPr>
          </w:p>
        </w:tc>
        <w:tc>
          <w:tcPr>
            <w:tcW w:w="2400" w:type="dxa"/>
            <w:vAlign w:val="bottom"/>
            <w:tcBorders>
              <w:bottom w:val="single" w:sz="8" w:color="0000FF"/>
            </w:tcBorders>
            <w:gridSpan w:val="14"/>
            <w:shd w:val="clear" w:color="auto" w:fill="CCEEFF"/>
          </w:tcPr>
          <w:p>
            <w:pPr>
              <w:spacing w:after="0" w:line="130" w:lineRule="exact"/>
              <w:rPr>
                <w:rFonts w:ascii="Arial" w:cs="Arial" w:eastAsia="Arial" w:hAnsi="Arial"/>
                <w:sz w:val="14"/>
                <w:szCs w:val="14"/>
                <w:color w:val="0000FF"/>
                <w:w w:val="95"/>
              </w:rPr>
            </w:pPr>
            <w:hyperlink w:anchor="page82">
              <w:r>
                <w:rPr>
                  <w:rFonts w:ascii="Arial" w:cs="Arial" w:eastAsia="Arial" w:hAnsi="Arial"/>
                  <w:sz w:val="14"/>
                  <w:szCs w:val="14"/>
                  <w:color w:val="0000FF"/>
                  <w:w w:val="95"/>
                </w:rPr>
                <w:t>Note 8 – Goodwill and Intangible Assets</w:t>
              </w:r>
            </w:hyperlink>
          </w:p>
        </w:tc>
        <w:tc>
          <w:tcPr>
            <w:tcW w:w="4060" w:type="dxa"/>
            <w:vAlign w:val="bottom"/>
            <w:tcBorders>
              <w:bottom w:val="single" w:sz="8" w:color="CCEEFF"/>
            </w:tcBorders>
            <w:gridSpan w:val="13"/>
            <w:shd w:val="clear" w:color="auto" w:fill="CCEEFF"/>
          </w:tcPr>
          <w:p>
            <w:pPr>
              <w:spacing w:after="0"/>
              <w:rPr>
                <w:sz w:val="11"/>
                <w:szCs w:val="11"/>
                <w:color w:val="auto"/>
              </w:rPr>
            </w:pPr>
          </w:p>
        </w:tc>
        <w:tc>
          <w:tcPr>
            <w:tcW w:w="4800" w:type="dxa"/>
            <w:vAlign w:val="bottom"/>
            <w:tcBorders>
              <w:bottom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Borders>
              <w:bottom w:val="single" w:sz="8" w:color="0000FF"/>
            </w:tcBorders>
            <w:gridSpan w:val="9"/>
          </w:tcPr>
          <w:p>
            <w:pPr>
              <w:spacing w:after="0" w:line="130" w:lineRule="exact"/>
              <w:rPr>
                <w:rFonts w:ascii="Arial" w:cs="Arial" w:eastAsia="Arial" w:hAnsi="Arial"/>
                <w:sz w:val="14"/>
                <w:szCs w:val="14"/>
                <w:color w:val="0000FF"/>
                <w:w w:val="93"/>
              </w:rPr>
            </w:pPr>
            <w:hyperlink w:anchor="page83">
              <w:r>
                <w:rPr>
                  <w:rFonts w:ascii="Arial" w:cs="Arial" w:eastAsia="Arial" w:hAnsi="Arial"/>
                  <w:sz w:val="14"/>
                  <w:szCs w:val="14"/>
                  <w:color w:val="0000FF"/>
                  <w:w w:val="93"/>
                </w:rPr>
                <w:t>Note 9 – Prepaid and Other Assets</w:t>
              </w:r>
            </w:hyperlink>
          </w:p>
        </w:tc>
        <w:tc>
          <w:tcPr>
            <w:tcW w:w="4420" w:type="dxa"/>
            <w:vAlign w:val="bottom"/>
            <w:gridSpan w:val="18"/>
          </w:tcPr>
          <w:p>
            <w:pPr>
              <w:spacing w:after="0"/>
              <w:rPr>
                <w:sz w:val="11"/>
                <w:szCs w:val="11"/>
                <w:color w:val="auto"/>
              </w:rPr>
            </w:pPr>
          </w:p>
        </w:tc>
        <w:tc>
          <w:tcPr>
            <w:tcW w:w="4800" w:type="dxa"/>
            <w:vAlign w:val="bottom"/>
          </w:tcPr>
          <w:p>
            <w:pPr>
              <w:jc w:val="right"/>
              <w:spacing w:after="0" w:line="130"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32"/>
        </w:trPr>
        <w:tc>
          <w:tcPr>
            <w:tcW w:w="20" w:type="dxa"/>
            <w:vAlign w:val="bottom"/>
            <w:tcBorders>
              <w:bottom w:val="single" w:sz="8" w:color="CCEEFF"/>
            </w:tcBorders>
            <w:shd w:val="clear" w:color="auto" w:fill="CCEEFF"/>
          </w:tcPr>
          <w:p>
            <w:pPr>
              <w:spacing w:after="0"/>
              <w:rPr>
                <w:sz w:val="11"/>
                <w:szCs w:val="11"/>
                <w:color w:val="auto"/>
              </w:rPr>
            </w:pPr>
          </w:p>
        </w:tc>
        <w:tc>
          <w:tcPr>
            <w:tcW w:w="1440" w:type="dxa"/>
            <w:vAlign w:val="bottom"/>
            <w:tcBorders>
              <w:bottom w:val="single" w:sz="8" w:color="0000FF"/>
            </w:tcBorders>
            <w:gridSpan w:val="3"/>
            <w:shd w:val="clear" w:color="auto" w:fill="CCEEFF"/>
          </w:tcPr>
          <w:p>
            <w:pPr>
              <w:spacing w:after="0" w:line="130" w:lineRule="exact"/>
              <w:rPr>
                <w:rFonts w:ascii="Arial" w:cs="Arial" w:eastAsia="Arial" w:hAnsi="Arial"/>
                <w:sz w:val="14"/>
                <w:szCs w:val="14"/>
                <w:color w:val="0000FF"/>
                <w:w w:val="93"/>
              </w:rPr>
            </w:pPr>
            <w:hyperlink w:anchor="page83">
              <w:r>
                <w:rPr>
                  <w:rFonts w:ascii="Arial" w:cs="Arial" w:eastAsia="Arial" w:hAnsi="Arial"/>
                  <w:sz w:val="14"/>
                  <w:szCs w:val="14"/>
                  <w:color w:val="0000FF"/>
                  <w:w w:val="93"/>
                </w:rPr>
                <w:t>Note 10 – Income Taxes</w:t>
              </w:r>
            </w:hyperlink>
          </w:p>
        </w:tc>
        <w:tc>
          <w:tcPr>
            <w:tcW w:w="5020" w:type="dxa"/>
            <w:vAlign w:val="bottom"/>
            <w:tcBorders>
              <w:bottom w:val="single" w:sz="8" w:color="CCEEFF"/>
            </w:tcBorders>
            <w:gridSpan w:val="24"/>
            <w:shd w:val="clear" w:color="auto" w:fill="CCEEFF"/>
          </w:tcPr>
          <w:p>
            <w:pPr>
              <w:spacing w:after="0"/>
              <w:rPr>
                <w:sz w:val="11"/>
                <w:szCs w:val="11"/>
                <w:color w:val="auto"/>
              </w:rPr>
            </w:pPr>
          </w:p>
        </w:tc>
        <w:tc>
          <w:tcPr>
            <w:tcW w:w="4800" w:type="dxa"/>
            <w:vAlign w:val="bottom"/>
            <w:tcBorders>
              <w:bottom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20" w:type="dxa"/>
            <w:vAlign w:val="bottom"/>
            <w:tcBorders>
              <w:bottom w:val="single" w:sz="8" w:color="0000FF"/>
            </w:tcBorders>
            <w:gridSpan w:val="2"/>
          </w:tcPr>
          <w:p>
            <w:pPr>
              <w:spacing w:after="0" w:line="130" w:lineRule="exact"/>
              <w:rPr>
                <w:rFonts w:ascii="Arial" w:cs="Arial" w:eastAsia="Arial" w:hAnsi="Arial"/>
                <w:sz w:val="14"/>
                <w:szCs w:val="14"/>
                <w:color w:val="0000FF"/>
                <w:w w:val="96"/>
              </w:rPr>
            </w:pPr>
            <w:hyperlink w:anchor="page86">
              <w:r>
                <w:rPr>
                  <w:rFonts w:ascii="Arial" w:cs="Arial" w:eastAsia="Arial" w:hAnsi="Arial"/>
                  <w:sz w:val="14"/>
                  <w:szCs w:val="14"/>
                  <w:color w:val="0000FF"/>
                  <w:w w:val="96"/>
                </w:rPr>
                <w:t>Note 11 – Borrowings</w:t>
              </w:r>
            </w:hyperlink>
          </w:p>
        </w:tc>
        <w:tc>
          <w:tcPr>
            <w:tcW w:w="5140" w:type="dxa"/>
            <w:vAlign w:val="bottom"/>
            <w:gridSpan w:val="25"/>
          </w:tcPr>
          <w:p>
            <w:pPr>
              <w:spacing w:after="0"/>
              <w:rPr>
                <w:sz w:val="11"/>
                <w:szCs w:val="11"/>
                <w:color w:val="auto"/>
              </w:rPr>
            </w:pPr>
          </w:p>
        </w:tc>
        <w:tc>
          <w:tcPr>
            <w:tcW w:w="4800" w:type="dxa"/>
            <w:vAlign w:val="bottom"/>
          </w:tcPr>
          <w:p>
            <w:pPr>
              <w:jc w:val="right"/>
              <w:spacing w:after="0" w:line="130"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32"/>
        </w:trPr>
        <w:tc>
          <w:tcPr>
            <w:tcW w:w="20" w:type="dxa"/>
            <w:vAlign w:val="bottom"/>
            <w:tcBorders>
              <w:bottom w:val="single" w:sz="8" w:color="CCEEFF"/>
            </w:tcBorders>
            <w:shd w:val="clear" w:color="auto" w:fill="CCEEFF"/>
          </w:tcPr>
          <w:p>
            <w:pPr>
              <w:spacing w:after="0"/>
              <w:rPr>
                <w:sz w:val="11"/>
                <w:szCs w:val="11"/>
                <w:color w:val="auto"/>
              </w:rPr>
            </w:pPr>
          </w:p>
        </w:tc>
        <w:tc>
          <w:tcPr>
            <w:tcW w:w="2320" w:type="dxa"/>
            <w:vAlign w:val="bottom"/>
            <w:tcBorders>
              <w:bottom w:val="single" w:sz="8" w:color="0000FF"/>
            </w:tcBorders>
            <w:gridSpan w:val="13"/>
            <w:shd w:val="clear" w:color="auto" w:fill="CCEEFF"/>
          </w:tcPr>
          <w:p>
            <w:pPr>
              <w:spacing w:after="0" w:line="130" w:lineRule="exact"/>
              <w:rPr>
                <w:rFonts w:ascii="Arial" w:cs="Arial" w:eastAsia="Arial" w:hAnsi="Arial"/>
                <w:sz w:val="14"/>
                <w:szCs w:val="14"/>
                <w:color w:val="0000FF"/>
                <w:w w:val="94"/>
              </w:rPr>
            </w:pPr>
            <w:hyperlink w:anchor="page90">
              <w:r>
                <w:rPr>
                  <w:rFonts w:ascii="Arial" w:cs="Arial" w:eastAsia="Arial" w:hAnsi="Arial"/>
                  <w:sz w:val="14"/>
                  <w:szCs w:val="14"/>
                  <w:color w:val="0000FF"/>
                  <w:w w:val="94"/>
                </w:rPr>
                <w:t>Note 12 – Pension and Other Liabilities</w:t>
              </w:r>
            </w:hyperlink>
          </w:p>
        </w:tc>
        <w:tc>
          <w:tcPr>
            <w:tcW w:w="4140" w:type="dxa"/>
            <w:vAlign w:val="bottom"/>
            <w:tcBorders>
              <w:bottom w:val="single" w:sz="8" w:color="CCEEFF"/>
            </w:tcBorders>
            <w:gridSpan w:val="14"/>
            <w:shd w:val="clear" w:color="auto" w:fill="CCEEFF"/>
          </w:tcPr>
          <w:p>
            <w:pPr>
              <w:spacing w:after="0"/>
              <w:rPr>
                <w:sz w:val="11"/>
                <w:szCs w:val="11"/>
                <w:color w:val="auto"/>
              </w:rPr>
            </w:pPr>
          </w:p>
        </w:tc>
        <w:tc>
          <w:tcPr>
            <w:tcW w:w="4800" w:type="dxa"/>
            <w:vAlign w:val="bottom"/>
            <w:tcBorders>
              <w:bottom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Borders>
              <w:bottom w:val="single" w:sz="8" w:color="0000FF"/>
            </w:tcBorders>
            <w:gridSpan w:val="15"/>
          </w:tcPr>
          <w:p>
            <w:pPr>
              <w:spacing w:after="0" w:line="130" w:lineRule="exact"/>
              <w:rPr>
                <w:rFonts w:ascii="Arial" w:cs="Arial" w:eastAsia="Arial" w:hAnsi="Arial"/>
                <w:sz w:val="14"/>
                <w:szCs w:val="14"/>
                <w:color w:val="0000FF"/>
                <w:w w:val="93"/>
              </w:rPr>
            </w:pPr>
            <w:hyperlink w:anchor="page92">
              <w:r>
                <w:rPr>
                  <w:rFonts w:ascii="Arial" w:cs="Arial" w:eastAsia="Arial" w:hAnsi="Arial"/>
                  <w:sz w:val="14"/>
                  <w:szCs w:val="14"/>
                  <w:color w:val="0000FF"/>
                  <w:w w:val="93"/>
                </w:rPr>
                <w:t>Note 13 – Commitments and Contingencies</w:t>
              </w:r>
            </w:hyperlink>
          </w:p>
        </w:tc>
        <w:tc>
          <w:tcPr>
            <w:tcW w:w="3900" w:type="dxa"/>
            <w:vAlign w:val="bottom"/>
            <w:gridSpan w:val="12"/>
          </w:tcPr>
          <w:p>
            <w:pPr>
              <w:spacing w:after="0"/>
              <w:rPr>
                <w:sz w:val="11"/>
                <w:szCs w:val="11"/>
                <w:color w:val="auto"/>
              </w:rPr>
            </w:pPr>
          </w:p>
        </w:tc>
        <w:tc>
          <w:tcPr>
            <w:tcW w:w="4800" w:type="dxa"/>
            <w:vAlign w:val="bottom"/>
          </w:tcPr>
          <w:p>
            <w:pPr>
              <w:jc w:val="right"/>
              <w:spacing w:after="0" w:line="130"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32"/>
        </w:trPr>
        <w:tc>
          <w:tcPr>
            <w:tcW w:w="20" w:type="dxa"/>
            <w:vAlign w:val="bottom"/>
            <w:tcBorders>
              <w:bottom w:val="single" w:sz="8" w:color="CCEEFF"/>
            </w:tcBorders>
            <w:shd w:val="clear" w:color="auto" w:fill="CCEEFF"/>
          </w:tcPr>
          <w:p>
            <w:pPr>
              <w:spacing w:after="0"/>
              <w:rPr>
                <w:sz w:val="11"/>
                <w:szCs w:val="11"/>
                <w:color w:val="auto"/>
              </w:rPr>
            </w:pPr>
          </w:p>
        </w:tc>
        <w:tc>
          <w:tcPr>
            <w:tcW w:w="2040" w:type="dxa"/>
            <w:vAlign w:val="bottom"/>
            <w:tcBorders>
              <w:bottom w:val="single" w:sz="8" w:color="0000FF"/>
            </w:tcBorders>
            <w:gridSpan w:val="9"/>
            <w:shd w:val="clear" w:color="auto" w:fill="CCEEFF"/>
          </w:tcPr>
          <w:p>
            <w:pPr>
              <w:spacing w:after="0" w:line="130" w:lineRule="exact"/>
              <w:rPr>
                <w:rFonts w:ascii="Arial" w:cs="Arial" w:eastAsia="Arial" w:hAnsi="Arial"/>
                <w:sz w:val="14"/>
                <w:szCs w:val="14"/>
                <w:color w:val="0000FF"/>
                <w:w w:val="95"/>
              </w:rPr>
            </w:pPr>
            <w:hyperlink w:anchor="page97">
              <w:r>
                <w:rPr>
                  <w:rFonts w:ascii="Arial" w:cs="Arial" w:eastAsia="Arial" w:hAnsi="Arial"/>
                  <w:sz w:val="14"/>
                  <w:szCs w:val="14"/>
                  <w:color w:val="0000FF"/>
                  <w:w w:val="95"/>
                </w:rPr>
                <w:t>Note 14 – Noncontrolling Interests</w:t>
              </w:r>
            </w:hyperlink>
          </w:p>
        </w:tc>
        <w:tc>
          <w:tcPr>
            <w:tcW w:w="4420" w:type="dxa"/>
            <w:vAlign w:val="bottom"/>
            <w:tcBorders>
              <w:bottom w:val="single" w:sz="8" w:color="CCEEFF"/>
            </w:tcBorders>
            <w:gridSpan w:val="18"/>
            <w:shd w:val="clear" w:color="auto" w:fill="CCEEFF"/>
          </w:tcPr>
          <w:p>
            <w:pPr>
              <w:spacing w:after="0"/>
              <w:rPr>
                <w:sz w:val="11"/>
                <w:szCs w:val="11"/>
                <w:color w:val="auto"/>
              </w:rPr>
            </w:pPr>
          </w:p>
        </w:tc>
        <w:tc>
          <w:tcPr>
            <w:tcW w:w="4800" w:type="dxa"/>
            <w:vAlign w:val="bottom"/>
            <w:tcBorders>
              <w:bottom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20" w:type="dxa"/>
            <w:vAlign w:val="bottom"/>
            <w:tcBorders>
              <w:bottom w:val="single" w:sz="8" w:color="0000FF"/>
            </w:tcBorders>
            <w:gridSpan w:val="19"/>
          </w:tcPr>
          <w:p>
            <w:pPr>
              <w:spacing w:after="0" w:line="130" w:lineRule="exact"/>
              <w:rPr>
                <w:rFonts w:ascii="Arial" w:cs="Arial" w:eastAsia="Arial" w:hAnsi="Arial"/>
                <w:sz w:val="14"/>
                <w:szCs w:val="14"/>
                <w:color w:val="0000FF"/>
                <w:w w:val="91"/>
              </w:rPr>
            </w:pPr>
            <w:hyperlink w:anchor="page97">
              <w:r>
                <w:rPr>
                  <w:rFonts w:ascii="Arial" w:cs="Arial" w:eastAsia="Arial" w:hAnsi="Arial"/>
                  <w:sz w:val="14"/>
                  <w:szCs w:val="14"/>
                  <w:color w:val="0000FF"/>
                  <w:w w:val="91"/>
                </w:rPr>
                <w:t>Note 15 – Share-based Compensation and Repurchase Plans</w:t>
              </w:r>
            </w:hyperlink>
          </w:p>
        </w:tc>
        <w:tc>
          <w:tcPr>
            <w:tcW w:w="2940" w:type="dxa"/>
            <w:vAlign w:val="bottom"/>
            <w:gridSpan w:val="8"/>
          </w:tcPr>
          <w:p>
            <w:pPr>
              <w:spacing w:after="0"/>
              <w:rPr>
                <w:sz w:val="11"/>
                <w:szCs w:val="11"/>
                <w:color w:val="auto"/>
              </w:rPr>
            </w:pPr>
          </w:p>
        </w:tc>
        <w:tc>
          <w:tcPr>
            <w:tcW w:w="4800" w:type="dxa"/>
            <w:vAlign w:val="bottom"/>
          </w:tcPr>
          <w:p>
            <w:pPr>
              <w:jc w:val="right"/>
              <w:spacing w:after="0" w:line="130"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32"/>
        </w:trPr>
        <w:tc>
          <w:tcPr>
            <w:tcW w:w="20" w:type="dxa"/>
            <w:vAlign w:val="bottom"/>
            <w:tcBorders>
              <w:bottom w:val="single" w:sz="8" w:color="CCEEFF"/>
            </w:tcBorders>
            <w:shd w:val="clear" w:color="auto" w:fill="CCEEFF"/>
          </w:tcPr>
          <w:p>
            <w:pPr>
              <w:spacing w:after="0"/>
              <w:rPr>
                <w:sz w:val="11"/>
                <w:szCs w:val="11"/>
                <w:color w:val="auto"/>
              </w:rPr>
            </w:pPr>
          </w:p>
        </w:tc>
        <w:tc>
          <w:tcPr>
            <w:tcW w:w="3220" w:type="dxa"/>
            <w:vAlign w:val="bottom"/>
            <w:tcBorders>
              <w:bottom w:val="single" w:sz="8" w:color="0000FF"/>
              <w:right w:val="single" w:sz="8" w:color="CCEEFF"/>
            </w:tcBorders>
            <w:gridSpan w:val="17"/>
            <w:shd w:val="clear" w:color="auto" w:fill="CCEEFF"/>
          </w:tcPr>
          <w:p>
            <w:pPr>
              <w:spacing w:after="0" w:line="130" w:lineRule="exact"/>
              <w:rPr>
                <w:rFonts w:ascii="Arial" w:cs="Arial" w:eastAsia="Arial" w:hAnsi="Arial"/>
                <w:sz w:val="14"/>
                <w:szCs w:val="14"/>
                <w:color w:val="0000FF"/>
                <w:w w:val="94"/>
              </w:rPr>
            </w:pPr>
            <w:hyperlink w:anchor="page100">
              <w:r>
                <w:rPr>
                  <w:rFonts w:ascii="Arial" w:cs="Arial" w:eastAsia="Arial" w:hAnsi="Arial"/>
                  <w:sz w:val="14"/>
                  <w:szCs w:val="14"/>
                  <w:color w:val="0000FF"/>
                  <w:w w:val="94"/>
                </w:rPr>
                <w:t>Note 16 – Accumulated Other Comprehensive Income</w:t>
              </w:r>
            </w:hyperlink>
          </w:p>
        </w:tc>
        <w:tc>
          <w:tcPr>
            <w:tcW w:w="3240" w:type="dxa"/>
            <w:vAlign w:val="bottom"/>
            <w:tcBorders>
              <w:bottom w:val="single" w:sz="8" w:color="CCEEFF"/>
            </w:tcBorders>
            <w:gridSpan w:val="10"/>
            <w:shd w:val="clear" w:color="auto" w:fill="CCEEFF"/>
          </w:tcPr>
          <w:p>
            <w:pPr>
              <w:spacing w:after="0"/>
              <w:rPr>
                <w:sz w:val="11"/>
                <w:szCs w:val="11"/>
                <w:color w:val="auto"/>
              </w:rPr>
            </w:pPr>
          </w:p>
        </w:tc>
        <w:tc>
          <w:tcPr>
            <w:tcW w:w="4800" w:type="dxa"/>
            <w:vAlign w:val="bottom"/>
            <w:tcBorders>
              <w:bottom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20" w:type="dxa"/>
            <w:vAlign w:val="bottom"/>
            <w:tcBorders>
              <w:bottom w:val="single" w:sz="8" w:color="0000FF"/>
            </w:tcBorders>
            <w:gridSpan w:val="12"/>
          </w:tcPr>
          <w:p>
            <w:pPr>
              <w:spacing w:after="0" w:line="130" w:lineRule="exact"/>
              <w:rPr>
                <w:rFonts w:ascii="Arial" w:cs="Arial" w:eastAsia="Arial" w:hAnsi="Arial"/>
                <w:sz w:val="14"/>
                <w:szCs w:val="14"/>
                <w:color w:val="0000FF"/>
                <w:w w:val="93"/>
              </w:rPr>
            </w:pPr>
            <w:hyperlink w:anchor="page102">
              <w:r>
                <w:rPr>
                  <w:rFonts w:ascii="Arial" w:cs="Arial" w:eastAsia="Arial" w:hAnsi="Arial"/>
                  <w:sz w:val="14"/>
                  <w:szCs w:val="14"/>
                  <w:color w:val="0000FF"/>
                  <w:w w:val="93"/>
                </w:rPr>
                <w:t>Note 17 – Fair Value Measurements</w:t>
              </w:r>
            </w:hyperlink>
          </w:p>
        </w:tc>
        <w:tc>
          <w:tcPr>
            <w:tcW w:w="4340" w:type="dxa"/>
            <w:vAlign w:val="bottom"/>
            <w:gridSpan w:val="15"/>
          </w:tcPr>
          <w:p>
            <w:pPr>
              <w:spacing w:after="0"/>
              <w:rPr>
                <w:sz w:val="11"/>
                <w:szCs w:val="11"/>
                <w:color w:val="auto"/>
              </w:rPr>
            </w:pPr>
          </w:p>
        </w:tc>
        <w:tc>
          <w:tcPr>
            <w:tcW w:w="4800" w:type="dxa"/>
            <w:vAlign w:val="bottom"/>
          </w:tcPr>
          <w:p>
            <w:pPr>
              <w:jc w:val="right"/>
              <w:spacing w:after="0" w:line="130"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32"/>
        </w:trPr>
        <w:tc>
          <w:tcPr>
            <w:tcW w:w="20" w:type="dxa"/>
            <w:vAlign w:val="bottom"/>
            <w:tcBorders>
              <w:bottom w:val="single" w:sz="8" w:color="CCEEFF"/>
            </w:tcBorders>
            <w:shd w:val="clear" w:color="auto" w:fill="CCEEFF"/>
          </w:tcPr>
          <w:p>
            <w:pPr>
              <w:spacing w:after="0"/>
              <w:rPr>
                <w:sz w:val="11"/>
                <w:szCs w:val="11"/>
                <w:color w:val="auto"/>
              </w:rPr>
            </w:pPr>
          </w:p>
        </w:tc>
        <w:tc>
          <w:tcPr>
            <w:tcW w:w="1720" w:type="dxa"/>
            <w:vAlign w:val="bottom"/>
            <w:tcBorders>
              <w:bottom w:val="single" w:sz="8" w:color="0000FF"/>
            </w:tcBorders>
            <w:gridSpan w:val="6"/>
            <w:shd w:val="clear" w:color="auto" w:fill="CCEEFF"/>
          </w:tcPr>
          <w:p>
            <w:pPr>
              <w:spacing w:after="0" w:line="130" w:lineRule="exact"/>
              <w:rPr>
                <w:rFonts w:ascii="Arial" w:cs="Arial" w:eastAsia="Arial" w:hAnsi="Arial"/>
                <w:sz w:val="14"/>
                <w:szCs w:val="14"/>
                <w:color w:val="0000FF"/>
                <w:w w:val="94"/>
              </w:rPr>
            </w:pPr>
            <w:hyperlink w:anchor="page103">
              <w:r>
                <w:rPr>
                  <w:rFonts w:ascii="Arial" w:cs="Arial" w:eastAsia="Arial" w:hAnsi="Arial"/>
                  <w:sz w:val="14"/>
                  <w:szCs w:val="14"/>
                  <w:color w:val="0000FF"/>
                  <w:w w:val="94"/>
                </w:rPr>
                <w:t>Note 18 – Hedge Accounting</w:t>
              </w:r>
            </w:hyperlink>
          </w:p>
        </w:tc>
        <w:tc>
          <w:tcPr>
            <w:tcW w:w="4740" w:type="dxa"/>
            <w:vAlign w:val="bottom"/>
            <w:tcBorders>
              <w:bottom w:val="single" w:sz="8" w:color="CCEEFF"/>
            </w:tcBorders>
            <w:gridSpan w:val="21"/>
            <w:shd w:val="clear" w:color="auto" w:fill="CCEEFF"/>
          </w:tcPr>
          <w:p>
            <w:pPr>
              <w:spacing w:after="0"/>
              <w:rPr>
                <w:sz w:val="11"/>
                <w:szCs w:val="11"/>
                <w:color w:val="auto"/>
              </w:rPr>
            </w:pPr>
          </w:p>
        </w:tc>
        <w:tc>
          <w:tcPr>
            <w:tcW w:w="4800" w:type="dxa"/>
            <w:vAlign w:val="bottom"/>
            <w:tcBorders>
              <w:bottom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Borders>
              <w:bottom w:val="single" w:sz="8" w:color="0000FF"/>
            </w:tcBorders>
          </w:tcPr>
          <w:p>
            <w:pPr>
              <w:spacing w:after="0" w:line="130" w:lineRule="exact"/>
              <w:rPr>
                <w:rFonts w:ascii="Arial" w:cs="Arial" w:eastAsia="Arial" w:hAnsi="Arial"/>
                <w:sz w:val="14"/>
                <w:szCs w:val="14"/>
                <w:color w:val="0000FF"/>
                <w:w w:val="92"/>
              </w:rPr>
            </w:pPr>
            <w:hyperlink w:anchor="page105">
              <w:r>
                <w:rPr>
                  <w:rFonts w:ascii="Arial" w:cs="Arial" w:eastAsia="Arial" w:hAnsi="Arial"/>
                  <w:sz w:val="14"/>
                  <w:szCs w:val="14"/>
                  <w:color w:val="0000FF"/>
                  <w:w w:val="92"/>
                </w:rPr>
                <w:t>Note 19 – Leases</w:t>
              </w:r>
            </w:hyperlink>
          </w:p>
        </w:tc>
        <w:tc>
          <w:tcPr>
            <w:tcW w:w="5420" w:type="dxa"/>
            <w:vAlign w:val="bottom"/>
            <w:gridSpan w:val="26"/>
          </w:tcPr>
          <w:p>
            <w:pPr>
              <w:spacing w:after="0"/>
              <w:rPr>
                <w:sz w:val="11"/>
                <w:szCs w:val="11"/>
                <w:color w:val="auto"/>
              </w:rPr>
            </w:pPr>
          </w:p>
        </w:tc>
        <w:tc>
          <w:tcPr>
            <w:tcW w:w="4800" w:type="dxa"/>
            <w:vAlign w:val="bottom"/>
          </w:tcPr>
          <w:p>
            <w:pPr>
              <w:jc w:val="right"/>
              <w:spacing w:after="0" w:line="130"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32"/>
        </w:trPr>
        <w:tc>
          <w:tcPr>
            <w:tcW w:w="20" w:type="dxa"/>
            <w:vAlign w:val="bottom"/>
            <w:shd w:val="clear" w:color="auto" w:fill="CCEEFF"/>
          </w:tcPr>
          <w:p>
            <w:pPr>
              <w:spacing w:after="0"/>
              <w:rPr>
                <w:sz w:val="11"/>
                <w:szCs w:val="11"/>
                <w:color w:val="auto"/>
              </w:rPr>
            </w:pPr>
          </w:p>
        </w:tc>
        <w:tc>
          <w:tcPr>
            <w:tcW w:w="6460" w:type="dxa"/>
            <w:vAlign w:val="bottom"/>
            <w:gridSpan w:val="27"/>
            <w:shd w:val="clear" w:color="auto" w:fill="CCEEFF"/>
          </w:tcPr>
          <w:p>
            <w:pPr>
              <w:spacing w:after="0" w:line="130" w:lineRule="exact"/>
              <w:rPr>
                <w:rFonts w:ascii="Arial" w:cs="Arial" w:eastAsia="Arial" w:hAnsi="Arial"/>
                <w:sz w:val="14"/>
                <w:szCs w:val="14"/>
                <w:color w:val="0000FF"/>
              </w:rPr>
            </w:pPr>
            <w:hyperlink w:anchor="page105">
              <w:r>
                <w:rPr>
                  <w:rFonts w:ascii="Arial" w:cs="Arial" w:eastAsia="Arial" w:hAnsi="Arial"/>
                  <w:sz w:val="14"/>
                  <w:szCs w:val="14"/>
                  <w:color w:val="0000FF"/>
                </w:rPr>
                <w:t>Note 20 – Business Combinations</w:t>
              </w:r>
            </w:hyperlink>
          </w:p>
        </w:tc>
        <w:tc>
          <w:tcPr>
            <w:tcW w:w="4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32"/>
        </w:trPr>
        <w:tc>
          <w:tcPr>
            <w:tcW w:w="20" w:type="dxa"/>
            <w:vAlign w:val="bottom"/>
            <w:tcBorders>
              <w:top w:val="single" w:sz="8" w:color="CCEEFF"/>
            </w:tcBorders>
          </w:tcPr>
          <w:p>
            <w:pPr>
              <w:spacing w:after="0"/>
              <w:rPr>
                <w:sz w:val="11"/>
                <w:szCs w:val="11"/>
                <w:color w:val="auto"/>
              </w:rPr>
            </w:pPr>
          </w:p>
        </w:tc>
        <w:tc>
          <w:tcPr>
            <w:tcW w:w="1520" w:type="dxa"/>
            <w:vAlign w:val="bottom"/>
            <w:tcBorders>
              <w:top w:val="single" w:sz="8" w:color="0000FF"/>
              <w:bottom w:val="single" w:sz="8" w:color="0000FF"/>
            </w:tcBorders>
            <w:gridSpan w:val="4"/>
          </w:tcPr>
          <w:p>
            <w:pPr>
              <w:spacing w:after="0" w:line="130" w:lineRule="exact"/>
              <w:rPr>
                <w:rFonts w:ascii="Arial" w:cs="Arial" w:eastAsia="Arial" w:hAnsi="Arial"/>
                <w:sz w:val="14"/>
                <w:szCs w:val="14"/>
                <w:color w:val="0000FF"/>
                <w:w w:val="93"/>
              </w:rPr>
            </w:pPr>
            <w:hyperlink w:anchor="page105">
              <w:r>
                <w:rPr>
                  <w:rFonts w:ascii="Arial" w:cs="Arial" w:eastAsia="Arial" w:hAnsi="Arial"/>
                  <w:sz w:val="14"/>
                  <w:szCs w:val="14"/>
                  <w:color w:val="0000FF"/>
                  <w:w w:val="93"/>
                </w:rPr>
                <w:t>Note 21 – Related Parties</w:t>
              </w:r>
            </w:hyperlink>
          </w:p>
        </w:tc>
        <w:tc>
          <w:tcPr>
            <w:tcW w:w="440" w:type="dxa"/>
            <w:vAlign w:val="bottom"/>
            <w:tcBorders>
              <w:top w:val="single" w:sz="8" w:color="0000FF"/>
            </w:tcBorders>
            <w:gridSpan w:val="3"/>
          </w:tcPr>
          <w:p>
            <w:pPr>
              <w:spacing w:after="0"/>
              <w:rPr>
                <w:sz w:val="11"/>
                <w:szCs w:val="11"/>
                <w:color w:val="auto"/>
              </w:rPr>
            </w:pPr>
          </w:p>
        </w:tc>
        <w:tc>
          <w:tcPr>
            <w:tcW w:w="4500" w:type="dxa"/>
            <w:vAlign w:val="bottom"/>
            <w:tcBorders>
              <w:top w:val="single" w:sz="8" w:color="CCEEFF"/>
            </w:tcBorders>
            <w:gridSpan w:val="20"/>
          </w:tcPr>
          <w:p>
            <w:pPr>
              <w:spacing w:after="0"/>
              <w:rPr>
                <w:sz w:val="11"/>
                <w:szCs w:val="11"/>
                <w:color w:val="auto"/>
              </w:rPr>
            </w:pPr>
          </w:p>
        </w:tc>
        <w:tc>
          <w:tcPr>
            <w:tcW w:w="4800" w:type="dxa"/>
            <w:vAlign w:val="bottom"/>
            <w:tcBorders>
              <w:top w:val="single" w:sz="8" w:color="CCEEFF"/>
            </w:tcBorders>
          </w:tcPr>
          <w:p>
            <w:pPr>
              <w:jc w:val="right"/>
              <w:spacing w:after="0" w:line="130"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32"/>
        </w:trPr>
        <w:tc>
          <w:tcPr>
            <w:tcW w:w="20" w:type="dxa"/>
            <w:vAlign w:val="bottom"/>
            <w:tcBorders>
              <w:bottom w:val="single" w:sz="8" w:color="CCEEFF"/>
            </w:tcBorders>
            <w:shd w:val="clear" w:color="auto" w:fill="CCEEFF"/>
          </w:tcPr>
          <w:p>
            <w:pPr>
              <w:spacing w:after="0"/>
              <w:rPr>
                <w:sz w:val="11"/>
                <w:szCs w:val="11"/>
                <w:color w:val="auto"/>
              </w:rPr>
            </w:pPr>
          </w:p>
        </w:tc>
        <w:tc>
          <w:tcPr>
            <w:tcW w:w="1700" w:type="dxa"/>
            <w:vAlign w:val="bottom"/>
            <w:tcBorders>
              <w:bottom w:val="single" w:sz="8" w:color="0000FF"/>
            </w:tcBorders>
            <w:gridSpan w:val="5"/>
            <w:shd w:val="clear" w:color="auto" w:fill="CCEEFF"/>
          </w:tcPr>
          <w:p>
            <w:pPr>
              <w:spacing w:after="0" w:line="130" w:lineRule="exact"/>
              <w:rPr>
                <w:rFonts w:ascii="Arial" w:cs="Arial" w:eastAsia="Arial" w:hAnsi="Arial"/>
                <w:sz w:val="14"/>
                <w:szCs w:val="14"/>
                <w:color w:val="0000FF"/>
                <w:w w:val="90"/>
              </w:rPr>
            </w:pPr>
            <w:hyperlink w:anchor="page109">
              <w:r>
                <w:rPr>
                  <w:rFonts w:ascii="Arial" w:cs="Arial" w:eastAsia="Arial" w:hAnsi="Arial"/>
                  <w:sz w:val="14"/>
                  <w:szCs w:val="14"/>
                  <w:color w:val="0000FF"/>
                  <w:w w:val="90"/>
                </w:rPr>
                <w:t>Note 22 – Subsequent Events</w:t>
              </w:r>
            </w:hyperlink>
          </w:p>
        </w:tc>
        <w:tc>
          <w:tcPr>
            <w:tcW w:w="4760" w:type="dxa"/>
            <w:vAlign w:val="bottom"/>
            <w:tcBorders>
              <w:bottom w:val="single" w:sz="8" w:color="CCEEFF"/>
            </w:tcBorders>
            <w:gridSpan w:val="22"/>
            <w:shd w:val="clear" w:color="auto" w:fill="CCEEFF"/>
          </w:tcPr>
          <w:p>
            <w:pPr>
              <w:spacing w:after="0"/>
              <w:rPr>
                <w:sz w:val="11"/>
                <w:szCs w:val="11"/>
                <w:color w:val="auto"/>
              </w:rPr>
            </w:pPr>
          </w:p>
        </w:tc>
        <w:tc>
          <w:tcPr>
            <w:tcW w:w="4800" w:type="dxa"/>
            <w:vAlign w:val="bottom"/>
            <w:tcBorders>
              <w:bottom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460" w:type="dxa"/>
            <w:vAlign w:val="bottom"/>
            <w:gridSpan w:val="27"/>
          </w:tcPr>
          <w:p>
            <w:pPr>
              <w:spacing w:after="0" w:line="130" w:lineRule="exact"/>
              <w:rPr>
                <w:rFonts w:ascii="Arial" w:cs="Arial" w:eastAsia="Arial" w:hAnsi="Arial"/>
                <w:sz w:val="14"/>
                <w:szCs w:val="14"/>
                <w:color w:val="0000FF"/>
              </w:rPr>
            </w:pPr>
            <w:hyperlink w:anchor="page110">
              <w:r>
                <w:rPr>
                  <w:rFonts w:ascii="Arial" w:cs="Arial" w:eastAsia="Arial" w:hAnsi="Arial"/>
                  <w:sz w:val="14"/>
                  <w:szCs w:val="14"/>
                  <w:color w:val="0000FF"/>
                </w:rPr>
                <w:t>Schedule II – Valuation and Qualifying Accounts</w:t>
              </w:r>
            </w:hyperlink>
          </w:p>
        </w:tc>
        <w:tc>
          <w:tcPr>
            <w:tcW w:w="4800" w:type="dxa"/>
            <w:vAlign w:val="bottom"/>
          </w:tcPr>
          <w:p>
            <w:pPr>
              <w:jc w:val="right"/>
              <w:spacing w:after="0" w:line="130"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2840" w:type="dxa"/>
            <w:vAlign w:val="bottom"/>
            <w:tcBorders>
              <w:top w:val="single" w:sz="8" w:color="0000FF"/>
            </w:tcBorders>
            <w:gridSpan w:val="16"/>
          </w:tcPr>
          <w:p>
            <w:pPr>
              <w:spacing w:after="0"/>
              <w:rPr>
                <w:sz w:val="24"/>
                <w:szCs w:val="24"/>
                <w:color w:val="auto"/>
              </w:rPr>
            </w:pPr>
          </w:p>
        </w:tc>
        <w:tc>
          <w:tcPr>
            <w:tcW w:w="3080" w:type="dxa"/>
            <w:vAlign w:val="bottom"/>
            <w:gridSpan w:val="10"/>
          </w:tcPr>
          <w:p>
            <w:pPr>
              <w:jc w:val="right"/>
              <w:ind w:right="140"/>
              <w:spacing w:after="0"/>
              <w:rPr>
                <w:sz w:val="20"/>
                <w:szCs w:val="20"/>
                <w:color w:val="auto"/>
              </w:rPr>
            </w:pPr>
            <w:r>
              <w:rPr>
                <w:rFonts w:ascii="Arial" w:cs="Arial" w:eastAsia="Arial" w:hAnsi="Arial"/>
                <w:sz w:val="14"/>
                <w:szCs w:val="14"/>
                <w:color w:val="auto"/>
              </w:rPr>
              <w:t>- 55 -</w:t>
            </w:r>
          </w:p>
        </w:tc>
        <w:tc>
          <w:tcPr>
            <w:tcW w:w="5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9A9A9A"/>
            </w:tcBorders>
          </w:tcPr>
          <w:p>
            <w:pPr>
              <w:spacing w:after="0"/>
              <w:rPr>
                <w:sz w:val="21"/>
                <w:szCs w:val="21"/>
                <w:color w:val="auto"/>
              </w:rPr>
            </w:pPr>
          </w:p>
        </w:tc>
        <w:tc>
          <w:tcPr>
            <w:tcW w:w="1040" w:type="dxa"/>
            <w:vAlign w:val="bottom"/>
            <w:tcBorders>
              <w:bottom w:val="single" w:sz="8" w:color="9A9A9A"/>
            </w:tcBorders>
          </w:tcPr>
          <w:p>
            <w:pPr>
              <w:spacing w:after="0"/>
              <w:rPr>
                <w:sz w:val="21"/>
                <w:szCs w:val="21"/>
                <w:color w:val="auto"/>
              </w:rPr>
            </w:pPr>
          </w:p>
        </w:tc>
        <w:tc>
          <w:tcPr>
            <w:tcW w:w="28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18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280" w:type="dxa"/>
            <w:vAlign w:val="bottom"/>
            <w:tcBorders>
              <w:bottom w:val="single" w:sz="8" w:color="9A9A9A"/>
            </w:tcBorders>
          </w:tcPr>
          <w:p>
            <w:pPr>
              <w:spacing w:after="0"/>
              <w:rPr>
                <w:sz w:val="21"/>
                <w:szCs w:val="21"/>
                <w:color w:val="auto"/>
              </w:rPr>
            </w:pPr>
          </w:p>
        </w:tc>
        <w:tc>
          <w:tcPr>
            <w:tcW w:w="38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18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540" w:type="dxa"/>
            <w:vAlign w:val="bottom"/>
            <w:tcBorders>
              <w:bottom w:val="single" w:sz="8" w:color="9A9A9A"/>
            </w:tcBorders>
          </w:tcPr>
          <w:p>
            <w:pPr>
              <w:spacing w:after="0"/>
              <w:rPr>
                <w:sz w:val="21"/>
                <w:szCs w:val="21"/>
                <w:color w:val="auto"/>
              </w:rPr>
            </w:pPr>
          </w:p>
        </w:tc>
        <w:tc>
          <w:tcPr>
            <w:tcW w:w="480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u w:val="single" w:color="auto"/>
          <w:color w:val="auto"/>
        </w:rPr>
        <w:t>MANAGEMENT'S REPORT ON INTERNAL CONTROL OVER FINANCIAL REPORTING</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and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Reading International, Inc.</w:t>
      </w:r>
    </w:p>
    <w:p>
      <w:pPr>
        <w:spacing w:after="0" w:line="154" w:lineRule="exact"/>
        <w:rPr>
          <w:sz w:val="20"/>
          <w:szCs w:val="20"/>
          <w:color w:val="auto"/>
        </w:rPr>
      </w:pPr>
    </w:p>
    <w:p>
      <w:pPr>
        <w:ind w:right="100"/>
        <w:spacing w:after="0" w:line="235"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as such term is defined in Securities Exchange Act Rules 13a-15(f) and 15d-15(f). Our internal control over financial reporting is a process designed to provide reasonable assurance regarding the reliability of financial reporting and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right="80"/>
        <w:spacing w:after="0" w:line="242" w:lineRule="auto"/>
        <w:rPr>
          <w:sz w:val="20"/>
          <w:szCs w:val="20"/>
          <w:color w:val="auto"/>
        </w:rPr>
      </w:pPr>
      <w:r>
        <w:rPr>
          <w:rFonts w:ascii="Arial" w:cs="Arial" w:eastAsia="Arial" w:hAnsi="Arial"/>
          <w:sz w:val="14"/>
          <w:szCs w:val="14"/>
          <w:color w:val="auto"/>
        </w:rPr>
        <w:t>Management, including our Chief Executive Officer and Chief Financial Officer, conducted an evaluation of the effectiveness of our internal control over financial reporting based on the criteria established in 2013 Internal Control—Integrated Framework issued by the Committee of Sponsoring Organizations (COSO) of the Treadway Commission. Based on this assessment, our management believes that the Company’s internal control over financial reporting is effective as of December 31, 2021.</w:t>
      </w:r>
    </w:p>
    <w:p>
      <w:pPr>
        <w:spacing w:after="0" w:line="120"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The effectiveness of our internal control over financial reporting as of December 31, 2021 has been audited by Grant Thornton LLP, an independent registered public accounting firm, as stated in their report, which is included herein</w:t>
      </w:r>
      <w:r>
        <w:rPr>
          <w:rFonts w:ascii="Arial" w:cs="Arial" w:eastAsia="Arial" w:hAnsi="Arial"/>
          <w:sz w:val="12"/>
          <w:szCs w:val="12"/>
          <w:color w:val="auto"/>
        </w:rPr>
        <w: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gridSpan w:val="3"/>
          </w:tcPr>
          <w:p>
            <w:pPr>
              <w:ind w:left="17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color w:val="auto"/>
              </w:rPr>
              <w:t>/s/ Ellen M. Cotter</w:t>
            </w:r>
          </w:p>
        </w:tc>
        <w:tc>
          <w:tcPr>
            <w:tcW w:w="6440" w:type="dxa"/>
            <w:vAlign w:val="bottom"/>
            <w:gridSpan w:val="3"/>
          </w:tcPr>
          <w:p>
            <w:pPr>
              <w:ind w:left="8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color w:val="auto"/>
              </w:rPr>
              <w:t>/s/Gilbert Avanes</w:t>
            </w:r>
          </w:p>
        </w:tc>
      </w:tr>
      <w:tr>
        <w:trPr>
          <w:trHeight w:val="132"/>
        </w:trPr>
        <w:tc>
          <w:tcPr>
            <w:tcW w:w="1980" w:type="dxa"/>
            <w:vAlign w:val="bottom"/>
          </w:tcPr>
          <w:p>
            <w:pPr>
              <w:spacing w:after="0"/>
              <w:rPr>
                <w:sz w:val="11"/>
                <w:szCs w:val="11"/>
                <w:color w:val="auto"/>
              </w:rPr>
            </w:pPr>
          </w:p>
        </w:tc>
        <w:tc>
          <w:tcPr>
            <w:tcW w:w="1080" w:type="dxa"/>
            <w:vAlign w:val="bottom"/>
            <w:tcBorders>
              <w:top w:val="single" w:sz="8" w:color="auto"/>
            </w:tcBorders>
          </w:tcPr>
          <w:p>
            <w:pPr>
              <w:ind w:left="20"/>
              <w:spacing w:after="0" w:line="132" w:lineRule="exact"/>
              <w:rPr>
                <w:sz w:val="20"/>
                <w:szCs w:val="20"/>
                <w:color w:val="auto"/>
              </w:rPr>
            </w:pPr>
            <w:r>
              <w:rPr>
                <w:rFonts w:ascii="Arial" w:cs="Arial" w:eastAsia="Arial" w:hAnsi="Arial"/>
                <w:sz w:val="14"/>
                <w:szCs w:val="14"/>
                <w:color w:val="auto"/>
              </w:rPr>
              <w:t>Ellen M. Cotter</w:t>
            </w:r>
          </w:p>
        </w:tc>
        <w:tc>
          <w:tcPr>
            <w:tcW w:w="1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tcBorders>
              <w:top w:val="single" w:sz="8" w:color="auto"/>
            </w:tcBorders>
          </w:tcPr>
          <w:p>
            <w:pPr>
              <w:spacing w:after="0" w:line="132" w:lineRule="exact"/>
              <w:rPr>
                <w:sz w:val="20"/>
                <w:szCs w:val="20"/>
                <w:color w:val="auto"/>
              </w:rPr>
            </w:pPr>
            <w:r>
              <w:rPr>
                <w:rFonts w:ascii="Arial" w:cs="Arial" w:eastAsia="Arial" w:hAnsi="Arial"/>
                <w:sz w:val="14"/>
                <w:szCs w:val="14"/>
                <w:color w:val="auto"/>
              </w:rPr>
              <w:t>Gilbert Avanes</w:t>
            </w:r>
          </w:p>
        </w:tc>
        <w:tc>
          <w:tcPr>
            <w:tcW w:w="4380" w:type="dxa"/>
            <w:vAlign w:val="bottom"/>
          </w:tcPr>
          <w:p>
            <w:pPr>
              <w:spacing w:after="0"/>
              <w:rPr>
                <w:sz w:val="11"/>
                <w:szCs w:val="11"/>
                <w:color w:val="auto"/>
              </w:rPr>
            </w:pPr>
          </w:p>
        </w:tc>
      </w:tr>
      <w:tr>
        <w:trPr>
          <w:trHeight w:val="152"/>
        </w:trPr>
        <w:tc>
          <w:tcPr>
            <w:tcW w:w="1980" w:type="dxa"/>
            <w:vAlign w:val="bottom"/>
          </w:tcPr>
          <w:p>
            <w:pPr>
              <w:spacing w:after="0"/>
              <w:rPr>
                <w:sz w:val="13"/>
                <w:szCs w:val="13"/>
                <w:color w:val="auto"/>
              </w:rPr>
            </w:pPr>
          </w:p>
        </w:tc>
        <w:tc>
          <w:tcPr>
            <w:tcW w:w="286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President and Chief Executive Officer</w:t>
            </w:r>
          </w:p>
        </w:tc>
        <w:tc>
          <w:tcPr>
            <w:tcW w:w="1060" w:type="dxa"/>
            <w:vAlign w:val="bottom"/>
          </w:tcPr>
          <w:p>
            <w:pPr>
              <w:spacing w:after="0"/>
              <w:rPr>
                <w:sz w:val="13"/>
                <w:szCs w:val="13"/>
                <w:color w:val="auto"/>
              </w:rPr>
            </w:pPr>
          </w:p>
        </w:tc>
        <w:tc>
          <w:tcPr>
            <w:tcW w:w="5380" w:type="dxa"/>
            <w:vAlign w:val="bottom"/>
            <w:gridSpan w:val="2"/>
          </w:tcPr>
          <w:p>
            <w:pPr>
              <w:spacing w:after="0" w:line="152" w:lineRule="exact"/>
              <w:rPr>
                <w:sz w:val="20"/>
                <w:szCs w:val="20"/>
                <w:color w:val="auto"/>
              </w:rPr>
            </w:pPr>
            <w:r>
              <w:rPr>
                <w:rFonts w:ascii="Arial" w:cs="Arial" w:eastAsia="Arial" w:hAnsi="Arial"/>
                <w:sz w:val="14"/>
                <w:szCs w:val="14"/>
                <w:color w:val="auto"/>
              </w:rPr>
              <w:t>EVP, Chief Financial Officer and Treasurer</w:t>
            </w:r>
          </w:p>
        </w:tc>
      </w:tr>
      <w:tr>
        <w:trPr>
          <w:trHeight w:val="183"/>
        </w:trPr>
        <w:tc>
          <w:tcPr>
            <w:tcW w:w="1980" w:type="dxa"/>
            <w:vAlign w:val="bottom"/>
          </w:tcPr>
          <w:p>
            <w:pPr>
              <w:spacing w:after="0"/>
              <w:rPr>
                <w:sz w:val="15"/>
                <w:szCs w:val="15"/>
                <w:color w:val="auto"/>
              </w:rPr>
            </w:pPr>
          </w:p>
        </w:tc>
        <w:tc>
          <w:tcPr>
            <w:tcW w:w="2860" w:type="dxa"/>
            <w:vAlign w:val="bottom"/>
            <w:gridSpan w:val="2"/>
          </w:tcPr>
          <w:p>
            <w:pPr>
              <w:ind w:left="20"/>
              <w:spacing w:after="0"/>
              <w:rPr>
                <w:sz w:val="20"/>
                <w:szCs w:val="20"/>
                <w:color w:val="auto"/>
              </w:rPr>
            </w:pPr>
            <w:r>
              <w:rPr>
                <w:rFonts w:ascii="Arial" w:cs="Arial" w:eastAsia="Arial" w:hAnsi="Arial"/>
                <w:sz w:val="14"/>
                <w:szCs w:val="14"/>
                <w:color w:val="auto"/>
              </w:rPr>
              <w:t>March 16, 2022</w:t>
            </w:r>
          </w:p>
        </w:tc>
        <w:tc>
          <w:tcPr>
            <w:tcW w:w="1060" w:type="dxa"/>
            <w:vAlign w:val="bottom"/>
          </w:tcPr>
          <w:p>
            <w:pPr>
              <w:spacing w:after="0"/>
              <w:rPr>
                <w:sz w:val="15"/>
                <w:szCs w:val="15"/>
                <w:color w:val="auto"/>
              </w:rPr>
            </w:pPr>
          </w:p>
        </w:tc>
        <w:tc>
          <w:tcPr>
            <w:tcW w:w="5380" w:type="dxa"/>
            <w:vAlign w:val="bottom"/>
            <w:gridSpan w:val="2"/>
          </w:tcPr>
          <w:p>
            <w:pPr>
              <w:spacing w:after="0"/>
              <w:rPr>
                <w:sz w:val="20"/>
                <w:szCs w:val="20"/>
                <w:color w:val="auto"/>
              </w:rPr>
            </w:pPr>
            <w:r>
              <w:rPr>
                <w:rFonts w:ascii="Arial" w:cs="Arial" w:eastAsia="Arial" w:hAnsi="Arial"/>
                <w:sz w:val="14"/>
                <w:szCs w:val="14"/>
                <w:color w:val="auto"/>
              </w:rPr>
              <w:t>March 16, 2022</w:t>
            </w:r>
          </w:p>
        </w:tc>
      </w:tr>
      <w:tr>
        <w:trPr>
          <w:trHeight w:val="726"/>
        </w:trPr>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- 56 -</w:t>
            </w:r>
          </w:p>
        </w:tc>
        <w:tc>
          <w:tcPr>
            <w:tcW w:w="10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52"/>
        </w:trPr>
        <w:tc>
          <w:tcPr>
            <w:tcW w:w="1980" w:type="dxa"/>
            <w:vAlign w:val="bottom"/>
            <w:tcBorders>
              <w:bottom w:val="single" w:sz="8" w:color="9A9A9A"/>
            </w:tcBorders>
          </w:tcPr>
          <w:p>
            <w:pPr>
              <w:spacing w:after="0"/>
              <w:rPr>
                <w:sz w:val="21"/>
                <w:szCs w:val="21"/>
                <w:color w:val="auto"/>
              </w:rPr>
            </w:pPr>
          </w:p>
        </w:tc>
        <w:tc>
          <w:tcPr>
            <w:tcW w:w="1080" w:type="dxa"/>
            <w:vAlign w:val="bottom"/>
            <w:tcBorders>
              <w:bottom w:val="single" w:sz="8" w:color="9A9A9A"/>
            </w:tcBorders>
          </w:tcPr>
          <w:p>
            <w:pPr>
              <w:spacing w:after="0"/>
              <w:rPr>
                <w:sz w:val="21"/>
                <w:szCs w:val="21"/>
                <w:color w:val="auto"/>
              </w:rPr>
            </w:pPr>
          </w:p>
        </w:tc>
        <w:tc>
          <w:tcPr>
            <w:tcW w:w="178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c>
          <w:tcPr>
            <w:tcW w:w="438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420" w:right="31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4"/>
          <w:szCs w:val="14"/>
          <w:b w:val="1"/>
          <w:bCs w:val="1"/>
          <w:u w:val="single" w:color="auto"/>
          <w:color w:val="auto"/>
        </w:rPr>
        <w:t>REPORT OF INDEPENDENT REGISTERED PUBLIC ACCOUNTING FIRM</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and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Reading International, Inc.</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Opinion on the financial statements</w:t>
      </w:r>
    </w:p>
    <w:p>
      <w:pPr>
        <w:spacing w:after="0" w:line="147" w:lineRule="exact"/>
        <w:rPr>
          <w:sz w:val="20"/>
          <w:szCs w:val="20"/>
          <w:color w:val="auto"/>
        </w:rPr>
      </w:pPr>
    </w:p>
    <w:p>
      <w:pPr>
        <w:ind w:right="160"/>
        <w:spacing w:after="0" w:line="235" w:lineRule="auto"/>
        <w:rPr>
          <w:sz w:val="20"/>
          <w:szCs w:val="20"/>
          <w:color w:val="auto"/>
        </w:rPr>
      </w:pPr>
      <w:r>
        <w:rPr>
          <w:rFonts w:ascii="Arial" w:cs="Arial" w:eastAsia="Arial" w:hAnsi="Arial"/>
          <w:sz w:val="14"/>
          <w:szCs w:val="14"/>
          <w:color w:val="auto"/>
        </w:rPr>
        <w:t>We have audited the accompanying consolidated balance sheets of Reading International, Inc. and subsidiaries (the “Company”) as of December 31, 2021 and 2020, the related consolidated statements of operations, comprehensive income, changes in stockholders’ equity, and cash flows for each of the three years in the period ended December 31, 2021, and the related notes and financial statement schedule included under Item 15(a)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22" w:lineRule="exact"/>
        <w:rPr>
          <w:sz w:val="20"/>
          <w:szCs w:val="20"/>
          <w:color w:val="auto"/>
        </w:rPr>
      </w:pPr>
    </w:p>
    <w:p>
      <w:pPr>
        <w:jc w:val="both"/>
        <w:ind w:right="60"/>
        <w:spacing w:after="0" w:line="242" w:lineRule="auto"/>
        <w:rPr>
          <w:sz w:val="20"/>
          <w:szCs w:val="20"/>
          <w:color w:val="auto"/>
        </w:rPr>
      </w:pPr>
      <w:r>
        <w:rPr>
          <w:rFonts w:ascii="Arial" w:cs="Arial" w:eastAsia="Arial" w:hAnsi="Arial"/>
          <w:sz w:val="14"/>
          <w:szCs w:val="14"/>
          <w:color w:val="auto"/>
        </w:rPr>
        <w:t xml:space="preserve">We also have audited, in accordance with the standards of the Public Company Accounting Oversight Board (United States) (“PCAOB”), the Company’s internal control over financial reporting as of December 31, 2021, based on criteria established in the 2013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(“COSO”), and our report dated March 16, 2022 expressed an unqualified opinion.</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Basis for opinion</w:t>
      </w:r>
    </w:p>
    <w:p>
      <w:pPr>
        <w:spacing w:after="0" w:line="147" w:lineRule="exact"/>
        <w:rPr>
          <w:sz w:val="20"/>
          <w:szCs w:val="20"/>
          <w:color w:val="auto"/>
        </w:rPr>
      </w:pPr>
    </w:p>
    <w:p>
      <w:pPr>
        <w:ind w:right="80"/>
        <w:spacing w:after="0" w:line="242"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ind w:right="100"/>
        <w:spacing w:after="0" w:line="235"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Critical audit matters</w:t>
      </w:r>
    </w:p>
    <w:p>
      <w:pPr>
        <w:spacing w:after="0" w:line="147" w:lineRule="exact"/>
        <w:rPr>
          <w:sz w:val="20"/>
          <w:szCs w:val="20"/>
          <w:color w:val="auto"/>
        </w:rPr>
      </w:pPr>
    </w:p>
    <w:p>
      <w:pPr>
        <w:ind w:right="260"/>
        <w:spacing w:after="0" w:line="237"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they relate.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Valuation of Long-Lived Assets</w:t>
      </w:r>
    </w:p>
    <w:p>
      <w:pPr>
        <w:spacing w:after="0" w:line="143"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As described further in Note 2 and Note 8 to the financial statements, the Company reviews long-lived assets for impairment whenever events or changes in circumstances indicate the carrying amount of the asset may not be fully recoverable. The impairment evaluation of long-lived assets is an assessment that begins with the Company’s monitoring of indicators of impairment on an asset group basis, which the Company believes is the lowest applicable level for which there are identifiable cash flows. Due to the continued impact of COVID-19, the Company performed long-lived asset impairment evaluations for its operating properties and operating lease right-of-use assets as of December 31, 2021. When performing the impairment assessments, the Company estimates undiscounted cash flows at the asset group level from continuing use through the remainder of the asset’s useful life. If the estimated undiscounted cash flows are not sufficient to recover the carrying value of the asset, the Company then compares the carrying value of the asset with its estimated fair value. The key uncertainties in the assumptions used in estimating the projected cash flows of operating properties and operating lease right-of-use assets is due to the impact of COVID-19 regarding the uncertainty surrounding future variants of the virus that could cause additional theater closures, the public’s demand to attend indoor entertainment settings and the timing of the release of movie and production content. We identified the impairment of operating properties and operating lease right-of-use assets as a critical audit matter.</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40"/>
          </w:cols>
          <w:pgMar w:left="300" w:top="114" w:right="359" w:bottom="1440" w:gutter="0" w:footer="0" w:header="0"/>
        </w:sectPr>
      </w:pPr>
    </w:p>
    <w:bookmarkStart w:id="57" w:name="page58"/>
    <w:bookmarkEnd w:id="57"/>
    <w:p>
      <w:pPr>
        <w:spacing w:after="0" w:line="270" w:lineRule="auto"/>
        <w:rPr>
          <w:sz w:val="20"/>
          <w:szCs w:val="20"/>
          <w:color w:val="auto"/>
        </w:rPr>
      </w:pPr>
      <w:r>
        <w:rPr>
          <w:rFonts w:ascii="Arial" w:cs="Arial" w:eastAsia="Arial" w:hAnsi="Arial"/>
          <w:sz w:val="13"/>
          <w:szCs w:val="13"/>
          <w:color w:val="auto"/>
        </w:rPr>
        <w:t>The principal considerations for our determination that the valuation of operating properties and operating lease right-of-use assets is a critical audit matter is due to the uncertainties and significant management judgement used to estimate the related undiscounted cash flows. Evaluating management’s estimates required a high degree of auditor judgement and an increased level of effort when performing audit procedures to evaluate the reasonableness of management’s cash flow analysis in light of the uncertainties presented from the COVID-19 global pandemic.</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Our audit procedures related to the valuation considerations for operating properties and operating lease right-of-use assets included the following, among others.</w:t>
      </w:r>
    </w:p>
    <w:p>
      <w:pPr>
        <w:spacing w:after="0" w:line="110" w:lineRule="exact"/>
        <w:rPr>
          <w:sz w:val="20"/>
          <w:szCs w:val="20"/>
          <w:color w:val="auto"/>
        </w:rPr>
      </w:pPr>
    </w:p>
    <w:p>
      <w:pPr>
        <w:ind w:left="520" w:right="80"/>
        <w:spacing w:after="0" w:line="235" w:lineRule="auto"/>
        <w:rPr>
          <w:sz w:val="20"/>
          <w:szCs w:val="20"/>
          <w:color w:val="auto"/>
        </w:rPr>
      </w:pPr>
      <w:r>
        <w:rPr>
          <w:rFonts w:ascii="Arial" w:cs="Arial" w:eastAsia="Arial" w:hAnsi="Arial"/>
          <w:sz w:val="14"/>
          <w:szCs w:val="14"/>
          <w:color w:val="auto"/>
        </w:rPr>
        <w:t>We tested the design and operating effectiveness of internal controls relating to management’s identification of triggering events and measurement considerations for long-lived assets, key inputs and assumptions used in relation to the forecasting of future cash flows.</w:t>
      </w:r>
    </w:p>
    <w:p>
      <w:pPr>
        <w:jc w:val="both"/>
        <w:ind w:left="520" w:right="240"/>
        <w:spacing w:after="0" w:line="226" w:lineRule="auto"/>
        <w:rPr>
          <w:sz w:val="20"/>
          <w:szCs w:val="20"/>
          <w:color w:val="auto"/>
        </w:rPr>
      </w:pPr>
      <w:r>
        <w:rPr>
          <w:rFonts w:ascii="Arial" w:cs="Arial" w:eastAsia="Arial" w:hAnsi="Arial"/>
          <w:sz w:val="14"/>
          <w:szCs w:val="14"/>
          <w:color w:val="auto"/>
        </w:rPr>
        <w:t>The evaluation of assumptions within the impairment consideration models, including future cash flows, growth rates and terminal values were evaluated for management bias. We benchmarked the average historical cash flows generated at the specific theater location level during prior periods not impacted by government mandated closures due to pandemic concerns.</w:t>
      </w:r>
    </w:p>
    <w:p>
      <w:pPr>
        <w:ind w:left="520"/>
        <w:spacing w:after="0" w:line="227" w:lineRule="auto"/>
        <w:rPr>
          <w:sz w:val="20"/>
          <w:szCs w:val="20"/>
          <w:color w:val="auto"/>
        </w:rPr>
      </w:pPr>
      <w:r>
        <w:rPr>
          <w:rFonts w:ascii="Arial" w:cs="Arial" w:eastAsia="Arial" w:hAnsi="Arial"/>
          <w:sz w:val="14"/>
          <w:szCs w:val="14"/>
          <w:color w:val="auto"/>
        </w:rPr>
        <w:t>On a scope basis we performed independent calculations to test the sensitivity of key assumptions used by management.</w:t>
      </w:r>
    </w:p>
    <w:p>
      <w:pPr>
        <w:ind w:left="520" w:right="320"/>
        <w:spacing w:after="0"/>
        <w:rPr>
          <w:sz w:val="20"/>
          <w:szCs w:val="20"/>
          <w:color w:val="auto"/>
        </w:rPr>
      </w:pPr>
      <w:r>
        <w:rPr>
          <w:rFonts w:ascii="Arial" w:cs="Arial" w:eastAsia="Arial" w:hAnsi="Arial"/>
          <w:sz w:val="14"/>
          <w:szCs w:val="14"/>
          <w:color w:val="auto"/>
        </w:rPr>
        <w:t>We utilized the assistance of our firm’s valuation services group to assist in testing certain scoped assets’ impairment consideration models and in evaluating the reasonableness of significant assumptions utilized within the models.</w:t>
      </w: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/s/ GRANT THORNTON LLP</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2011.</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Los Angeles, California</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March 16, 2022</w:t>
      </w: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180"/>
          </w:cols>
          <w:pgMar w:left="300" w:top="270" w:right="41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4"/>
          <w:szCs w:val="14"/>
          <w:b w:val="1"/>
          <w:bCs w:val="1"/>
          <w:u w:val="single" w:color="auto"/>
          <w:color w:val="auto"/>
        </w:rPr>
        <w:t>REPORT OF INDEPENDENT REGISTERED PUBLIC ACCOUNTING FIRM</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and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Reading International, Inc.</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Opinion on internal control over financial reporting</w:t>
      </w:r>
    </w:p>
    <w:p>
      <w:pPr>
        <w:spacing w:after="0" w:line="147" w:lineRule="exact"/>
        <w:rPr>
          <w:sz w:val="20"/>
          <w:szCs w:val="20"/>
          <w:color w:val="auto"/>
        </w:rPr>
      </w:pPr>
    </w:p>
    <w:p>
      <w:pPr>
        <w:ind w:right="20"/>
        <w:spacing w:after="0" w:line="270" w:lineRule="auto"/>
        <w:rPr>
          <w:sz w:val="20"/>
          <w:szCs w:val="20"/>
          <w:color w:val="auto"/>
        </w:rPr>
      </w:pPr>
      <w:r>
        <w:rPr>
          <w:rFonts w:ascii="Arial" w:cs="Arial" w:eastAsia="Arial" w:hAnsi="Arial"/>
          <w:sz w:val="13"/>
          <w:szCs w:val="13"/>
          <w:color w:val="auto"/>
        </w:rPr>
        <w:t xml:space="preserve">We have audited the internal control over financial reporting of Reading International, Inc. and subsidiaries (the “Company”) as of December 31, 2021, based on criteria established in the 2013 </w:t>
      </w:r>
      <w:r>
        <w:rPr>
          <w:rFonts w:ascii="Arial" w:cs="Arial" w:eastAsia="Arial" w:hAnsi="Arial"/>
          <w:sz w:val="13"/>
          <w:szCs w:val="13"/>
          <w:i w:val="1"/>
          <w:iCs w:val="1"/>
          <w:color w:val="auto"/>
        </w:rPr>
        <w:t xml:space="preserve">Internal Control—Integrated Framework </w:t>
      </w:r>
      <w:r>
        <w:rPr>
          <w:rFonts w:ascii="Arial" w:cs="Arial" w:eastAsia="Arial" w:hAnsi="Arial"/>
          <w:sz w:val="13"/>
          <w:szCs w:val="13"/>
          <w:color w:val="auto"/>
        </w:rPr>
        <w:t>issued by the Committee of Sponsoring Organizations of the Treadway Commission (“COSO”). In our opinion, the Company maintained, in all material</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respects, effective internal control over financial reporting as of December 31, 2021, based on criteria established in the 2013 </w:t>
      </w:r>
      <w:r>
        <w:rPr>
          <w:rFonts w:ascii="Arial" w:cs="Arial" w:eastAsia="Arial" w:hAnsi="Arial"/>
          <w:sz w:val="13"/>
          <w:szCs w:val="13"/>
          <w:i w:val="1"/>
          <w:iCs w:val="1"/>
          <w:color w:val="auto"/>
        </w:rPr>
        <w:t>Internal Control—Integrated Framework</w:t>
      </w:r>
      <w:r>
        <w:rPr>
          <w:rFonts w:ascii="Arial" w:cs="Arial" w:eastAsia="Arial" w:hAnsi="Arial"/>
          <w:sz w:val="13"/>
          <w:szCs w:val="13"/>
          <w:color w:val="auto"/>
        </w:rPr>
        <w:t xml:space="preserve"> issued by COSO.</w:t>
      </w:r>
    </w:p>
    <w:p>
      <w:pPr>
        <w:spacing w:after="0" w:line="103"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financial statements of the Company as of and for the year ended December 31, 2021, and our report dated March 16, 2022 expressed an unqualified opinion on those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Basis for opinion</w:t>
      </w:r>
    </w:p>
    <w:p>
      <w:pPr>
        <w:spacing w:after="0" w:line="147" w:lineRule="exact"/>
        <w:rPr>
          <w:sz w:val="20"/>
          <w:szCs w:val="20"/>
          <w:color w:val="auto"/>
        </w:rPr>
      </w:pPr>
    </w:p>
    <w:p>
      <w:pPr>
        <w:ind w:right="320"/>
        <w:spacing w:after="0" w:line="261" w:lineRule="auto"/>
        <w:rPr>
          <w:sz w:val="20"/>
          <w:szCs w:val="20"/>
          <w:color w:val="auto"/>
        </w:rPr>
      </w:pPr>
      <w:r>
        <w:rPr>
          <w:rFonts w:ascii="Arial" w:cs="Arial" w:eastAsia="Arial" w:hAnsi="Arial"/>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of Reading International, Inc.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ind w:right="20"/>
        <w:spacing w:after="0" w:line="237"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Definition and limitations of internal control over financial reporting</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300"/>
        <w:spacing w:after="0" w:line="297"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/s/ GRANT THORNTON LLP</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Los Angeles, California</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March 16, 2022</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14"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20"/>
          <w:szCs w:val="20"/>
          <w:b w:val="1"/>
          <w:bCs w:val="1"/>
          <w:u w:val="single" w:color="auto"/>
          <w:color w:val="auto"/>
        </w:rPr>
        <w:t>READING INTERNATIONAL, INC. and SUBSIDIARIES</w:t>
      </w:r>
    </w:p>
    <w:p>
      <w:pPr>
        <w:jc w:val="center"/>
        <w:spacing w:after="0" w:line="235" w:lineRule="auto"/>
        <w:rPr>
          <w:sz w:val="20"/>
          <w:szCs w:val="20"/>
          <w:color w:val="auto"/>
        </w:rPr>
      </w:pPr>
      <w:r>
        <w:rPr>
          <w:rFonts w:ascii="Arial" w:cs="Arial" w:eastAsia="Arial" w:hAnsi="Arial"/>
          <w:sz w:val="14"/>
          <w:szCs w:val="14"/>
          <w:b w:val="1"/>
          <w:bCs w:val="1"/>
          <w:color w:val="auto"/>
        </w:rPr>
        <w:t>Consolidated Balance Sheets as of December 31, 2021 and 2020</w:t>
      </w:r>
    </w:p>
    <w:p>
      <w:pPr>
        <w:jc w:val="center"/>
        <w:spacing w:after="0"/>
        <w:rPr>
          <w:sz w:val="20"/>
          <w:szCs w:val="20"/>
          <w:color w:val="auto"/>
        </w:rPr>
      </w:pPr>
      <w:r>
        <w:rPr>
          <w:rFonts w:ascii="Arial" w:cs="Arial" w:eastAsia="Arial" w:hAnsi="Arial"/>
          <w:sz w:val="14"/>
          <w:szCs w:val="14"/>
          <w:i w:val="1"/>
          <w:iCs w:val="1"/>
          <w:color w:val="auto"/>
        </w:rPr>
        <w:t>(U.S. dollars in thousands, except share information)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2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2"/>
                <w:szCs w:val="12"/>
                <w:b w:val="1"/>
                <w:bCs w:val="1"/>
                <w:color w:val="auto"/>
              </w:rPr>
              <w:t>December 31,</w:t>
            </w: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260" w:type="dxa"/>
            <w:vAlign w:val="bottom"/>
          </w:tcPr>
          <w:p>
            <w:pPr>
              <w:spacing w:after="0"/>
              <w:rPr>
                <w:sz w:val="14"/>
                <w:szCs w:val="14"/>
                <w:color w:val="auto"/>
              </w:rPr>
            </w:pPr>
          </w:p>
        </w:tc>
        <w:tc>
          <w:tcPr>
            <w:tcW w:w="3920" w:type="dxa"/>
            <w:vAlign w:val="bottom"/>
            <w:gridSpan w:val="3"/>
          </w:tcPr>
          <w:p>
            <w:pPr>
              <w:jc w:val="right"/>
              <w:spacing w:after="0"/>
              <w:rPr>
                <w:sz w:val="20"/>
                <w:szCs w:val="20"/>
                <w:color w:val="auto"/>
              </w:rPr>
            </w:pPr>
            <w:r>
              <w:rPr>
                <w:rFonts w:ascii="Arial" w:cs="Arial" w:eastAsia="Arial" w:hAnsi="Arial"/>
                <w:sz w:val="12"/>
                <w:szCs w:val="12"/>
                <w:b w:val="1"/>
                <w:bCs w:val="1"/>
                <w:color w:val="auto"/>
              </w:rPr>
              <w:t>2021</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508"/>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73"/>
        </w:trPr>
        <w:tc>
          <w:tcPr>
            <w:tcW w:w="52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ASSETS</w:t>
            </w:r>
          </w:p>
        </w:tc>
        <w:tc>
          <w:tcPr>
            <w:tcW w:w="29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 Assets:</w:t>
            </w: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60" w:type="dxa"/>
            <w:vAlign w:val="bottom"/>
          </w:tcPr>
          <w:p>
            <w:pPr>
              <w:ind w:left="80"/>
              <w:spacing w:after="0"/>
              <w:rPr>
                <w:sz w:val="20"/>
                <w:szCs w:val="20"/>
                <w:color w:val="auto"/>
              </w:rPr>
            </w:pPr>
            <w:r>
              <w:rPr>
                <w:rFonts w:ascii="Arial" w:cs="Arial" w:eastAsia="Arial" w:hAnsi="Arial"/>
                <w:sz w:val="14"/>
                <w:szCs w:val="14"/>
                <w:color w:val="auto"/>
              </w:rPr>
              <w:t>Cash and cash equivalents</w:t>
            </w:r>
          </w:p>
        </w:tc>
        <w:tc>
          <w:tcPr>
            <w:tcW w:w="3920" w:type="dxa"/>
            <w:vAlign w:val="bottom"/>
            <w:gridSpan w:val="3"/>
          </w:tcPr>
          <w:p>
            <w:pPr>
              <w:jc w:val="right"/>
              <w:ind w:right="6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83,251</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26,826</w:t>
            </w:r>
          </w:p>
        </w:tc>
        <w:tc>
          <w:tcPr>
            <w:tcW w:w="0" w:type="dxa"/>
            <w:vAlign w:val="bottom"/>
          </w:tcPr>
          <w:p>
            <w:pPr>
              <w:spacing w:after="0"/>
              <w:rPr>
                <w:sz w:val="1"/>
                <w:szCs w:val="1"/>
                <w:color w:val="auto"/>
              </w:rPr>
            </w:pPr>
          </w:p>
        </w:tc>
      </w:tr>
      <w:tr>
        <w:trPr>
          <w:trHeight w:val="184"/>
        </w:trPr>
        <w:tc>
          <w:tcPr>
            <w:tcW w:w="5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Restricted cash</w:t>
            </w: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4"/>
        </w:trPr>
        <w:tc>
          <w:tcPr>
            <w:tcW w:w="5260" w:type="dxa"/>
            <w:vAlign w:val="bottom"/>
          </w:tcPr>
          <w:p>
            <w:pPr>
              <w:ind w:left="80"/>
              <w:spacing w:after="0"/>
              <w:rPr>
                <w:sz w:val="20"/>
                <w:szCs w:val="20"/>
                <w:color w:val="auto"/>
              </w:rPr>
            </w:pPr>
            <w:r>
              <w:rPr>
                <w:rFonts w:ascii="Arial" w:cs="Arial" w:eastAsia="Arial" w:hAnsi="Arial"/>
                <w:sz w:val="14"/>
                <w:szCs w:val="14"/>
                <w:color w:val="auto"/>
              </w:rPr>
              <w:t>Receivables</w:t>
            </w: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5,360</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2,438</w:t>
            </w:r>
          </w:p>
        </w:tc>
        <w:tc>
          <w:tcPr>
            <w:tcW w:w="0" w:type="dxa"/>
            <w:vAlign w:val="bottom"/>
          </w:tcPr>
          <w:p>
            <w:pPr>
              <w:spacing w:after="0"/>
              <w:rPr>
                <w:sz w:val="1"/>
                <w:szCs w:val="1"/>
                <w:color w:val="auto"/>
              </w:rPr>
            </w:pPr>
          </w:p>
        </w:tc>
      </w:tr>
      <w:tr>
        <w:trPr>
          <w:trHeight w:val="184"/>
        </w:trPr>
        <w:tc>
          <w:tcPr>
            <w:tcW w:w="5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Inventories</w:t>
            </w: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w:t>
            </w:r>
          </w:p>
        </w:tc>
        <w:tc>
          <w:tcPr>
            <w:tcW w:w="0" w:type="dxa"/>
            <w:vAlign w:val="bottom"/>
          </w:tcPr>
          <w:p>
            <w:pPr>
              <w:spacing w:after="0"/>
              <w:rPr>
                <w:sz w:val="1"/>
                <w:szCs w:val="1"/>
                <w:color w:val="auto"/>
              </w:rPr>
            </w:pPr>
          </w:p>
        </w:tc>
      </w:tr>
      <w:tr>
        <w:trPr>
          <w:trHeight w:val="184"/>
        </w:trPr>
        <w:tc>
          <w:tcPr>
            <w:tcW w:w="5260" w:type="dxa"/>
            <w:vAlign w:val="bottom"/>
          </w:tcPr>
          <w:p>
            <w:pPr>
              <w:ind w:left="80"/>
              <w:spacing w:after="0"/>
              <w:rPr>
                <w:sz w:val="20"/>
                <w:szCs w:val="20"/>
                <w:color w:val="auto"/>
              </w:rPr>
            </w:pPr>
            <w:r>
              <w:rPr>
                <w:rFonts w:ascii="Arial" w:cs="Arial" w:eastAsia="Arial" w:hAnsi="Arial"/>
                <w:sz w:val="14"/>
                <w:szCs w:val="14"/>
                <w:color w:val="auto"/>
              </w:rPr>
              <w:t>Derivative financial instruments - current portion</w:t>
            </w: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96</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5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Prepaid and other current assets</w:t>
            </w: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4,871</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8,406</w:t>
            </w:r>
          </w:p>
        </w:tc>
        <w:tc>
          <w:tcPr>
            <w:tcW w:w="0" w:type="dxa"/>
            <w:vAlign w:val="bottom"/>
          </w:tcPr>
          <w:p>
            <w:pPr>
              <w:spacing w:after="0"/>
              <w:rPr>
                <w:sz w:val="1"/>
                <w:szCs w:val="1"/>
                <w:color w:val="auto"/>
              </w:rPr>
            </w:pPr>
          </w:p>
        </w:tc>
      </w:tr>
      <w:tr>
        <w:trPr>
          <w:trHeight w:val="184"/>
        </w:trPr>
        <w:tc>
          <w:tcPr>
            <w:tcW w:w="52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Land held for sale</w:t>
            </w:r>
          </w:p>
        </w:tc>
        <w:tc>
          <w:tcPr>
            <w:tcW w:w="29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17,730</w:t>
            </w:r>
          </w:p>
        </w:tc>
        <w:tc>
          <w:tcPr>
            <w:tcW w:w="0" w:type="dxa"/>
            <w:vAlign w:val="bottom"/>
          </w:tcPr>
          <w:p>
            <w:pPr>
              <w:spacing w:after="0"/>
              <w:rPr>
                <w:sz w:val="1"/>
                <w:szCs w:val="1"/>
                <w:color w:val="auto"/>
              </w:rPr>
            </w:pPr>
          </w:p>
        </w:tc>
      </w:tr>
      <w:tr>
        <w:trPr>
          <w:trHeight w:val="164"/>
        </w:trPr>
        <w:tc>
          <w:tcPr>
            <w:tcW w:w="5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Current Assets</w:t>
            </w:r>
          </w:p>
        </w:tc>
        <w:tc>
          <w:tcPr>
            <w:tcW w:w="2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100,306</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56,467</w:t>
            </w:r>
          </w:p>
        </w:tc>
        <w:tc>
          <w:tcPr>
            <w:tcW w:w="0" w:type="dxa"/>
            <w:vAlign w:val="bottom"/>
          </w:tcPr>
          <w:p>
            <w:pPr>
              <w:spacing w:after="0"/>
              <w:rPr>
                <w:sz w:val="1"/>
                <w:szCs w:val="1"/>
                <w:color w:val="auto"/>
              </w:rPr>
            </w:pPr>
          </w:p>
        </w:tc>
      </w:tr>
      <w:tr>
        <w:trPr>
          <w:trHeight w:val="184"/>
        </w:trPr>
        <w:tc>
          <w:tcPr>
            <w:tcW w:w="5260" w:type="dxa"/>
            <w:vAlign w:val="bottom"/>
          </w:tcPr>
          <w:p>
            <w:pPr>
              <w:spacing w:after="0"/>
              <w:rPr>
                <w:sz w:val="20"/>
                <w:szCs w:val="20"/>
                <w:color w:val="auto"/>
              </w:rPr>
            </w:pPr>
            <w:r>
              <w:rPr>
                <w:rFonts w:ascii="Arial" w:cs="Arial" w:eastAsia="Arial" w:hAnsi="Arial"/>
                <w:sz w:val="14"/>
                <w:szCs w:val="14"/>
                <w:color w:val="auto"/>
              </w:rPr>
              <w:t>Operating properties, net</w:t>
            </w: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306,657</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353,125</w:t>
            </w:r>
          </w:p>
        </w:tc>
        <w:tc>
          <w:tcPr>
            <w:tcW w:w="0" w:type="dxa"/>
            <w:vAlign w:val="bottom"/>
          </w:tcPr>
          <w:p>
            <w:pPr>
              <w:spacing w:after="0"/>
              <w:rPr>
                <w:sz w:val="1"/>
                <w:szCs w:val="1"/>
                <w:color w:val="auto"/>
              </w:rPr>
            </w:pPr>
          </w:p>
        </w:tc>
      </w:tr>
      <w:tr>
        <w:trPr>
          <w:trHeight w:val="184"/>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right-of-use assets</w:t>
            </w: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227,367</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220,503</w:t>
            </w:r>
          </w:p>
        </w:tc>
        <w:tc>
          <w:tcPr>
            <w:tcW w:w="0" w:type="dxa"/>
            <w:vAlign w:val="bottom"/>
          </w:tcPr>
          <w:p>
            <w:pPr>
              <w:spacing w:after="0"/>
              <w:rPr>
                <w:sz w:val="1"/>
                <w:szCs w:val="1"/>
                <w:color w:val="auto"/>
              </w:rPr>
            </w:pPr>
          </w:p>
        </w:tc>
      </w:tr>
      <w:tr>
        <w:trPr>
          <w:trHeight w:val="184"/>
        </w:trPr>
        <w:tc>
          <w:tcPr>
            <w:tcW w:w="5260" w:type="dxa"/>
            <w:vAlign w:val="bottom"/>
          </w:tcPr>
          <w:p>
            <w:pPr>
              <w:spacing w:after="0"/>
              <w:rPr>
                <w:sz w:val="20"/>
                <w:szCs w:val="20"/>
                <w:color w:val="auto"/>
              </w:rPr>
            </w:pPr>
            <w:r>
              <w:rPr>
                <w:rFonts w:ascii="Arial" w:cs="Arial" w:eastAsia="Arial" w:hAnsi="Arial"/>
                <w:sz w:val="14"/>
                <w:szCs w:val="14"/>
                <w:color w:val="auto"/>
              </w:rPr>
              <w:t>Investment and development properties, net</w:t>
            </w: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9,570</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11,570</w:t>
            </w:r>
          </w:p>
        </w:tc>
        <w:tc>
          <w:tcPr>
            <w:tcW w:w="0" w:type="dxa"/>
            <w:vAlign w:val="bottom"/>
          </w:tcPr>
          <w:p>
            <w:pPr>
              <w:spacing w:after="0"/>
              <w:rPr>
                <w:sz w:val="1"/>
                <w:szCs w:val="1"/>
                <w:color w:val="auto"/>
              </w:rPr>
            </w:pPr>
          </w:p>
        </w:tc>
      </w:tr>
      <w:tr>
        <w:trPr>
          <w:trHeight w:val="184"/>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Investment in unconsolidated joint ventures</w:t>
            </w: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4,993</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5,025</w:t>
            </w:r>
          </w:p>
        </w:tc>
        <w:tc>
          <w:tcPr>
            <w:tcW w:w="0" w:type="dxa"/>
            <w:vAlign w:val="bottom"/>
          </w:tcPr>
          <w:p>
            <w:pPr>
              <w:spacing w:after="0"/>
              <w:rPr>
                <w:sz w:val="1"/>
                <w:szCs w:val="1"/>
                <w:color w:val="auto"/>
              </w:rPr>
            </w:pPr>
          </w:p>
        </w:tc>
      </w:tr>
      <w:tr>
        <w:trPr>
          <w:trHeight w:val="184"/>
        </w:trPr>
        <w:tc>
          <w:tcPr>
            <w:tcW w:w="5260" w:type="dxa"/>
            <w:vAlign w:val="bottom"/>
          </w:tcPr>
          <w:p>
            <w:pPr>
              <w:spacing w:after="0"/>
              <w:rPr>
                <w:sz w:val="20"/>
                <w:szCs w:val="20"/>
                <w:color w:val="auto"/>
              </w:rPr>
            </w:pPr>
            <w:r>
              <w:rPr>
                <w:rFonts w:ascii="Arial" w:cs="Arial" w:eastAsia="Arial" w:hAnsi="Arial"/>
                <w:sz w:val="14"/>
                <w:szCs w:val="14"/>
                <w:color w:val="auto"/>
              </w:rPr>
              <w:t>Goodwill</w:t>
            </w: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26,758</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28,116</w:t>
            </w:r>
          </w:p>
        </w:tc>
        <w:tc>
          <w:tcPr>
            <w:tcW w:w="0" w:type="dxa"/>
            <w:vAlign w:val="bottom"/>
          </w:tcPr>
          <w:p>
            <w:pPr>
              <w:spacing w:after="0"/>
              <w:rPr>
                <w:sz w:val="1"/>
                <w:szCs w:val="1"/>
                <w:color w:val="auto"/>
              </w:rPr>
            </w:pPr>
          </w:p>
        </w:tc>
      </w:tr>
      <w:tr>
        <w:trPr>
          <w:trHeight w:val="184"/>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3,258</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3,971</w:t>
            </w:r>
          </w:p>
        </w:tc>
        <w:tc>
          <w:tcPr>
            <w:tcW w:w="0" w:type="dxa"/>
            <w:vAlign w:val="bottom"/>
          </w:tcPr>
          <w:p>
            <w:pPr>
              <w:spacing w:after="0"/>
              <w:rPr>
                <w:sz w:val="1"/>
                <w:szCs w:val="1"/>
                <w:color w:val="auto"/>
              </w:rPr>
            </w:pPr>
          </w:p>
        </w:tc>
      </w:tr>
      <w:tr>
        <w:trPr>
          <w:trHeight w:val="184"/>
        </w:trPr>
        <w:tc>
          <w:tcPr>
            <w:tcW w:w="5260" w:type="dxa"/>
            <w:vAlign w:val="bottom"/>
          </w:tcPr>
          <w:p>
            <w:pPr>
              <w:spacing w:after="0"/>
              <w:rPr>
                <w:sz w:val="20"/>
                <w:szCs w:val="20"/>
                <w:color w:val="auto"/>
              </w:rPr>
            </w:pPr>
            <w:r>
              <w:rPr>
                <w:rFonts w:ascii="Arial" w:cs="Arial" w:eastAsia="Arial" w:hAnsi="Arial"/>
                <w:sz w:val="14"/>
                <w:szCs w:val="14"/>
                <w:color w:val="auto"/>
              </w:rPr>
              <w:t>Deferred tax assets, net</w:t>
            </w: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2,220</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3,362</w:t>
            </w:r>
          </w:p>
        </w:tc>
        <w:tc>
          <w:tcPr>
            <w:tcW w:w="0" w:type="dxa"/>
            <w:vAlign w:val="bottom"/>
          </w:tcPr>
          <w:p>
            <w:pPr>
              <w:spacing w:after="0"/>
              <w:rPr>
                <w:sz w:val="1"/>
                <w:szCs w:val="1"/>
                <w:color w:val="auto"/>
              </w:rPr>
            </w:pPr>
          </w:p>
        </w:tc>
      </w:tr>
      <w:tr>
        <w:trPr>
          <w:trHeight w:val="184"/>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Derivative financial instruments - non-current portion</w:t>
            </w: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assets</w:t>
            </w:r>
          </w:p>
        </w:tc>
        <w:tc>
          <w:tcPr>
            <w:tcW w:w="29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6,461</w:t>
            </w:r>
          </w:p>
        </w:tc>
        <w:tc>
          <w:tcPr>
            <w:tcW w:w="1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8,030</w:t>
            </w:r>
          </w:p>
        </w:tc>
        <w:tc>
          <w:tcPr>
            <w:tcW w:w="0" w:type="dxa"/>
            <w:vAlign w:val="bottom"/>
          </w:tcPr>
          <w:p>
            <w:pPr>
              <w:spacing w:after="0"/>
              <w:rPr>
                <w:sz w:val="1"/>
                <w:szCs w:val="1"/>
                <w:color w:val="auto"/>
              </w:rPr>
            </w:pPr>
          </w:p>
        </w:tc>
      </w:tr>
      <w:tr>
        <w:trPr>
          <w:trHeight w:val="155"/>
        </w:trPr>
        <w:tc>
          <w:tcPr>
            <w:tcW w:w="526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Total Assets</w:t>
            </w:r>
          </w:p>
        </w:tc>
        <w:tc>
          <w:tcPr>
            <w:tcW w:w="29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668"/>
              <w:spacing w:after="0" w:line="153"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w w:val="94"/>
              </w:rPr>
              <w:t>687,702</w:t>
            </w:r>
          </w:p>
        </w:tc>
        <w:tc>
          <w:tcPr>
            <w:tcW w:w="1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690,169</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 Liabilities:</w:t>
            </w: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60" w:type="dxa"/>
            <w:vAlign w:val="bottom"/>
          </w:tcPr>
          <w:p>
            <w:pPr>
              <w:ind w:left="80"/>
              <w:spacing w:after="0"/>
              <w:rPr>
                <w:sz w:val="20"/>
                <w:szCs w:val="20"/>
                <w:color w:val="auto"/>
              </w:rPr>
            </w:pPr>
            <w:r>
              <w:rPr>
                <w:rFonts w:ascii="Arial" w:cs="Arial" w:eastAsia="Arial" w:hAnsi="Arial"/>
                <w:sz w:val="14"/>
                <w:szCs w:val="14"/>
                <w:color w:val="auto"/>
              </w:rPr>
              <w:t>Accounts payable and accrued liabilities</w:t>
            </w:r>
          </w:p>
        </w:tc>
        <w:tc>
          <w:tcPr>
            <w:tcW w:w="3920" w:type="dxa"/>
            <w:vAlign w:val="bottom"/>
            <w:gridSpan w:val="3"/>
          </w:tcPr>
          <w:p>
            <w:pPr>
              <w:jc w:val="right"/>
              <w:ind w:right="6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39,678</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38,877</w:t>
            </w:r>
          </w:p>
        </w:tc>
        <w:tc>
          <w:tcPr>
            <w:tcW w:w="0" w:type="dxa"/>
            <w:vAlign w:val="bottom"/>
          </w:tcPr>
          <w:p>
            <w:pPr>
              <w:spacing w:after="0"/>
              <w:rPr>
                <w:sz w:val="1"/>
                <w:szCs w:val="1"/>
                <w:color w:val="auto"/>
              </w:rPr>
            </w:pPr>
          </w:p>
        </w:tc>
      </w:tr>
      <w:tr>
        <w:trPr>
          <w:trHeight w:val="184"/>
        </w:trPr>
        <w:tc>
          <w:tcPr>
            <w:tcW w:w="5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Film rent payable</w:t>
            </w: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7,053</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2,473</w:t>
            </w:r>
          </w:p>
        </w:tc>
        <w:tc>
          <w:tcPr>
            <w:tcW w:w="0" w:type="dxa"/>
            <w:vAlign w:val="bottom"/>
          </w:tcPr>
          <w:p>
            <w:pPr>
              <w:spacing w:after="0"/>
              <w:rPr>
                <w:sz w:val="1"/>
                <w:szCs w:val="1"/>
                <w:color w:val="auto"/>
              </w:rPr>
            </w:pPr>
          </w:p>
        </w:tc>
      </w:tr>
      <w:tr>
        <w:trPr>
          <w:trHeight w:val="184"/>
        </w:trPr>
        <w:tc>
          <w:tcPr>
            <w:tcW w:w="5260" w:type="dxa"/>
            <w:vAlign w:val="bottom"/>
          </w:tcPr>
          <w:p>
            <w:pPr>
              <w:ind w:left="80"/>
              <w:spacing w:after="0"/>
              <w:rPr>
                <w:sz w:val="20"/>
                <w:szCs w:val="20"/>
                <w:color w:val="auto"/>
              </w:rPr>
            </w:pPr>
            <w:r>
              <w:rPr>
                <w:rFonts w:ascii="Arial" w:cs="Arial" w:eastAsia="Arial" w:hAnsi="Arial"/>
                <w:sz w:val="14"/>
                <w:szCs w:val="14"/>
                <w:color w:val="auto"/>
              </w:rPr>
              <w:t>Debt - current portion</w:t>
            </w: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11,349</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41,459</w:t>
            </w:r>
          </w:p>
        </w:tc>
        <w:tc>
          <w:tcPr>
            <w:tcW w:w="0" w:type="dxa"/>
            <w:vAlign w:val="bottom"/>
          </w:tcPr>
          <w:p>
            <w:pPr>
              <w:spacing w:after="0"/>
              <w:rPr>
                <w:sz w:val="1"/>
                <w:szCs w:val="1"/>
                <w:color w:val="auto"/>
              </w:rPr>
            </w:pPr>
          </w:p>
        </w:tc>
      </w:tr>
      <w:tr>
        <w:trPr>
          <w:trHeight w:val="184"/>
        </w:trPr>
        <w:tc>
          <w:tcPr>
            <w:tcW w:w="5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Subordinated debt - current portion</w:t>
            </w: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184"/>
        </w:trPr>
        <w:tc>
          <w:tcPr>
            <w:tcW w:w="5260" w:type="dxa"/>
            <w:vAlign w:val="bottom"/>
          </w:tcPr>
          <w:p>
            <w:pPr>
              <w:ind w:left="80"/>
              <w:spacing w:after="0"/>
              <w:rPr>
                <w:sz w:val="20"/>
                <w:szCs w:val="20"/>
                <w:color w:val="auto"/>
              </w:rPr>
            </w:pPr>
            <w:r>
              <w:rPr>
                <w:rFonts w:ascii="Arial" w:cs="Arial" w:eastAsia="Arial" w:hAnsi="Arial"/>
                <w:sz w:val="14"/>
                <w:szCs w:val="14"/>
                <w:color w:val="auto"/>
              </w:rPr>
              <w:t>Derivative financial instruments - current portion</w:t>
            </w: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181</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84"/>
        </w:trPr>
        <w:tc>
          <w:tcPr>
            <w:tcW w:w="5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Taxes payable</w:t>
            </w: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10,655</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4"/>
        </w:trPr>
        <w:tc>
          <w:tcPr>
            <w:tcW w:w="5260" w:type="dxa"/>
            <w:vAlign w:val="bottom"/>
          </w:tcPr>
          <w:p>
            <w:pPr>
              <w:ind w:left="80"/>
              <w:spacing w:after="0"/>
              <w:rPr>
                <w:sz w:val="20"/>
                <w:szCs w:val="20"/>
                <w:color w:val="auto"/>
              </w:rPr>
            </w:pPr>
            <w:r>
              <w:rPr>
                <w:rFonts w:ascii="Arial" w:cs="Arial" w:eastAsia="Arial" w:hAnsi="Arial"/>
                <w:sz w:val="14"/>
                <w:szCs w:val="14"/>
                <w:color w:val="auto"/>
              </w:rPr>
              <w:t>Deferred current revenue</w:t>
            </w: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9,996</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10,133</w:t>
            </w:r>
          </w:p>
        </w:tc>
        <w:tc>
          <w:tcPr>
            <w:tcW w:w="0" w:type="dxa"/>
            <w:vAlign w:val="bottom"/>
          </w:tcPr>
          <w:p>
            <w:pPr>
              <w:spacing w:after="0"/>
              <w:rPr>
                <w:sz w:val="1"/>
                <w:szCs w:val="1"/>
                <w:color w:val="auto"/>
              </w:rPr>
            </w:pPr>
          </w:p>
        </w:tc>
      </w:tr>
      <w:tr>
        <w:trPr>
          <w:trHeight w:val="184"/>
        </w:trPr>
        <w:tc>
          <w:tcPr>
            <w:tcW w:w="5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Operating lease liabilities - current portion</w:t>
            </w: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23,737</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22,699</w:t>
            </w:r>
          </w:p>
        </w:tc>
        <w:tc>
          <w:tcPr>
            <w:tcW w:w="0" w:type="dxa"/>
            <w:vAlign w:val="bottom"/>
          </w:tcPr>
          <w:p>
            <w:pPr>
              <w:spacing w:after="0"/>
              <w:rPr>
                <w:sz w:val="1"/>
                <w:szCs w:val="1"/>
                <w:color w:val="auto"/>
              </w:rPr>
            </w:pPr>
          </w:p>
        </w:tc>
      </w:tr>
      <w:tr>
        <w:trPr>
          <w:trHeight w:val="184"/>
        </w:trPr>
        <w:tc>
          <w:tcPr>
            <w:tcW w:w="52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Other current liabilities</w:t>
            </w:r>
          </w:p>
        </w:tc>
        <w:tc>
          <w:tcPr>
            <w:tcW w:w="29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3,619</w:t>
            </w:r>
          </w:p>
        </w:tc>
        <w:tc>
          <w:tcPr>
            <w:tcW w:w="1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3,826</w:t>
            </w:r>
          </w:p>
        </w:tc>
        <w:tc>
          <w:tcPr>
            <w:tcW w:w="0" w:type="dxa"/>
            <w:vAlign w:val="bottom"/>
          </w:tcPr>
          <w:p>
            <w:pPr>
              <w:spacing w:after="0"/>
              <w:rPr>
                <w:sz w:val="1"/>
                <w:szCs w:val="1"/>
                <w:color w:val="auto"/>
              </w:rPr>
            </w:pPr>
          </w:p>
        </w:tc>
      </w:tr>
      <w:tr>
        <w:trPr>
          <w:trHeight w:val="164"/>
        </w:trPr>
        <w:tc>
          <w:tcPr>
            <w:tcW w:w="5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Current Liabilities</w:t>
            </w:r>
          </w:p>
        </w:tc>
        <w:tc>
          <w:tcPr>
            <w:tcW w:w="2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106,979</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120,607</w:t>
            </w:r>
          </w:p>
        </w:tc>
        <w:tc>
          <w:tcPr>
            <w:tcW w:w="0" w:type="dxa"/>
            <w:vAlign w:val="bottom"/>
          </w:tcPr>
          <w:p>
            <w:pPr>
              <w:spacing w:after="0"/>
              <w:rPr>
                <w:sz w:val="1"/>
                <w:szCs w:val="1"/>
                <w:color w:val="auto"/>
              </w:rPr>
            </w:pPr>
          </w:p>
        </w:tc>
      </w:tr>
      <w:tr>
        <w:trPr>
          <w:trHeight w:val="184"/>
        </w:trPr>
        <w:tc>
          <w:tcPr>
            <w:tcW w:w="5260" w:type="dxa"/>
            <w:vAlign w:val="bottom"/>
          </w:tcPr>
          <w:p>
            <w:pPr>
              <w:spacing w:after="0"/>
              <w:rPr>
                <w:sz w:val="20"/>
                <w:szCs w:val="20"/>
                <w:color w:val="auto"/>
              </w:rPr>
            </w:pPr>
            <w:r>
              <w:rPr>
                <w:rFonts w:ascii="Arial" w:cs="Arial" w:eastAsia="Arial" w:hAnsi="Arial"/>
                <w:sz w:val="14"/>
                <w:szCs w:val="14"/>
                <w:color w:val="auto"/>
              </w:rPr>
              <w:t>Debt – long-term portion</w:t>
            </w: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195,198</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213,779</w:t>
            </w:r>
          </w:p>
        </w:tc>
        <w:tc>
          <w:tcPr>
            <w:tcW w:w="0" w:type="dxa"/>
            <w:vAlign w:val="bottom"/>
          </w:tcPr>
          <w:p>
            <w:pPr>
              <w:spacing w:after="0"/>
              <w:rPr>
                <w:sz w:val="1"/>
                <w:szCs w:val="1"/>
                <w:color w:val="auto"/>
              </w:rPr>
            </w:pPr>
          </w:p>
        </w:tc>
      </w:tr>
      <w:tr>
        <w:trPr>
          <w:trHeight w:val="184"/>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Derivative financial instruments - non-current portion</w:t>
            </w: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84"/>
        </w:trPr>
        <w:tc>
          <w:tcPr>
            <w:tcW w:w="5260" w:type="dxa"/>
            <w:vAlign w:val="bottom"/>
          </w:tcPr>
          <w:p>
            <w:pPr>
              <w:spacing w:after="0"/>
              <w:rPr>
                <w:sz w:val="20"/>
                <w:szCs w:val="20"/>
                <w:color w:val="auto"/>
              </w:rPr>
            </w:pPr>
            <w:r>
              <w:rPr>
                <w:rFonts w:ascii="Arial" w:cs="Arial" w:eastAsia="Arial" w:hAnsi="Arial"/>
                <w:sz w:val="14"/>
                <w:szCs w:val="14"/>
                <w:color w:val="auto"/>
              </w:rPr>
              <w:t>Subordinated debt - non-current portion</w:t>
            </w: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26,728</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26,505</w:t>
            </w:r>
          </w:p>
        </w:tc>
        <w:tc>
          <w:tcPr>
            <w:tcW w:w="0" w:type="dxa"/>
            <w:vAlign w:val="bottom"/>
          </w:tcPr>
          <w:p>
            <w:pPr>
              <w:spacing w:after="0"/>
              <w:rPr>
                <w:sz w:val="1"/>
                <w:szCs w:val="1"/>
                <w:color w:val="auto"/>
              </w:rPr>
            </w:pPr>
          </w:p>
        </w:tc>
      </w:tr>
      <w:tr>
        <w:trPr>
          <w:trHeight w:val="184"/>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Noncurrent tax liabilities</w:t>
            </w: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7,467</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13,070</w:t>
            </w:r>
          </w:p>
        </w:tc>
        <w:tc>
          <w:tcPr>
            <w:tcW w:w="0" w:type="dxa"/>
            <w:vAlign w:val="bottom"/>
          </w:tcPr>
          <w:p>
            <w:pPr>
              <w:spacing w:after="0"/>
              <w:rPr>
                <w:sz w:val="1"/>
                <w:szCs w:val="1"/>
                <w:color w:val="auto"/>
              </w:rPr>
            </w:pPr>
          </w:p>
        </w:tc>
      </w:tr>
      <w:tr>
        <w:trPr>
          <w:trHeight w:val="184"/>
        </w:trPr>
        <w:tc>
          <w:tcPr>
            <w:tcW w:w="5260" w:type="dxa"/>
            <w:vAlign w:val="bottom"/>
          </w:tcPr>
          <w:p>
            <w:pPr>
              <w:spacing w:after="0"/>
              <w:rPr>
                <w:sz w:val="20"/>
                <w:szCs w:val="20"/>
                <w:color w:val="auto"/>
              </w:rPr>
            </w:pPr>
            <w:r>
              <w:rPr>
                <w:rFonts w:ascii="Arial" w:cs="Arial" w:eastAsia="Arial" w:hAnsi="Arial"/>
                <w:sz w:val="14"/>
                <w:szCs w:val="14"/>
                <w:color w:val="auto"/>
              </w:rPr>
              <w:t>Operating lease liabilities - non-current portion</w:t>
            </w: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223,364</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212,806</w:t>
            </w:r>
          </w:p>
        </w:tc>
        <w:tc>
          <w:tcPr>
            <w:tcW w:w="0" w:type="dxa"/>
            <w:vAlign w:val="bottom"/>
          </w:tcPr>
          <w:p>
            <w:pPr>
              <w:spacing w:after="0"/>
              <w:rPr>
                <w:sz w:val="1"/>
                <w:szCs w:val="1"/>
                <w:color w:val="auto"/>
              </w:rPr>
            </w:pPr>
          </w:p>
        </w:tc>
      </w:tr>
      <w:tr>
        <w:trPr>
          <w:trHeight w:val="184"/>
        </w:trPr>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 non-current liabilities</w:t>
            </w:r>
          </w:p>
        </w:tc>
        <w:tc>
          <w:tcPr>
            <w:tcW w:w="294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22,906</w:t>
            </w:r>
          </w:p>
        </w:tc>
        <w:tc>
          <w:tcPr>
            <w:tcW w:w="16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22,017</w:t>
            </w:r>
          </w:p>
        </w:tc>
        <w:tc>
          <w:tcPr>
            <w:tcW w:w="0" w:type="dxa"/>
            <w:vAlign w:val="bottom"/>
          </w:tcPr>
          <w:p>
            <w:pPr>
              <w:spacing w:after="0"/>
              <w:rPr>
                <w:sz w:val="1"/>
                <w:szCs w:val="1"/>
                <w:color w:val="auto"/>
              </w:rPr>
            </w:pPr>
          </w:p>
        </w:tc>
      </w:tr>
      <w:tr>
        <w:trPr>
          <w:trHeight w:val="164"/>
        </w:trPr>
        <w:tc>
          <w:tcPr>
            <w:tcW w:w="5260" w:type="dxa"/>
            <w:vAlign w:val="bottom"/>
          </w:tcPr>
          <w:p>
            <w:pPr>
              <w:spacing w:after="0"/>
              <w:rPr>
                <w:sz w:val="20"/>
                <w:szCs w:val="20"/>
                <w:color w:val="auto"/>
              </w:rPr>
            </w:pPr>
            <w:r>
              <w:rPr>
                <w:rFonts w:ascii="Arial" w:cs="Arial" w:eastAsia="Arial" w:hAnsi="Arial"/>
                <w:sz w:val="14"/>
                <w:szCs w:val="14"/>
                <w:b w:val="1"/>
                <w:bCs w:val="1"/>
                <w:color w:val="auto"/>
              </w:rPr>
              <w:t>Total Liabilities</w:t>
            </w:r>
          </w:p>
        </w:tc>
        <w:tc>
          <w:tcPr>
            <w:tcW w:w="3920" w:type="dxa"/>
            <w:vAlign w:val="bottom"/>
            <w:gridSpan w:val="3"/>
          </w:tcPr>
          <w:p>
            <w:pPr>
              <w:jc w:val="right"/>
              <w:ind w:right="6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582,642</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608,996</w:t>
            </w:r>
          </w:p>
        </w:tc>
        <w:tc>
          <w:tcPr>
            <w:tcW w:w="0" w:type="dxa"/>
            <w:vAlign w:val="bottom"/>
          </w:tcPr>
          <w:p>
            <w:pPr>
              <w:spacing w:after="0"/>
              <w:rPr>
                <w:sz w:val="1"/>
                <w:szCs w:val="1"/>
                <w:color w:val="auto"/>
              </w:rPr>
            </w:pPr>
          </w:p>
        </w:tc>
      </w:tr>
      <w:tr>
        <w:trPr>
          <w:trHeight w:val="164"/>
        </w:trPr>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Commitments and Contingencies</w:t>
            </w:r>
          </w:p>
        </w:tc>
        <w:tc>
          <w:tcPr>
            <w:tcW w:w="29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26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w w:val="98"/>
              </w:rPr>
              <w:t>Class A non-voting common shares, par value $0.01, 100,000,000 shares authorized,</w:t>
            </w: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60" w:type="dxa"/>
            <w:vAlign w:val="bottom"/>
            <w:shd w:val="clear" w:color="auto" w:fill="CCEEFF"/>
          </w:tcPr>
          <w:p>
            <w:pPr>
              <w:ind w:left="80"/>
              <w:spacing w:after="0"/>
              <w:rPr>
                <w:sz w:val="20"/>
                <w:szCs w:val="20"/>
                <w:color w:val="auto"/>
              </w:rPr>
            </w:pPr>
            <w:r>
              <w:rPr>
                <w:rFonts w:ascii="Arial" w:cs="Arial" w:eastAsia="Arial" w:hAnsi="Arial"/>
                <w:sz w:val="14"/>
                <w:szCs w:val="14"/>
                <w:color w:val="auto"/>
                <w:w w:val="96"/>
              </w:rPr>
              <w:t>33,198,500 issued and 20,262,390 outstanding at December 31, 2021 and 33,004,717</w:t>
            </w: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issued and 20,068,606 outstanding at December 31, 2020</w:t>
            </w: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58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94"/>
        </w:trPr>
        <w:tc>
          <w:tcPr>
            <w:tcW w:w="5260" w:type="dxa"/>
            <w:vAlign w:val="bottom"/>
          </w:tcPr>
          <w:p>
            <w:pPr>
              <w:spacing w:after="0"/>
              <w:rPr>
                <w:sz w:val="20"/>
                <w:szCs w:val="20"/>
                <w:color w:val="auto"/>
              </w:rPr>
            </w:pPr>
            <w:r>
              <w:rPr>
                <w:rFonts w:ascii="Arial" w:cs="Arial" w:eastAsia="Arial" w:hAnsi="Arial"/>
                <w:sz w:val="14"/>
                <w:szCs w:val="14"/>
                <w:color w:val="auto"/>
              </w:rPr>
              <w:t>Class B voting common shares, par value $0.01, 20,000,000 shares authorized and</w:t>
            </w: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60" w:type="dxa"/>
            <w:vAlign w:val="bottom"/>
          </w:tcPr>
          <w:p>
            <w:pPr>
              <w:ind w:left="80"/>
              <w:spacing w:after="0"/>
              <w:rPr>
                <w:sz w:val="20"/>
                <w:szCs w:val="20"/>
                <w:color w:val="auto"/>
              </w:rPr>
            </w:pPr>
            <w:r>
              <w:rPr>
                <w:rFonts w:ascii="Arial" w:cs="Arial" w:eastAsia="Arial" w:hAnsi="Arial"/>
                <w:sz w:val="14"/>
                <w:szCs w:val="14"/>
                <w:color w:val="auto"/>
              </w:rPr>
              <w:t>1,680,590 issued and outstanding at December 31, 2021 and 2020</w:t>
            </w:r>
          </w:p>
        </w:tc>
        <w:tc>
          <w:tcPr>
            <w:tcW w:w="2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4"/>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w w:val="98"/>
              </w:rPr>
              <w:t>Nonvoting preferred shares, par value $0.01, 12,000 shares authorized and no issued</w:t>
            </w: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or outstanding shares at December 31, 2021 and 2020</w:t>
            </w: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526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151,981</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149,979</w:t>
            </w:r>
          </w:p>
        </w:tc>
        <w:tc>
          <w:tcPr>
            <w:tcW w:w="0" w:type="dxa"/>
            <w:vAlign w:val="bottom"/>
          </w:tcPr>
          <w:p>
            <w:pPr>
              <w:spacing w:after="0"/>
              <w:rPr>
                <w:sz w:val="1"/>
                <w:szCs w:val="1"/>
                <w:color w:val="auto"/>
              </w:rPr>
            </w:pPr>
          </w:p>
        </w:tc>
      </w:tr>
      <w:tr>
        <w:trPr>
          <w:trHeight w:val="184"/>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Retained earnings (accumulated deficit)</w:t>
            </w: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(12,632)</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(44,553)</w:t>
            </w:r>
          </w:p>
        </w:tc>
        <w:tc>
          <w:tcPr>
            <w:tcW w:w="0" w:type="dxa"/>
            <w:vAlign w:val="bottom"/>
          </w:tcPr>
          <w:p>
            <w:pPr>
              <w:spacing w:after="0"/>
              <w:rPr>
                <w:sz w:val="1"/>
                <w:szCs w:val="1"/>
                <w:color w:val="auto"/>
              </w:rPr>
            </w:pPr>
          </w:p>
        </w:tc>
      </w:tr>
      <w:tr>
        <w:trPr>
          <w:trHeight w:val="194"/>
        </w:trPr>
        <w:tc>
          <w:tcPr>
            <w:tcW w:w="5260" w:type="dxa"/>
            <w:vAlign w:val="bottom"/>
          </w:tcPr>
          <w:p>
            <w:pPr>
              <w:spacing w:after="0"/>
              <w:rPr>
                <w:sz w:val="20"/>
                <w:szCs w:val="20"/>
                <w:color w:val="auto"/>
              </w:rPr>
            </w:pPr>
            <w:r>
              <w:rPr>
                <w:rFonts w:ascii="Arial" w:cs="Arial" w:eastAsia="Arial" w:hAnsi="Arial"/>
                <w:sz w:val="14"/>
                <w:szCs w:val="14"/>
                <w:color w:val="auto"/>
              </w:rPr>
              <w:t>Treasury shares, at cost</w:t>
            </w:r>
          </w:p>
        </w:tc>
        <w:tc>
          <w:tcPr>
            <w:tcW w:w="2940" w:type="dxa"/>
            <w:vAlign w:val="bottom"/>
            <w:vMerge w:val="restart"/>
          </w:tcPr>
          <w:p>
            <w:pPr>
              <w:jc w:val="right"/>
              <w:ind w:right="2331"/>
              <w:spacing w:after="0"/>
              <w:rPr>
                <w:sz w:val="20"/>
                <w:szCs w:val="20"/>
                <w:color w:val="auto"/>
              </w:rPr>
            </w:pPr>
            <w:r>
              <w:rPr>
                <w:rFonts w:ascii="Arial" w:cs="Arial" w:eastAsia="Arial" w:hAnsi="Arial"/>
                <w:sz w:val="14"/>
                <w:szCs w:val="14"/>
                <w:color w:val="auto"/>
              </w:rPr>
              <w:t>- 60 -</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(40,407)</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(40,407)</w:t>
            </w:r>
          </w:p>
        </w:tc>
        <w:tc>
          <w:tcPr>
            <w:tcW w:w="0" w:type="dxa"/>
            <w:vAlign w:val="bottom"/>
          </w:tcPr>
          <w:p>
            <w:pPr>
              <w:spacing w:after="0"/>
              <w:rPr>
                <w:sz w:val="1"/>
                <w:szCs w:val="1"/>
                <w:color w:val="auto"/>
              </w:rPr>
            </w:pPr>
          </w:p>
        </w:tc>
      </w:tr>
      <w:tr>
        <w:trPr>
          <w:trHeight w:val="152"/>
        </w:trPr>
        <w:tc>
          <w:tcPr>
            <w:tcW w:w="5260" w:type="dxa"/>
            <w:vAlign w:val="bottom"/>
          </w:tcPr>
          <w:p>
            <w:pPr>
              <w:spacing w:after="0"/>
              <w:rPr>
                <w:sz w:val="13"/>
                <w:szCs w:val="13"/>
                <w:color w:val="auto"/>
              </w:rPr>
            </w:pPr>
          </w:p>
        </w:tc>
        <w:tc>
          <w:tcPr>
            <w:tcW w:w="29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5260" w:type="dxa"/>
            <w:vAlign w:val="bottom"/>
            <w:tcBorders>
              <w:bottom w:val="single" w:sz="8" w:color="9A9A9A"/>
            </w:tcBorders>
          </w:tcPr>
          <w:p>
            <w:pPr>
              <w:spacing w:after="0"/>
              <w:rPr>
                <w:sz w:val="21"/>
                <w:szCs w:val="21"/>
                <w:color w:val="auto"/>
              </w:rPr>
            </w:pPr>
          </w:p>
        </w:tc>
        <w:tc>
          <w:tcPr>
            <w:tcW w:w="294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8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420" w:type="dxa"/>
            <w:vAlign w:val="bottom"/>
            <w:tcBorders>
              <w:bottom w:val="single" w:sz="8" w:color="9A9A9A"/>
            </w:tcBorders>
          </w:tcPr>
          <w:p>
            <w:pPr>
              <w:spacing w:after="0"/>
              <w:rPr>
                <w:sz w:val="21"/>
                <w:szCs w:val="21"/>
                <w:color w:val="auto"/>
              </w:rPr>
            </w:pPr>
          </w:p>
        </w:tc>
        <w:tc>
          <w:tcPr>
            <w:tcW w:w="96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4"/>
        </w:trPr>
        <w:tc>
          <w:tcPr>
            <w:tcW w:w="8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Accumulated other comprehensive income</w:t>
            </w:r>
          </w:p>
        </w:tc>
        <w:tc>
          <w:tcPr>
            <w:tcW w:w="16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4,882</w:t>
            </w:r>
          </w:p>
        </w:tc>
        <w:tc>
          <w:tcPr>
            <w:tcW w:w="16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12,502</w:t>
            </w:r>
          </w:p>
        </w:tc>
      </w:tr>
      <w:tr>
        <w:trPr>
          <w:trHeight w:val="164"/>
        </w:trPr>
        <w:tc>
          <w:tcPr>
            <w:tcW w:w="8200" w:type="dxa"/>
            <w:vAlign w:val="bottom"/>
          </w:tcPr>
          <w:p>
            <w:pPr>
              <w:spacing w:after="0"/>
              <w:rPr>
                <w:sz w:val="20"/>
                <w:szCs w:val="20"/>
                <w:color w:val="auto"/>
              </w:rPr>
            </w:pPr>
            <w:r>
              <w:rPr>
                <w:rFonts w:ascii="Arial" w:cs="Arial" w:eastAsia="Arial" w:hAnsi="Arial"/>
                <w:sz w:val="14"/>
                <w:szCs w:val="14"/>
                <w:b w:val="1"/>
                <w:bCs w:val="1"/>
                <w:color w:val="auto"/>
              </w:rPr>
              <w:t>Total Reading International, Inc. ("RDI") Stockholders’ Equity</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104,074</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77,769</w:t>
            </w:r>
          </w:p>
        </w:tc>
      </w:tr>
      <w:tr>
        <w:trPr>
          <w:trHeight w:val="184"/>
        </w:trPr>
        <w:tc>
          <w:tcPr>
            <w:tcW w:w="8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Noncontrolling Interests</w:t>
            </w:r>
          </w:p>
        </w:tc>
        <w:tc>
          <w:tcPr>
            <w:tcW w:w="16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986</w:t>
            </w:r>
          </w:p>
        </w:tc>
        <w:tc>
          <w:tcPr>
            <w:tcW w:w="16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3,404</w:t>
            </w:r>
          </w:p>
        </w:tc>
      </w:tr>
      <w:tr>
        <w:trPr>
          <w:trHeight w:val="164"/>
        </w:trPr>
        <w:tc>
          <w:tcPr>
            <w:tcW w:w="8200" w:type="dxa"/>
            <w:vAlign w:val="bottom"/>
          </w:tcPr>
          <w:p>
            <w:pPr>
              <w:spacing w:after="0"/>
              <w:rPr>
                <w:sz w:val="20"/>
                <w:szCs w:val="20"/>
                <w:color w:val="auto"/>
              </w:rPr>
            </w:pPr>
            <w:r>
              <w:rPr>
                <w:rFonts w:ascii="Arial" w:cs="Arial" w:eastAsia="Arial" w:hAnsi="Arial"/>
                <w:sz w:val="14"/>
                <w:szCs w:val="14"/>
                <w:b w:val="1"/>
                <w:bCs w:val="1"/>
                <w:color w:val="auto"/>
              </w:rPr>
              <w:t>Total Stockholders’ Equity</w:t>
            </w:r>
          </w:p>
        </w:tc>
        <w:tc>
          <w:tcPr>
            <w:tcW w:w="62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105,060</w:t>
            </w:r>
          </w:p>
        </w:tc>
        <w:tc>
          <w:tcPr>
            <w:tcW w:w="62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81,173</w:t>
            </w:r>
          </w:p>
        </w:tc>
      </w:tr>
      <w:tr>
        <w:trPr>
          <w:trHeight w:val="155"/>
        </w:trPr>
        <w:tc>
          <w:tcPr>
            <w:tcW w:w="8200" w:type="dxa"/>
            <w:vAlign w:val="bottom"/>
            <w:tcBorders>
              <w:top w:val="single" w:sz="8" w:color="auto"/>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Total Liabilities and Stockholders’ Equity</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ind w:right="308"/>
              <w:spacing w:after="0" w:line="153"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687,702</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690,169</w:t>
            </w:r>
          </w:p>
        </w:tc>
      </w:tr>
      <w:tr>
        <w:trPr>
          <w:trHeight w:val="98"/>
        </w:trPr>
        <w:tc>
          <w:tcPr>
            <w:tcW w:w="8200" w:type="dxa"/>
            <w:vAlign w:val="bottom"/>
          </w:tcPr>
          <w:p>
            <w:pPr>
              <w:ind w:left="3600"/>
              <w:spacing w:after="0" w:line="98" w:lineRule="exact"/>
              <w:rPr>
                <w:sz w:val="20"/>
                <w:szCs w:val="20"/>
                <w:color w:val="auto"/>
              </w:rPr>
            </w:pPr>
            <w:r>
              <w:rPr>
                <w:rFonts w:ascii="Arial" w:cs="Arial" w:eastAsia="Arial" w:hAnsi="Arial"/>
                <w:sz w:val="10"/>
                <w:szCs w:val="10"/>
                <w:i w:val="1"/>
                <w:iCs w:val="1"/>
                <w:color w:val="auto"/>
              </w:rPr>
              <w:t>The accompanying Notes are an integral part of the Consolidated Financial Statements.</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183"/>
        </w:trPr>
        <w:tc>
          <w:tcPr>
            <w:tcW w:w="8200" w:type="dxa"/>
            <w:vAlign w:val="bottom"/>
          </w:tcPr>
          <w:p>
            <w:pPr>
              <w:ind w:left="5480"/>
              <w:spacing w:after="0"/>
              <w:rPr>
                <w:sz w:val="20"/>
                <w:szCs w:val="20"/>
                <w:color w:val="auto"/>
              </w:rPr>
            </w:pPr>
            <w:r>
              <w:rPr>
                <w:rFonts w:ascii="Arial" w:cs="Arial" w:eastAsia="Arial" w:hAnsi="Arial"/>
                <w:sz w:val="14"/>
                <w:szCs w:val="14"/>
                <w:color w:val="auto"/>
              </w:rPr>
              <w:t>- 61 -</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2"/>
        </w:trPr>
        <w:tc>
          <w:tcPr>
            <w:tcW w:w="820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460" w:type="dxa"/>
            <w:vAlign w:val="bottom"/>
            <w:tcBorders>
              <w:bottom w:val="single" w:sz="8" w:color="9A9A9A"/>
            </w:tcBorders>
          </w:tcPr>
          <w:p>
            <w:pPr>
              <w:spacing w:after="0"/>
              <w:rPr>
                <w:sz w:val="21"/>
                <w:szCs w:val="21"/>
                <w:color w:val="auto"/>
              </w:rPr>
            </w:pPr>
          </w:p>
        </w:tc>
        <w:tc>
          <w:tcPr>
            <w:tcW w:w="92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460" w:type="dxa"/>
            <w:vAlign w:val="bottom"/>
            <w:tcBorders>
              <w:bottom w:val="single" w:sz="8" w:color="9A9A9A"/>
            </w:tcBorders>
          </w:tcPr>
          <w:p>
            <w:pPr>
              <w:spacing w:after="0"/>
              <w:rPr>
                <w:sz w:val="21"/>
                <w:szCs w:val="21"/>
                <w:color w:val="auto"/>
              </w:rPr>
            </w:pPr>
          </w:p>
        </w:tc>
        <w:tc>
          <w:tcPr>
            <w:tcW w:w="92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61" w:name="page62"/>
    <w:bookmarkEnd w:id="61"/>
    <w:p>
      <w:pPr>
        <w:jc w:val="center"/>
        <w:spacing w:after="0"/>
        <w:rPr>
          <w:sz w:val="20"/>
          <w:szCs w:val="20"/>
          <w:color w:val="auto"/>
        </w:rPr>
      </w:pPr>
      <w:r>
        <w:rPr>
          <w:rFonts w:ascii="Arial" w:cs="Arial" w:eastAsia="Arial" w:hAnsi="Arial"/>
          <w:sz w:val="20"/>
          <w:szCs w:val="20"/>
          <w:b w:val="1"/>
          <w:bCs w:val="1"/>
          <w:u w:val="single" w:color="auto"/>
          <w:color w:val="auto"/>
        </w:rPr>
        <w:t>READING INTERNATIONAL, INC. and SUBSIDIARIES</w:t>
      </w:r>
    </w:p>
    <w:p>
      <w:pPr>
        <w:jc w:val="center"/>
        <w:spacing w:after="0" w:line="235" w:lineRule="auto"/>
        <w:rPr>
          <w:sz w:val="20"/>
          <w:szCs w:val="20"/>
          <w:color w:val="auto"/>
        </w:rPr>
      </w:pPr>
      <w:r>
        <w:rPr>
          <w:rFonts w:ascii="Arial" w:cs="Arial" w:eastAsia="Arial" w:hAnsi="Arial"/>
          <w:sz w:val="14"/>
          <w:szCs w:val="14"/>
          <w:b w:val="1"/>
          <w:bCs w:val="1"/>
          <w:color w:val="auto"/>
        </w:rPr>
        <w:t>Consolidated Statements of Operations for the Three Years Ended December 31, 2021</w:t>
      </w:r>
    </w:p>
    <w:p>
      <w:pPr>
        <w:jc w:val="center"/>
        <w:spacing w:after="0"/>
        <w:rPr>
          <w:sz w:val="20"/>
          <w:szCs w:val="20"/>
          <w:color w:val="auto"/>
        </w:rPr>
      </w:pPr>
      <w:r>
        <w:rPr>
          <w:rFonts w:ascii="Arial" w:cs="Arial" w:eastAsia="Arial" w:hAnsi="Arial"/>
          <w:sz w:val="14"/>
          <w:szCs w:val="14"/>
          <w:i w:val="1"/>
          <w:iCs w:val="1"/>
          <w:color w:val="auto"/>
        </w:rPr>
        <w:t>(U.S. dollars in thousands, except share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2"/>
                <w:szCs w:val="12"/>
                <w:b w:val="1"/>
                <w:bCs w:val="1"/>
                <w:color w:val="auto"/>
              </w:rPr>
              <w:t>2019</w:t>
            </w:r>
          </w:p>
        </w:tc>
      </w:tr>
      <w:tr>
        <w:trPr>
          <w:trHeight w:val="152"/>
        </w:trPr>
        <w:tc>
          <w:tcPr>
            <w:tcW w:w="6660" w:type="dxa"/>
            <w:vAlign w:val="bottom"/>
          </w:tcPr>
          <w:p>
            <w:pPr>
              <w:spacing w:after="0" w:line="152" w:lineRule="exact"/>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2"/>
        </w:trPr>
        <w:tc>
          <w:tcPr>
            <w:tcW w:w="666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Cinema</w:t>
            </w:r>
          </w:p>
        </w:tc>
        <w:tc>
          <w:tcPr>
            <w:tcW w:w="480" w:type="dxa"/>
            <w:vAlign w:val="bottom"/>
            <w:gridSpan w:val="2"/>
            <w:shd w:val="clear" w:color="auto" w:fill="CCEEFF"/>
          </w:tcPr>
          <w:p>
            <w:pPr>
              <w:jc w:val="right"/>
              <w:ind w:right="168"/>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126,812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8"/>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67,014</w:t>
            </w:r>
          </w:p>
        </w:tc>
        <w:tc>
          <w:tcPr>
            <w:tcW w:w="480" w:type="dxa"/>
            <w:vAlign w:val="bottom"/>
            <w:gridSpan w:val="2"/>
            <w:shd w:val="clear" w:color="auto" w:fill="CCEEFF"/>
          </w:tcPr>
          <w:p>
            <w:pPr>
              <w:jc w:val="right"/>
              <w:ind w:right="208"/>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262,189</w:t>
            </w:r>
          </w:p>
        </w:tc>
      </w:tr>
      <w:tr>
        <w:trPr>
          <w:trHeight w:val="152"/>
        </w:trPr>
        <w:tc>
          <w:tcPr>
            <w:tcW w:w="666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color w:val="auto"/>
              </w:rPr>
              <w:t>Real estate</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12,248</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10,848</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14,579</w:t>
            </w:r>
          </w:p>
        </w:tc>
      </w:tr>
      <w:tr>
        <w:trPr>
          <w:trHeight w:val="143"/>
        </w:trPr>
        <w:tc>
          <w:tcPr>
            <w:tcW w:w="6660" w:type="dxa"/>
            <w:vAlign w:val="bottom"/>
            <w:tcBorders>
              <w:bottom w:val="single" w:sz="8" w:color="auto"/>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Total revenues</w:t>
            </w:r>
          </w:p>
        </w:tc>
        <w:tc>
          <w:tcPr>
            <w:tcW w:w="1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139,060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77,862</w:t>
            </w:r>
          </w:p>
        </w:tc>
        <w:tc>
          <w:tcPr>
            <w:tcW w:w="1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276,768</w:t>
            </w:r>
          </w:p>
        </w:tc>
      </w:tr>
      <w:tr>
        <w:trPr>
          <w:trHeight w:val="143"/>
        </w:trPr>
        <w:tc>
          <w:tcPr>
            <w:tcW w:w="6660" w:type="dxa"/>
            <w:vAlign w:val="bottom"/>
          </w:tcPr>
          <w:p>
            <w:pPr>
              <w:spacing w:after="0" w:line="143" w:lineRule="exact"/>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52"/>
        </w:trPr>
        <w:tc>
          <w:tcPr>
            <w:tcW w:w="666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Cinema</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(122,901)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(91,065)</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(210,050)</w:t>
            </w:r>
          </w:p>
        </w:tc>
      </w:tr>
      <w:tr>
        <w:trPr>
          <w:trHeight w:val="152"/>
        </w:trPr>
        <w:tc>
          <w:tcPr>
            <w:tcW w:w="6660" w:type="dxa"/>
            <w:vAlign w:val="bottom"/>
          </w:tcPr>
          <w:p>
            <w:pPr>
              <w:spacing w:after="0" w:line="152" w:lineRule="exact"/>
              <w:rPr>
                <w:sz w:val="20"/>
                <w:szCs w:val="20"/>
                <w:color w:val="auto"/>
              </w:rPr>
            </w:pPr>
            <w:r>
              <w:rPr>
                <w:rFonts w:ascii="Arial" w:cs="Arial" w:eastAsia="Arial" w:hAnsi="Arial"/>
                <w:sz w:val="14"/>
                <w:szCs w:val="14"/>
                <w:color w:val="auto"/>
              </w:rPr>
              <w:t>Real estate</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(10,106)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(8,578)</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(9,453)</w:t>
            </w:r>
          </w:p>
        </w:tc>
      </w:tr>
      <w:tr>
        <w:trPr>
          <w:trHeight w:val="152"/>
        </w:trPr>
        <w:tc>
          <w:tcPr>
            <w:tcW w:w="666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(22,746)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(22,317)</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(22,747)</w:t>
            </w:r>
          </w:p>
        </w:tc>
      </w:tr>
      <w:tr>
        <w:trPr>
          <w:trHeight w:val="152"/>
        </w:trPr>
        <w:tc>
          <w:tcPr>
            <w:tcW w:w="6660" w:type="dxa"/>
            <w:vAlign w:val="bottom"/>
          </w:tcPr>
          <w:p>
            <w:pPr>
              <w:spacing w:after="0" w:line="152" w:lineRule="exact"/>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(25,100)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(16,998)</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(25,395)</w:t>
            </w:r>
          </w:p>
        </w:tc>
      </w:tr>
      <w:tr>
        <w:trPr>
          <w:trHeight w:val="152"/>
        </w:trPr>
        <w:tc>
          <w:tcPr>
            <w:tcW w:w="666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Impairment of long-lived assets</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(217)</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r>
      <w:tr>
        <w:trPr>
          <w:trHeight w:val="143"/>
        </w:trPr>
        <w:tc>
          <w:tcPr>
            <w:tcW w:w="666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Total costs and expenses</w:t>
            </w:r>
          </w:p>
        </w:tc>
        <w:tc>
          <w:tcPr>
            <w:tcW w:w="1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(180,853)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(139,175)</w:t>
            </w:r>
          </w:p>
        </w:tc>
        <w:tc>
          <w:tcPr>
            <w:tcW w:w="1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(267,645)</w:t>
            </w:r>
          </w:p>
        </w:tc>
      </w:tr>
      <w:tr>
        <w:trPr>
          <w:trHeight w:val="143"/>
        </w:trPr>
        <w:tc>
          <w:tcPr>
            <w:tcW w:w="66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Operating income (loss)</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(41,793)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(61,313)</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9,123</w:t>
            </w:r>
          </w:p>
        </w:tc>
      </w:tr>
      <w:tr>
        <w:trPr>
          <w:trHeight w:val="152"/>
        </w:trPr>
        <w:tc>
          <w:tcPr>
            <w:tcW w:w="6660" w:type="dxa"/>
            <w:vAlign w:val="bottom"/>
          </w:tcPr>
          <w:p>
            <w:pPr>
              <w:spacing w:after="0" w:line="152" w:lineRule="exact"/>
              <w:rPr>
                <w:sz w:val="20"/>
                <w:szCs w:val="20"/>
                <w:color w:val="auto"/>
              </w:rPr>
            </w:pPr>
            <w:r>
              <w:rPr>
                <w:rFonts w:ascii="Arial" w:cs="Arial" w:eastAsia="Arial" w:hAnsi="Arial"/>
                <w:sz w:val="14"/>
                <w:szCs w:val="14"/>
                <w:color w:val="auto"/>
              </w:rPr>
              <w:t>Interest expense, net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(13,688)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(9,354)</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(7,904)</w:t>
            </w:r>
          </w:p>
        </w:tc>
      </w:tr>
      <w:tr>
        <w:trPr>
          <w:trHeight w:val="152"/>
        </w:trPr>
        <w:tc>
          <w:tcPr>
            <w:tcW w:w="666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Gain (loss) on sale of assets</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92,219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w:t>
            </w:r>
          </w:p>
        </w:tc>
      </w:tr>
      <w:tr>
        <w:trPr>
          <w:trHeight w:val="152"/>
        </w:trPr>
        <w:tc>
          <w:tcPr>
            <w:tcW w:w="666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color w:val="auto"/>
              </w:rPr>
              <w:t>Other income (expense)</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3,762</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293</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325</w:t>
            </w:r>
          </w:p>
        </w:tc>
      </w:tr>
      <w:tr>
        <w:trPr>
          <w:trHeight w:val="143"/>
        </w:trPr>
        <w:tc>
          <w:tcPr>
            <w:tcW w:w="66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Income (loss) before income tax expense and equity earnings of unconsolidated joint ventures</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40,500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(70,375)</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1,542</w:t>
            </w:r>
          </w:p>
        </w:tc>
      </w:tr>
      <w:tr>
        <w:trPr>
          <w:trHeight w:val="152"/>
        </w:trPr>
        <w:tc>
          <w:tcPr>
            <w:tcW w:w="6660" w:type="dxa"/>
            <w:vAlign w:val="bottom"/>
          </w:tcPr>
          <w:p>
            <w:pPr>
              <w:spacing w:after="0" w:line="152" w:lineRule="exact"/>
              <w:rPr>
                <w:sz w:val="20"/>
                <w:szCs w:val="20"/>
                <w:color w:val="auto"/>
              </w:rPr>
            </w:pPr>
            <w:r>
              <w:rPr>
                <w:rFonts w:ascii="Arial" w:cs="Arial" w:eastAsia="Arial" w:hAnsi="Arial"/>
                <w:sz w:val="14"/>
                <w:szCs w:val="14"/>
                <w:color w:val="auto"/>
              </w:rPr>
              <w:t>Equity earnings of unconsolidated joint ventures</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80"/>
              <w:spacing w:after="0" w:line="152" w:lineRule="exact"/>
              <w:rPr>
                <w:sz w:val="20"/>
                <w:szCs w:val="20"/>
                <w:color w:val="auto"/>
              </w:rPr>
            </w:pPr>
            <w:r>
              <w:rPr>
                <w:rFonts w:ascii="Arial" w:cs="Arial" w:eastAsia="Arial" w:hAnsi="Arial"/>
                <w:sz w:val="14"/>
                <w:szCs w:val="14"/>
                <w:color w:val="auto"/>
              </w:rPr>
              <w:t>258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(449)</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792</w:t>
            </w:r>
          </w:p>
        </w:tc>
      </w:tr>
      <w:tr>
        <w:trPr>
          <w:trHeight w:val="143"/>
        </w:trPr>
        <w:tc>
          <w:tcPr>
            <w:tcW w:w="666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Income (loss) before income taxes</w:t>
            </w:r>
          </w:p>
        </w:tc>
        <w:tc>
          <w:tcPr>
            <w:tcW w:w="1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40,758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(70,824)</w:t>
            </w:r>
          </w:p>
        </w:tc>
        <w:tc>
          <w:tcPr>
            <w:tcW w:w="1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2,334</w:t>
            </w:r>
          </w:p>
        </w:tc>
      </w:tr>
      <w:tr>
        <w:trPr>
          <w:trHeight w:val="152"/>
        </w:trPr>
        <w:tc>
          <w:tcPr>
            <w:tcW w:w="666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color w:val="auto"/>
              </w:rPr>
              <w:t>Income tax benefit (expense)</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(5,944)</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4,967</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(28,837)</w:t>
            </w:r>
          </w:p>
        </w:tc>
      </w:tr>
      <w:tr>
        <w:trPr>
          <w:trHeight w:val="143"/>
        </w:trPr>
        <w:tc>
          <w:tcPr>
            <w:tcW w:w="66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income (loss)</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68"/>
              <w:spacing w:after="0" w:line="143" w:lineRule="exact"/>
              <w:rPr>
                <w:sz w:val="20"/>
                <w:szCs w:val="20"/>
                <w:color w:val="auto"/>
              </w:rPr>
            </w:pPr>
            <w:r>
              <w:rPr>
                <w:rFonts w:ascii="Arial" w:cs="Arial" w:eastAsia="Arial" w:hAnsi="Arial"/>
                <w:sz w:val="14"/>
                <w:szCs w:val="14"/>
                <w:b w:val="1"/>
                <w:bCs w:val="1"/>
                <w:color w:val="auto"/>
                <w:w w:val="76"/>
              </w:rPr>
              <w:t>$</w:t>
            </w:r>
          </w:p>
        </w:tc>
        <w:tc>
          <w:tcPr>
            <w:tcW w:w="10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34,814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(65,857)</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(26,503)</w:t>
            </w:r>
          </w:p>
        </w:tc>
      </w:tr>
      <w:tr>
        <w:trPr>
          <w:trHeight w:val="152"/>
        </w:trPr>
        <w:tc>
          <w:tcPr>
            <w:tcW w:w="666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color w:val="auto"/>
              </w:rPr>
              <w:t>Less: net income (loss) attributable to noncontrolling interests</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2,893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(657)</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(74)</w:t>
            </w:r>
          </w:p>
        </w:tc>
      </w:tr>
      <w:tr>
        <w:trPr>
          <w:trHeight w:val="163"/>
        </w:trPr>
        <w:tc>
          <w:tcPr>
            <w:tcW w:w="6660" w:type="dxa"/>
            <w:vAlign w:val="bottom"/>
            <w:tcBorders>
              <w:bottom w:val="single" w:sz="8" w:color="auto"/>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income (loss) attributable to Reading International, Inc.</w:t>
            </w: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8"/>
              <w:spacing w:after="0" w:line="14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31,921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(65,200)</w:t>
            </w: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(26,429)</w:t>
            </w:r>
          </w:p>
        </w:tc>
      </w:tr>
      <w:tr>
        <w:trPr>
          <w:trHeight w:val="135"/>
        </w:trPr>
        <w:tc>
          <w:tcPr>
            <w:tcW w:w="6660" w:type="dxa"/>
            <w:vAlign w:val="bottom"/>
            <w:tcBorders>
              <w:bottom w:val="single" w:sz="8" w:color="auto"/>
            </w:tcBorders>
          </w:tcPr>
          <w:p>
            <w:pPr>
              <w:spacing w:after="0" w:line="133" w:lineRule="exact"/>
              <w:rPr>
                <w:sz w:val="20"/>
                <w:szCs w:val="20"/>
                <w:color w:val="auto"/>
              </w:rPr>
            </w:pPr>
            <w:r>
              <w:rPr>
                <w:rFonts w:ascii="Arial" w:cs="Arial" w:eastAsia="Arial" w:hAnsi="Arial"/>
                <w:sz w:val="14"/>
                <w:szCs w:val="14"/>
                <w:b w:val="1"/>
                <w:bCs w:val="1"/>
                <w:color w:val="auto"/>
              </w:rPr>
              <w:t>Basic earnings (loss) per share</w:t>
            </w:r>
          </w:p>
        </w:tc>
        <w:tc>
          <w:tcPr>
            <w:tcW w:w="1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right"/>
              <w:ind w:right="168"/>
              <w:spacing w:after="0" w:line="13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rPr>
              <w:t>1.46</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rPr>
              <w:t>(3.00)</w:t>
            </w:r>
          </w:p>
        </w:tc>
        <w:tc>
          <w:tcPr>
            <w:tcW w:w="1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rPr>
              <w:t>(1.17)</w:t>
            </w:r>
          </w:p>
        </w:tc>
      </w:tr>
      <w:tr>
        <w:trPr>
          <w:trHeight w:val="153"/>
        </w:trPr>
        <w:tc>
          <w:tcPr>
            <w:tcW w:w="6660" w:type="dxa"/>
            <w:vAlign w:val="bottom"/>
            <w:tcBorders>
              <w:bottom w:val="single" w:sz="8" w:color="auto"/>
            </w:tcBorders>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Diluted earnings (loss) per share</w:t>
            </w:r>
          </w:p>
        </w:tc>
        <w:tc>
          <w:tcPr>
            <w:tcW w:w="1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68"/>
              <w:spacing w:after="0" w:line="152"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1.42</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(3.00)</w:t>
            </w:r>
          </w:p>
        </w:tc>
        <w:tc>
          <w:tcPr>
            <w:tcW w:w="1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(1.17)</w:t>
            </w:r>
          </w:p>
        </w:tc>
      </w:tr>
      <w:tr>
        <w:trPr>
          <w:trHeight w:val="152"/>
        </w:trPr>
        <w:tc>
          <w:tcPr>
            <w:tcW w:w="6660" w:type="dxa"/>
            <w:vAlign w:val="bottom"/>
          </w:tcPr>
          <w:p>
            <w:pPr>
              <w:spacing w:after="0" w:line="152" w:lineRule="exact"/>
              <w:rPr>
                <w:sz w:val="20"/>
                <w:szCs w:val="20"/>
                <w:color w:val="auto"/>
              </w:rPr>
            </w:pPr>
            <w:r>
              <w:rPr>
                <w:rFonts w:ascii="Arial" w:cs="Arial" w:eastAsia="Arial" w:hAnsi="Arial"/>
                <w:sz w:val="14"/>
                <w:szCs w:val="14"/>
                <w:b w:val="1"/>
                <w:bCs w:val="1"/>
                <w:color w:val="auto"/>
              </w:rPr>
              <w:t>Weighted average number of shares outstanding–basic</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21,801,719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21,749,155</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22,631,754</w:t>
            </w:r>
          </w:p>
        </w:tc>
      </w:tr>
      <w:tr>
        <w:trPr>
          <w:trHeight w:val="153"/>
        </w:trPr>
        <w:tc>
          <w:tcPr>
            <w:tcW w:w="6660" w:type="dxa"/>
            <w:vAlign w:val="bottom"/>
            <w:tcBorders>
              <w:bottom w:val="single" w:sz="8" w:color="auto"/>
            </w:tcBorders>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Weighted average number of shares outstanding–diluted</w:t>
            </w:r>
          </w:p>
        </w:tc>
        <w:tc>
          <w:tcPr>
            <w:tcW w:w="1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22,406,816</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22,215,511</w:t>
            </w:r>
          </w:p>
        </w:tc>
        <w:tc>
          <w:tcPr>
            <w:tcW w:w="1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22,784,122</w:t>
            </w:r>
          </w:p>
        </w:tc>
      </w:tr>
    </w:tbl>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63" w:right="319" w:bottom="1440" w:gutter="0" w:footer="0" w:header="0"/>
        </w:sectPr>
      </w:pPr>
    </w:p>
    <w:bookmarkStart w:id="62" w:name="page63"/>
    <w:bookmarkEnd w:id="62"/>
    <w:p>
      <w:pPr>
        <w:jc w:val="center"/>
        <w:spacing w:after="0"/>
        <w:rPr>
          <w:sz w:val="20"/>
          <w:szCs w:val="20"/>
          <w:color w:val="auto"/>
        </w:rPr>
      </w:pPr>
      <w:r>
        <w:rPr>
          <w:rFonts w:ascii="Arial" w:cs="Arial" w:eastAsia="Arial" w:hAnsi="Arial"/>
          <w:sz w:val="20"/>
          <w:szCs w:val="20"/>
          <w:b w:val="1"/>
          <w:bCs w:val="1"/>
          <w:u w:val="single" w:color="auto"/>
          <w:color w:val="auto"/>
        </w:rPr>
        <w:t>READING INTERNATIONAL, INC. and SUBSIDIARIES</w:t>
      </w:r>
    </w:p>
    <w:p>
      <w:pPr>
        <w:jc w:val="center"/>
        <w:spacing w:after="0" w:line="235" w:lineRule="auto"/>
        <w:rPr>
          <w:sz w:val="20"/>
          <w:szCs w:val="20"/>
          <w:color w:val="auto"/>
        </w:rPr>
      </w:pPr>
      <w:r>
        <w:rPr>
          <w:rFonts w:ascii="Arial" w:cs="Arial" w:eastAsia="Arial" w:hAnsi="Arial"/>
          <w:sz w:val="14"/>
          <w:szCs w:val="14"/>
          <w:b w:val="1"/>
          <w:bCs w:val="1"/>
          <w:color w:val="auto"/>
        </w:rPr>
        <w:t>Consolidated Statements of Comprehensive Income for the Three Years Ended December 31, 2021</w:t>
      </w:r>
    </w:p>
    <w:p>
      <w:pPr>
        <w:jc w:val="center"/>
        <w:spacing w:after="0"/>
        <w:rPr>
          <w:sz w:val="20"/>
          <w:szCs w:val="20"/>
          <w:color w:val="auto"/>
        </w:rPr>
      </w:pPr>
      <w:r>
        <w:rPr>
          <w:rFonts w:ascii="Arial" w:cs="Arial" w:eastAsia="Arial" w:hAnsi="Arial"/>
          <w:sz w:val="14"/>
          <w:szCs w:val="14"/>
          <w:i w:val="1"/>
          <w:iCs w:val="1"/>
          <w:color w:val="auto"/>
        </w:rPr>
        <w:t>(U.S.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2019</w:t>
            </w:r>
          </w:p>
        </w:tc>
      </w:tr>
      <w:tr>
        <w:trPr>
          <w:trHeight w:val="173"/>
        </w:trPr>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020" w:type="dxa"/>
            <w:vAlign w:val="bottom"/>
            <w:gridSpan w:val="2"/>
            <w:shd w:val="clear" w:color="auto" w:fill="CCEEFF"/>
          </w:tcPr>
          <w:p>
            <w:pPr>
              <w:jc w:val="right"/>
              <w:ind w:right="713"/>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34,814</w:t>
            </w:r>
          </w:p>
        </w:tc>
        <w:tc>
          <w:tcPr>
            <w:tcW w:w="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(65,857)</w:t>
            </w:r>
          </w:p>
        </w:tc>
        <w:tc>
          <w:tcPr>
            <w:tcW w:w="1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234"/>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(26,503)</w:t>
            </w:r>
          </w:p>
        </w:tc>
      </w:tr>
      <w:tr>
        <w:trPr>
          <w:trHeight w:val="184"/>
        </w:trPr>
        <w:tc>
          <w:tcPr>
            <w:tcW w:w="6660" w:type="dxa"/>
            <w:vAlign w:val="bottom"/>
          </w:tcPr>
          <w:p>
            <w:pPr>
              <w:spacing w:after="0"/>
              <w:rPr>
                <w:sz w:val="20"/>
                <w:szCs w:val="20"/>
                <w:color w:val="auto"/>
              </w:rPr>
            </w:pPr>
            <w:r>
              <w:rPr>
                <w:rFonts w:ascii="Arial" w:cs="Arial" w:eastAsia="Arial" w:hAnsi="Arial"/>
                <w:sz w:val="14"/>
                <w:szCs w:val="14"/>
                <w:color w:val="auto"/>
              </w:rPr>
              <w:t>Foreign currency translation gain (loss)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(8,123)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6,837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(567)</w:t>
            </w:r>
          </w:p>
        </w:tc>
      </w:tr>
      <w:tr>
        <w:trPr>
          <w:trHeight w:val="184"/>
        </w:trPr>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Gain (loss) on cash flow hedges</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r>
      <w:tr>
        <w:trPr>
          <w:trHeight w:val="184"/>
        </w:trPr>
        <w:tc>
          <w:tcPr>
            <w:tcW w:w="6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Others</w:t>
            </w:r>
          </w:p>
        </w:tc>
        <w:tc>
          <w:tcPr>
            <w:tcW w:w="1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r>
      <w:tr>
        <w:trPr>
          <w:trHeight w:val="164"/>
        </w:trPr>
        <w:tc>
          <w:tcPr>
            <w:tcW w:w="6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Comprehensive income (loss)</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13"/>
              <w:spacing w:after="0"/>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27,195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(58,955)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234"/>
              <w:spacing w:after="0"/>
              <w:rPr>
                <w:sz w:val="20"/>
                <w:szCs w:val="20"/>
                <w:color w:val="auto"/>
              </w:rPr>
            </w:pPr>
            <w:r>
              <w:rPr>
                <w:rFonts w:ascii="Arial" w:cs="Arial" w:eastAsia="Arial" w:hAnsi="Arial"/>
                <w:sz w:val="5"/>
                <w:szCs w:val="5"/>
                <w:b w:val="1"/>
                <w:bCs w:val="1"/>
                <w:color w:val="auto"/>
                <w:w w:val="70"/>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(27,027)</w:t>
            </w:r>
          </w:p>
        </w:tc>
      </w:tr>
      <w:tr>
        <w:trPr>
          <w:trHeight w:val="184"/>
        </w:trPr>
        <w:tc>
          <w:tcPr>
            <w:tcW w:w="6660" w:type="dxa"/>
            <w:vAlign w:val="bottom"/>
          </w:tcPr>
          <w:p>
            <w:pPr>
              <w:spacing w:after="0"/>
              <w:rPr>
                <w:sz w:val="20"/>
                <w:szCs w:val="20"/>
                <w:color w:val="auto"/>
              </w:rPr>
            </w:pPr>
            <w:r>
              <w:rPr>
                <w:rFonts w:ascii="Arial" w:cs="Arial" w:eastAsia="Arial" w:hAnsi="Arial"/>
                <w:sz w:val="14"/>
                <w:szCs w:val="14"/>
                <w:color w:val="auto"/>
              </w:rPr>
              <w:t>Less: net income (loss) attributable to noncontrolling interests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2,893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184"/>
        </w:trPr>
        <w:tc>
          <w:tcPr>
            <w:tcW w:w="6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Less: comprehensive income (loss) attributable to noncontrolling interests</w:t>
            </w:r>
          </w:p>
        </w:tc>
        <w:tc>
          <w:tcPr>
            <w:tcW w:w="16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55"/>
        </w:trPr>
        <w:tc>
          <w:tcPr>
            <w:tcW w:w="666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Comprehensive income (loss)</w:t>
            </w:r>
          </w:p>
        </w:tc>
        <w:tc>
          <w:tcPr>
            <w:tcW w:w="160" w:type="dxa"/>
            <w:vAlign w:val="bottom"/>
          </w:tcPr>
          <w:p>
            <w:pPr>
              <w:spacing w:after="0"/>
              <w:rPr>
                <w:sz w:val="13"/>
                <w:szCs w:val="13"/>
                <w:color w:val="auto"/>
              </w:rPr>
            </w:pPr>
          </w:p>
        </w:tc>
        <w:tc>
          <w:tcPr>
            <w:tcW w:w="860" w:type="dxa"/>
            <w:vAlign w:val="bottom"/>
            <w:tcBorders>
              <w:bottom w:val="single" w:sz="8" w:color="auto"/>
            </w:tcBorders>
          </w:tcPr>
          <w:p>
            <w:pPr>
              <w:jc w:val="right"/>
              <w:ind w:right="713"/>
              <w:spacing w:after="0" w:line="153"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24,301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(58,287)</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234"/>
              <w:spacing w:after="0"/>
              <w:rPr>
                <w:sz w:val="20"/>
                <w:szCs w:val="20"/>
                <w:color w:val="auto"/>
              </w:rPr>
            </w:pPr>
            <w:r>
              <w:rPr>
                <w:rFonts w:ascii="Arial" w:cs="Arial" w:eastAsia="Arial" w:hAnsi="Arial"/>
                <w:sz w:val="5"/>
                <w:szCs w:val="5"/>
                <w:b w:val="1"/>
                <w:bCs w:val="1"/>
                <w:color w:val="auto"/>
                <w:w w:val="70"/>
              </w:rPr>
              <w:t>$</w:t>
            </w:r>
          </w:p>
        </w:tc>
        <w:tc>
          <w:tcPr>
            <w:tcW w:w="10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(26,955)</w:t>
            </w:r>
          </w:p>
        </w:tc>
      </w:tr>
    </w:tbl>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r>
        <w:rPr>
          <w:rFonts w:ascii="Arial" w:cs="Arial" w:eastAsia="Arial" w:hAnsi="Arial"/>
          <w:sz w:val="12"/>
          <w:szCs w:val="12"/>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63" w:name="page64"/>
    <w:bookmarkEnd w:id="63"/>
    <w:p>
      <w:pPr>
        <w:jc w:val="center"/>
        <w:spacing w:after="0"/>
        <w:rPr>
          <w:sz w:val="20"/>
          <w:szCs w:val="20"/>
          <w:color w:val="auto"/>
        </w:rPr>
      </w:pPr>
      <w:r>
        <w:rPr>
          <w:rFonts w:ascii="Arial" w:cs="Arial" w:eastAsia="Arial" w:hAnsi="Arial"/>
          <w:sz w:val="20"/>
          <w:szCs w:val="20"/>
          <w:b w:val="1"/>
          <w:bCs w:val="1"/>
          <w:u w:val="single" w:color="auto"/>
          <w:color w:val="auto"/>
        </w:rPr>
        <w:t>READING INTERNATIONAL, INC. and SUBSIDIARIES</w:t>
      </w:r>
    </w:p>
    <w:p>
      <w:pPr>
        <w:jc w:val="center"/>
        <w:spacing w:after="0" w:line="235" w:lineRule="auto"/>
        <w:rPr>
          <w:sz w:val="20"/>
          <w:szCs w:val="20"/>
          <w:color w:val="auto"/>
        </w:rPr>
      </w:pPr>
      <w:r>
        <w:rPr>
          <w:rFonts w:ascii="Arial" w:cs="Arial" w:eastAsia="Arial" w:hAnsi="Arial"/>
          <w:sz w:val="14"/>
          <w:szCs w:val="14"/>
          <w:b w:val="1"/>
          <w:bCs w:val="1"/>
          <w:color w:val="auto"/>
        </w:rPr>
        <w:t>Consolidated Statements of Stockholders’ Equity for the Three Years Ended December 31, 2021</w:t>
      </w:r>
    </w:p>
    <w:p>
      <w:pPr>
        <w:jc w:val="center"/>
        <w:spacing w:after="0"/>
        <w:rPr>
          <w:sz w:val="20"/>
          <w:szCs w:val="20"/>
          <w:color w:val="auto"/>
        </w:rPr>
      </w:pPr>
      <w:r>
        <w:rPr>
          <w:rFonts w:ascii="Arial" w:cs="Arial" w:eastAsia="Arial" w:hAnsi="Arial"/>
          <w:sz w:val="14"/>
          <w:szCs w:val="14"/>
          <w:i w:val="1"/>
          <w:i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38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right"/>
              <w:ind w:right="309"/>
              <w:spacing w:after="0"/>
              <w:rPr>
                <w:sz w:val="20"/>
                <w:szCs w:val="20"/>
                <w:color w:val="auto"/>
              </w:rPr>
            </w:pPr>
            <w:r>
              <w:rPr>
                <w:rFonts w:ascii="Arial" w:cs="Arial" w:eastAsia="Arial" w:hAnsi="Arial"/>
                <w:sz w:val="10"/>
                <w:szCs w:val="10"/>
                <w:b w:val="1"/>
                <w:bCs w:val="1"/>
                <w:color w:val="auto"/>
              </w:rPr>
              <w:t>Common Shares</w:t>
            </w: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109"/>
              <w:spacing w:after="0"/>
              <w:rPr>
                <w:sz w:val="20"/>
                <w:szCs w:val="20"/>
                <w:color w:val="auto"/>
              </w:rPr>
            </w:pPr>
            <w:r>
              <w:rPr>
                <w:rFonts w:ascii="Arial" w:cs="Arial" w:eastAsia="Arial" w:hAnsi="Arial"/>
                <w:sz w:val="10"/>
                <w:szCs w:val="10"/>
                <w:b w:val="1"/>
                <w:bCs w:val="1"/>
                <w:color w:val="auto"/>
                <w:w w:val="94"/>
              </w:rPr>
              <w:t>Retained</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149"/>
              <w:spacing w:after="0"/>
              <w:rPr>
                <w:sz w:val="20"/>
                <w:szCs w:val="20"/>
                <w:color w:val="auto"/>
              </w:rPr>
            </w:pPr>
            <w:r>
              <w:rPr>
                <w:rFonts w:ascii="Arial" w:cs="Arial" w:eastAsia="Arial" w:hAnsi="Arial"/>
                <w:sz w:val="10"/>
                <w:szCs w:val="10"/>
                <w:b w:val="1"/>
                <w:bCs w:val="1"/>
                <w:color w:val="auto"/>
                <w:w w:val="92"/>
              </w:rPr>
              <w:t>Accumulated</w:t>
            </w:r>
          </w:p>
        </w:tc>
        <w:tc>
          <w:tcPr>
            <w:tcW w:w="80" w:type="dxa"/>
            <w:vAlign w:val="bottom"/>
          </w:tcPr>
          <w:p>
            <w:pPr>
              <w:spacing w:after="0"/>
              <w:rPr>
                <w:sz w:val="10"/>
                <w:szCs w:val="10"/>
                <w:color w:val="auto"/>
              </w:rPr>
            </w:pPr>
          </w:p>
        </w:tc>
        <w:tc>
          <w:tcPr>
            <w:tcW w:w="960" w:type="dxa"/>
            <w:vAlign w:val="bottom"/>
          </w:tcPr>
          <w:p>
            <w:pPr>
              <w:jc w:val="center"/>
              <w:ind w:right="109"/>
              <w:spacing w:after="0"/>
              <w:rPr>
                <w:sz w:val="20"/>
                <w:szCs w:val="20"/>
                <w:color w:val="auto"/>
              </w:rPr>
            </w:pPr>
            <w:r>
              <w:rPr>
                <w:rFonts w:ascii="Arial" w:cs="Arial" w:eastAsia="Arial" w:hAnsi="Arial"/>
                <w:sz w:val="10"/>
                <w:szCs w:val="10"/>
                <w:b w:val="1"/>
                <w:bCs w:val="1"/>
                <w:color w:val="auto"/>
                <w:w w:val="91"/>
              </w:rPr>
              <w:t>Reading</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7"/>
        </w:trPr>
        <w:tc>
          <w:tcPr>
            <w:tcW w:w="238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0"/>
                <w:szCs w:val="10"/>
                <w:b w:val="1"/>
                <w:bCs w:val="1"/>
                <w:color w:val="auto"/>
                <w:w w:val="87"/>
              </w:rPr>
              <w:t>Class A</w:t>
            </w:r>
          </w:p>
        </w:tc>
        <w:tc>
          <w:tcPr>
            <w:tcW w:w="140" w:type="dxa"/>
            <w:vAlign w:val="bottom"/>
          </w:tcPr>
          <w:p>
            <w:pPr>
              <w:spacing w:after="0"/>
              <w:rPr>
                <w:sz w:val="8"/>
                <w:szCs w:val="8"/>
                <w:color w:val="auto"/>
              </w:rPr>
            </w:pPr>
          </w:p>
        </w:tc>
        <w:tc>
          <w:tcPr>
            <w:tcW w:w="480" w:type="dxa"/>
            <w:vAlign w:val="bottom"/>
            <w:tcBorders>
              <w:right w:val="single" w:sz="8" w:color="auto"/>
            </w:tcBorders>
          </w:tcPr>
          <w:p>
            <w:pPr>
              <w:jc w:val="center"/>
              <w:ind w:right="109"/>
              <w:spacing w:after="0" w:line="97" w:lineRule="exact"/>
              <w:rPr>
                <w:sz w:val="20"/>
                <w:szCs w:val="20"/>
                <w:color w:val="auto"/>
              </w:rPr>
            </w:pPr>
            <w:r>
              <w:rPr>
                <w:rFonts w:ascii="Arial" w:cs="Arial" w:eastAsia="Arial" w:hAnsi="Arial"/>
                <w:sz w:val="10"/>
                <w:szCs w:val="10"/>
                <w:b w:val="1"/>
                <w:bCs w:val="1"/>
                <w:color w:val="auto"/>
                <w:w w:val="87"/>
              </w:rPr>
              <w:t>Class A</w:t>
            </w:r>
          </w:p>
        </w:tc>
        <w:tc>
          <w:tcPr>
            <w:tcW w:w="76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0"/>
                <w:szCs w:val="10"/>
                <w:b w:val="1"/>
                <w:bCs w:val="1"/>
                <w:color w:val="auto"/>
                <w:w w:val="87"/>
              </w:rPr>
              <w:t>Class B</w:t>
            </w:r>
          </w:p>
        </w:tc>
        <w:tc>
          <w:tcPr>
            <w:tcW w:w="620" w:type="dxa"/>
            <w:vAlign w:val="bottom"/>
            <w:tcBorders>
              <w:right w:val="single" w:sz="8" w:color="auto"/>
            </w:tcBorders>
            <w:gridSpan w:val="2"/>
          </w:tcPr>
          <w:p>
            <w:pPr>
              <w:jc w:val="right"/>
              <w:ind w:right="129"/>
              <w:spacing w:after="0" w:line="97" w:lineRule="exact"/>
              <w:rPr>
                <w:sz w:val="20"/>
                <w:szCs w:val="20"/>
                <w:color w:val="auto"/>
              </w:rPr>
            </w:pPr>
            <w:r>
              <w:rPr>
                <w:rFonts w:ascii="Arial" w:cs="Arial" w:eastAsia="Arial" w:hAnsi="Arial"/>
                <w:sz w:val="10"/>
                <w:szCs w:val="10"/>
                <w:b w:val="1"/>
                <w:bCs w:val="1"/>
                <w:color w:val="auto"/>
              </w:rPr>
              <w:t>Class B</w:t>
            </w:r>
          </w:p>
        </w:tc>
        <w:tc>
          <w:tcPr>
            <w:tcW w:w="140" w:type="dxa"/>
            <w:vAlign w:val="bottom"/>
          </w:tcPr>
          <w:p>
            <w:pPr>
              <w:spacing w:after="0"/>
              <w:rPr>
                <w:sz w:val="8"/>
                <w:szCs w:val="8"/>
                <w:color w:val="auto"/>
              </w:rPr>
            </w:pPr>
          </w:p>
        </w:tc>
        <w:tc>
          <w:tcPr>
            <w:tcW w:w="620" w:type="dxa"/>
            <w:vAlign w:val="bottom"/>
          </w:tcPr>
          <w:p>
            <w:pPr>
              <w:jc w:val="center"/>
              <w:ind w:right="69"/>
              <w:spacing w:after="0" w:line="97" w:lineRule="exact"/>
              <w:rPr>
                <w:sz w:val="20"/>
                <w:szCs w:val="20"/>
                <w:color w:val="auto"/>
              </w:rPr>
            </w:pPr>
            <w:r>
              <w:rPr>
                <w:rFonts w:ascii="Arial" w:cs="Arial" w:eastAsia="Arial" w:hAnsi="Arial"/>
                <w:sz w:val="10"/>
                <w:szCs w:val="10"/>
                <w:b w:val="1"/>
                <w:bCs w:val="1"/>
                <w:color w:val="auto"/>
                <w:w w:val="93"/>
              </w:rPr>
              <w:t>Additional</w:t>
            </w:r>
          </w:p>
        </w:tc>
        <w:tc>
          <w:tcPr>
            <w:tcW w:w="100" w:type="dxa"/>
            <w:vAlign w:val="bottom"/>
          </w:tcPr>
          <w:p>
            <w:pPr>
              <w:spacing w:after="0"/>
              <w:rPr>
                <w:sz w:val="8"/>
                <w:szCs w:val="8"/>
                <w:color w:val="auto"/>
              </w:rPr>
            </w:pPr>
          </w:p>
        </w:tc>
        <w:tc>
          <w:tcPr>
            <w:tcW w:w="800" w:type="dxa"/>
            <w:vAlign w:val="bottom"/>
          </w:tcPr>
          <w:p>
            <w:pPr>
              <w:jc w:val="center"/>
              <w:ind w:right="109"/>
              <w:spacing w:after="0" w:line="97" w:lineRule="exact"/>
              <w:rPr>
                <w:sz w:val="20"/>
                <w:szCs w:val="20"/>
                <w:color w:val="auto"/>
              </w:rPr>
            </w:pPr>
            <w:r>
              <w:rPr>
                <w:rFonts w:ascii="Arial" w:cs="Arial" w:eastAsia="Arial" w:hAnsi="Arial"/>
                <w:sz w:val="10"/>
                <w:szCs w:val="10"/>
                <w:b w:val="1"/>
                <w:bCs w:val="1"/>
                <w:color w:val="auto"/>
                <w:w w:val="93"/>
              </w:rPr>
              <w:t>Earnings</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jc w:val="center"/>
              <w:ind w:right="109"/>
              <w:spacing w:after="0" w:line="97" w:lineRule="exact"/>
              <w:rPr>
                <w:sz w:val="20"/>
                <w:szCs w:val="20"/>
                <w:color w:val="auto"/>
              </w:rPr>
            </w:pPr>
            <w:r>
              <w:rPr>
                <w:rFonts w:ascii="Arial" w:cs="Arial" w:eastAsia="Arial" w:hAnsi="Arial"/>
                <w:sz w:val="10"/>
                <w:szCs w:val="10"/>
                <w:b w:val="1"/>
                <w:bCs w:val="1"/>
                <w:color w:val="auto"/>
                <w:w w:val="97"/>
              </w:rPr>
              <w:t>Other</w:t>
            </w:r>
          </w:p>
        </w:tc>
        <w:tc>
          <w:tcPr>
            <w:tcW w:w="80" w:type="dxa"/>
            <w:vAlign w:val="bottom"/>
          </w:tcPr>
          <w:p>
            <w:pPr>
              <w:spacing w:after="0"/>
              <w:rPr>
                <w:sz w:val="8"/>
                <w:szCs w:val="8"/>
                <w:color w:val="auto"/>
              </w:rPr>
            </w:pPr>
          </w:p>
        </w:tc>
        <w:tc>
          <w:tcPr>
            <w:tcW w:w="960" w:type="dxa"/>
            <w:vAlign w:val="bottom"/>
          </w:tcPr>
          <w:p>
            <w:pPr>
              <w:jc w:val="center"/>
              <w:ind w:right="129"/>
              <w:spacing w:after="0" w:line="97" w:lineRule="exact"/>
              <w:rPr>
                <w:sz w:val="20"/>
                <w:szCs w:val="20"/>
                <w:color w:val="auto"/>
              </w:rPr>
            </w:pPr>
            <w:r>
              <w:rPr>
                <w:rFonts w:ascii="Arial" w:cs="Arial" w:eastAsia="Arial" w:hAnsi="Arial"/>
                <w:sz w:val="10"/>
                <w:szCs w:val="10"/>
                <w:b w:val="1"/>
                <w:bCs w:val="1"/>
                <w:color w:val="auto"/>
                <w:w w:val="97"/>
              </w:rPr>
              <w:t>International Inc.</w:t>
            </w: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center"/>
              <w:ind w:right="140"/>
              <w:spacing w:after="0" w:line="97" w:lineRule="exact"/>
              <w:rPr>
                <w:sz w:val="20"/>
                <w:szCs w:val="20"/>
                <w:color w:val="auto"/>
              </w:rPr>
            </w:pPr>
            <w:r>
              <w:rPr>
                <w:rFonts w:ascii="Arial" w:cs="Arial" w:eastAsia="Arial" w:hAnsi="Arial"/>
                <w:sz w:val="10"/>
                <w:szCs w:val="10"/>
                <w:b w:val="1"/>
                <w:bCs w:val="1"/>
                <w:color w:val="auto"/>
                <w:w w:val="91"/>
              </w:rPr>
              <w:t>Total</w:t>
            </w:r>
          </w:p>
        </w:tc>
      </w:tr>
      <w:tr>
        <w:trPr>
          <w:trHeight w:val="108"/>
        </w:trPr>
        <w:tc>
          <w:tcPr>
            <w:tcW w:w="238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0"/>
                <w:szCs w:val="10"/>
                <w:b w:val="1"/>
                <w:bCs w:val="1"/>
                <w:color w:val="auto"/>
                <w:w w:val="96"/>
              </w:rPr>
              <w:t>Non-</w:t>
            </w:r>
          </w:p>
        </w:tc>
        <w:tc>
          <w:tcPr>
            <w:tcW w:w="14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0"/>
        </w:trPr>
        <w:tc>
          <w:tcPr>
            <w:tcW w:w="238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Voting</w:t>
            </w:r>
          </w:p>
        </w:tc>
        <w:tc>
          <w:tcPr>
            <w:tcW w:w="140" w:type="dxa"/>
            <w:vAlign w:val="bottom"/>
          </w:tcPr>
          <w:p>
            <w:pPr>
              <w:spacing w:after="0"/>
              <w:rPr>
                <w:sz w:val="11"/>
                <w:szCs w:val="11"/>
                <w:color w:val="auto"/>
              </w:rPr>
            </w:pPr>
          </w:p>
        </w:tc>
        <w:tc>
          <w:tcPr>
            <w:tcW w:w="480" w:type="dxa"/>
            <w:vAlign w:val="bottom"/>
            <w:tcBorders>
              <w:right w:val="single" w:sz="8" w:color="auto"/>
            </w:tcBorders>
          </w:tcPr>
          <w:p>
            <w:pPr>
              <w:jc w:val="center"/>
              <w:ind w:right="109"/>
              <w:spacing w:after="0"/>
              <w:rPr>
                <w:sz w:val="20"/>
                <w:szCs w:val="20"/>
                <w:color w:val="auto"/>
              </w:rPr>
            </w:pPr>
            <w:r>
              <w:rPr>
                <w:rFonts w:ascii="Arial" w:cs="Arial" w:eastAsia="Arial" w:hAnsi="Arial"/>
                <w:sz w:val="10"/>
                <w:szCs w:val="10"/>
                <w:b w:val="1"/>
                <w:bCs w:val="1"/>
                <w:color w:val="auto"/>
                <w:w w:val="98"/>
              </w:rPr>
              <w:t>Par</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Voting</w:t>
            </w:r>
          </w:p>
        </w:tc>
        <w:tc>
          <w:tcPr>
            <w:tcW w:w="160" w:type="dxa"/>
            <w:vAlign w:val="bottom"/>
          </w:tcPr>
          <w:p>
            <w:pPr>
              <w:spacing w:after="0"/>
              <w:rPr>
                <w:sz w:val="11"/>
                <w:szCs w:val="11"/>
                <w:color w:val="auto"/>
              </w:rPr>
            </w:pPr>
          </w:p>
        </w:tc>
        <w:tc>
          <w:tcPr>
            <w:tcW w:w="460" w:type="dxa"/>
            <w:vAlign w:val="bottom"/>
            <w:tcBorders>
              <w:right w:val="single" w:sz="8" w:color="auto"/>
            </w:tcBorders>
          </w:tcPr>
          <w:p>
            <w:pPr>
              <w:jc w:val="right"/>
              <w:ind w:right="189"/>
              <w:spacing w:after="0"/>
              <w:rPr>
                <w:sz w:val="20"/>
                <w:szCs w:val="20"/>
                <w:color w:val="auto"/>
              </w:rPr>
            </w:pPr>
            <w:r>
              <w:rPr>
                <w:rFonts w:ascii="Arial" w:cs="Arial" w:eastAsia="Arial" w:hAnsi="Arial"/>
                <w:sz w:val="10"/>
                <w:szCs w:val="10"/>
                <w:b w:val="1"/>
                <w:bCs w:val="1"/>
                <w:color w:val="auto"/>
              </w:rPr>
              <w:t>Par</w:t>
            </w:r>
          </w:p>
        </w:tc>
        <w:tc>
          <w:tcPr>
            <w:tcW w:w="140" w:type="dxa"/>
            <w:vAlign w:val="bottom"/>
          </w:tcPr>
          <w:p>
            <w:pPr>
              <w:spacing w:after="0"/>
              <w:rPr>
                <w:sz w:val="11"/>
                <w:szCs w:val="11"/>
                <w:color w:val="auto"/>
              </w:rPr>
            </w:pPr>
          </w:p>
        </w:tc>
        <w:tc>
          <w:tcPr>
            <w:tcW w:w="620" w:type="dxa"/>
            <w:vAlign w:val="bottom"/>
          </w:tcPr>
          <w:p>
            <w:pPr>
              <w:jc w:val="center"/>
              <w:ind w:right="49"/>
              <w:spacing w:after="0"/>
              <w:rPr>
                <w:sz w:val="20"/>
                <w:szCs w:val="20"/>
                <w:color w:val="auto"/>
              </w:rPr>
            </w:pPr>
            <w:r>
              <w:rPr>
                <w:rFonts w:ascii="Arial" w:cs="Arial" w:eastAsia="Arial" w:hAnsi="Arial"/>
                <w:sz w:val="10"/>
                <w:szCs w:val="10"/>
                <w:b w:val="1"/>
                <w:bCs w:val="1"/>
                <w:color w:val="auto"/>
                <w:w w:val="95"/>
              </w:rPr>
              <w:t>Paid-In</w:t>
            </w:r>
          </w:p>
        </w:tc>
        <w:tc>
          <w:tcPr>
            <w:tcW w:w="100" w:type="dxa"/>
            <w:vAlign w:val="bottom"/>
          </w:tcPr>
          <w:p>
            <w:pPr>
              <w:spacing w:after="0"/>
              <w:rPr>
                <w:sz w:val="11"/>
                <w:szCs w:val="11"/>
                <w:color w:val="auto"/>
              </w:rPr>
            </w:pPr>
          </w:p>
        </w:tc>
        <w:tc>
          <w:tcPr>
            <w:tcW w:w="800" w:type="dxa"/>
            <w:vAlign w:val="bottom"/>
          </w:tcPr>
          <w:p>
            <w:pPr>
              <w:jc w:val="center"/>
              <w:ind w:right="129"/>
              <w:spacing w:after="0"/>
              <w:rPr>
                <w:sz w:val="20"/>
                <w:szCs w:val="20"/>
                <w:color w:val="auto"/>
              </w:rPr>
            </w:pPr>
            <w:r>
              <w:rPr>
                <w:rFonts w:ascii="Arial" w:cs="Arial" w:eastAsia="Arial" w:hAnsi="Arial"/>
                <w:sz w:val="10"/>
                <w:szCs w:val="10"/>
                <w:b w:val="1"/>
                <w:bCs w:val="1"/>
                <w:color w:val="auto"/>
                <w:w w:val="93"/>
              </w:rPr>
              <w:t>(Accumulated</w:t>
            </w:r>
          </w:p>
        </w:tc>
        <w:tc>
          <w:tcPr>
            <w:tcW w:w="140" w:type="dxa"/>
            <w:vAlign w:val="bottom"/>
          </w:tcPr>
          <w:p>
            <w:pPr>
              <w:spacing w:after="0"/>
              <w:rPr>
                <w:sz w:val="11"/>
                <w:szCs w:val="11"/>
                <w:color w:val="auto"/>
              </w:rPr>
            </w:pPr>
          </w:p>
        </w:tc>
        <w:tc>
          <w:tcPr>
            <w:tcW w:w="660" w:type="dxa"/>
            <w:vAlign w:val="bottom"/>
          </w:tcPr>
          <w:p>
            <w:pPr>
              <w:jc w:val="right"/>
              <w:ind w:right="189"/>
              <w:spacing w:after="0"/>
              <w:rPr>
                <w:sz w:val="20"/>
                <w:szCs w:val="20"/>
                <w:color w:val="auto"/>
              </w:rPr>
            </w:pPr>
            <w:r>
              <w:rPr>
                <w:rFonts w:ascii="Arial" w:cs="Arial" w:eastAsia="Arial" w:hAnsi="Arial"/>
                <w:sz w:val="10"/>
                <w:szCs w:val="10"/>
                <w:b w:val="1"/>
                <w:bCs w:val="1"/>
                <w:color w:val="auto"/>
                <w:w w:val="94"/>
              </w:rPr>
              <w:t>Treasury</w:t>
            </w:r>
          </w:p>
        </w:tc>
        <w:tc>
          <w:tcPr>
            <w:tcW w:w="100" w:type="dxa"/>
            <w:vAlign w:val="bottom"/>
          </w:tcPr>
          <w:p>
            <w:pPr>
              <w:spacing w:after="0"/>
              <w:rPr>
                <w:sz w:val="11"/>
                <w:szCs w:val="11"/>
                <w:color w:val="auto"/>
              </w:rPr>
            </w:pPr>
          </w:p>
        </w:tc>
        <w:tc>
          <w:tcPr>
            <w:tcW w:w="900" w:type="dxa"/>
            <w:vAlign w:val="bottom"/>
          </w:tcPr>
          <w:p>
            <w:pPr>
              <w:jc w:val="center"/>
              <w:ind w:right="149"/>
              <w:spacing w:after="0"/>
              <w:rPr>
                <w:sz w:val="20"/>
                <w:szCs w:val="20"/>
                <w:color w:val="auto"/>
              </w:rPr>
            </w:pPr>
            <w:r>
              <w:rPr>
                <w:rFonts w:ascii="Arial" w:cs="Arial" w:eastAsia="Arial" w:hAnsi="Arial"/>
                <w:sz w:val="10"/>
                <w:szCs w:val="10"/>
                <w:b w:val="1"/>
                <w:bCs w:val="1"/>
                <w:color w:val="auto"/>
                <w:w w:val="87"/>
              </w:rPr>
              <w:t>Comprehensive</w:t>
            </w:r>
          </w:p>
        </w:tc>
        <w:tc>
          <w:tcPr>
            <w:tcW w:w="80" w:type="dxa"/>
            <w:vAlign w:val="bottom"/>
          </w:tcPr>
          <w:p>
            <w:pPr>
              <w:spacing w:after="0"/>
              <w:rPr>
                <w:sz w:val="11"/>
                <w:szCs w:val="11"/>
                <w:color w:val="auto"/>
              </w:rPr>
            </w:pPr>
          </w:p>
        </w:tc>
        <w:tc>
          <w:tcPr>
            <w:tcW w:w="960" w:type="dxa"/>
            <w:vAlign w:val="bottom"/>
          </w:tcPr>
          <w:p>
            <w:pPr>
              <w:jc w:val="center"/>
              <w:ind w:right="109"/>
              <w:spacing w:after="0"/>
              <w:rPr>
                <w:sz w:val="20"/>
                <w:szCs w:val="20"/>
                <w:color w:val="auto"/>
              </w:rPr>
            </w:pPr>
            <w:r>
              <w:rPr>
                <w:rFonts w:ascii="Arial" w:cs="Arial" w:eastAsia="Arial" w:hAnsi="Arial"/>
                <w:sz w:val="10"/>
                <w:szCs w:val="10"/>
                <w:b w:val="1"/>
                <w:bCs w:val="1"/>
                <w:color w:val="auto"/>
                <w:w w:val="90"/>
              </w:rPr>
              <w:t>Stockholders’</w:t>
            </w:r>
          </w:p>
        </w:tc>
        <w:tc>
          <w:tcPr>
            <w:tcW w:w="80" w:type="dxa"/>
            <w:vAlign w:val="bottom"/>
          </w:tcPr>
          <w:p>
            <w:pPr>
              <w:spacing w:after="0"/>
              <w:rPr>
                <w:sz w:val="11"/>
                <w:szCs w:val="11"/>
                <w:color w:val="auto"/>
              </w:rPr>
            </w:pPr>
          </w:p>
        </w:tc>
        <w:tc>
          <w:tcPr>
            <w:tcW w:w="840" w:type="dxa"/>
            <w:vAlign w:val="bottom"/>
          </w:tcPr>
          <w:p>
            <w:pPr>
              <w:jc w:val="right"/>
              <w:ind w:right="129"/>
              <w:spacing w:after="0"/>
              <w:rPr>
                <w:sz w:val="20"/>
                <w:szCs w:val="20"/>
                <w:color w:val="auto"/>
              </w:rPr>
            </w:pPr>
            <w:r>
              <w:rPr>
                <w:rFonts w:ascii="Arial" w:cs="Arial" w:eastAsia="Arial" w:hAnsi="Arial"/>
                <w:sz w:val="10"/>
                <w:szCs w:val="10"/>
                <w:b w:val="1"/>
                <w:bCs w:val="1"/>
                <w:color w:val="auto"/>
                <w:w w:val="89"/>
              </w:rPr>
              <w:t>Noncontrolling</w:t>
            </w:r>
          </w:p>
        </w:tc>
        <w:tc>
          <w:tcPr>
            <w:tcW w:w="100" w:type="dxa"/>
            <w:vAlign w:val="bottom"/>
          </w:tcPr>
          <w:p>
            <w:pPr>
              <w:spacing w:after="0"/>
              <w:rPr>
                <w:sz w:val="11"/>
                <w:szCs w:val="11"/>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0"/>
              </w:rPr>
              <w:t>Stockholders’</w:t>
            </w:r>
          </w:p>
        </w:tc>
      </w:tr>
      <w:tr>
        <w:trPr>
          <w:trHeight w:val="122"/>
        </w:trPr>
        <w:tc>
          <w:tcPr>
            <w:tcW w:w="238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Shares</w:t>
            </w:r>
          </w:p>
        </w:tc>
        <w:tc>
          <w:tcPr>
            <w:tcW w:w="140" w:type="dxa"/>
            <w:vAlign w:val="bottom"/>
          </w:tcPr>
          <w:p>
            <w:pPr>
              <w:spacing w:after="0"/>
              <w:rPr>
                <w:sz w:val="10"/>
                <w:szCs w:val="10"/>
                <w:color w:val="auto"/>
              </w:rPr>
            </w:pPr>
          </w:p>
        </w:tc>
        <w:tc>
          <w:tcPr>
            <w:tcW w:w="480" w:type="dxa"/>
            <w:vAlign w:val="bottom"/>
            <w:tcBorders>
              <w:right w:val="single" w:sz="8" w:color="auto"/>
            </w:tcBorders>
          </w:tcPr>
          <w:p>
            <w:pPr>
              <w:jc w:val="center"/>
              <w:ind w:right="109"/>
              <w:spacing w:after="0"/>
              <w:rPr>
                <w:sz w:val="20"/>
                <w:szCs w:val="20"/>
                <w:color w:val="auto"/>
              </w:rPr>
            </w:pPr>
            <w:r>
              <w:rPr>
                <w:rFonts w:ascii="Arial" w:cs="Arial" w:eastAsia="Arial" w:hAnsi="Arial"/>
                <w:sz w:val="10"/>
                <w:szCs w:val="10"/>
                <w:b w:val="1"/>
                <w:bCs w:val="1"/>
                <w:color w:val="auto"/>
                <w:w w:val="89"/>
              </w:rPr>
              <w:t>Value</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Shares</w:t>
            </w:r>
          </w:p>
        </w:tc>
        <w:tc>
          <w:tcPr>
            <w:tcW w:w="160" w:type="dxa"/>
            <w:vAlign w:val="bottom"/>
          </w:tcPr>
          <w:p>
            <w:pPr>
              <w:spacing w:after="0"/>
              <w:rPr>
                <w:sz w:val="10"/>
                <w:szCs w:val="10"/>
                <w:color w:val="auto"/>
              </w:rPr>
            </w:pPr>
          </w:p>
        </w:tc>
        <w:tc>
          <w:tcPr>
            <w:tcW w:w="460" w:type="dxa"/>
            <w:vAlign w:val="bottom"/>
            <w:tcBorders>
              <w:right w:val="single" w:sz="8" w:color="auto"/>
            </w:tcBorders>
          </w:tcPr>
          <w:p>
            <w:pPr>
              <w:jc w:val="right"/>
              <w:ind w:right="149"/>
              <w:spacing w:after="0"/>
              <w:rPr>
                <w:sz w:val="20"/>
                <w:szCs w:val="20"/>
                <w:color w:val="auto"/>
              </w:rPr>
            </w:pPr>
            <w:r>
              <w:rPr>
                <w:rFonts w:ascii="Arial" w:cs="Arial" w:eastAsia="Arial" w:hAnsi="Arial"/>
                <w:sz w:val="10"/>
                <w:szCs w:val="10"/>
                <w:b w:val="1"/>
                <w:bCs w:val="1"/>
                <w:color w:val="auto"/>
                <w:w w:val="89"/>
              </w:rPr>
              <w:t>Value</w:t>
            </w:r>
          </w:p>
        </w:tc>
        <w:tc>
          <w:tcPr>
            <w:tcW w:w="140" w:type="dxa"/>
            <w:vAlign w:val="bottom"/>
          </w:tcPr>
          <w:p>
            <w:pPr>
              <w:spacing w:after="0"/>
              <w:rPr>
                <w:sz w:val="10"/>
                <w:szCs w:val="10"/>
                <w:color w:val="auto"/>
              </w:rPr>
            </w:pPr>
          </w:p>
        </w:tc>
        <w:tc>
          <w:tcPr>
            <w:tcW w:w="620" w:type="dxa"/>
            <w:vAlign w:val="bottom"/>
          </w:tcPr>
          <w:p>
            <w:pPr>
              <w:jc w:val="center"/>
              <w:ind w:right="29"/>
              <w:spacing w:after="0"/>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10"/>
                <w:szCs w:val="10"/>
                <w:color w:val="auto"/>
              </w:rPr>
            </w:pPr>
          </w:p>
        </w:tc>
        <w:tc>
          <w:tcPr>
            <w:tcW w:w="800" w:type="dxa"/>
            <w:vAlign w:val="bottom"/>
          </w:tcPr>
          <w:p>
            <w:pPr>
              <w:jc w:val="center"/>
              <w:ind w:right="109"/>
              <w:spacing w:after="0"/>
              <w:rPr>
                <w:sz w:val="20"/>
                <w:szCs w:val="20"/>
                <w:color w:val="auto"/>
              </w:rPr>
            </w:pPr>
            <w:r>
              <w:rPr>
                <w:rFonts w:ascii="Arial" w:cs="Arial" w:eastAsia="Arial" w:hAnsi="Arial"/>
                <w:sz w:val="10"/>
                <w:szCs w:val="10"/>
                <w:b w:val="1"/>
                <w:bCs w:val="1"/>
                <w:color w:val="auto"/>
                <w:w w:val="94"/>
              </w:rPr>
              <w:t>Deficit)</w:t>
            </w:r>
          </w:p>
        </w:tc>
        <w:tc>
          <w:tcPr>
            <w:tcW w:w="140" w:type="dxa"/>
            <w:vAlign w:val="bottom"/>
          </w:tcPr>
          <w:p>
            <w:pPr>
              <w:spacing w:after="0"/>
              <w:rPr>
                <w:sz w:val="10"/>
                <w:szCs w:val="10"/>
                <w:color w:val="auto"/>
              </w:rPr>
            </w:pPr>
          </w:p>
        </w:tc>
        <w:tc>
          <w:tcPr>
            <w:tcW w:w="660" w:type="dxa"/>
            <w:vAlign w:val="bottom"/>
          </w:tcPr>
          <w:p>
            <w:pPr>
              <w:jc w:val="right"/>
              <w:ind w:right="229"/>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0"/>
                <w:szCs w:val="10"/>
                <w:color w:val="auto"/>
              </w:rPr>
            </w:pPr>
          </w:p>
        </w:tc>
        <w:tc>
          <w:tcPr>
            <w:tcW w:w="900" w:type="dxa"/>
            <w:vAlign w:val="bottom"/>
          </w:tcPr>
          <w:p>
            <w:pPr>
              <w:jc w:val="center"/>
              <w:ind w:right="129"/>
              <w:spacing w:after="0"/>
              <w:rPr>
                <w:sz w:val="20"/>
                <w:szCs w:val="20"/>
                <w:color w:val="auto"/>
              </w:rPr>
            </w:pPr>
            <w:r>
              <w:rPr>
                <w:rFonts w:ascii="Arial" w:cs="Arial" w:eastAsia="Arial" w:hAnsi="Arial"/>
                <w:sz w:val="10"/>
                <w:szCs w:val="10"/>
                <w:b w:val="1"/>
                <w:bCs w:val="1"/>
                <w:color w:val="auto"/>
                <w:w w:val="88"/>
              </w:rPr>
              <w:t>Income/(Loss)</w:t>
            </w:r>
          </w:p>
        </w:tc>
        <w:tc>
          <w:tcPr>
            <w:tcW w:w="80" w:type="dxa"/>
            <w:vAlign w:val="bottom"/>
          </w:tcPr>
          <w:p>
            <w:pPr>
              <w:spacing w:after="0"/>
              <w:rPr>
                <w:sz w:val="10"/>
                <w:szCs w:val="10"/>
                <w:color w:val="auto"/>
              </w:rPr>
            </w:pPr>
          </w:p>
        </w:tc>
        <w:tc>
          <w:tcPr>
            <w:tcW w:w="960" w:type="dxa"/>
            <w:vAlign w:val="bottom"/>
          </w:tcPr>
          <w:p>
            <w:pPr>
              <w:jc w:val="center"/>
              <w:ind w:right="109"/>
              <w:spacing w:after="0"/>
              <w:rPr>
                <w:sz w:val="20"/>
                <w:szCs w:val="20"/>
                <w:color w:val="auto"/>
              </w:rPr>
            </w:pPr>
            <w:r>
              <w:rPr>
                <w:rFonts w:ascii="Arial" w:cs="Arial" w:eastAsia="Arial" w:hAnsi="Arial"/>
                <w:sz w:val="10"/>
                <w:szCs w:val="10"/>
                <w:b w:val="1"/>
                <w:bCs w:val="1"/>
                <w:color w:val="auto"/>
                <w:w w:val="91"/>
              </w:rPr>
              <w:t>Equity</w:t>
            </w:r>
          </w:p>
        </w:tc>
        <w:tc>
          <w:tcPr>
            <w:tcW w:w="80" w:type="dxa"/>
            <w:vAlign w:val="bottom"/>
          </w:tcPr>
          <w:p>
            <w:pPr>
              <w:spacing w:after="0"/>
              <w:rPr>
                <w:sz w:val="10"/>
                <w:szCs w:val="10"/>
                <w:color w:val="auto"/>
              </w:rPr>
            </w:pPr>
          </w:p>
        </w:tc>
        <w:tc>
          <w:tcPr>
            <w:tcW w:w="840" w:type="dxa"/>
            <w:vAlign w:val="bottom"/>
          </w:tcPr>
          <w:p>
            <w:pPr>
              <w:jc w:val="right"/>
              <w:ind w:right="269"/>
              <w:spacing w:after="0"/>
              <w:rPr>
                <w:sz w:val="20"/>
                <w:szCs w:val="20"/>
                <w:color w:val="auto"/>
              </w:rPr>
            </w:pPr>
            <w:r>
              <w:rPr>
                <w:rFonts w:ascii="Arial" w:cs="Arial" w:eastAsia="Arial" w:hAnsi="Arial"/>
                <w:sz w:val="10"/>
                <w:szCs w:val="10"/>
                <w:b w:val="1"/>
                <w:bCs w:val="1"/>
                <w:color w:val="auto"/>
              </w:rPr>
              <w:t>Interests</w:t>
            </w:r>
          </w:p>
        </w:tc>
        <w:tc>
          <w:tcPr>
            <w:tcW w:w="100" w:type="dxa"/>
            <w:vAlign w:val="bottom"/>
          </w:tcPr>
          <w:p>
            <w:pPr>
              <w:spacing w:after="0"/>
              <w:rPr>
                <w:sz w:val="10"/>
                <w:szCs w:val="10"/>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8"/>
              </w:rPr>
              <w:t>Equity</w:t>
            </w:r>
          </w:p>
        </w:tc>
      </w:tr>
      <w:tr>
        <w:trPr>
          <w:trHeight w:val="101"/>
        </w:trPr>
        <w:tc>
          <w:tcPr>
            <w:tcW w:w="2380" w:type="dxa"/>
            <w:vAlign w:val="bottom"/>
            <w:tcBorders>
              <w:top w:val="single" w:sz="8" w:color="auto"/>
              <w:bottom w:val="single" w:sz="8" w:color="auto"/>
              <w:right w:val="single" w:sz="8" w:color="auto"/>
            </w:tcBorders>
            <w:shd w:val="clear" w:color="auto" w:fill="CCEEFF"/>
          </w:tcPr>
          <w:p>
            <w:pPr>
              <w:spacing w:after="0" w:line="100" w:lineRule="exact"/>
              <w:rPr>
                <w:sz w:val="20"/>
                <w:szCs w:val="20"/>
                <w:color w:val="auto"/>
              </w:rPr>
            </w:pPr>
            <w:r>
              <w:rPr>
                <w:rFonts w:ascii="Arial" w:cs="Arial" w:eastAsia="Arial" w:hAnsi="Arial"/>
                <w:sz w:val="10"/>
                <w:szCs w:val="10"/>
                <w:b w:val="1"/>
                <w:bCs w:val="1"/>
                <w:color w:val="auto"/>
              </w:rPr>
              <w:t>At January 1, 2019</w:t>
            </w:r>
          </w:p>
        </w:tc>
        <w:tc>
          <w:tcPr>
            <w:tcW w:w="640" w:type="dxa"/>
            <w:vAlign w:val="bottom"/>
            <w:tcBorders>
              <w:top w:val="single" w:sz="8" w:color="auto"/>
              <w:bottom w:val="single" w:sz="8" w:color="auto"/>
              <w:right w:val="single" w:sz="8" w:color="auto"/>
            </w:tcBorders>
            <w:shd w:val="clear" w:color="auto" w:fill="CCEEFF"/>
          </w:tcPr>
          <w:p>
            <w:pPr>
              <w:jc w:val="right"/>
              <w:ind w:right="29"/>
              <w:spacing w:after="0" w:line="100" w:lineRule="exact"/>
              <w:rPr>
                <w:sz w:val="20"/>
                <w:szCs w:val="20"/>
                <w:color w:val="auto"/>
              </w:rPr>
            </w:pPr>
            <w:r>
              <w:rPr>
                <w:rFonts w:ascii="Arial" w:cs="Arial" w:eastAsia="Arial" w:hAnsi="Arial"/>
                <w:sz w:val="10"/>
                <w:szCs w:val="10"/>
                <w:b w:val="1"/>
                <w:bCs w:val="1"/>
                <w:color w:val="auto"/>
              </w:rPr>
              <w:t>21,196</w:t>
            </w:r>
          </w:p>
        </w:tc>
        <w:tc>
          <w:tcPr>
            <w:tcW w:w="14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480" w:type="dxa"/>
            <w:vAlign w:val="bottom"/>
            <w:tcBorders>
              <w:top w:val="single" w:sz="8" w:color="auto"/>
              <w:bottom w:val="single" w:sz="8" w:color="auto"/>
              <w:right w:val="single" w:sz="8" w:color="auto"/>
            </w:tcBorders>
            <w:shd w:val="clear" w:color="auto" w:fill="CCEEFF"/>
          </w:tcPr>
          <w:p>
            <w:pPr>
              <w:jc w:val="right"/>
              <w:ind w:right="49"/>
              <w:spacing w:after="0" w:line="100" w:lineRule="exact"/>
              <w:rPr>
                <w:sz w:val="20"/>
                <w:szCs w:val="20"/>
                <w:color w:val="auto"/>
              </w:rPr>
            </w:pPr>
            <w:r>
              <w:rPr>
                <w:rFonts w:ascii="Arial" w:cs="Arial" w:eastAsia="Arial" w:hAnsi="Arial"/>
                <w:sz w:val="10"/>
                <w:szCs w:val="10"/>
                <w:b w:val="1"/>
                <w:bCs w:val="1"/>
                <w:color w:val="auto"/>
              </w:rPr>
              <w:t>232</w:t>
            </w:r>
          </w:p>
        </w:tc>
        <w:tc>
          <w:tcPr>
            <w:tcW w:w="760" w:type="dxa"/>
            <w:vAlign w:val="bottom"/>
            <w:tcBorders>
              <w:top w:val="single" w:sz="8" w:color="auto"/>
              <w:bottom w:val="single" w:sz="8" w:color="auto"/>
              <w:right w:val="single" w:sz="8" w:color="auto"/>
            </w:tcBorders>
            <w:shd w:val="clear" w:color="auto" w:fill="CCEEFF"/>
          </w:tcPr>
          <w:p>
            <w:pPr>
              <w:jc w:val="right"/>
              <w:ind w:right="49"/>
              <w:spacing w:after="0" w:line="100" w:lineRule="exact"/>
              <w:rPr>
                <w:sz w:val="20"/>
                <w:szCs w:val="20"/>
                <w:color w:val="auto"/>
              </w:rPr>
            </w:pPr>
            <w:r>
              <w:rPr>
                <w:rFonts w:ascii="Arial" w:cs="Arial" w:eastAsia="Arial" w:hAnsi="Arial"/>
                <w:sz w:val="10"/>
                <w:szCs w:val="10"/>
                <w:b w:val="1"/>
                <w:bCs w:val="1"/>
                <w:color w:val="auto"/>
              </w:rPr>
              <w:t>1,680</w:t>
            </w:r>
          </w:p>
        </w:tc>
        <w:tc>
          <w:tcPr>
            <w:tcW w:w="16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460" w:type="dxa"/>
            <w:vAlign w:val="bottom"/>
            <w:tcBorders>
              <w:top w:val="single" w:sz="8" w:color="auto"/>
              <w:bottom w:val="single" w:sz="8" w:color="auto"/>
              <w:right w:val="single" w:sz="8" w:color="auto"/>
            </w:tcBorders>
            <w:shd w:val="clear" w:color="auto" w:fill="CCEEFF"/>
          </w:tcPr>
          <w:p>
            <w:pPr>
              <w:jc w:val="right"/>
              <w:ind w:right="49"/>
              <w:spacing w:after="0" w:line="100" w:lineRule="exact"/>
              <w:rPr>
                <w:sz w:val="20"/>
                <w:szCs w:val="20"/>
                <w:color w:val="auto"/>
              </w:rPr>
            </w:pPr>
            <w:r>
              <w:rPr>
                <w:rFonts w:ascii="Arial" w:cs="Arial" w:eastAsia="Arial" w:hAnsi="Arial"/>
                <w:sz w:val="10"/>
                <w:szCs w:val="10"/>
                <w:b w:val="1"/>
                <w:bCs w:val="1"/>
                <w:color w:val="auto"/>
              </w:rPr>
              <w:t>17</w:t>
            </w:r>
          </w:p>
        </w:tc>
        <w:tc>
          <w:tcPr>
            <w:tcW w:w="14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62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147,452</w:t>
            </w:r>
          </w:p>
        </w:tc>
        <w:tc>
          <w:tcPr>
            <w:tcW w:w="10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47,048</w:t>
            </w:r>
          </w:p>
        </w:tc>
        <w:tc>
          <w:tcPr>
            <w:tcW w:w="14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(25,222)</w:t>
            </w:r>
          </w:p>
        </w:tc>
        <w:tc>
          <w:tcPr>
            <w:tcW w:w="10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90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6,115</w:t>
            </w:r>
          </w:p>
        </w:tc>
        <w:tc>
          <w:tcPr>
            <w:tcW w:w="8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96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175,642</w:t>
            </w:r>
          </w:p>
        </w:tc>
        <w:tc>
          <w:tcPr>
            <w:tcW w:w="8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84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4,337</w:t>
            </w:r>
          </w:p>
        </w:tc>
        <w:tc>
          <w:tcPr>
            <w:tcW w:w="10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179,979</w:t>
            </w:r>
          </w:p>
        </w:tc>
        <w:tc>
          <w:tcPr>
            <w:tcW w:w="20" w:type="dxa"/>
            <w:vAlign w:val="bottom"/>
          </w:tcPr>
          <w:p>
            <w:pPr>
              <w:spacing w:after="0"/>
              <w:rPr>
                <w:sz w:val="8"/>
                <w:szCs w:val="8"/>
                <w:color w:val="auto"/>
              </w:rPr>
            </w:pPr>
          </w:p>
        </w:tc>
      </w:tr>
      <w:tr>
        <w:trPr>
          <w:trHeight w:val="119"/>
        </w:trPr>
        <w:tc>
          <w:tcPr>
            <w:tcW w:w="238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Net income (loss)</w:t>
            </w:r>
          </w:p>
        </w:tc>
        <w:tc>
          <w:tcPr>
            <w:tcW w:w="640" w:type="dxa"/>
            <w:vAlign w:val="bottom"/>
            <w:tcBorders>
              <w:right w:val="single" w:sz="8" w:color="auto"/>
            </w:tcBorders>
          </w:tcPr>
          <w:p>
            <w:pPr>
              <w:jc w:val="right"/>
              <w:ind w:right="29"/>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8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76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46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(26,429)</w:t>
            </w:r>
          </w:p>
        </w:tc>
        <w:tc>
          <w:tcPr>
            <w:tcW w:w="1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(26,429)</w:t>
            </w: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(74)</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(26,503)</w:t>
            </w:r>
          </w:p>
        </w:tc>
        <w:tc>
          <w:tcPr>
            <w:tcW w:w="20" w:type="dxa"/>
            <w:vAlign w:val="bottom"/>
          </w:tcPr>
          <w:p>
            <w:pPr>
              <w:spacing w:after="0"/>
              <w:rPr>
                <w:sz w:val="10"/>
                <w:szCs w:val="10"/>
                <w:color w:val="auto"/>
              </w:rPr>
            </w:pPr>
          </w:p>
        </w:tc>
      </w:tr>
      <w:tr>
        <w:trPr>
          <w:trHeight w:val="140"/>
        </w:trPr>
        <w:tc>
          <w:tcPr>
            <w:tcW w:w="23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0"/>
                <w:szCs w:val="10"/>
                <w:color w:val="auto"/>
                <w:w w:val="97"/>
              </w:rPr>
              <w:t>Adjustments to opening retained earnings on adoption</w:t>
            </w:r>
          </w:p>
        </w:tc>
        <w:tc>
          <w:tcPr>
            <w:tcW w:w="6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20"/>
        </w:trPr>
        <w:tc>
          <w:tcPr>
            <w:tcW w:w="23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0"/>
                <w:szCs w:val="10"/>
                <w:color w:val="auto"/>
              </w:rPr>
              <w:t>of ASC 842</w:t>
            </w:r>
          </w:p>
        </w:tc>
        <w:tc>
          <w:tcPr>
            <w:tcW w:w="64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76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w:t>
            </w:r>
          </w:p>
        </w:tc>
        <w:tc>
          <w:tcPr>
            <w:tcW w:w="20" w:type="dxa"/>
            <w:vAlign w:val="bottom"/>
          </w:tcPr>
          <w:p>
            <w:pPr>
              <w:spacing w:after="0"/>
              <w:rPr>
                <w:sz w:val="10"/>
                <w:szCs w:val="10"/>
                <w:color w:val="auto"/>
              </w:rPr>
            </w:pPr>
          </w:p>
        </w:tc>
      </w:tr>
      <w:tr>
        <w:trPr>
          <w:trHeight w:val="130"/>
        </w:trPr>
        <w:tc>
          <w:tcPr>
            <w:tcW w:w="238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Other comprehensive income, net</w:t>
            </w:r>
          </w:p>
        </w:tc>
        <w:tc>
          <w:tcPr>
            <w:tcW w:w="640" w:type="dxa"/>
            <w:vAlign w:val="bottom"/>
            <w:tcBorders>
              <w:right w:val="single" w:sz="8" w:color="auto"/>
            </w:tcBorders>
          </w:tcPr>
          <w:p>
            <w:pPr>
              <w:jc w:val="right"/>
              <w:ind w:right="29"/>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48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76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6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(526)</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(526)</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0"/>
                <w:szCs w:val="10"/>
                <w:color w:val="auto"/>
              </w:rPr>
              <w:t>(524)</w:t>
            </w:r>
          </w:p>
        </w:tc>
      </w:tr>
      <w:tr>
        <w:trPr>
          <w:trHeight w:val="130"/>
        </w:trPr>
        <w:tc>
          <w:tcPr>
            <w:tcW w:w="23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0"/>
                <w:szCs w:val="10"/>
                <w:color w:val="auto"/>
              </w:rPr>
              <w:t>Share-based compensation expense</w:t>
            </w:r>
          </w:p>
        </w:tc>
        <w:tc>
          <w:tcPr>
            <w:tcW w:w="64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76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46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1,463</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1,463</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1,463</w:t>
            </w:r>
          </w:p>
        </w:tc>
        <w:tc>
          <w:tcPr>
            <w:tcW w:w="20" w:type="dxa"/>
            <w:vAlign w:val="bottom"/>
          </w:tcPr>
          <w:p>
            <w:pPr>
              <w:spacing w:after="0"/>
              <w:rPr>
                <w:sz w:val="11"/>
                <w:szCs w:val="11"/>
                <w:color w:val="auto"/>
              </w:rPr>
            </w:pPr>
          </w:p>
        </w:tc>
      </w:tr>
      <w:tr>
        <w:trPr>
          <w:trHeight w:val="130"/>
        </w:trPr>
        <w:tc>
          <w:tcPr>
            <w:tcW w:w="238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Share repurchase plan</w:t>
            </w:r>
          </w:p>
        </w:tc>
        <w:tc>
          <w:tcPr>
            <w:tcW w:w="640" w:type="dxa"/>
            <w:vAlign w:val="bottom"/>
            <w:tcBorders>
              <w:right w:val="single" w:sz="8" w:color="auto"/>
            </w:tcBorders>
          </w:tcPr>
          <w:p>
            <w:pPr>
              <w:jc w:val="right"/>
              <w:ind w:right="29"/>
              <w:spacing w:after="0"/>
              <w:rPr>
                <w:sz w:val="20"/>
                <w:szCs w:val="20"/>
                <w:color w:val="auto"/>
              </w:rPr>
            </w:pPr>
            <w:r>
              <w:rPr>
                <w:rFonts w:ascii="Arial" w:cs="Arial" w:eastAsia="Arial" w:hAnsi="Arial"/>
                <w:sz w:val="10"/>
                <w:szCs w:val="10"/>
                <w:color w:val="auto"/>
              </w:rPr>
              <w:t>(1,159)</w:t>
            </w:r>
          </w:p>
        </w:tc>
        <w:tc>
          <w:tcPr>
            <w:tcW w:w="140" w:type="dxa"/>
            <w:vAlign w:val="bottom"/>
          </w:tcPr>
          <w:p>
            <w:pPr>
              <w:spacing w:after="0"/>
              <w:rPr>
                <w:sz w:val="11"/>
                <w:szCs w:val="11"/>
                <w:color w:val="auto"/>
              </w:rPr>
            </w:pPr>
          </w:p>
        </w:tc>
        <w:tc>
          <w:tcPr>
            <w:tcW w:w="48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76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6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(14,518)</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(14,518)</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0"/>
                <w:szCs w:val="10"/>
                <w:color w:val="auto"/>
              </w:rPr>
              <w:t>(14,518)</w:t>
            </w:r>
          </w:p>
        </w:tc>
      </w:tr>
      <w:tr>
        <w:trPr>
          <w:trHeight w:val="119"/>
        </w:trPr>
        <w:tc>
          <w:tcPr>
            <w:tcW w:w="23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0"/>
                <w:szCs w:val="10"/>
                <w:color w:val="auto"/>
                <w:w w:val="94"/>
              </w:rPr>
              <w:t>Class A common stock issued for share-based bonuses</w:t>
            </w:r>
          </w:p>
        </w:tc>
        <w:tc>
          <w:tcPr>
            <w:tcW w:w="64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41"/>
        </w:trPr>
        <w:tc>
          <w:tcPr>
            <w:tcW w:w="23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0"/>
                <w:szCs w:val="10"/>
                <w:color w:val="auto"/>
              </w:rPr>
              <w:t>and options exercised</w:t>
            </w:r>
          </w:p>
        </w:tc>
        <w:tc>
          <w:tcPr>
            <w:tcW w:w="64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76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46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(185)</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(185)</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(185)</w:t>
            </w:r>
          </w:p>
        </w:tc>
        <w:tc>
          <w:tcPr>
            <w:tcW w:w="20" w:type="dxa"/>
            <w:vAlign w:val="bottom"/>
          </w:tcPr>
          <w:p>
            <w:pPr>
              <w:spacing w:after="0"/>
              <w:rPr>
                <w:sz w:val="12"/>
                <w:szCs w:val="12"/>
                <w:color w:val="auto"/>
              </w:rPr>
            </w:pPr>
          </w:p>
        </w:tc>
      </w:tr>
      <w:tr>
        <w:trPr>
          <w:trHeight w:val="130"/>
        </w:trPr>
        <w:tc>
          <w:tcPr>
            <w:tcW w:w="238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Restricted Stock Units</w:t>
            </w:r>
          </w:p>
        </w:tc>
        <w:tc>
          <w:tcPr>
            <w:tcW w:w="640" w:type="dxa"/>
            <w:vAlign w:val="bottom"/>
            <w:tcBorders>
              <w:right w:val="single" w:sz="8" w:color="auto"/>
            </w:tcBorders>
          </w:tcPr>
          <w:p>
            <w:pPr>
              <w:jc w:val="right"/>
              <w:ind w:right="29"/>
              <w:spacing w:after="0"/>
              <w:rPr>
                <w:sz w:val="20"/>
                <w:szCs w:val="20"/>
                <w:color w:val="auto"/>
              </w:rPr>
            </w:pPr>
            <w:r>
              <w:rPr>
                <w:rFonts w:ascii="Arial" w:cs="Arial" w:eastAsia="Arial" w:hAnsi="Arial"/>
                <w:sz w:val="10"/>
                <w:szCs w:val="10"/>
                <w:color w:val="auto"/>
              </w:rPr>
              <w:t>66</w:t>
            </w:r>
          </w:p>
        </w:tc>
        <w:tc>
          <w:tcPr>
            <w:tcW w:w="140" w:type="dxa"/>
            <w:vAlign w:val="bottom"/>
          </w:tcPr>
          <w:p>
            <w:pPr>
              <w:spacing w:after="0"/>
              <w:rPr>
                <w:sz w:val="11"/>
                <w:szCs w:val="11"/>
                <w:color w:val="auto"/>
              </w:rPr>
            </w:pPr>
          </w:p>
        </w:tc>
        <w:tc>
          <w:tcPr>
            <w:tcW w:w="48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1</w:t>
            </w:r>
          </w:p>
        </w:tc>
        <w:tc>
          <w:tcPr>
            <w:tcW w:w="76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6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(128)</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(128)</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0"/>
                <w:szCs w:val="10"/>
                <w:color w:val="auto"/>
              </w:rPr>
              <w:t>(128)</w:t>
            </w:r>
          </w:p>
        </w:tc>
      </w:tr>
      <w:tr>
        <w:trPr>
          <w:trHeight w:val="130"/>
        </w:trPr>
        <w:tc>
          <w:tcPr>
            <w:tcW w:w="23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0"/>
                <w:szCs w:val="10"/>
                <w:color w:val="auto"/>
              </w:rPr>
              <w:t>Retirements</w:t>
            </w:r>
          </w:p>
        </w:tc>
        <w:tc>
          <w:tcPr>
            <w:tcW w:w="64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(2)</w:t>
            </w:r>
          </w:p>
        </w:tc>
        <w:tc>
          <w:tcPr>
            <w:tcW w:w="76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46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20" w:type="dxa"/>
            <w:vAlign w:val="bottom"/>
          </w:tcPr>
          <w:p>
            <w:pPr>
              <w:spacing w:after="0"/>
              <w:rPr>
                <w:sz w:val="11"/>
                <w:szCs w:val="11"/>
                <w:color w:val="auto"/>
              </w:rPr>
            </w:pPr>
          </w:p>
        </w:tc>
      </w:tr>
      <w:tr>
        <w:trPr>
          <w:trHeight w:val="260"/>
        </w:trPr>
        <w:tc>
          <w:tcPr>
            <w:tcW w:w="2380" w:type="dxa"/>
            <w:vAlign w:val="bottom"/>
            <w:tcBorders>
              <w:bottom w:val="single" w:sz="8" w:color="CCEEFF"/>
              <w:right w:val="single" w:sz="8" w:color="auto"/>
            </w:tcBorders>
          </w:tcPr>
          <w:p>
            <w:pPr>
              <w:spacing w:after="0"/>
              <w:rPr>
                <w:sz w:val="20"/>
                <w:szCs w:val="20"/>
                <w:color w:val="auto"/>
              </w:rPr>
            </w:pPr>
            <w:r>
              <w:rPr>
                <w:rFonts w:ascii="Arial" w:cs="Arial" w:eastAsia="Arial" w:hAnsi="Arial"/>
                <w:sz w:val="10"/>
                <w:szCs w:val="10"/>
                <w:color w:val="auto"/>
              </w:rPr>
              <w:t>Contributions from noncontrolling shareholders</w:t>
            </w:r>
          </w:p>
        </w:tc>
        <w:tc>
          <w:tcPr>
            <w:tcW w:w="64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auto"/>
            </w:tcBorders>
          </w:tcPr>
          <w:p>
            <w:pPr>
              <w:spacing w:after="0"/>
              <w:rPr>
                <w:sz w:val="22"/>
                <w:szCs w:val="22"/>
                <w:color w:val="auto"/>
              </w:rPr>
            </w:pPr>
          </w:p>
        </w:tc>
        <w:tc>
          <w:tcPr>
            <w:tcW w:w="480" w:type="dxa"/>
            <w:vAlign w:val="bottom"/>
            <w:tcBorders>
              <w:bottom w:val="single" w:sz="8" w:color="auto"/>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90</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90</w:t>
            </w:r>
          </w:p>
        </w:tc>
        <w:tc>
          <w:tcPr>
            <w:tcW w:w="20" w:type="dxa"/>
            <w:vAlign w:val="bottom"/>
          </w:tcPr>
          <w:p>
            <w:pPr>
              <w:spacing w:after="0"/>
              <w:rPr>
                <w:sz w:val="22"/>
                <w:szCs w:val="22"/>
                <w:color w:val="auto"/>
              </w:rPr>
            </w:pPr>
          </w:p>
        </w:tc>
      </w:tr>
      <w:tr>
        <w:trPr>
          <w:trHeight w:val="110"/>
        </w:trPr>
        <w:tc>
          <w:tcPr>
            <w:tcW w:w="2380" w:type="dxa"/>
            <w:vAlign w:val="bottom"/>
            <w:tcBorders>
              <w:bottom w:val="single" w:sz="8" w:color="auto"/>
              <w:right w:val="single" w:sz="8" w:color="auto"/>
            </w:tcBorders>
            <w:shd w:val="clear" w:color="auto" w:fill="CCEEFF"/>
          </w:tcPr>
          <w:p>
            <w:pPr>
              <w:spacing w:after="0" w:line="110" w:lineRule="exact"/>
              <w:rPr>
                <w:sz w:val="20"/>
                <w:szCs w:val="20"/>
                <w:color w:val="auto"/>
              </w:rPr>
            </w:pPr>
            <w:r>
              <w:rPr>
                <w:rFonts w:ascii="Arial" w:cs="Arial" w:eastAsia="Arial" w:hAnsi="Arial"/>
                <w:sz w:val="10"/>
                <w:szCs w:val="10"/>
                <w:color w:val="auto"/>
              </w:rPr>
              <w:t>Distributions to noncontrolling shareholders</w:t>
            </w:r>
          </w:p>
        </w:tc>
        <w:tc>
          <w:tcPr>
            <w:tcW w:w="640" w:type="dxa"/>
            <w:vAlign w:val="bottom"/>
            <w:tcBorders>
              <w:bottom w:val="single" w:sz="8" w:color="auto"/>
              <w:right w:val="single" w:sz="8" w:color="auto"/>
            </w:tcBorders>
            <w:shd w:val="clear" w:color="auto" w:fill="CCEEFF"/>
          </w:tcPr>
          <w:p>
            <w:pPr>
              <w:jc w:val="right"/>
              <w:ind w:right="29"/>
              <w:spacing w:after="0" w:line="110" w:lineRule="exact"/>
              <w:rPr>
                <w:sz w:val="20"/>
                <w:szCs w:val="20"/>
                <w:color w:val="auto"/>
              </w:rPr>
            </w:pPr>
            <w:r>
              <w:rPr>
                <w:rFonts w:ascii="Arial" w:cs="Arial" w:eastAsia="Arial" w:hAnsi="Arial"/>
                <w:sz w:val="10"/>
                <w:szCs w:val="10"/>
                <w:color w:val="auto"/>
              </w:rPr>
              <w:t>—</w:t>
            </w:r>
          </w:p>
        </w:tc>
        <w:tc>
          <w:tcPr>
            <w:tcW w:w="14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right w:val="single" w:sz="8" w:color="auto"/>
            </w:tcBorders>
            <w:shd w:val="clear" w:color="auto" w:fill="CCEEFF"/>
          </w:tcPr>
          <w:p>
            <w:pPr>
              <w:jc w:val="right"/>
              <w:ind w:right="49"/>
              <w:spacing w:after="0" w:line="110" w:lineRule="exact"/>
              <w:rPr>
                <w:sz w:val="20"/>
                <w:szCs w:val="20"/>
                <w:color w:val="auto"/>
              </w:rPr>
            </w:pPr>
            <w:r>
              <w:rPr>
                <w:rFonts w:ascii="Arial" w:cs="Arial" w:eastAsia="Arial" w:hAnsi="Arial"/>
                <w:sz w:val="10"/>
                <w:szCs w:val="10"/>
                <w:color w:val="auto"/>
              </w:rPr>
              <w:t>—</w:t>
            </w:r>
          </w:p>
        </w:tc>
        <w:tc>
          <w:tcPr>
            <w:tcW w:w="760" w:type="dxa"/>
            <w:vAlign w:val="bottom"/>
            <w:tcBorders>
              <w:bottom w:val="single" w:sz="8" w:color="auto"/>
              <w:right w:val="single" w:sz="8" w:color="auto"/>
            </w:tcBorders>
            <w:shd w:val="clear" w:color="auto" w:fill="CCEEFF"/>
          </w:tcPr>
          <w:p>
            <w:pPr>
              <w:jc w:val="right"/>
              <w:ind w:right="49"/>
              <w:spacing w:after="0" w:line="110" w:lineRule="exact"/>
              <w:rPr>
                <w:sz w:val="20"/>
                <w:szCs w:val="20"/>
                <w:color w:val="auto"/>
              </w:rPr>
            </w:pPr>
            <w:r>
              <w:rPr>
                <w:rFonts w:ascii="Arial" w:cs="Arial" w:eastAsia="Arial" w:hAnsi="Arial"/>
                <w:sz w:val="10"/>
                <w:szCs w:val="10"/>
                <w:color w:val="auto"/>
              </w:rPr>
              <w:t>—</w:t>
            </w:r>
          </w:p>
        </w:tc>
        <w:tc>
          <w:tcPr>
            <w:tcW w:w="16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right w:val="single" w:sz="8" w:color="auto"/>
            </w:tcBorders>
            <w:shd w:val="clear" w:color="auto" w:fill="CCEEFF"/>
          </w:tcPr>
          <w:p>
            <w:pPr>
              <w:jc w:val="right"/>
              <w:ind w:right="49"/>
              <w:spacing w:after="0" w:line="110" w:lineRule="exact"/>
              <w:rPr>
                <w:sz w:val="20"/>
                <w:szCs w:val="20"/>
                <w:color w:val="auto"/>
              </w:rPr>
            </w:pPr>
            <w:r>
              <w:rPr>
                <w:rFonts w:ascii="Arial" w:cs="Arial" w:eastAsia="Arial" w:hAnsi="Arial"/>
                <w:sz w:val="10"/>
                <w:szCs w:val="10"/>
                <w:color w:val="auto"/>
              </w:rPr>
              <w:t>—</w:t>
            </w:r>
          </w:p>
        </w:tc>
        <w:tc>
          <w:tcPr>
            <w:tcW w:w="140" w:type="dxa"/>
            <w:vAlign w:val="bottom"/>
            <w:tcBorders>
              <w:bottom w:val="single" w:sz="8" w:color="auto"/>
            </w:tcBorders>
            <w:shd w:val="clear" w:color="auto" w:fill="CCEEFF"/>
          </w:tcPr>
          <w:p>
            <w:pPr>
              <w:spacing w:after="0"/>
              <w:rPr>
                <w:sz w:val="9"/>
                <w:szCs w:val="9"/>
                <w:color w:val="auto"/>
              </w:rPr>
            </w:pPr>
          </w:p>
        </w:tc>
        <w:tc>
          <w:tcPr>
            <w:tcW w:w="62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0"/>
                <w:szCs w:val="10"/>
                <w:color w:val="auto"/>
              </w:rPr>
              <w:t>—</w:t>
            </w:r>
          </w:p>
        </w:tc>
        <w:tc>
          <w:tcPr>
            <w:tcW w:w="140" w:type="dxa"/>
            <w:vAlign w:val="bottom"/>
            <w:tcBorders>
              <w:bottom w:val="single" w:sz="8" w:color="auto"/>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shd w:val="clear" w:color="auto" w:fill="CCEEFF"/>
          </w:tcPr>
          <w:p>
            <w:pPr>
              <w:spacing w:after="0"/>
              <w:rPr>
                <w:sz w:val="9"/>
                <w:szCs w:val="9"/>
                <w:color w:val="auto"/>
              </w:rPr>
            </w:pPr>
          </w:p>
        </w:tc>
        <w:tc>
          <w:tcPr>
            <w:tcW w:w="90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0"/>
                <w:szCs w:val="10"/>
                <w:color w:val="auto"/>
              </w:rPr>
              <w:t>—</w:t>
            </w:r>
          </w:p>
        </w:tc>
        <w:tc>
          <w:tcPr>
            <w:tcW w:w="80" w:type="dxa"/>
            <w:vAlign w:val="bottom"/>
            <w:tcBorders>
              <w:bottom w:val="single" w:sz="8" w:color="auto"/>
            </w:tcBorders>
            <w:shd w:val="clear" w:color="auto" w:fill="CCEEFF"/>
          </w:tcPr>
          <w:p>
            <w:pPr>
              <w:spacing w:after="0"/>
              <w:rPr>
                <w:sz w:val="9"/>
                <w:szCs w:val="9"/>
                <w:color w:val="auto"/>
              </w:rPr>
            </w:pPr>
          </w:p>
        </w:tc>
        <w:tc>
          <w:tcPr>
            <w:tcW w:w="96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0"/>
                <w:szCs w:val="10"/>
                <w:color w:val="auto"/>
              </w:rPr>
              <w:t>—</w:t>
            </w:r>
          </w:p>
        </w:tc>
        <w:tc>
          <w:tcPr>
            <w:tcW w:w="80" w:type="dxa"/>
            <w:vAlign w:val="bottom"/>
            <w:tcBorders>
              <w:bottom w:val="single" w:sz="8" w:color="auto"/>
            </w:tcBorders>
            <w:shd w:val="clear" w:color="auto" w:fill="CCEEFF"/>
          </w:tcPr>
          <w:p>
            <w:pPr>
              <w:spacing w:after="0"/>
              <w:rPr>
                <w:sz w:val="9"/>
                <w:szCs w:val="9"/>
                <w:color w:val="auto"/>
              </w:rPr>
            </w:pPr>
          </w:p>
        </w:tc>
        <w:tc>
          <w:tcPr>
            <w:tcW w:w="84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0"/>
                <w:szCs w:val="10"/>
                <w:color w:val="auto"/>
              </w:rPr>
              <w:t>(42)</w:t>
            </w:r>
          </w:p>
        </w:tc>
        <w:tc>
          <w:tcPr>
            <w:tcW w:w="10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0"/>
                <w:szCs w:val="10"/>
                <w:color w:val="auto"/>
              </w:rPr>
              <w:t>(42)</w:t>
            </w:r>
          </w:p>
        </w:tc>
        <w:tc>
          <w:tcPr>
            <w:tcW w:w="20" w:type="dxa"/>
            <w:vAlign w:val="bottom"/>
          </w:tcPr>
          <w:p>
            <w:pPr>
              <w:spacing w:after="0"/>
              <w:rPr>
                <w:sz w:val="9"/>
                <w:szCs w:val="9"/>
                <w:color w:val="auto"/>
              </w:rPr>
            </w:pPr>
          </w:p>
        </w:tc>
      </w:tr>
      <w:tr>
        <w:trPr>
          <w:trHeight w:val="101"/>
        </w:trPr>
        <w:tc>
          <w:tcPr>
            <w:tcW w:w="2380" w:type="dxa"/>
            <w:vAlign w:val="bottom"/>
            <w:tcBorders>
              <w:bottom w:val="single" w:sz="8" w:color="auto"/>
              <w:right w:val="single" w:sz="8" w:color="auto"/>
            </w:tcBorders>
          </w:tcPr>
          <w:p>
            <w:pPr>
              <w:spacing w:after="0" w:line="100" w:lineRule="exact"/>
              <w:rPr>
                <w:sz w:val="20"/>
                <w:szCs w:val="20"/>
                <w:color w:val="auto"/>
              </w:rPr>
            </w:pPr>
            <w:r>
              <w:rPr>
                <w:rFonts w:ascii="Arial" w:cs="Arial" w:eastAsia="Arial" w:hAnsi="Arial"/>
                <w:sz w:val="10"/>
                <w:szCs w:val="10"/>
                <w:b w:val="1"/>
                <w:bCs w:val="1"/>
                <w:color w:val="auto"/>
              </w:rPr>
              <w:t>At December 31, 2019</w:t>
            </w:r>
          </w:p>
        </w:tc>
        <w:tc>
          <w:tcPr>
            <w:tcW w:w="640" w:type="dxa"/>
            <w:vAlign w:val="bottom"/>
            <w:tcBorders>
              <w:bottom w:val="single" w:sz="8" w:color="auto"/>
              <w:right w:val="single" w:sz="8" w:color="auto"/>
            </w:tcBorders>
          </w:tcPr>
          <w:p>
            <w:pPr>
              <w:jc w:val="right"/>
              <w:ind w:right="29"/>
              <w:spacing w:after="0" w:line="100" w:lineRule="exact"/>
              <w:rPr>
                <w:sz w:val="20"/>
                <w:szCs w:val="20"/>
                <w:color w:val="auto"/>
              </w:rPr>
            </w:pPr>
            <w:r>
              <w:rPr>
                <w:rFonts w:ascii="Arial" w:cs="Arial" w:eastAsia="Arial" w:hAnsi="Arial"/>
                <w:sz w:val="10"/>
                <w:szCs w:val="10"/>
                <w:b w:val="1"/>
                <w:bCs w:val="1"/>
                <w:color w:val="auto"/>
              </w:rPr>
              <w:t>20,103</w:t>
            </w:r>
          </w:p>
        </w:tc>
        <w:tc>
          <w:tcPr>
            <w:tcW w:w="14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480" w:type="dxa"/>
            <w:vAlign w:val="bottom"/>
            <w:tcBorders>
              <w:bottom w:val="single" w:sz="8" w:color="auto"/>
              <w:right w:val="single" w:sz="8" w:color="auto"/>
            </w:tcBorders>
          </w:tcPr>
          <w:p>
            <w:pPr>
              <w:jc w:val="right"/>
              <w:ind w:right="49"/>
              <w:spacing w:after="0" w:line="100" w:lineRule="exact"/>
              <w:rPr>
                <w:sz w:val="20"/>
                <w:szCs w:val="20"/>
                <w:color w:val="auto"/>
              </w:rPr>
            </w:pPr>
            <w:r>
              <w:rPr>
                <w:rFonts w:ascii="Arial" w:cs="Arial" w:eastAsia="Arial" w:hAnsi="Arial"/>
                <w:sz w:val="10"/>
                <w:szCs w:val="10"/>
                <w:b w:val="1"/>
                <w:bCs w:val="1"/>
                <w:color w:val="auto"/>
              </w:rPr>
              <w:t>231</w:t>
            </w:r>
          </w:p>
        </w:tc>
        <w:tc>
          <w:tcPr>
            <w:tcW w:w="760" w:type="dxa"/>
            <w:vAlign w:val="bottom"/>
            <w:tcBorders>
              <w:bottom w:val="single" w:sz="8" w:color="auto"/>
              <w:right w:val="single" w:sz="8" w:color="auto"/>
            </w:tcBorders>
          </w:tcPr>
          <w:p>
            <w:pPr>
              <w:jc w:val="right"/>
              <w:ind w:right="49"/>
              <w:spacing w:after="0" w:line="100" w:lineRule="exact"/>
              <w:rPr>
                <w:sz w:val="20"/>
                <w:szCs w:val="20"/>
                <w:color w:val="auto"/>
              </w:rPr>
            </w:pPr>
            <w:r>
              <w:rPr>
                <w:rFonts w:ascii="Arial" w:cs="Arial" w:eastAsia="Arial" w:hAnsi="Arial"/>
                <w:sz w:val="10"/>
                <w:szCs w:val="10"/>
                <w:b w:val="1"/>
                <w:bCs w:val="1"/>
                <w:color w:val="auto"/>
              </w:rPr>
              <w:t>1,680</w:t>
            </w:r>
          </w:p>
        </w:tc>
        <w:tc>
          <w:tcPr>
            <w:tcW w:w="16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auto"/>
              <w:right w:val="single" w:sz="8" w:color="auto"/>
            </w:tcBorders>
          </w:tcPr>
          <w:p>
            <w:pPr>
              <w:jc w:val="right"/>
              <w:ind w:right="49"/>
              <w:spacing w:after="0" w:line="100" w:lineRule="exact"/>
              <w:rPr>
                <w:sz w:val="20"/>
                <w:szCs w:val="20"/>
                <w:color w:val="auto"/>
              </w:rPr>
            </w:pPr>
            <w:r>
              <w:rPr>
                <w:rFonts w:ascii="Arial" w:cs="Arial" w:eastAsia="Arial" w:hAnsi="Arial"/>
                <w:sz w:val="10"/>
                <w:szCs w:val="10"/>
                <w:b w:val="1"/>
                <w:bCs w:val="1"/>
                <w:color w:val="auto"/>
              </w:rPr>
              <w:t>17</w:t>
            </w:r>
          </w:p>
        </w:tc>
        <w:tc>
          <w:tcPr>
            <w:tcW w:w="14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148,602</w:t>
            </w:r>
          </w:p>
        </w:tc>
        <w:tc>
          <w:tcPr>
            <w:tcW w:w="10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20,647</w:t>
            </w:r>
          </w:p>
        </w:tc>
        <w:tc>
          <w:tcPr>
            <w:tcW w:w="14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(39,737)</w:t>
            </w:r>
          </w:p>
        </w:tc>
        <w:tc>
          <w:tcPr>
            <w:tcW w:w="10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90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5,589</w:t>
            </w:r>
          </w:p>
        </w:tc>
        <w:tc>
          <w:tcPr>
            <w:tcW w:w="8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135,349</w:t>
            </w:r>
          </w:p>
        </w:tc>
        <w:tc>
          <w:tcPr>
            <w:tcW w:w="8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4,267</w:t>
            </w:r>
          </w:p>
        </w:tc>
        <w:tc>
          <w:tcPr>
            <w:tcW w:w="10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139,616</w:t>
            </w:r>
          </w:p>
        </w:tc>
        <w:tc>
          <w:tcPr>
            <w:tcW w:w="20" w:type="dxa"/>
            <w:vAlign w:val="bottom"/>
          </w:tcPr>
          <w:p>
            <w:pPr>
              <w:spacing w:after="0"/>
              <w:rPr>
                <w:sz w:val="8"/>
                <w:szCs w:val="8"/>
                <w:color w:val="auto"/>
              </w:rPr>
            </w:pPr>
          </w:p>
        </w:tc>
      </w:tr>
      <w:tr>
        <w:trPr>
          <w:trHeight w:val="119"/>
        </w:trPr>
        <w:tc>
          <w:tcPr>
            <w:tcW w:w="23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0"/>
                <w:szCs w:val="10"/>
                <w:color w:val="auto"/>
              </w:rPr>
              <w:t>Net income (loss)</w:t>
            </w:r>
          </w:p>
        </w:tc>
        <w:tc>
          <w:tcPr>
            <w:tcW w:w="64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76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(65,200)</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(65,200)</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(657)</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(65,857)</w:t>
            </w:r>
          </w:p>
        </w:tc>
        <w:tc>
          <w:tcPr>
            <w:tcW w:w="20" w:type="dxa"/>
            <w:vAlign w:val="bottom"/>
          </w:tcPr>
          <w:p>
            <w:pPr>
              <w:spacing w:after="0"/>
              <w:rPr>
                <w:sz w:val="10"/>
                <w:szCs w:val="10"/>
                <w:color w:val="auto"/>
              </w:rPr>
            </w:pPr>
          </w:p>
        </w:tc>
      </w:tr>
      <w:tr>
        <w:trPr>
          <w:trHeight w:val="130"/>
        </w:trPr>
        <w:tc>
          <w:tcPr>
            <w:tcW w:w="238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Other comprehensive income, net</w:t>
            </w:r>
          </w:p>
        </w:tc>
        <w:tc>
          <w:tcPr>
            <w:tcW w:w="640" w:type="dxa"/>
            <w:vAlign w:val="bottom"/>
            <w:tcBorders>
              <w:right w:val="single" w:sz="8" w:color="auto"/>
            </w:tcBorders>
          </w:tcPr>
          <w:p>
            <w:pPr>
              <w:jc w:val="right"/>
              <w:ind w:right="29"/>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48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76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6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6,913</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6,913</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0"/>
                <w:szCs w:val="10"/>
                <w:color w:val="auto"/>
              </w:rPr>
              <w:t>6,902</w:t>
            </w:r>
          </w:p>
        </w:tc>
      </w:tr>
      <w:tr>
        <w:trPr>
          <w:trHeight w:val="130"/>
        </w:trPr>
        <w:tc>
          <w:tcPr>
            <w:tcW w:w="23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0"/>
                <w:szCs w:val="10"/>
                <w:color w:val="auto"/>
              </w:rPr>
              <w:t>Share-based compensation expense</w:t>
            </w:r>
          </w:p>
        </w:tc>
        <w:tc>
          <w:tcPr>
            <w:tcW w:w="64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76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46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1,421</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1,421</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1,421</w:t>
            </w:r>
          </w:p>
        </w:tc>
        <w:tc>
          <w:tcPr>
            <w:tcW w:w="20" w:type="dxa"/>
            <w:vAlign w:val="bottom"/>
          </w:tcPr>
          <w:p>
            <w:pPr>
              <w:spacing w:after="0"/>
              <w:rPr>
                <w:sz w:val="11"/>
                <w:szCs w:val="11"/>
                <w:color w:val="auto"/>
              </w:rPr>
            </w:pPr>
          </w:p>
        </w:tc>
      </w:tr>
      <w:tr>
        <w:trPr>
          <w:trHeight w:val="130"/>
        </w:trPr>
        <w:tc>
          <w:tcPr>
            <w:tcW w:w="238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Share repurchase plan</w:t>
            </w:r>
          </w:p>
        </w:tc>
        <w:tc>
          <w:tcPr>
            <w:tcW w:w="640" w:type="dxa"/>
            <w:vAlign w:val="bottom"/>
            <w:tcBorders>
              <w:right w:val="single" w:sz="8" w:color="auto"/>
            </w:tcBorders>
          </w:tcPr>
          <w:p>
            <w:pPr>
              <w:jc w:val="right"/>
              <w:ind w:right="29"/>
              <w:spacing w:after="0"/>
              <w:rPr>
                <w:sz w:val="20"/>
                <w:szCs w:val="20"/>
                <w:color w:val="auto"/>
              </w:rPr>
            </w:pPr>
            <w:r>
              <w:rPr>
                <w:rFonts w:ascii="Arial" w:cs="Arial" w:eastAsia="Arial" w:hAnsi="Arial"/>
                <w:sz w:val="10"/>
                <w:szCs w:val="10"/>
                <w:color w:val="auto"/>
              </w:rPr>
              <w:t>(75)</w:t>
            </w:r>
          </w:p>
        </w:tc>
        <w:tc>
          <w:tcPr>
            <w:tcW w:w="140" w:type="dxa"/>
            <w:vAlign w:val="bottom"/>
          </w:tcPr>
          <w:p>
            <w:pPr>
              <w:spacing w:after="0"/>
              <w:rPr>
                <w:sz w:val="11"/>
                <w:szCs w:val="11"/>
                <w:color w:val="auto"/>
              </w:rPr>
            </w:pPr>
          </w:p>
        </w:tc>
        <w:tc>
          <w:tcPr>
            <w:tcW w:w="48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76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6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(670)</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(670)</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0"/>
                <w:szCs w:val="10"/>
                <w:color w:val="auto"/>
              </w:rPr>
              <w:t>(670)</w:t>
            </w:r>
          </w:p>
        </w:tc>
      </w:tr>
      <w:tr>
        <w:trPr>
          <w:trHeight w:val="130"/>
        </w:trPr>
        <w:tc>
          <w:tcPr>
            <w:tcW w:w="23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0"/>
                <w:szCs w:val="10"/>
                <w:color w:val="auto"/>
              </w:rPr>
              <w:t>Restricted Stock Units</w:t>
            </w:r>
          </w:p>
        </w:tc>
        <w:tc>
          <w:tcPr>
            <w:tcW w:w="64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rPr>
              <w:t>41</w:t>
            </w:r>
          </w:p>
        </w:tc>
        <w:tc>
          <w:tcPr>
            <w:tcW w:w="14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76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46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w:t>
            </w:r>
          </w:p>
        </w:tc>
        <w:tc>
          <w:tcPr>
            <w:tcW w:w="20" w:type="dxa"/>
            <w:vAlign w:val="bottom"/>
          </w:tcPr>
          <w:p>
            <w:pPr>
              <w:spacing w:after="0"/>
              <w:rPr>
                <w:sz w:val="11"/>
                <w:szCs w:val="11"/>
                <w:color w:val="auto"/>
              </w:rPr>
            </w:pPr>
          </w:p>
        </w:tc>
      </w:tr>
      <w:tr>
        <w:trPr>
          <w:trHeight w:val="130"/>
        </w:trPr>
        <w:tc>
          <w:tcPr>
            <w:tcW w:w="238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Contributions from noncontrolling stockholders</w:t>
            </w:r>
          </w:p>
        </w:tc>
        <w:tc>
          <w:tcPr>
            <w:tcW w:w="640" w:type="dxa"/>
            <w:vAlign w:val="bottom"/>
            <w:tcBorders>
              <w:right w:val="single" w:sz="8" w:color="auto"/>
            </w:tcBorders>
          </w:tcPr>
          <w:p>
            <w:pPr>
              <w:jc w:val="right"/>
              <w:ind w:right="29"/>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48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76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6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55</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55</w:t>
            </w:r>
          </w:p>
        </w:tc>
        <w:tc>
          <w:tcPr>
            <w:tcW w:w="20" w:type="dxa"/>
            <w:vAlign w:val="bottom"/>
          </w:tcPr>
          <w:p>
            <w:pPr>
              <w:spacing w:after="0"/>
              <w:rPr>
                <w:sz w:val="11"/>
                <w:szCs w:val="11"/>
                <w:color w:val="auto"/>
              </w:rPr>
            </w:pPr>
          </w:p>
        </w:tc>
      </w:tr>
      <w:tr>
        <w:trPr>
          <w:trHeight w:val="130"/>
        </w:trPr>
        <w:tc>
          <w:tcPr>
            <w:tcW w:w="23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0"/>
                <w:szCs w:val="10"/>
                <w:color w:val="auto"/>
              </w:rPr>
              <w:t>Distributions to noncontrolling stockholders</w:t>
            </w:r>
          </w:p>
        </w:tc>
        <w:tc>
          <w:tcPr>
            <w:tcW w:w="640" w:type="dxa"/>
            <w:vAlign w:val="bottom"/>
            <w:tcBorders>
              <w:bottom w:val="single" w:sz="8" w:color="auto"/>
              <w:right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(250)</w:t>
            </w: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(250)</w:t>
            </w:r>
          </w:p>
        </w:tc>
        <w:tc>
          <w:tcPr>
            <w:tcW w:w="20" w:type="dxa"/>
            <w:vAlign w:val="bottom"/>
          </w:tcPr>
          <w:p>
            <w:pPr>
              <w:spacing w:after="0"/>
              <w:rPr>
                <w:sz w:val="11"/>
                <w:szCs w:val="11"/>
                <w:color w:val="auto"/>
              </w:rPr>
            </w:pPr>
          </w:p>
        </w:tc>
      </w:tr>
      <w:tr>
        <w:trPr>
          <w:trHeight w:val="101"/>
        </w:trPr>
        <w:tc>
          <w:tcPr>
            <w:tcW w:w="2380" w:type="dxa"/>
            <w:vAlign w:val="bottom"/>
            <w:tcBorders>
              <w:bottom w:val="single" w:sz="8" w:color="auto"/>
              <w:right w:val="single" w:sz="8" w:color="auto"/>
            </w:tcBorders>
          </w:tcPr>
          <w:p>
            <w:pPr>
              <w:spacing w:after="0" w:line="100" w:lineRule="exact"/>
              <w:rPr>
                <w:sz w:val="20"/>
                <w:szCs w:val="20"/>
                <w:color w:val="auto"/>
              </w:rPr>
            </w:pPr>
            <w:r>
              <w:rPr>
                <w:rFonts w:ascii="Arial" w:cs="Arial" w:eastAsia="Arial" w:hAnsi="Arial"/>
                <w:sz w:val="10"/>
                <w:szCs w:val="10"/>
                <w:b w:val="1"/>
                <w:bCs w:val="1"/>
                <w:color w:val="auto"/>
              </w:rPr>
              <w:t>At December 31, 2020</w:t>
            </w:r>
          </w:p>
        </w:tc>
        <w:tc>
          <w:tcPr>
            <w:tcW w:w="640" w:type="dxa"/>
            <w:vAlign w:val="bottom"/>
            <w:tcBorders>
              <w:bottom w:val="single" w:sz="8" w:color="auto"/>
              <w:right w:val="single" w:sz="8" w:color="auto"/>
            </w:tcBorders>
          </w:tcPr>
          <w:p>
            <w:pPr>
              <w:jc w:val="right"/>
              <w:ind w:right="29"/>
              <w:spacing w:after="0" w:line="100" w:lineRule="exact"/>
              <w:rPr>
                <w:sz w:val="20"/>
                <w:szCs w:val="20"/>
                <w:color w:val="auto"/>
              </w:rPr>
            </w:pPr>
            <w:r>
              <w:rPr>
                <w:rFonts w:ascii="Arial" w:cs="Arial" w:eastAsia="Arial" w:hAnsi="Arial"/>
                <w:sz w:val="10"/>
                <w:szCs w:val="10"/>
                <w:b w:val="1"/>
                <w:bCs w:val="1"/>
                <w:color w:val="auto"/>
              </w:rPr>
              <w:t>20,069</w:t>
            </w:r>
          </w:p>
        </w:tc>
        <w:tc>
          <w:tcPr>
            <w:tcW w:w="14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480" w:type="dxa"/>
            <w:vAlign w:val="bottom"/>
            <w:tcBorders>
              <w:bottom w:val="single" w:sz="8" w:color="auto"/>
              <w:right w:val="single" w:sz="8" w:color="auto"/>
            </w:tcBorders>
          </w:tcPr>
          <w:p>
            <w:pPr>
              <w:jc w:val="right"/>
              <w:ind w:right="49"/>
              <w:spacing w:after="0" w:line="100" w:lineRule="exact"/>
              <w:rPr>
                <w:sz w:val="20"/>
                <w:szCs w:val="20"/>
                <w:color w:val="auto"/>
              </w:rPr>
            </w:pPr>
            <w:r>
              <w:rPr>
                <w:rFonts w:ascii="Arial" w:cs="Arial" w:eastAsia="Arial" w:hAnsi="Arial"/>
                <w:sz w:val="10"/>
                <w:szCs w:val="10"/>
                <w:b w:val="1"/>
                <w:bCs w:val="1"/>
                <w:color w:val="auto"/>
              </w:rPr>
              <w:t>231</w:t>
            </w:r>
          </w:p>
        </w:tc>
        <w:tc>
          <w:tcPr>
            <w:tcW w:w="760" w:type="dxa"/>
            <w:vAlign w:val="bottom"/>
            <w:tcBorders>
              <w:bottom w:val="single" w:sz="8" w:color="auto"/>
              <w:right w:val="single" w:sz="8" w:color="auto"/>
            </w:tcBorders>
          </w:tcPr>
          <w:p>
            <w:pPr>
              <w:jc w:val="right"/>
              <w:ind w:right="49"/>
              <w:spacing w:after="0" w:line="100" w:lineRule="exact"/>
              <w:rPr>
                <w:sz w:val="20"/>
                <w:szCs w:val="20"/>
                <w:color w:val="auto"/>
              </w:rPr>
            </w:pPr>
            <w:r>
              <w:rPr>
                <w:rFonts w:ascii="Arial" w:cs="Arial" w:eastAsia="Arial" w:hAnsi="Arial"/>
                <w:sz w:val="10"/>
                <w:szCs w:val="10"/>
                <w:b w:val="1"/>
                <w:bCs w:val="1"/>
                <w:color w:val="auto"/>
              </w:rPr>
              <w:t>1,680</w:t>
            </w:r>
          </w:p>
        </w:tc>
        <w:tc>
          <w:tcPr>
            <w:tcW w:w="16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auto"/>
              <w:right w:val="single" w:sz="8" w:color="auto"/>
            </w:tcBorders>
          </w:tcPr>
          <w:p>
            <w:pPr>
              <w:jc w:val="right"/>
              <w:ind w:right="49"/>
              <w:spacing w:after="0" w:line="100" w:lineRule="exact"/>
              <w:rPr>
                <w:sz w:val="20"/>
                <w:szCs w:val="20"/>
                <w:color w:val="auto"/>
              </w:rPr>
            </w:pPr>
            <w:r>
              <w:rPr>
                <w:rFonts w:ascii="Arial" w:cs="Arial" w:eastAsia="Arial" w:hAnsi="Arial"/>
                <w:sz w:val="10"/>
                <w:szCs w:val="10"/>
                <w:b w:val="1"/>
                <w:bCs w:val="1"/>
                <w:color w:val="auto"/>
              </w:rPr>
              <w:t>17</w:t>
            </w:r>
          </w:p>
        </w:tc>
        <w:tc>
          <w:tcPr>
            <w:tcW w:w="14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149,979</w:t>
            </w:r>
          </w:p>
        </w:tc>
        <w:tc>
          <w:tcPr>
            <w:tcW w:w="10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(44,553)</w:t>
            </w:r>
          </w:p>
        </w:tc>
        <w:tc>
          <w:tcPr>
            <w:tcW w:w="14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(40,407)</w:t>
            </w:r>
          </w:p>
        </w:tc>
        <w:tc>
          <w:tcPr>
            <w:tcW w:w="10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90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12,502</w:t>
            </w:r>
          </w:p>
        </w:tc>
        <w:tc>
          <w:tcPr>
            <w:tcW w:w="8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77,769</w:t>
            </w:r>
          </w:p>
        </w:tc>
        <w:tc>
          <w:tcPr>
            <w:tcW w:w="8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3,404</w:t>
            </w:r>
          </w:p>
        </w:tc>
        <w:tc>
          <w:tcPr>
            <w:tcW w:w="10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81,173</w:t>
            </w:r>
          </w:p>
        </w:tc>
        <w:tc>
          <w:tcPr>
            <w:tcW w:w="20" w:type="dxa"/>
            <w:vAlign w:val="bottom"/>
          </w:tcPr>
          <w:p>
            <w:pPr>
              <w:spacing w:after="0"/>
              <w:rPr>
                <w:sz w:val="8"/>
                <w:szCs w:val="8"/>
                <w:color w:val="auto"/>
              </w:rPr>
            </w:pPr>
          </w:p>
        </w:tc>
      </w:tr>
      <w:tr>
        <w:trPr>
          <w:trHeight w:val="119"/>
        </w:trPr>
        <w:tc>
          <w:tcPr>
            <w:tcW w:w="23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0"/>
                <w:szCs w:val="10"/>
                <w:color w:val="auto"/>
              </w:rPr>
              <w:t>Net income (loss)</w:t>
            </w:r>
          </w:p>
        </w:tc>
        <w:tc>
          <w:tcPr>
            <w:tcW w:w="64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76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31,921</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31,921</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2,893</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34,814</w:t>
            </w:r>
          </w:p>
        </w:tc>
        <w:tc>
          <w:tcPr>
            <w:tcW w:w="20" w:type="dxa"/>
            <w:vAlign w:val="bottom"/>
          </w:tcPr>
          <w:p>
            <w:pPr>
              <w:spacing w:after="0"/>
              <w:rPr>
                <w:sz w:val="10"/>
                <w:szCs w:val="10"/>
                <w:color w:val="auto"/>
              </w:rPr>
            </w:pPr>
          </w:p>
        </w:tc>
      </w:tr>
      <w:tr>
        <w:trPr>
          <w:trHeight w:val="130"/>
        </w:trPr>
        <w:tc>
          <w:tcPr>
            <w:tcW w:w="238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Other comprehensive income, net</w:t>
            </w:r>
          </w:p>
        </w:tc>
        <w:tc>
          <w:tcPr>
            <w:tcW w:w="640" w:type="dxa"/>
            <w:vAlign w:val="bottom"/>
            <w:tcBorders>
              <w:right w:val="single" w:sz="8" w:color="auto"/>
            </w:tcBorders>
          </w:tcPr>
          <w:p>
            <w:pPr>
              <w:jc w:val="right"/>
              <w:ind w:right="29"/>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48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76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6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(7,620)</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(7,620)</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0"/>
                <w:szCs w:val="10"/>
                <w:color w:val="auto"/>
              </w:rPr>
              <w:t>(7,619)</w:t>
            </w:r>
          </w:p>
        </w:tc>
      </w:tr>
      <w:tr>
        <w:trPr>
          <w:trHeight w:val="130"/>
        </w:trPr>
        <w:tc>
          <w:tcPr>
            <w:tcW w:w="23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0"/>
                <w:szCs w:val="10"/>
                <w:color w:val="auto"/>
              </w:rPr>
              <w:t>Share-based compensation expense</w:t>
            </w:r>
          </w:p>
        </w:tc>
        <w:tc>
          <w:tcPr>
            <w:tcW w:w="64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76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46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2,152</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2,152</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2,152</w:t>
            </w:r>
          </w:p>
        </w:tc>
        <w:tc>
          <w:tcPr>
            <w:tcW w:w="20" w:type="dxa"/>
            <w:vAlign w:val="bottom"/>
          </w:tcPr>
          <w:p>
            <w:pPr>
              <w:spacing w:after="0"/>
              <w:rPr>
                <w:sz w:val="11"/>
                <w:szCs w:val="11"/>
                <w:color w:val="auto"/>
              </w:rPr>
            </w:pPr>
          </w:p>
        </w:tc>
      </w:tr>
      <w:tr>
        <w:trPr>
          <w:trHeight w:val="130"/>
        </w:trPr>
        <w:tc>
          <w:tcPr>
            <w:tcW w:w="238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Restricted Stock Units</w:t>
            </w:r>
          </w:p>
        </w:tc>
        <w:tc>
          <w:tcPr>
            <w:tcW w:w="640" w:type="dxa"/>
            <w:vAlign w:val="bottom"/>
            <w:tcBorders>
              <w:right w:val="single" w:sz="8" w:color="auto"/>
            </w:tcBorders>
          </w:tcPr>
          <w:p>
            <w:pPr>
              <w:jc w:val="right"/>
              <w:ind w:right="29"/>
              <w:spacing w:after="0"/>
              <w:rPr>
                <w:sz w:val="20"/>
                <w:szCs w:val="20"/>
                <w:color w:val="auto"/>
              </w:rPr>
            </w:pPr>
            <w:r>
              <w:rPr>
                <w:rFonts w:ascii="Arial" w:cs="Arial" w:eastAsia="Arial" w:hAnsi="Arial"/>
                <w:sz w:val="10"/>
                <w:szCs w:val="10"/>
                <w:color w:val="auto"/>
              </w:rPr>
              <w:t>191</w:t>
            </w:r>
          </w:p>
        </w:tc>
        <w:tc>
          <w:tcPr>
            <w:tcW w:w="140" w:type="dxa"/>
            <w:vAlign w:val="bottom"/>
          </w:tcPr>
          <w:p>
            <w:pPr>
              <w:spacing w:after="0"/>
              <w:rPr>
                <w:sz w:val="11"/>
                <w:szCs w:val="11"/>
                <w:color w:val="auto"/>
              </w:rPr>
            </w:pPr>
          </w:p>
        </w:tc>
        <w:tc>
          <w:tcPr>
            <w:tcW w:w="48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2</w:t>
            </w:r>
          </w:p>
        </w:tc>
        <w:tc>
          <w:tcPr>
            <w:tcW w:w="76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6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(150)</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(148)</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0"/>
                <w:szCs w:val="10"/>
                <w:color w:val="auto"/>
              </w:rPr>
              <w:t>(148)</w:t>
            </w:r>
          </w:p>
        </w:tc>
      </w:tr>
      <w:tr>
        <w:trPr>
          <w:trHeight w:val="130"/>
        </w:trPr>
        <w:tc>
          <w:tcPr>
            <w:tcW w:w="23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0"/>
                <w:szCs w:val="10"/>
                <w:color w:val="auto"/>
              </w:rPr>
              <w:t>Contributions from noncontrolling stockholders</w:t>
            </w:r>
          </w:p>
        </w:tc>
        <w:tc>
          <w:tcPr>
            <w:tcW w:w="64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76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46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20" w:type="dxa"/>
            <w:vAlign w:val="bottom"/>
          </w:tcPr>
          <w:p>
            <w:pPr>
              <w:spacing w:after="0"/>
              <w:rPr>
                <w:sz w:val="11"/>
                <w:szCs w:val="11"/>
                <w:color w:val="auto"/>
              </w:rPr>
            </w:pPr>
          </w:p>
        </w:tc>
      </w:tr>
      <w:tr>
        <w:trPr>
          <w:trHeight w:val="130"/>
        </w:trPr>
        <w:tc>
          <w:tcPr>
            <w:tcW w:w="238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Distributions to noncontrolling stockholders</w:t>
            </w:r>
          </w:p>
        </w:tc>
        <w:tc>
          <w:tcPr>
            <w:tcW w:w="640" w:type="dxa"/>
            <w:vAlign w:val="bottom"/>
            <w:tcBorders>
              <w:right w:val="single" w:sz="8" w:color="auto"/>
            </w:tcBorders>
          </w:tcPr>
          <w:p>
            <w:pPr>
              <w:jc w:val="right"/>
              <w:ind w:right="29"/>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48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76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460" w:type="dxa"/>
            <w:vAlign w:val="bottom"/>
            <w:tcBorders>
              <w:right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(5,315)</w:t>
            </w:r>
          </w:p>
        </w:tc>
        <w:tc>
          <w:tcPr>
            <w:tcW w:w="10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0"/>
                <w:szCs w:val="10"/>
                <w:color w:val="auto"/>
              </w:rPr>
              <w:t>(5,315)</w:t>
            </w:r>
          </w:p>
        </w:tc>
      </w:tr>
      <w:tr>
        <w:trPr>
          <w:trHeight w:val="101"/>
        </w:trPr>
        <w:tc>
          <w:tcPr>
            <w:tcW w:w="2380" w:type="dxa"/>
            <w:vAlign w:val="bottom"/>
            <w:tcBorders>
              <w:top w:val="single" w:sz="8" w:color="auto"/>
              <w:bottom w:val="single" w:sz="8" w:color="auto"/>
              <w:right w:val="single" w:sz="8" w:color="auto"/>
            </w:tcBorders>
            <w:shd w:val="clear" w:color="auto" w:fill="CCEEFF"/>
          </w:tcPr>
          <w:p>
            <w:pPr>
              <w:spacing w:after="0" w:line="100" w:lineRule="exact"/>
              <w:rPr>
                <w:sz w:val="20"/>
                <w:szCs w:val="20"/>
                <w:color w:val="auto"/>
              </w:rPr>
            </w:pPr>
            <w:r>
              <w:rPr>
                <w:rFonts w:ascii="Arial" w:cs="Arial" w:eastAsia="Arial" w:hAnsi="Arial"/>
                <w:sz w:val="10"/>
                <w:szCs w:val="10"/>
                <w:b w:val="1"/>
                <w:bCs w:val="1"/>
                <w:color w:val="auto"/>
              </w:rPr>
              <w:t>At December 31, 2021</w:t>
            </w:r>
          </w:p>
        </w:tc>
        <w:tc>
          <w:tcPr>
            <w:tcW w:w="640" w:type="dxa"/>
            <w:vAlign w:val="bottom"/>
            <w:tcBorders>
              <w:top w:val="single" w:sz="8" w:color="auto"/>
              <w:bottom w:val="single" w:sz="8" w:color="auto"/>
              <w:right w:val="single" w:sz="8" w:color="auto"/>
            </w:tcBorders>
            <w:shd w:val="clear" w:color="auto" w:fill="CCEEFF"/>
          </w:tcPr>
          <w:p>
            <w:pPr>
              <w:jc w:val="right"/>
              <w:ind w:right="29"/>
              <w:spacing w:after="0" w:line="100" w:lineRule="exact"/>
              <w:rPr>
                <w:sz w:val="20"/>
                <w:szCs w:val="20"/>
                <w:color w:val="auto"/>
              </w:rPr>
            </w:pPr>
            <w:r>
              <w:rPr>
                <w:rFonts w:ascii="Arial" w:cs="Arial" w:eastAsia="Arial" w:hAnsi="Arial"/>
                <w:sz w:val="10"/>
                <w:szCs w:val="10"/>
                <w:b w:val="1"/>
                <w:bCs w:val="1"/>
                <w:color w:val="auto"/>
              </w:rPr>
              <w:t>20,260</w:t>
            </w:r>
          </w:p>
        </w:tc>
        <w:tc>
          <w:tcPr>
            <w:tcW w:w="14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480" w:type="dxa"/>
            <w:vAlign w:val="bottom"/>
            <w:tcBorders>
              <w:top w:val="single" w:sz="8" w:color="auto"/>
              <w:bottom w:val="single" w:sz="8" w:color="auto"/>
              <w:right w:val="single" w:sz="8" w:color="auto"/>
            </w:tcBorders>
            <w:shd w:val="clear" w:color="auto" w:fill="CCEEFF"/>
          </w:tcPr>
          <w:p>
            <w:pPr>
              <w:jc w:val="right"/>
              <w:ind w:right="49"/>
              <w:spacing w:after="0" w:line="100" w:lineRule="exact"/>
              <w:rPr>
                <w:sz w:val="20"/>
                <w:szCs w:val="20"/>
                <w:color w:val="auto"/>
              </w:rPr>
            </w:pPr>
            <w:r>
              <w:rPr>
                <w:rFonts w:ascii="Arial" w:cs="Arial" w:eastAsia="Arial" w:hAnsi="Arial"/>
                <w:sz w:val="10"/>
                <w:szCs w:val="10"/>
                <w:b w:val="1"/>
                <w:bCs w:val="1"/>
                <w:color w:val="auto"/>
              </w:rPr>
              <w:t>233</w:t>
            </w:r>
          </w:p>
        </w:tc>
        <w:tc>
          <w:tcPr>
            <w:tcW w:w="760" w:type="dxa"/>
            <w:vAlign w:val="bottom"/>
            <w:tcBorders>
              <w:top w:val="single" w:sz="8" w:color="auto"/>
              <w:bottom w:val="single" w:sz="8" w:color="auto"/>
              <w:right w:val="single" w:sz="8" w:color="auto"/>
            </w:tcBorders>
            <w:shd w:val="clear" w:color="auto" w:fill="CCEEFF"/>
          </w:tcPr>
          <w:p>
            <w:pPr>
              <w:jc w:val="right"/>
              <w:ind w:right="49"/>
              <w:spacing w:after="0" w:line="100" w:lineRule="exact"/>
              <w:rPr>
                <w:sz w:val="20"/>
                <w:szCs w:val="20"/>
                <w:color w:val="auto"/>
              </w:rPr>
            </w:pPr>
            <w:r>
              <w:rPr>
                <w:rFonts w:ascii="Arial" w:cs="Arial" w:eastAsia="Arial" w:hAnsi="Arial"/>
                <w:sz w:val="10"/>
                <w:szCs w:val="10"/>
                <w:b w:val="1"/>
                <w:bCs w:val="1"/>
                <w:color w:val="auto"/>
              </w:rPr>
              <w:t>1,680</w:t>
            </w:r>
          </w:p>
        </w:tc>
        <w:tc>
          <w:tcPr>
            <w:tcW w:w="16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460" w:type="dxa"/>
            <w:vAlign w:val="bottom"/>
            <w:tcBorders>
              <w:top w:val="single" w:sz="8" w:color="auto"/>
              <w:bottom w:val="single" w:sz="8" w:color="auto"/>
              <w:right w:val="single" w:sz="8" w:color="auto"/>
            </w:tcBorders>
            <w:shd w:val="clear" w:color="auto" w:fill="CCEEFF"/>
          </w:tcPr>
          <w:p>
            <w:pPr>
              <w:jc w:val="right"/>
              <w:ind w:right="49"/>
              <w:spacing w:after="0" w:line="100" w:lineRule="exact"/>
              <w:rPr>
                <w:sz w:val="20"/>
                <w:szCs w:val="20"/>
                <w:color w:val="auto"/>
              </w:rPr>
            </w:pPr>
            <w:r>
              <w:rPr>
                <w:rFonts w:ascii="Arial" w:cs="Arial" w:eastAsia="Arial" w:hAnsi="Arial"/>
                <w:sz w:val="10"/>
                <w:szCs w:val="10"/>
                <w:b w:val="1"/>
                <w:bCs w:val="1"/>
                <w:color w:val="auto"/>
              </w:rPr>
              <w:t>17</w:t>
            </w:r>
          </w:p>
        </w:tc>
        <w:tc>
          <w:tcPr>
            <w:tcW w:w="14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62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151,981</w:t>
            </w:r>
          </w:p>
        </w:tc>
        <w:tc>
          <w:tcPr>
            <w:tcW w:w="10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(12,632)</w:t>
            </w:r>
          </w:p>
        </w:tc>
        <w:tc>
          <w:tcPr>
            <w:tcW w:w="14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(40,407)</w:t>
            </w:r>
          </w:p>
        </w:tc>
        <w:tc>
          <w:tcPr>
            <w:tcW w:w="10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90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4,882</w:t>
            </w:r>
          </w:p>
        </w:tc>
        <w:tc>
          <w:tcPr>
            <w:tcW w:w="8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96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104,074</w:t>
            </w:r>
          </w:p>
        </w:tc>
        <w:tc>
          <w:tcPr>
            <w:tcW w:w="8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84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986</w:t>
            </w:r>
          </w:p>
        </w:tc>
        <w:tc>
          <w:tcPr>
            <w:tcW w:w="10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b w:val="1"/>
                <w:bCs w:val="1"/>
                <w:color w:val="auto"/>
              </w:rPr>
              <w:t>105,060</w:t>
            </w:r>
          </w:p>
        </w:tc>
        <w:tc>
          <w:tcPr>
            <w:tcW w:w="20" w:type="dxa"/>
            <w:vAlign w:val="bottom"/>
          </w:tcPr>
          <w:p>
            <w:pPr>
              <w:spacing w:after="0"/>
              <w:rPr>
                <w:sz w:val="8"/>
                <w:szCs w:val="8"/>
                <w:color w:val="auto"/>
              </w:rPr>
            </w:pPr>
          </w:p>
        </w:tc>
      </w:tr>
    </w:tbl>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62" w:right="319" w:bottom="1440" w:gutter="0" w:footer="0" w:header="0"/>
        </w:sectPr>
      </w:pPr>
    </w:p>
    <w:bookmarkStart w:id="64" w:name="page65"/>
    <w:bookmarkEnd w:id="64"/>
    <w:p>
      <w:pPr>
        <w:jc w:val="center"/>
        <w:spacing w:after="0"/>
        <w:rPr>
          <w:sz w:val="20"/>
          <w:szCs w:val="20"/>
          <w:color w:val="auto"/>
        </w:rPr>
      </w:pPr>
      <w:r>
        <w:rPr>
          <w:rFonts w:ascii="Arial" w:cs="Arial" w:eastAsia="Arial" w:hAnsi="Arial"/>
          <w:sz w:val="20"/>
          <w:szCs w:val="20"/>
          <w:b w:val="1"/>
          <w:bCs w:val="1"/>
          <w:u w:val="single" w:color="auto"/>
          <w:color w:val="auto"/>
        </w:rPr>
        <w:t>READING INTERNATIONAL, INC. and SUBSIDIARIES</w:t>
      </w:r>
    </w:p>
    <w:p>
      <w:pPr>
        <w:jc w:val="center"/>
        <w:spacing w:after="0" w:line="235" w:lineRule="auto"/>
        <w:rPr>
          <w:sz w:val="20"/>
          <w:szCs w:val="20"/>
          <w:color w:val="auto"/>
        </w:rPr>
      </w:pPr>
      <w:r>
        <w:rPr>
          <w:rFonts w:ascii="Arial" w:cs="Arial" w:eastAsia="Arial" w:hAnsi="Arial"/>
          <w:sz w:val="14"/>
          <w:szCs w:val="14"/>
          <w:b w:val="1"/>
          <w:bCs w:val="1"/>
          <w:color w:val="auto"/>
        </w:rPr>
        <w:t>Consolidated Statements of Cash Flows for the Three Years Ended December 31, 2021</w:t>
      </w:r>
    </w:p>
    <w:p>
      <w:pPr>
        <w:jc w:val="center"/>
        <w:spacing w:after="0"/>
        <w:rPr>
          <w:sz w:val="20"/>
          <w:szCs w:val="20"/>
          <w:color w:val="auto"/>
        </w:rPr>
      </w:pPr>
      <w:r>
        <w:rPr>
          <w:rFonts w:ascii="Arial" w:cs="Arial" w:eastAsia="Arial" w:hAnsi="Arial"/>
          <w:sz w:val="14"/>
          <w:szCs w:val="14"/>
          <w:i w:val="1"/>
          <w:iCs w:val="1"/>
          <w:color w:val="auto"/>
        </w:rPr>
        <w:t>(U.S. dollars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080" w:type="dxa"/>
            <w:vAlign w:val="bottom"/>
          </w:tcPr>
          <w:p>
            <w:pPr>
              <w:spacing w:after="0"/>
              <w:rPr>
                <w:sz w:val="12"/>
                <w:szCs w:val="12"/>
                <w:color w:val="auto"/>
              </w:rPr>
            </w:pPr>
          </w:p>
        </w:tc>
        <w:tc>
          <w:tcPr>
            <w:tcW w:w="2580" w:type="dxa"/>
            <w:vAlign w:val="bottom"/>
            <w:gridSpan w:val="3"/>
          </w:tcPr>
          <w:p>
            <w:pPr>
              <w:jc w:val="right"/>
              <w:spacing w:after="0"/>
              <w:rPr>
                <w:sz w:val="20"/>
                <w:szCs w:val="20"/>
                <w:color w:val="auto"/>
              </w:rPr>
            </w:pPr>
            <w:r>
              <w:rPr>
                <w:rFonts w:ascii="Arial" w:cs="Arial" w:eastAsia="Arial" w:hAnsi="Arial"/>
                <w:sz w:val="12"/>
                <w:szCs w:val="12"/>
                <w:b w:val="1"/>
                <w:bCs w:val="1"/>
                <w:color w:val="auto"/>
              </w:rPr>
              <w:t>2021</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508"/>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508"/>
              <w:spacing w:after="0"/>
              <w:rPr>
                <w:sz w:val="20"/>
                <w:szCs w:val="20"/>
                <w:color w:val="auto"/>
              </w:rPr>
            </w:pPr>
            <w:r>
              <w:rPr>
                <w:rFonts w:ascii="Arial" w:cs="Arial" w:eastAsia="Arial" w:hAnsi="Arial"/>
                <w:sz w:val="12"/>
                <w:szCs w:val="12"/>
                <w:b w:val="1"/>
                <w:bCs w:val="1"/>
                <w:color w:val="auto"/>
              </w:rPr>
              <w:t>2019</w:t>
            </w:r>
          </w:p>
        </w:tc>
      </w:tr>
      <w:tr>
        <w:trPr>
          <w:trHeight w:val="152"/>
        </w:trPr>
        <w:tc>
          <w:tcPr>
            <w:tcW w:w="5080" w:type="dxa"/>
            <w:vAlign w:val="bottom"/>
            <w:tcBorders>
              <w:top w:val="single" w:sz="8" w:color="auto"/>
            </w:tcBorders>
          </w:tcPr>
          <w:p>
            <w:pPr>
              <w:spacing w:after="0" w:line="152" w:lineRule="exact"/>
              <w:rPr>
                <w:sz w:val="20"/>
                <w:szCs w:val="20"/>
                <w:color w:val="auto"/>
              </w:rPr>
            </w:pPr>
            <w:r>
              <w:rPr>
                <w:rFonts w:ascii="Arial" w:cs="Arial" w:eastAsia="Arial" w:hAnsi="Arial"/>
                <w:sz w:val="14"/>
                <w:szCs w:val="14"/>
                <w:b w:val="1"/>
                <w:bCs w:val="1"/>
                <w:color w:val="auto"/>
              </w:rPr>
              <w:t>Operating Activities</w:t>
            </w:r>
          </w:p>
        </w:tc>
        <w:tc>
          <w:tcPr>
            <w:tcW w:w="1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r>
      <w:tr>
        <w:trPr>
          <w:trHeight w:val="152"/>
        </w:trPr>
        <w:tc>
          <w:tcPr>
            <w:tcW w:w="508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Net income (loss)</w:t>
            </w:r>
          </w:p>
        </w:tc>
        <w:tc>
          <w:tcPr>
            <w:tcW w:w="2580" w:type="dxa"/>
            <w:vAlign w:val="bottom"/>
            <w:gridSpan w:val="3"/>
            <w:shd w:val="clear" w:color="auto" w:fill="CCEEFF"/>
          </w:tcPr>
          <w:p>
            <w:pPr>
              <w:jc w:val="right"/>
              <w:ind w:right="708"/>
              <w:spacing w:after="0" w:line="15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34,814</w:t>
            </w:r>
          </w:p>
        </w:tc>
        <w:tc>
          <w:tcPr>
            <w:tcW w:w="480" w:type="dxa"/>
            <w:vAlign w:val="bottom"/>
            <w:gridSpan w:val="2"/>
            <w:shd w:val="clear" w:color="auto" w:fill="CCEEFF"/>
          </w:tcPr>
          <w:p>
            <w:pPr>
              <w:jc w:val="right"/>
              <w:ind w:right="168"/>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(65,857)</w:t>
            </w:r>
          </w:p>
        </w:tc>
        <w:tc>
          <w:tcPr>
            <w:tcW w:w="480" w:type="dxa"/>
            <w:vAlign w:val="bottom"/>
            <w:gridSpan w:val="2"/>
            <w:shd w:val="clear" w:color="auto" w:fill="CCEEFF"/>
          </w:tcPr>
          <w:p>
            <w:pPr>
              <w:jc w:val="right"/>
              <w:ind w:right="208"/>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(26,503)</w:t>
            </w:r>
          </w:p>
        </w:tc>
      </w:tr>
      <w:tr>
        <w:trPr>
          <w:trHeight w:val="152"/>
        </w:trPr>
        <w:tc>
          <w:tcPr>
            <w:tcW w:w="5080" w:type="dxa"/>
            <w:vAlign w:val="bottom"/>
          </w:tcPr>
          <w:p>
            <w:pPr>
              <w:ind w:left="80"/>
              <w:spacing w:after="0" w:line="152" w:lineRule="exact"/>
              <w:rPr>
                <w:sz w:val="20"/>
                <w:szCs w:val="20"/>
                <w:color w:val="auto"/>
              </w:rPr>
            </w:pPr>
            <w:r>
              <w:rPr>
                <w:rFonts w:ascii="Arial" w:cs="Arial" w:eastAsia="Arial" w:hAnsi="Arial"/>
                <w:sz w:val="14"/>
                <w:szCs w:val="14"/>
                <w:i w:val="1"/>
                <w:iCs w:val="1"/>
                <w:color w:val="auto"/>
              </w:rPr>
              <w:t>Adjustments to reconcile net income to net cash flows from operating activities:</w:t>
            </w: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2"/>
        </w:trPr>
        <w:tc>
          <w:tcPr>
            <w:tcW w:w="5080" w:type="dxa"/>
            <w:vAlign w:val="bottom"/>
            <w:shd w:val="clear" w:color="auto" w:fill="CCEEFF"/>
          </w:tcPr>
          <w:p>
            <w:pPr>
              <w:ind w:left="80"/>
              <w:spacing w:after="0" w:line="152" w:lineRule="exact"/>
              <w:rPr>
                <w:sz w:val="20"/>
                <w:szCs w:val="20"/>
                <w:color w:val="auto"/>
              </w:rPr>
            </w:pPr>
            <w:r>
              <w:rPr>
                <w:rFonts w:ascii="Arial" w:cs="Arial" w:eastAsia="Arial" w:hAnsi="Arial"/>
                <w:sz w:val="14"/>
                <w:szCs w:val="14"/>
                <w:color w:val="auto"/>
              </w:rPr>
              <w:t>Equity earnings of unconsolidated joint ventures</w:t>
            </w:r>
          </w:p>
        </w:tc>
        <w:tc>
          <w:tcPr>
            <w:tcW w:w="1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(258)</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449</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(792)</w:t>
            </w:r>
          </w:p>
        </w:tc>
      </w:tr>
      <w:tr>
        <w:trPr>
          <w:trHeight w:val="152"/>
        </w:trPr>
        <w:tc>
          <w:tcPr>
            <w:tcW w:w="5080" w:type="dxa"/>
            <w:vAlign w:val="bottom"/>
          </w:tcPr>
          <w:p>
            <w:pPr>
              <w:ind w:left="80"/>
              <w:spacing w:after="0" w:line="152" w:lineRule="exact"/>
              <w:rPr>
                <w:sz w:val="20"/>
                <w:szCs w:val="20"/>
                <w:color w:val="auto"/>
              </w:rPr>
            </w:pPr>
            <w:r>
              <w:rPr>
                <w:rFonts w:ascii="Arial" w:cs="Arial" w:eastAsia="Arial" w:hAnsi="Arial"/>
                <w:sz w:val="14"/>
                <w:szCs w:val="14"/>
                <w:color w:val="auto"/>
              </w:rPr>
              <w:t>Distributions of earnings from unconsolidated joint ventures</w:t>
            </w: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240</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864</w:t>
            </w:r>
          </w:p>
        </w:tc>
      </w:tr>
      <w:tr>
        <w:trPr>
          <w:trHeight w:val="152"/>
        </w:trPr>
        <w:tc>
          <w:tcPr>
            <w:tcW w:w="5080" w:type="dxa"/>
            <w:vAlign w:val="bottom"/>
            <w:shd w:val="clear" w:color="auto" w:fill="CCEEFF"/>
          </w:tcPr>
          <w:p>
            <w:pPr>
              <w:ind w:left="80"/>
              <w:spacing w:after="0" w:line="152" w:lineRule="exact"/>
              <w:rPr>
                <w:sz w:val="20"/>
                <w:szCs w:val="20"/>
                <w:color w:val="auto"/>
              </w:rPr>
            </w:pPr>
            <w:r>
              <w:rPr>
                <w:rFonts w:ascii="Arial" w:cs="Arial" w:eastAsia="Arial" w:hAnsi="Arial"/>
                <w:sz w:val="14"/>
                <w:szCs w:val="14"/>
                <w:color w:val="auto"/>
              </w:rPr>
              <w:t>Gain recognized on foreign currency transactions</w:t>
            </w:r>
          </w:p>
        </w:tc>
        <w:tc>
          <w:tcPr>
            <w:tcW w:w="1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(2,085)</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r>
      <w:tr>
        <w:trPr>
          <w:trHeight w:val="152"/>
        </w:trPr>
        <w:tc>
          <w:tcPr>
            <w:tcW w:w="5080" w:type="dxa"/>
            <w:vAlign w:val="bottom"/>
          </w:tcPr>
          <w:p>
            <w:pPr>
              <w:ind w:left="80"/>
              <w:spacing w:after="0" w:line="152" w:lineRule="exact"/>
              <w:rPr>
                <w:sz w:val="20"/>
                <w:szCs w:val="20"/>
                <w:color w:val="auto"/>
              </w:rPr>
            </w:pPr>
            <w:r>
              <w:rPr>
                <w:rFonts w:ascii="Arial" w:cs="Arial" w:eastAsia="Arial" w:hAnsi="Arial"/>
                <w:sz w:val="14"/>
                <w:szCs w:val="14"/>
                <w:color w:val="auto"/>
              </w:rPr>
              <w:t>Net loss (gain) on sale of assets</w:t>
            </w: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Arial" w:cs="Arial" w:eastAsia="Arial" w:hAnsi="Arial"/>
                <w:sz w:val="14"/>
                <w:szCs w:val="14"/>
                <w:color w:val="auto"/>
                <w:w w:val="99"/>
              </w:rPr>
              <w:t>(92,219)</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2</w:t>
            </w:r>
          </w:p>
        </w:tc>
      </w:tr>
      <w:tr>
        <w:trPr>
          <w:trHeight w:val="152"/>
        </w:trPr>
        <w:tc>
          <w:tcPr>
            <w:tcW w:w="5080" w:type="dxa"/>
            <w:vAlign w:val="bottom"/>
            <w:shd w:val="clear" w:color="auto" w:fill="CCEEFF"/>
          </w:tcPr>
          <w:p>
            <w:pPr>
              <w:ind w:left="80"/>
              <w:spacing w:after="0" w:line="152" w:lineRule="exact"/>
              <w:rPr>
                <w:sz w:val="20"/>
                <w:szCs w:val="20"/>
                <w:color w:val="auto"/>
              </w:rPr>
            </w:pPr>
            <w:r>
              <w:rPr>
                <w:rFonts w:ascii="Arial" w:cs="Arial" w:eastAsia="Arial" w:hAnsi="Arial"/>
                <w:sz w:val="14"/>
                <w:szCs w:val="14"/>
                <w:color w:val="auto"/>
              </w:rPr>
              <w:t>Amortization of operating leases</w:t>
            </w:r>
          </w:p>
        </w:tc>
        <w:tc>
          <w:tcPr>
            <w:tcW w:w="1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23,357</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21,458</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20,765</w:t>
            </w:r>
          </w:p>
        </w:tc>
      </w:tr>
      <w:tr>
        <w:trPr>
          <w:trHeight w:val="152"/>
        </w:trPr>
        <w:tc>
          <w:tcPr>
            <w:tcW w:w="5080" w:type="dxa"/>
            <w:vAlign w:val="bottom"/>
          </w:tcPr>
          <w:p>
            <w:pPr>
              <w:ind w:left="80"/>
              <w:spacing w:after="0" w:line="152" w:lineRule="exact"/>
              <w:rPr>
                <w:sz w:val="20"/>
                <w:szCs w:val="20"/>
                <w:color w:val="auto"/>
              </w:rPr>
            </w:pPr>
            <w:r>
              <w:rPr>
                <w:rFonts w:ascii="Arial" w:cs="Arial" w:eastAsia="Arial" w:hAnsi="Arial"/>
                <w:sz w:val="14"/>
                <w:szCs w:val="14"/>
                <w:color w:val="auto"/>
              </w:rPr>
              <w:t>Amortization of finance leases</w:t>
            </w: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Arial" w:cs="Arial" w:eastAsia="Arial" w:hAnsi="Arial"/>
                <w:sz w:val="14"/>
                <w:szCs w:val="14"/>
                <w:color w:val="auto"/>
              </w:rPr>
              <w:t>49</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93</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165</w:t>
            </w:r>
          </w:p>
        </w:tc>
      </w:tr>
      <w:tr>
        <w:trPr>
          <w:trHeight w:val="152"/>
        </w:trPr>
        <w:tc>
          <w:tcPr>
            <w:tcW w:w="5080" w:type="dxa"/>
            <w:vAlign w:val="bottom"/>
            <w:shd w:val="clear" w:color="auto" w:fill="CCEEFF"/>
          </w:tcPr>
          <w:p>
            <w:pPr>
              <w:ind w:left="80"/>
              <w:spacing w:after="0" w:line="152" w:lineRule="exact"/>
              <w:rPr>
                <w:sz w:val="20"/>
                <w:szCs w:val="20"/>
                <w:color w:val="auto"/>
              </w:rPr>
            </w:pPr>
            <w:r>
              <w:rPr>
                <w:rFonts w:ascii="Arial" w:cs="Arial" w:eastAsia="Arial" w:hAnsi="Arial"/>
                <w:sz w:val="14"/>
                <w:szCs w:val="14"/>
                <w:color w:val="auto"/>
              </w:rPr>
              <w:t>Change in operating lease liabilities</w:t>
            </w:r>
          </w:p>
        </w:tc>
        <w:tc>
          <w:tcPr>
            <w:tcW w:w="1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w w:val="99"/>
              </w:rPr>
              <w:t>(21,506)</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(20,400)</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(20,137)</w:t>
            </w:r>
          </w:p>
        </w:tc>
      </w:tr>
      <w:tr>
        <w:trPr>
          <w:trHeight w:val="152"/>
        </w:trPr>
        <w:tc>
          <w:tcPr>
            <w:tcW w:w="5080" w:type="dxa"/>
            <w:vAlign w:val="bottom"/>
          </w:tcPr>
          <w:p>
            <w:pPr>
              <w:ind w:left="80"/>
              <w:spacing w:after="0" w:line="152" w:lineRule="exact"/>
              <w:rPr>
                <w:sz w:val="20"/>
                <w:szCs w:val="20"/>
                <w:color w:val="auto"/>
              </w:rPr>
            </w:pPr>
            <w:r>
              <w:rPr>
                <w:rFonts w:ascii="Arial" w:cs="Arial" w:eastAsia="Arial" w:hAnsi="Arial"/>
                <w:sz w:val="14"/>
                <w:szCs w:val="14"/>
                <w:color w:val="auto"/>
              </w:rPr>
              <w:t>Interest on hedged derivatives</w:t>
            </w: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Arial" w:cs="Arial" w:eastAsia="Arial" w:hAnsi="Arial"/>
                <w:sz w:val="14"/>
                <w:szCs w:val="14"/>
                <w:color w:val="auto"/>
              </w:rPr>
              <w:t>(56)</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(10)</w:t>
            </w:r>
          </w:p>
        </w:tc>
      </w:tr>
      <w:tr>
        <w:trPr>
          <w:trHeight w:val="152"/>
        </w:trPr>
        <w:tc>
          <w:tcPr>
            <w:tcW w:w="5080" w:type="dxa"/>
            <w:vAlign w:val="bottom"/>
            <w:shd w:val="clear" w:color="auto" w:fill="CCEEFF"/>
          </w:tcPr>
          <w:p>
            <w:pPr>
              <w:ind w:left="80"/>
              <w:spacing w:after="0" w:line="152" w:lineRule="exact"/>
              <w:rPr>
                <w:sz w:val="20"/>
                <w:szCs w:val="20"/>
                <w:color w:val="auto"/>
              </w:rPr>
            </w:pPr>
            <w:r>
              <w:rPr>
                <w:rFonts w:ascii="Arial" w:cs="Arial" w:eastAsia="Arial" w:hAnsi="Arial"/>
                <w:sz w:val="14"/>
                <w:szCs w:val="14"/>
                <w:color w:val="auto"/>
              </w:rPr>
              <w:t>Change in net deferred tax assets</w:t>
            </w:r>
          </w:p>
        </w:tc>
        <w:tc>
          <w:tcPr>
            <w:tcW w:w="1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967</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401</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23,115</w:t>
            </w:r>
          </w:p>
        </w:tc>
      </w:tr>
      <w:tr>
        <w:trPr>
          <w:trHeight w:val="152"/>
        </w:trPr>
        <w:tc>
          <w:tcPr>
            <w:tcW w:w="5080" w:type="dxa"/>
            <w:vAlign w:val="bottom"/>
          </w:tcPr>
          <w:p>
            <w:pPr>
              <w:ind w:left="80"/>
              <w:spacing w:after="0" w:line="152" w:lineRule="exact"/>
              <w:rPr>
                <w:sz w:val="20"/>
                <w:szCs w:val="20"/>
                <w:color w:val="auto"/>
              </w:rPr>
            </w:pPr>
            <w:r>
              <w:rPr>
                <w:rFonts w:ascii="Arial" w:cs="Arial" w:eastAsia="Arial" w:hAnsi="Arial"/>
                <w:sz w:val="14"/>
                <w:szCs w:val="14"/>
                <w:color w:val="auto"/>
              </w:rPr>
              <w:t>Purchase of derivative instruments</w:t>
            </w: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Arial" w:cs="Arial" w:eastAsia="Arial" w:hAnsi="Arial"/>
                <w:sz w:val="14"/>
                <w:szCs w:val="14"/>
                <w:color w:val="auto"/>
              </w:rPr>
              <w:t>(62)</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r>
      <w:tr>
        <w:trPr>
          <w:trHeight w:val="152"/>
        </w:trPr>
        <w:tc>
          <w:tcPr>
            <w:tcW w:w="5080" w:type="dxa"/>
            <w:vAlign w:val="bottom"/>
            <w:shd w:val="clear" w:color="auto" w:fill="CCEEFF"/>
          </w:tcPr>
          <w:p>
            <w:pPr>
              <w:ind w:left="80"/>
              <w:spacing w:after="0" w:line="152" w:lineRule="exact"/>
              <w:rPr>
                <w:sz w:val="20"/>
                <w:szCs w:val="20"/>
                <w:color w:val="auto"/>
              </w:rPr>
            </w:pPr>
            <w:r>
              <w:rPr>
                <w:rFonts w:ascii="Arial" w:cs="Arial" w:eastAsia="Arial" w:hAnsi="Arial"/>
                <w:sz w:val="14"/>
                <w:szCs w:val="14"/>
                <w:color w:val="auto"/>
              </w:rPr>
              <w:t>Depreciation and amortization</w:t>
            </w:r>
          </w:p>
        </w:tc>
        <w:tc>
          <w:tcPr>
            <w:tcW w:w="1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22,746</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22,317</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22,747</w:t>
            </w:r>
          </w:p>
        </w:tc>
      </w:tr>
      <w:tr>
        <w:trPr>
          <w:trHeight w:val="152"/>
        </w:trPr>
        <w:tc>
          <w:tcPr>
            <w:tcW w:w="5080" w:type="dxa"/>
            <w:vAlign w:val="bottom"/>
          </w:tcPr>
          <w:p>
            <w:pPr>
              <w:ind w:left="80"/>
              <w:spacing w:after="0" w:line="152" w:lineRule="exact"/>
              <w:rPr>
                <w:sz w:val="20"/>
                <w:szCs w:val="20"/>
                <w:color w:val="auto"/>
              </w:rPr>
            </w:pPr>
            <w:r>
              <w:rPr>
                <w:rFonts w:ascii="Arial" w:cs="Arial" w:eastAsia="Arial" w:hAnsi="Arial"/>
                <w:sz w:val="14"/>
                <w:szCs w:val="14"/>
                <w:color w:val="auto"/>
              </w:rPr>
              <w:t>Impairment of long-lived assets</w:t>
            </w: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217</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r>
      <w:tr>
        <w:trPr>
          <w:trHeight w:val="152"/>
        </w:trPr>
        <w:tc>
          <w:tcPr>
            <w:tcW w:w="5080" w:type="dxa"/>
            <w:vAlign w:val="bottom"/>
            <w:shd w:val="clear" w:color="auto" w:fill="CCEEFF"/>
          </w:tcPr>
          <w:p>
            <w:pPr>
              <w:ind w:left="80"/>
              <w:spacing w:after="0" w:line="152" w:lineRule="exact"/>
              <w:rPr>
                <w:sz w:val="20"/>
                <w:szCs w:val="20"/>
                <w:color w:val="auto"/>
              </w:rPr>
            </w:pPr>
            <w:r>
              <w:rPr>
                <w:rFonts w:ascii="Arial" w:cs="Arial" w:eastAsia="Arial" w:hAnsi="Arial"/>
                <w:sz w:val="14"/>
                <w:szCs w:val="14"/>
                <w:color w:val="auto"/>
              </w:rPr>
              <w:t>Other amortization</w:t>
            </w:r>
          </w:p>
        </w:tc>
        <w:tc>
          <w:tcPr>
            <w:tcW w:w="1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1,368</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1,046</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952</w:t>
            </w:r>
          </w:p>
        </w:tc>
      </w:tr>
      <w:tr>
        <w:trPr>
          <w:trHeight w:val="152"/>
        </w:trPr>
        <w:tc>
          <w:tcPr>
            <w:tcW w:w="5080" w:type="dxa"/>
            <w:vAlign w:val="bottom"/>
          </w:tcPr>
          <w:p>
            <w:pPr>
              <w:ind w:left="80"/>
              <w:spacing w:after="0" w:line="152" w:lineRule="exact"/>
              <w:rPr>
                <w:sz w:val="20"/>
                <w:szCs w:val="20"/>
                <w:color w:val="auto"/>
              </w:rPr>
            </w:pPr>
            <w:r>
              <w:rPr>
                <w:rFonts w:ascii="Arial" w:cs="Arial" w:eastAsia="Arial" w:hAnsi="Arial"/>
                <w:sz w:val="14"/>
                <w:szCs w:val="14"/>
                <w:color w:val="auto"/>
              </w:rPr>
              <w:t>Share-based compensation expense</w:t>
            </w: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Arial" w:cs="Arial" w:eastAsia="Arial" w:hAnsi="Arial"/>
                <w:sz w:val="14"/>
                <w:szCs w:val="14"/>
                <w:color w:val="auto"/>
              </w:rPr>
              <w:t>2,152</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1,421</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1,463</w:t>
            </w:r>
          </w:p>
        </w:tc>
      </w:tr>
      <w:tr>
        <w:trPr>
          <w:trHeight w:val="152"/>
        </w:trPr>
        <w:tc>
          <w:tcPr>
            <w:tcW w:w="5080" w:type="dxa"/>
            <w:vAlign w:val="bottom"/>
            <w:shd w:val="clear" w:color="auto" w:fill="CCEEFF"/>
          </w:tcPr>
          <w:p>
            <w:pPr>
              <w:ind w:left="80"/>
              <w:spacing w:after="0" w:line="152" w:lineRule="exact"/>
              <w:rPr>
                <w:sz w:val="20"/>
                <w:szCs w:val="20"/>
                <w:color w:val="auto"/>
              </w:rPr>
            </w:pPr>
            <w:r>
              <w:rPr>
                <w:rFonts w:ascii="Arial" w:cs="Arial" w:eastAsia="Arial" w:hAnsi="Arial"/>
                <w:sz w:val="14"/>
                <w:szCs w:val="14"/>
                <w:i w:val="1"/>
                <w:iCs w:val="1"/>
                <w:color w:val="auto"/>
              </w:rPr>
              <w:t>Net changes in operating assets and liabilities:</w:t>
            </w:r>
          </w:p>
        </w:tc>
        <w:tc>
          <w:tcPr>
            <w:tcW w:w="1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52"/>
        </w:trPr>
        <w:tc>
          <w:tcPr>
            <w:tcW w:w="5080" w:type="dxa"/>
            <w:vAlign w:val="bottom"/>
          </w:tcPr>
          <w:p>
            <w:pPr>
              <w:ind w:left="260"/>
              <w:spacing w:after="0" w:line="152" w:lineRule="exact"/>
              <w:rPr>
                <w:sz w:val="20"/>
                <w:szCs w:val="20"/>
                <w:color w:val="auto"/>
              </w:rPr>
            </w:pPr>
            <w:r>
              <w:rPr>
                <w:rFonts w:ascii="Arial" w:cs="Arial" w:eastAsia="Arial" w:hAnsi="Arial"/>
                <w:sz w:val="14"/>
                <w:szCs w:val="14"/>
                <w:color w:val="auto"/>
              </w:rPr>
              <w:t>Receivables</w:t>
            </w: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Arial" w:cs="Arial" w:eastAsia="Arial" w:hAnsi="Arial"/>
                <w:sz w:val="14"/>
                <w:szCs w:val="14"/>
                <w:color w:val="auto"/>
              </w:rPr>
              <w:t>(2,817)</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4,805</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704</w:t>
            </w:r>
          </w:p>
        </w:tc>
      </w:tr>
      <w:tr>
        <w:trPr>
          <w:trHeight w:val="152"/>
        </w:trPr>
        <w:tc>
          <w:tcPr>
            <w:tcW w:w="5080" w:type="dxa"/>
            <w:vAlign w:val="bottom"/>
            <w:shd w:val="clear" w:color="auto" w:fill="CCEEFF"/>
          </w:tcPr>
          <w:p>
            <w:pPr>
              <w:ind w:left="260"/>
              <w:spacing w:after="0" w:line="152" w:lineRule="exact"/>
              <w:rPr>
                <w:sz w:val="20"/>
                <w:szCs w:val="20"/>
                <w:color w:val="auto"/>
              </w:rPr>
            </w:pPr>
            <w:r>
              <w:rPr>
                <w:rFonts w:ascii="Arial" w:cs="Arial" w:eastAsia="Arial" w:hAnsi="Arial"/>
                <w:sz w:val="14"/>
                <w:szCs w:val="14"/>
                <w:color w:val="auto"/>
              </w:rPr>
              <w:t>Prepaid and other assets</w:t>
            </w:r>
          </w:p>
        </w:tc>
        <w:tc>
          <w:tcPr>
            <w:tcW w:w="1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2,122</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(1,307)</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(216)</w:t>
            </w:r>
          </w:p>
        </w:tc>
      </w:tr>
      <w:tr>
        <w:trPr>
          <w:trHeight w:val="152"/>
        </w:trPr>
        <w:tc>
          <w:tcPr>
            <w:tcW w:w="5080" w:type="dxa"/>
            <w:vAlign w:val="bottom"/>
          </w:tcPr>
          <w:p>
            <w:pPr>
              <w:ind w:left="260"/>
              <w:spacing w:after="0" w:line="152" w:lineRule="exact"/>
              <w:rPr>
                <w:sz w:val="20"/>
                <w:szCs w:val="20"/>
                <w:color w:val="auto"/>
              </w:rPr>
            </w:pPr>
            <w:r>
              <w:rPr>
                <w:rFonts w:ascii="Arial" w:cs="Arial" w:eastAsia="Arial" w:hAnsi="Arial"/>
                <w:sz w:val="14"/>
                <w:szCs w:val="14"/>
                <w:color w:val="auto"/>
              </w:rPr>
              <w:t>Payments for accrued pension</w:t>
            </w: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Arial" w:cs="Arial" w:eastAsia="Arial" w:hAnsi="Arial"/>
                <w:sz w:val="14"/>
                <w:szCs w:val="14"/>
                <w:color w:val="auto"/>
              </w:rPr>
              <w:t>(683)</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(683)</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(683)</w:t>
            </w:r>
          </w:p>
        </w:tc>
      </w:tr>
      <w:tr>
        <w:trPr>
          <w:trHeight w:val="152"/>
        </w:trPr>
        <w:tc>
          <w:tcPr>
            <w:tcW w:w="5080" w:type="dxa"/>
            <w:vAlign w:val="bottom"/>
            <w:shd w:val="clear" w:color="auto" w:fill="CCEEFF"/>
          </w:tcPr>
          <w:p>
            <w:pPr>
              <w:ind w:left="260"/>
              <w:spacing w:after="0" w:line="152" w:lineRule="exact"/>
              <w:rPr>
                <w:sz w:val="20"/>
                <w:szCs w:val="20"/>
                <w:color w:val="auto"/>
              </w:rPr>
            </w:pPr>
            <w:r>
              <w:rPr>
                <w:rFonts w:ascii="Arial" w:cs="Arial" w:eastAsia="Arial" w:hAnsi="Arial"/>
                <w:sz w:val="14"/>
                <w:szCs w:val="14"/>
                <w:color w:val="auto"/>
              </w:rPr>
              <w:t>Accounts payable and accrued expenses</w:t>
            </w:r>
          </w:p>
        </w:tc>
        <w:tc>
          <w:tcPr>
            <w:tcW w:w="1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6,313</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9,330</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508</w:t>
            </w:r>
          </w:p>
        </w:tc>
      </w:tr>
      <w:tr>
        <w:trPr>
          <w:trHeight w:val="152"/>
        </w:trPr>
        <w:tc>
          <w:tcPr>
            <w:tcW w:w="5080" w:type="dxa"/>
            <w:vAlign w:val="bottom"/>
          </w:tcPr>
          <w:p>
            <w:pPr>
              <w:ind w:left="260"/>
              <w:spacing w:after="0" w:line="152" w:lineRule="exact"/>
              <w:rPr>
                <w:sz w:val="20"/>
                <w:szCs w:val="20"/>
                <w:color w:val="auto"/>
              </w:rPr>
            </w:pPr>
            <w:r>
              <w:rPr>
                <w:rFonts w:ascii="Arial" w:cs="Arial" w:eastAsia="Arial" w:hAnsi="Arial"/>
                <w:sz w:val="14"/>
                <w:szCs w:val="14"/>
                <w:color w:val="auto"/>
              </w:rPr>
              <w:t>Film rent payable</w:t>
            </w: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Arial" w:cs="Arial" w:eastAsia="Arial" w:hAnsi="Arial"/>
                <w:sz w:val="14"/>
                <w:szCs w:val="14"/>
                <w:color w:val="auto"/>
              </w:rPr>
              <w:t>4,725</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(6,323)</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48</w:t>
            </w:r>
          </w:p>
        </w:tc>
      </w:tr>
      <w:tr>
        <w:trPr>
          <w:trHeight w:val="152"/>
        </w:trPr>
        <w:tc>
          <w:tcPr>
            <w:tcW w:w="5080" w:type="dxa"/>
            <w:vAlign w:val="bottom"/>
            <w:shd w:val="clear" w:color="auto" w:fill="CCEEFF"/>
          </w:tcPr>
          <w:p>
            <w:pPr>
              <w:ind w:left="260"/>
              <w:spacing w:after="0" w:line="152" w:lineRule="exact"/>
              <w:rPr>
                <w:sz w:val="20"/>
                <w:szCs w:val="20"/>
                <w:color w:val="auto"/>
              </w:rPr>
            </w:pPr>
            <w:r>
              <w:rPr>
                <w:rFonts w:ascii="Arial" w:cs="Arial" w:eastAsia="Arial" w:hAnsi="Arial"/>
                <w:sz w:val="14"/>
                <w:szCs w:val="14"/>
                <w:color w:val="auto"/>
              </w:rPr>
              <w:t>Taxes payable</w:t>
            </w:r>
          </w:p>
        </w:tc>
        <w:tc>
          <w:tcPr>
            <w:tcW w:w="1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10,943</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(34)</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(1,514)</w:t>
            </w:r>
          </w:p>
        </w:tc>
      </w:tr>
      <w:tr>
        <w:trPr>
          <w:trHeight w:val="152"/>
        </w:trPr>
        <w:tc>
          <w:tcPr>
            <w:tcW w:w="5080" w:type="dxa"/>
            <w:vAlign w:val="bottom"/>
            <w:tcBorders>
              <w:bottom w:val="single" w:sz="8" w:color="auto"/>
            </w:tcBorders>
          </w:tcPr>
          <w:p>
            <w:pPr>
              <w:ind w:left="260"/>
              <w:spacing w:after="0" w:line="152" w:lineRule="exact"/>
              <w:rPr>
                <w:sz w:val="20"/>
                <w:szCs w:val="20"/>
                <w:color w:val="auto"/>
              </w:rPr>
            </w:pPr>
            <w:r>
              <w:rPr>
                <w:rFonts w:ascii="Arial" w:cs="Arial" w:eastAsia="Arial" w:hAnsi="Arial"/>
                <w:sz w:val="14"/>
                <w:szCs w:val="14"/>
                <w:color w:val="auto"/>
              </w:rPr>
              <w:t>Deferred revenue and other liabilities</w:t>
            </w:r>
          </w:p>
        </w:tc>
        <w:tc>
          <w:tcPr>
            <w:tcW w:w="15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(3,368)</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2,626</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3,129</w:t>
            </w:r>
          </w:p>
        </w:tc>
      </w:tr>
      <w:tr>
        <w:trPr>
          <w:trHeight w:val="143"/>
        </w:trPr>
        <w:tc>
          <w:tcPr>
            <w:tcW w:w="5080" w:type="dxa"/>
            <w:vAlign w:val="bottom"/>
            <w:tcBorders>
              <w:bottom w:val="single" w:sz="8" w:color="auto"/>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cash provided by (used in) operating activities</w:t>
            </w:r>
          </w:p>
        </w:tc>
        <w:tc>
          <w:tcPr>
            <w:tcW w:w="158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w w:val="99"/>
              </w:rPr>
              <w:t>(13,498)</w:t>
            </w:r>
          </w:p>
        </w:tc>
        <w:tc>
          <w:tcPr>
            <w:tcW w:w="1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(30,200)</w:t>
            </w:r>
          </w:p>
        </w:tc>
        <w:tc>
          <w:tcPr>
            <w:tcW w:w="1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24,607</w:t>
            </w:r>
          </w:p>
        </w:tc>
      </w:tr>
      <w:tr>
        <w:trPr>
          <w:trHeight w:val="143"/>
        </w:trPr>
        <w:tc>
          <w:tcPr>
            <w:tcW w:w="5080" w:type="dxa"/>
            <w:vAlign w:val="bottom"/>
          </w:tcPr>
          <w:p>
            <w:pPr>
              <w:spacing w:after="0" w:line="143" w:lineRule="exact"/>
              <w:rPr>
                <w:sz w:val="20"/>
                <w:szCs w:val="20"/>
                <w:color w:val="auto"/>
              </w:rPr>
            </w:pPr>
            <w:r>
              <w:rPr>
                <w:rFonts w:ascii="Arial" w:cs="Arial" w:eastAsia="Arial" w:hAnsi="Arial"/>
                <w:sz w:val="14"/>
                <w:szCs w:val="14"/>
                <w:b w:val="1"/>
                <w:bCs w:val="1"/>
                <w:color w:val="auto"/>
              </w:rPr>
              <w:t>Investing Activities</w:t>
            </w: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52"/>
        </w:trPr>
        <w:tc>
          <w:tcPr>
            <w:tcW w:w="5080" w:type="dxa"/>
            <w:vAlign w:val="bottom"/>
            <w:shd w:val="clear" w:color="auto" w:fill="CCEEFF"/>
          </w:tcPr>
          <w:p>
            <w:pPr>
              <w:ind w:left="180"/>
              <w:spacing w:after="0" w:line="152" w:lineRule="exact"/>
              <w:rPr>
                <w:sz w:val="20"/>
                <w:szCs w:val="20"/>
                <w:color w:val="auto"/>
              </w:rPr>
            </w:pPr>
            <w:r>
              <w:rPr>
                <w:rFonts w:ascii="Arial" w:cs="Arial" w:eastAsia="Arial" w:hAnsi="Arial"/>
                <w:sz w:val="14"/>
                <w:szCs w:val="14"/>
                <w:color w:val="auto"/>
              </w:rPr>
              <w:t>Proceeds from sale of assets</w:t>
            </w:r>
          </w:p>
        </w:tc>
        <w:tc>
          <w:tcPr>
            <w:tcW w:w="1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w w:val="94"/>
              </w:rPr>
              <w:t>145,165</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r>
      <w:tr>
        <w:trPr>
          <w:trHeight w:val="152"/>
        </w:trPr>
        <w:tc>
          <w:tcPr>
            <w:tcW w:w="5080" w:type="dxa"/>
            <w:vAlign w:val="bottom"/>
          </w:tcPr>
          <w:p>
            <w:pPr>
              <w:ind w:left="180"/>
              <w:spacing w:after="0" w:line="152" w:lineRule="exact"/>
              <w:rPr>
                <w:sz w:val="20"/>
                <w:szCs w:val="20"/>
                <w:color w:val="auto"/>
              </w:rPr>
            </w:pPr>
            <w:r>
              <w:rPr>
                <w:rFonts w:ascii="Arial" w:cs="Arial" w:eastAsia="Arial" w:hAnsi="Arial"/>
                <w:sz w:val="14"/>
                <w:szCs w:val="14"/>
                <w:color w:val="auto"/>
              </w:rPr>
              <w:t>Purchases of and additions to operating and investment properties</w:t>
            </w: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Arial" w:cs="Arial" w:eastAsia="Arial" w:hAnsi="Arial"/>
                <w:sz w:val="14"/>
                <w:szCs w:val="14"/>
                <w:color w:val="auto"/>
                <w:w w:val="99"/>
              </w:rPr>
              <w:t>(15,555)</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(18,526)</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(45,709)</w:t>
            </w:r>
          </w:p>
        </w:tc>
      </w:tr>
      <w:tr>
        <w:trPr>
          <w:trHeight w:val="152"/>
        </w:trPr>
        <w:tc>
          <w:tcPr>
            <w:tcW w:w="5080" w:type="dxa"/>
            <w:vAlign w:val="bottom"/>
            <w:shd w:val="clear" w:color="auto" w:fill="CCEEFF"/>
          </w:tcPr>
          <w:p>
            <w:pPr>
              <w:ind w:left="180"/>
              <w:spacing w:after="0" w:line="152" w:lineRule="exact"/>
              <w:rPr>
                <w:sz w:val="20"/>
                <w:szCs w:val="20"/>
                <w:color w:val="auto"/>
              </w:rPr>
            </w:pPr>
            <w:r>
              <w:rPr>
                <w:rFonts w:ascii="Arial" w:cs="Arial" w:eastAsia="Arial" w:hAnsi="Arial"/>
                <w:sz w:val="14"/>
                <w:szCs w:val="14"/>
                <w:color w:val="auto"/>
              </w:rPr>
              <w:t>Acquisition of business</w:t>
            </w:r>
          </w:p>
        </w:tc>
        <w:tc>
          <w:tcPr>
            <w:tcW w:w="1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(7,877)</w:t>
            </w:r>
          </w:p>
        </w:tc>
      </w:tr>
      <w:tr>
        <w:trPr>
          <w:trHeight w:val="152"/>
        </w:trPr>
        <w:tc>
          <w:tcPr>
            <w:tcW w:w="5080" w:type="dxa"/>
            <w:vAlign w:val="bottom"/>
          </w:tcPr>
          <w:p>
            <w:pPr>
              <w:ind w:left="180"/>
              <w:spacing w:after="0" w:line="152" w:lineRule="exact"/>
              <w:rPr>
                <w:sz w:val="20"/>
                <w:szCs w:val="20"/>
                <w:color w:val="auto"/>
              </w:rPr>
            </w:pPr>
            <w:r>
              <w:rPr>
                <w:rFonts w:ascii="Arial" w:cs="Arial" w:eastAsia="Arial" w:hAnsi="Arial"/>
                <w:sz w:val="14"/>
                <w:szCs w:val="14"/>
                <w:color w:val="auto"/>
              </w:rPr>
              <w:t>Cash settlement on insurance claim</w:t>
            </w: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323</w:t>
            </w:r>
          </w:p>
        </w:tc>
      </w:tr>
      <w:tr>
        <w:trPr>
          <w:trHeight w:val="152"/>
        </w:trPr>
        <w:tc>
          <w:tcPr>
            <w:tcW w:w="5080" w:type="dxa"/>
            <w:vAlign w:val="bottom"/>
            <w:tcBorders>
              <w:bottom w:val="single" w:sz="8" w:color="auto"/>
            </w:tcBorders>
            <w:shd w:val="clear" w:color="auto" w:fill="CCEEFF"/>
          </w:tcPr>
          <w:p>
            <w:pPr>
              <w:ind w:left="180"/>
              <w:spacing w:after="0" w:line="152" w:lineRule="exact"/>
              <w:rPr>
                <w:sz w:val="20"/>
                <w:szCs w:val="20"/>
                <w:color w:val="auto"/>
              </w:rPr>
            </w:pPr>
            <w:r>
              <w:rPr>
                <w:rFonts w:ascii="Arial" w:cs="Arial" w:eastAsia="Arial" w:hAnsi="Arial"/>
                <w:sz w:val="14"/>
                <w:szCs w:val="14"/>
                <w:color w:val="auto"/>
              </w:rPr>
              <w:t>Contributions to unconsolidated joint ventures</w:t>
            </w:r>
          </w:p>
        </w:tc>
        <w:tc>
          <w:tcPr>
            <w:tcW w:w="158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(245)</w:t>
            </w: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r>
      <w:tr>
        <w:trPr>
          <w:trHeight w:val="143"/>
        </w:trPr>
        <w:tc>
          <w:tcPr>
            <w:tcW w:w="508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Net cash provided by (used in) investing activities</w:t>
            </w:r>
          </w:p>
        </w:tc>
        <w:tc>
          <w:tcPr>
            <w:tcW w:w="15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4"/>
              </w:rPr>
              <w:t>129,610</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(18,771)</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(53,263)</w:t>
            </w:r>
          </w:p>
        </w:tc>
      </w:tr>
      <w:tr>
        <w:trPr>
          <w:trHeight w:val="143"/>
        </w:trPr>
        <w:tc>
          <w:tcPr>
            <w:tcW w:w="50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Financing Activities</w:t>
            </w: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52"/>
        </w:trPr>
        <w:tc>
          <w:tcPr>
            <w:tcW w:w="5080" w:type="dxa"/>
            <w:vAlign w:val="bottom"/>
          </w:tcPr>
          <w:p>
            <w:pPr>
              <w:ind w:left="180"/>
              <w:spacing w:after="0" w:line="152" w:lineRule="exact"/>
              <w:rPr>
                <w:sz w:val="20"/>
                <w:szCs w:val="20"/>
                <w:color w:val="auto"/>
              </w:rPr>
            </w:pPr>
            <w:r>
              <w:rPr>
                <w:rFonts w:ascii="Arial" w:cs="Arial" w:eastAsia="Arial" w:hAnsi="Arial"/>
                <w:sz w:val="14"/>
                <w:szCs w:val="14"/>
                <w:color w:val="auto"/>
              </w:rPr>
              <w:t>Repayment of long-term borrowings</w:t>
            </w: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Arial" w:cs="Arial" w:eastAsia="Arial" w:hAnsi="Arial"/>
                <w:sz w:val="14"/>
                <w:szCs w:val="14"/>
                <w:color w:val="auto"/>
                <w:w w:val="99"/>
              </w:rPr>
              <w:t>(88,417)</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(29,896)</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(52,394)</w:t>
            </w:r>
          </w:p>
        </w:tc>
      </w:tr>
      <w:tr>
        <w:trPr>
          <w:trHeight w:val="152"/>
        </w:trPr>
        <w:tc>
          <w:tcPr>
            <w:tcW w:w="5080" w:type="dxa"/>
            <w:vAlign w:val="bottom"/>
            <w:shd w:val="clear" w:color="auto" w:fill="CCEEFF"/>
          </w:tcPr>
          <w:p>
            <w:pPr>
              <w:ind w:left="180"/>
              <w:spacing w:after="0" w:line="152" w:lineRule="exact"/>
              <w:rPr>
                <w:sz w:val="20"/>
                <w:szCs w:val="20"/>
                <w:color w:val="auto"/>
              </w:rPr>
            </w:pPr>
            <w:r>
              <w:rPr>
                <w:rFonts w:ascii="Arial" w:cs="Arial" w:eastAsia="Arial" w:hAnsi="Arial"/>
                <w:sz w:val="14"/>
                <w:szCs w:val="14"/>
                <w:color w:val="auto"/>
              </w:rPr>
              <w:t>Repayment of finance lease principal</w:t>
            </w:r>
          </w:p>
        </w:tc>
        <w:tc>
          <w:tcPr>
            <w:tcW w:w="1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(49)</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(92)</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(160)</w:t>
            </w:r>
          </w:p>
        </w:tc>
      </w:tr>
      <w:tr>
        <w:trPr>
          <w:trHeight w:val="152"/>
        </w:trPr>
        <w:tc>
          <w:tcPr>
            <w:tcW w:w="5080" w:type="dxa"/>
            <w:vAlign w:val="bottom"/>
          </w:tcPr>
          <w:p>
            <w:pPr>
              <w:ind w:left="180"/>
              <w:spacing w:after="0" w:line="152" w:lineRule="exact"/>
              <w:rPr>
                <w:sz w:val="20"/>
                <w:szCs w:val="20"/>
                <w:color w:val="auto"/>
              </w:rPr>
            </w:pPr>
            <w:r>
              <w:rPr>
                <w:rFonts w:ascii="Arial" w:cs="Arial" w:eastAsia="Arial" w:hAnsi="Arial"/>
                <w:sz w:val="14"/>
                <w:szCs w:val="14"/>
                <w:color w:val="auto"/>
              </w:rPr>
              <w:t>Proceeds from borrowings</w:t>
            </w: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Arial" w:cs="Arial" w:eastAsia="Arial" w:hAnsi="Arial"/>
                <w:sz w:val="14"/>
                <w:szCs w:val="14"/>
                <w:color w:val="auto"/>
              </w:rPr>
              <w:t>45,337</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90,323</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90,507</w:t>
            </w:r>
          </w:p>
        </w:tc>
      </w:tr>
      <w:tr>
        <w:trPr>
          <w:trHeight w:val="152"/>
        </w:trPr>
        <w:tc>
          <w:tcPr>
            <w:tcW w:w="5080" w:type="dxa"/>
            <w:vAlign w:val="bottom"/>
            <w:shd w:val="clear" w:color="auto" w:fill="CCEEFF"/>
          </w:tcPr>
          <w:p>
            <w:pPr>
              <w:ind w:left="180"/>
              <w:spacing w:after="0" w:line="152" w:lineRule="exact"/>
              <w:rPr>
                <w:sz w:val="20"/>
                <w:szCs w:val="20"/>
                <w:color w:val="auto"/>
              </w:rPr>
            </w:pPr>
            <w:r>
              <w:rPr>
                <w:rFonts w:ascii="Arial" w:cs="Arial" w:eastAsia="Arial" w:hAnsi="Arial"/>
                <w:sz w:val="14"/>
                <w:szCs w:val="14"/>
                <w:color w:val="auto"/>
              </w:rPr>
              <w:t>Capitalized borrowing costs</w:t>
            </w:r>
          </w:p>
        </w:tc>
        <w:tc>
          <w:tcPr>
            <w:tcW w:w="1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(1,691)</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(97)</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(526)</w:t>
            </w:r>
          </w:p>
        </w:tc>
      </w:tr>
      <w:tr>
        <w:trPr>
          <w:trHeight w:val="152"/>
        </w:trPr>
        <w:tc>
          <w:tcPr>
            <w:tcW w:w="5080" w:type="dxa"/>
            <w:vAlign w:val="bottom"/>
          </w:tcPr>
          <w:p>
            <w:pPr>
              <w:ind w:left="180"/>
              <w:spacing w:after="0" w:line="152" w:lineRule="exact"/>
              <w:rPr>
                <w:sz w:val="20"/>
                <w:szCs w:val="20"/>
                <w:color w:val="auto"/>
              </w:rPr>
            </w:pPr>
            <w:r>
              <w:rPr>
                <w:rFonts w:ascii="Arial" w:cs="Arial" w:eastAsia="Arial" w:hAnsi="Arial"/>
                <w:sz w:val="14"/>
                <w:szCs w:val="14"/>
                <w:color w:val="auto"/>
              </w:rPr>
              <w:t>Repurchase of Class A nonvoting common stock</w:t>
            </w: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(670)</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(11,152)</w:t>
            </w:r>
          </w:p>
        </w:tc>
      </w:tr>
      <w:tr>
        <w:trPr>
          <w:trHeight w:val="152"/>
        </w:trPr>
        <w:tc>
          <w:tcPr>
            <w:tcW w:w="5080" w:type="dxa"/>
            <w:vAlign w:val="bottom"/>
            <w:shd w:val="clear" w:color="auto" w:fill="CCEEFF"/>
          </w:tcPr>
          <w:p>
            <w:pPr>
              <w:ind w:left="180"/>
              <w:spacing w:after="0" w:line="152" w:lineRule="exact"/>
              <w:rPr>
                <w:sz w:val="20"/>
                <w:szCs w:val="20"/>
                <w:color w:val="auto"/>
              </w:rPr>
            </w:pPr>
            <w:r>
              <w:rPr>
                <w:rFonts w:ascii="Arial" w:cs="Arial" w:eastAsia="Arial" w:hAnsi="Arial"/>
                <w:sz w:val="14"/>
                <w:szCs w:val="14"/>
                <w:color w:val="auto"/>
              </w:rPr>
              <w:t>Proceeds (payments) from stock option exercises</w:t>
            </w:r>
          </w:p>
        </w:tc>
        <w:tc>
          <w:tcPr>
            <w:tcW w:w="1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(148)</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(315)</w:t>
            </w:r>
          </w:p>
        </w:tc>
      </w:tr>
      <w:tr>
        <w:trPr>
          <w:trHeight w:val="152"/>
        </w:trPr>
        <w:tc>
          <w:tcPr>
            <w:tcW w:w="5080" w:type="dxa"/>
            <w:vAlign w:val="bottom"/>
          </w:tcPr>
          <w:p>
            <w:pPr>
              <w:ind w:left="180"/>
              <w:spacing w:after="0" w:line="152" w:lineRule="exact"/>
              <w:rPr>
                <w:sz w:val="20"/>
                <w:szCs w:val="20"/>
                <w:color w:val="auto"/>
              </w:rPr>
            </w:pPr>
            <w:r>
              <w:rPr>
                <w:rFonts w:ascii="Arial" w:cs="Arial" w:eastAsia="Arial" w:hAnsi="Arial"/>
                <w:sz w:val="14"/>
                <w:szCs w:val="14"/>
                <w:color w:val="auto"/>
              </w:rPr>
              <w:t>Noncontrolling interest contributions</w:t>
            </w: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55</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90</w:t>
            </w:r>
          </w:p>
        </w:tc>
      </w:tr>
      <w:tr>
        <w:trPr>
          <w:trHeight w:val="152"/>
        </w:trPr>
        <w:tc>
          <w:tcPr>
            <w:tcW w:w="5080" w:type="dxa"/>
            <w:vAlign w:val="bottom"/>
            <w:tcBorders>
              <w:bottom w:val="single" w:sz="8" w:color="auto"/>
            </w:tcBorders>
            <w:shd w:val="clear" w:color="auto" w:fill="CCEEFF"/>
          </w:tcPr>
          <w:p>
            <w:pPr>
              <w:ind w:left="180"/>
              <w:spacing w:after="0" w:line="152" w:lineRule="exact"/>
              <w:rPr>
                <w:sz w:val="20"/>
                <w:szCs w:val="20"/>
                <w:color w:val="auto"/>
              </w:rPr>
            </w:pPr>
            <w:r>
              <w:rPr>
                <w:rFonts w:ascii="Arial" w:cs="Arial" w:eastAsia="Arial" w:hAnsi="Arial"/>
                <w:sz w:val="14"/>
                <w:szCs w:val="14"/>
                <w:color w:val="auto"/>
              </w:rPr>
              <w:t>Noncontrolling interest distributions</w:t>
            </w:r>
          </w:p>
        </w:tc>
        <w:tc>
          <w:tcPr>
            <w:tcW w:w="158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(5,315)</w:t>
            </w: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(250)</w:t>
            </w: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(42)</w:t>
            </w:r>
          </w:p>
        </w:tc>
      </w:tr>
      <w:tr>
        <w:trPr>
          <w:trHeight w:val="143"/>
        </w:trPr>
        <w:tc>
          <w:tcPr>
            <w:tcW w:w="508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Net cash provided by (used in) financing activities</w:t>
            </w:r>
          </w:p>
        </w:tc>
        <w:tc>
          <w:tcPr>
            <w:tcW w:w="15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9"/>
              </w:rPr>
              <w:t>(50,280)</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59,330</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26,008</w:t>
            </w:r>
          </w:p>
        </w:tc>
      </w:tr>
      <w:tr>
        <w:trPr>
          <w:trHeight w:val="143"/>
        </w:trPr>
        <w:tc>
          <w:tcPr>
            <w:tcW w:w="50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Effect of exchange rate on cash and restricted cash</w:t>
            </w: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(4,095)</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4,333</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322</w:t>
            </w:r>
          </w:p>
        </w:tc>
      </w:tr>
      <w:tr>
        <w:trPr>
          <w:trHeight w:val="152"/>
        </w:trPr>
        <w:tc>
          <w:tcPr>
            <w:tcW w:w="5080" w:type="dxa"/>
            <w:vAlign w:val="bottom"/>
          </w:tcPr>
          <w:p>
            <w:pPr>
              <w:spacing w:after="0" w:line="152" w:lineRule="exact"/>
              <w:rPr>
                <w:sz w:val="20"/>
                <w:szCs w:val="20"/>
                <w:color w:val="auto"/>
              </w:rPr>
            </w:pPr>
            <w:r>
              <w:rPr>
                <w:rFonts w:ascii="Arial" w:cs="Arial" w:eastAsia="Arial" w:hAnsi="Arial"/>
                <w:sz w:val="14"/>
                <w:szCs w:val="14"/>
                <w:b w:val="1"/>
                <w:bCs w:val="1"/>
                <w:color w:val="auto"/>
              </w:rPr>
              <w:t>Net increase (decrease) in cash and cash equivalents and restricted cash</w:t>
            </w: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Arial" w:cs="Arial" w:eastAsia="Arial" w:hAnsi="Arial"/>
                <w:sz w:val="14"/>
                <w:szCs w:val="14"/>
                <w:color w:val="auto"/>
              </w:rPr>
              <w:t>61,737</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14,692</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(2,326)</w:t>
            </w:r>
          </w:p>
        </w:tc>
      </w:tr>
      <w:tr>
        <w:trPr>
          <w:trHeight w:val="152"/>
        </w:trPr>
        <w:tc>
          <w:tcPr>
            <w:tcW w:w="5080" w:type="dxa"/>
            <w:vAlign w:val="bottom"/>
            <w:tcBorders>
              <w:bottom w:val="single" w:sz="8" w:color="auto"/>
            </w:tcBorders>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Cash and cash equivalents and restricted cash at the beginning of the year</w:t>
            </w:r>
          </w:p>
        </w:tc>
        <w:tc>
          <w:tcPr>
            <w:tcW w:w="158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26,834</w:t>
            </w: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12,142</w:t>
            </w: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14,468</w:t>
            </w:r>
          </w:p>
        </w:tc>
      </w:tr>
      <w:tr>
        <w:trPr>
          <w:trHeight w:val="144"/>
        </w:trPr>
        <w:tc>
          <w:tcPr>
            <w:tcW w:w="508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Cash and cash equivalents and restricted cash at the end of the year</w:t>
            </w:r>
          </w:p>
        </w:tc>
        <w:tc>
          <w:tcPr>
            <w:tcW w:w="15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70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88,571</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168"/>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26,834</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12,142</w:t>
            </w:r>
          </w:p>
        </w:tc>
      </w:tr>
      <w:tr>
        <w:trPr>
          <w:trHeight w:val="152"/>
        </w:trPr>
        <w:tc>
          <w:tcPr>
            <w:tcW w:w="50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52"/>
        </w:trPr>
        <w:tc>
          <w:tcPr>
            <w:tcW w:w="5080" w:type="dxa"/>
            <w:vAlign w:val="bottom"/>
          </w:tcPr>
          <w:p>
            <w:pPr>
              <w:spacing w:after="0" w:line="152" w:lineRule="exact"/>
              <w:rPr>
                <w:sz w:val="20"/>
                <w:szCs w:val="20"/>
                <w:color w:val="auto"/>
              </w:rPr>
            </w:pPr>
            <w:r>
              <w:rPr>
                <w:rFonts w:ascii="Arial" w:cs="Arial" w:eastAsia="Arial" w:hAnsi="Arial"/>
                <w:sz w:val="14"/>
                <w:szCs w:val="14"/>
                <w:b w:val="1"/>
                <w:bCs w:val="1"/>
                <w:color w:val="auto"/>
              </w:rPr>
              <w:t>Cash and cash equivalents and restricted cash consists of:</w:t>
            </w: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2"/>
        </w:trPr>
        <w:tc>
          <w:tcPr>
            <w:tcW w:w="5080" w:type="dxa"/>
            <w:vAlign w:val="bottom"/>
            <w:shd w:val="clear" w:color="auto" w:fill="CCEEFF"/>
          </w:tcPr>
          <w:p>
            <w:pPr>
              <w:ind w:left="180"/>
              <w:spacing w:after="0" w:line="152" w:lineRule="exact"/>
              <w:rPr>
                <w:sz w:val="20"/>
                <w:szCs w:val="20"/>
                <w:color w:val="auto"/>
              </w:rPr>
            </w:pPr>
            <w:r>
              <w:rPr>
                <w:rFonts w:ascii="Arial" w:cs="Arial" w:eastAsia="Arial" w:hAnsi="Arial"/>
                <w:sz w:val="14"/>
                <w:szCs w:val="14"/>
                <w:color w:val="auto"/>
              </w:rPr>
              <w:t>Cash and cash equivalents</w:t>
            </w:r>
          </w:p>
        </w:tc>
        <w:tc>
          <w:tcPr>
            <w:tcW w:w="2580" w:type="dxa"/>
            <w:vAlign w:val="bottom"/>
            <w:gridSpan w:val="3"/>
            <w:shd w:val="clear" w:color="auto" w:fill="CCEEFF"/>
          </w:tcPr>
          <w:p>
            <w:pPr>
              <w:jc w:val="right"/>
              <w:ind w:right="708"/>
              <w:spacing w:after="0" w:line="15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83,251</w:t>
            </w:r>
          </w:p>
        </w:tc>
        <w:tc>
          <w:tcPr>
            <w:tcW w:w="480" w:type="dxa"/>
            <w:vAlign w:val="bottom"/>
            <w:gridSpan w:val="2"/>
            <w:shd w:val="clear" w:color="auto" w:fill="CCEEFF"/>
          </w:tcPr>
          <w:p>
            <w:pPr>
              <w:jc w:val="right"/>
              <w:ind w:right="168"/>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26,826</w:t>
            </w:r>
          </w:p>
        </w:tc>
        <w:tc>
          <w:tcPr>
            <w:tcW w:w="480" w:type="dxa"/>
            <w:vAlign w:val="bottom"/>
            <w:gridSpan w:val="2"/>
            <w:shd w:val="clear" w:color="auto" w:fill="CCEEFF"/>
          </w:tcPr>
          <w:p>
            <w:pPr>
              <w:jc w:val="right"/>
              <w:ind w:right="208"/>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12,135</w:t>
            </w:r>
          </w:p>
        </w:tc>
      </w:tr>
      <w:tr>
        <w:trPr>
          <w:trHeight w:val="152"/>
        </w:trPr>
        <w:tc>
          <w:tcPr>
            <w:tcW w:w="5080" w:type="dxa"/>
            <w:vAlign w:val="bottom"/>
            <w:tcBorders>
              <w:bottom w:val="single" w:sz="8" w:color="CCEEFF"/>
            </w:tcBorders>
          </w:tcPr>
          <w:p>
            <w:pPr>
              <w:ind w:left="180"/>
              <w:spacing w:after="0" w:line="152" w:lineRule="exact"/>
              <w:rPr>
                <w:sz w:val="20"/>
                <w:szCs w:val="20"/>
                <w:color w:val="auto"/>
              </w:rPr>
            </w:pPr>
            <w:r>
              <w:rPr>
                <w:rFonts w:ascii="Arial" w:cs="Arial" w:eastAsia="Arial" w:hAnsi="Arial"/>
                <w:sz w:val="14"/>
                <w:szCs w:val="14"/>
                <w:color w:val="auto"/>
              </w:rPr>
              <w:t>Restricted cash</w:t>
            </w:r>
          </w:p>
        </w:tc>
        <w:tc>
          <w:tcPr>
            <w:tcW w:w="15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5,320</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8</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7</w:t>
            </w:r>
          </w:p>
        </w:tc>
      </w:tr>
      <w:tr>
        <w:trPr>
          <w:trHeight w:val="144"/>
        </w:trPr>
        <w:tc>
          <w:tcPr>
            <w:tcW w:w="508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88,571</w:t>
            </w:r>
          </w:p>
        </w:tc>
        <w:tc>
          <w:tcPr>
            <w:tcW w:w="1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26,834</w:t>
            </w:r>
          </w:p>
        </w:tc>
        <w:tc>
          <w:tcPr>
            <w:tcW w:w="1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12,142</w:t>
            </w:r>
          </w:p>
        </w:tc>
      </w:tr>
      <w:tr>
        <w:trPr>
          <w:trHeight w:val="152"/>
        </w:trPr>
        <w:tc>
          <w:tcPr>
            <w:tcW w:w="50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2"/>
        </w:trPr>
        <w:tc>
          <w:tcPr>
            <w:tcW w:w="5080" w:type="dxa"/>
            <w:vAlign w:val="bottom"/>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Supplemental Disclosures</w:t>
            </w:r>
          </w:p>
        </w:tc>
        <w:tc>
          <w:tcPr>
            <w:tcW w:w="1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52"/>
        </w:trPr>
        <w:tc>
          <w:tcPr>
            <w:tcW w:w="5080" w:type="dxa"/>
            <w:vAlign w:val="bottom"/>
          </w:tcPr>
          <w:p>
            <w:pPr>
              <w:ind w:left="180"/>
              <w:spacing w:after="0" w:line="152" w:lineRule="exact"/>
              <w:rPr>
                <w:sz w:val="20"/>
                <w:szCs w:val="20"/>
                <w:color w:val="auto"/>
              </w:rPr>
            </w:pPr>
            <w:r>
              <w:rPr>
                <w:rFonts w:ascii="Arial" w:cs="Arial" w:eastAsia="Arial" w:hAnsi="Arial"/>
                <w:sz w:val="14"/>
                <w:szCs w:val="14"/>
                <w:color w:val="auto"/>
              </w:rPr>
              <w:t>Interest paid</w:t>
            </w:r>
          </w:p>
        </w:tc>
        <w:tc>
          <w:tcPr>
            <w:tcW w:w="2580" w:type="dxa"/>
            <w:vAlign w:val="bottom"/>
            <w:gridSpan w:val="3"/>
          </w:tcPr>
          <w:p>
            <w:pPr>
              <w:jc w:val="right"/>
              <w:ind w:right="708"/>
              <w:spacing w:after="0" w:line="152"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2" w:lineRule="exact"/>
              <w:rPr>
                <w:sz w:val="20"/>
                <w:szCs w:val="20"/>
                <w:color w:val="auto"/>
              </w:rPr>
            </w:pPr>
            <w:r>
              <w:rPr>
                <w:rFonts w:ascii="Arial" w:cs="Arial" w:eastAsia="Arial" w:hAnsi="Arial"/>
                <w:sz w:val="14"/>
                <w:szCs w:val="14"/>
                <w:color w:val="auto"/>
              </w:rPr>
              <w:t>12,394</w:t>
            </w:r>
          </w:p>
        </w:tc>
        <w:tc>
          <w:tcPr>
            <w:tcW w:w="480" w:type="dxa"/>
            <w:vAlign w:val="bottom"/>
            <w:gridSpan w:val="2"/>
          </w:tcPr>
          <w:p>
            <w:pPr>
              <w:jc w:val="right"/>
              <w:ind w:right="168"/>
              <w:spacing w:after="0" w:line="152"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10,240</w:t>
            </w:r>
          </w:p>
        </w:tc>
        <w:tc>
          <w:tcPr>
            <w:tcW w:w="480" w:type="dxa"/>
            <w:vAlign w:val="bottom"/>
            <w:gridSpan w:val="2"/>
          </w:tcPr>
          <w:p>
            <w:pPr>
              <w:jc w:val="right"/>
              <w:ind w:right="208"/>
              <w:spacing w:after="0" w:line="152"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10,650</w:t>
            </w:r>
          </w:p>
        </w:tc>
      </w:tr>
      <w:tr>
        <w:trPr>
          <w:trHeight w:val="152"/>
        </w:trPr>
        <w:tc>
          <w:tcPr>
            <w:tcW w:w="5080" w:type="dxa"/>
            <w:vAlign w:val="bottom"/>
            <w:shd w:val="clear" w:color="auto" w:fill="CCEEFF"/>
          </w:tcPr>
          <w:p>
            <w:pPr>
              <w:ind w:left="180"/>
              <w:spacing w:after="0" w:line="152" w:lineRule="exact"/>
              <w:rPr>
                <w:sz w:val="20"/>
                <w:szCs w:val="20"/>
                <w:color w:val="auto"/>
              </w:rPr>
            </w:pPr>
            <w:r>
              <w:rPr>
                <w:rFonts w:ascii="Arial" w:cs="Arial" w:eastAsia="Arial" w:hAnsi="Arial"/>
                <w:sz w:val="14"/>
                <w:szCs w:val="14"/>
                <w:color w:val="auto"/>
              </w:rPr>
              <w:t>Income taxes paid (refunded), net</w:t>
            </w:r>
          </w:p>
        </w:tc>
        <w:tc>
          <w:tcPr>
            <w:tcW w:w="1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(6,479)</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(2,333)</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7,038</w:t>
            </w:r>
          </w:p>
        </w:tc>
      </w:tr>
      <w:tr>
        <w:trPr>
          <w:trHeight w:val="183"/>
        </w:trPr>
        <w:tc>
          <w:tcPr>
            <w:tcW w:w="5080" w:type="dxa"/>
            <w:vAlign w:val="bottom"/>
          </w:tcPr>
          <w:p>
            <w:pPr>
              <w:spacing w:after="0"/>
              <w:rPr>
                <w:sz w:val="15"/>
                <w:szCs w:val="15"/>
                <w:color w:val="auto"/>
              </w:rPr>
            </w:pPr>
          </w:p>
        </w:tc>
        <w:tc>
          <w:tcPr>
            <w:tcW w:w="1580" w:type="dxa"/>
            <w:vAlign w:val="bottom"/>
          </w:tcPr>
          <w:p>
            <w:pPr>
              <w:jc w:val="right"/>
              <w:ind w:right="791"/>
              <w:spacing w:after="0"/>
              <w:rPr>
                <w:sz w:val="20"/>
                <w:szCs w:val="20"/>
                <w:color w:val="auto"/>
              </w:rPr>
            </w:pPr>
            <w:r>
              <w:rPr>
                <w:rFonts w:ascii="Arial" w:cs="Arial" w:eastAsia="Arial" w:hAnsi="Arial"/>
                <w:sz w:val="14"/>
                <w:szCs w:val="14"/>
                <w:color w:val="auto"/>
              </w:rPr>
              <w:t>- 65 -</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1"/>
        </w:trPr>
        <w:tc>
          <w:tcPr>
            <w:tcW w:w="5080" w:type="dxa"/>
            <w:vAlign w:val="bottom"/>
            <w:tcBorders>
              <w:bottom w:val="single" w:sz="8" w:color="9A9A9A"/>
            </w:tcBorders>
          </w:tcPr>
          <w:p>
            <w:pPr>
              <w:spacing w:after="0"/>
              <w:rPr>
                <w:sz w:val="20"/>
                <w:szCs w:val="20"/>
                <w:color w:val="auto"/>
              </w:rPr>
            </w:pPr>
          </w:p>
        </w:tc>
        <w:tc>
          <w:tcPr>
            <w:tcW w:w="158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54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414" w:right="3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77"/>
        </w:trPr>
        <w:tc>
          <w:tcPr>
            <w:tcW w:w="5640" w:type="dxa"/>
            <w:vAlign w:val="bottom"/>
          </w:tcPr>
          <w:p>
            <w:pPr>
              <w:spacing w:after="0"/>
              <w:rPr>
                <w:sz w:val="20"/>
                <w:szCs w:val="20"/>
                <w:color w:val="auto"/>
              </w:rPr>
            </w:pPr>
            <w:r>
              <w:rPr>
                <w:rFonts w:ascii="Arial" w:cs="Arial" w:eastAsia="Arial" w:hAnsi="Arial"/>
                <w:sz w:val="14"/>
                <w:szCs w:val="14"/>
                <w:b w:val="1"/>
                <w:bCs w:val="1"/>
                <w:color w:val="auto"/>
              </w:rPr>
              <w:t>Non-Cash Transactions</w:t>
            </w:r>
          </w:p>
        </w:tc>
        <w:tc>
          <w:tcPr>
            <w:tcW w:w="1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52"/>
        </w:trPr>
        <w:tc>
          <w:tcPr>
            <w:tcW w:w="5640" w:type="dxa"/>
            <w:vAlign w:val="bottom"/>
            <w:shd w:val="clear" w:color="auto" w:fill="CCEEFF"/>
          </w:tcPr>
          <w:p>
            <w:pPr>
              <w:ind w:left="180"/>
              <w:spacing w:after="0" w:line="152" w:lineRule="exact"/>
              <w:rPr>
                <w:sz w:val="20"/>
                <w:szCs w:val="20"/>
                <w:color w:val="auto"/>
              </w:rPr>
            </w:pPr>
            <w:r>
              <w:rPr>
                <w:rFonts w:ascii="Arial" w:cs="Arial" w:eastAsia="Arial" w:hAnsi="Arial"/>
                <w:sz w:val="14"/>
                <w:szCs w:val="14"/>
                <w:color w:val="auto"/>
              </w:rPr>
              <w:t>Lease make-good accrual</w:t>
            </w:r>
          </w:p>
        </w:tc>
        <w:tc>
          <w:tcPr>
            <w:tcW w:w="1720" w:type="dxa"/>
            <w:vAlign w:val="bottom"/>
            <w:shd w:val="clear" w:color="auto" w:fill="CCEEFF"/>
          </w:tcPr>
          <w:p>
            <w:pPr>
              <w:jc w:val="right"/>
              <w:ind w:right="388"/>
              <w:spacing w:after="0" w:line="15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line="152" w:lineRule="exact"/>
              <w:rPr>
                <w:sz w:val="20"/>
                <w:szCs w:val="20"/>
                <w:color w:val="auto"/>
              </w:rPr>
            </w:pPr>
            <w:r>
              <w:rPr>
                <w:rFonts w:ascii="Arial" w:cs="Arial" w:eastAsia="Arial" w:hAnsi="Arial"/>
                <w:sz w:val="14"/>
                <w:szCs w:val="14"/>
                <w:color w:val="auto"/>
              </w:rPr>
              <w:t>288</w:t>
            </w:r>
          </w:p>
        </w:tc>
        <w:tc>
          <w:tcPr>
            <w:tcW w:w="640" w:type="dxa"/>
            <w:vAlign w:val="bottom"/>
            <w:shd w:val="clear" w:color="auto" w:fill="CCEEFF"/>
          </w:tcPr>
          <w:p>
            <w:pPr>
              <w:jc w:val="right"/>
              <w:ind w:right="388"/>
              <w:spacing w:after="0" w:line="15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line="152" w:lineRule="exact"/>
              <w:rPr>
                <w:sz w:val="20"/>
                <w:szCs w:val="20"/>
                <w:color w:val="auto"/>
              </w:rPr>
            </w:pPr>
            <w:r>
              <w:rPr>
                <w:rFonts w:ascii="Arial" w:cs="Arial" w:eastAsia="Arial" w:hAnsi="Arial"/>
                <w:sz w:val="14"/>
                <w:szCs w:val="14"/>
                <w:color w:val="auto"/>
              </w:rPr>
              <w:t>62</w:t>
            </w:r>
          </w:p>
        </w:tc>
        <w:tc>
          <w:tcPr>
            <w:tcW w:w="660" w:type="dxa"/>
            <w:vAlign w:val="bottom"/>
            <w:shd w:val="clear" w:color="auto" w:fill="CCEEFF"/>
          </w:tcPr>
          <w:p>
            <w:pPr>
              <w:jc w:val="right"/>
              <w:ind w:right="408"/>
              <w:spacing w:after="0" w:line="152"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902</w:t>
            </w:r>
          </w:p>
        </w:tc>
      </w:tr>
      <w:tr>
        <w:trPr>
          <w:trHeight w:val="152"/>
        </w:trPr>
        <w:tc>
          <w:tcPr>
            <w:tcW w:w="5640" w:type="dxa"/>
            <w:vAlign w:val="bottom"/>
          </w:tcPr>
          <w:p>
            <w:pPr>
              <w:ind w:left="180"/>
              <w:spacing w:after="0" w:line="152" w:lineRule="exact"/>
              <w:rPr>
                <w:sz w:val="20"/>
                <w:szCs w:val="20"/>
                <w:color w:val="auto"/>
              </w:rPr>
            </w:pPr>
            <w:r>
              <w:rPr>
                <w:rFonts w:ascii="Arial" w:cs="Arial" w:eastAsia="Arial" w:hAnsi="Arial"/>
                <w:sz w:val="14"/>
                <w:szCs w:val="14"/>
                <w:color w:val="auto"/>
              </w:rPr>
              <w:t>Additions to long-term borrowings</w:t>
            </w:r>
          </w:p>
        </w:tc>
        <w:tc>
          <w:tcPr>
            <w:tcW w:w="1720" w:type="dxa"/>
            <w:vAlign w:val="bottom"/>
          </w:tcPr>
          <w:p>
            <w:pPr>
              <w:spacing w:after="0"/>
              <w:rPr>
                <w:sz w:val="13"/>
                <w:szCs w:val="13"/>
                <w:color w:val="auto"/>
              </w:rPr>
            </w:pPr>
          </w:p>
        </w:tc>
        <w:tc>
          <w:tcPr>
            <w:tcW w:w="900" w:type="dxa"/>
            <w:vAlign w:val="bottom"/>
          </w:tcPr>
          <w:p>
            <w:pPr>
              <w:jc w:val="right"/>
              <w:ind w:right="28"/>
              <w:spacing w:after="0" w:line="152"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3"/>
                <w:szCs w:val="13"/>
                <w:color w:val="auto"/>
              </w:rPr>
            </w:pPr>
          </w:p>
        </w:tc>
        <w:tc>
          <w:tcPr>
            <w:tcW w:w="880" w:type="dxa"/>
            <w:vAlign w:val="bottom"/>
          </w:tcPr>
          <w:p>
            <w:pPr>
              <w:jc w:val="right"/>
              <w:ind w:right="28"/>
              <w:spacing w:after="0" w:line="152"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840" w:type="dxa"/>
            <w:vAlign w:val="bottom"/>
          </w:tcPr>
          <w:p>
            <w:pPr>
              <w:jc w:val="right"/>
              <w:spacing w:after="0" w:line="152" w:lineRule="exact"/>
              <w:rPr>
                <w:sz w:val="20"/>
                <w:szCs w:val="20"/>
                <w:color w:val="auto"/>
              </w:rPr>
            </w:pPr>
            <w:r>
              <w:rPr>
                <w:rFonts w:ascii="Arial" w:cs="Arial" w:eastAsia="Arial" w:hAnsi="Arial"/>
                <w:sz w:val="14"/>
                <w:szCs w:val="14"/>
                <w:color w:val="auto"/>
              </w:rPr>
              <w:t>3,519</w:t>
            </w:r>
          </w:p>
        </w:tc>
      </w:tr>
      <w:tr>
        <w:trPr>
          <w:trHeight w:val="152"/>
        </w:trPr>
        <w:tc>
          <w:tcPr>
            <w:tcW w:w="5640" w:type="dxa"/>
            <w:vAlign w:val="bottom"/>
            <w:shd w:val="clear" w:color="auto" w:fill="CCEEFF"/>
          </w:tcPr>
          <w:p>
            <w:pPr>
              <w:ind w:left="180"/>
              <w:spacing w:after="0" w:line="152" w:lineRule="exact"/>
              <w:rPr>
                <w:sz w:val="20"/>
                <w:szCs w:val="20"/>
                <w:color w:val="auto"/>
              </w:rPr>
            </w:pPr>
            <w:r>
              <w:rPr>
                <w:rFonts w:ascii="Arial" w:cs="Arial" w:eastAsia="Arial" w:hAnsi="Arial"/>
                <w:sz w:val="14"/>
                <w:szCs w:val="14"/>
                <w:color w:val="auto"/>
              </w:rPr>
              <w:t>Additions to operating and investing properties through accrued expenses</w:t>
            </w:r>
          </w:p>
        </w:tc>
        <w:tc>
          <w:tcPr>
            <w:tcW w:w="17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8"/>
              <w:spacing w:after="0" w:line="152" w:lineRule="exact"/>
              <w:rPr>
                <w:sz w:val="20"/>
                <w:szCs w:val="20"/>
                <w:color w:val="auto"/>
              </w:rPr>
            </w:pPr>
            <w:r>
              <w:rPr>
                <w:rFonts w:ascii="Arial" w:cs="Arial" w:eastAsia="Arial" w:hAnsi="Arial"/>
                <w:sz w:val="14"/>
                <w:szCs w:val="14"/>
                <w:color w:val="auto"/>
              </w:rPr>
              <w:t>3,177</w:t>
            </w: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8"/>
              <w:spacing w:after="0" w:line="152" w:lineRule="exact"/>
              <w:rPr>
                <w:sz w:val="20"/>
                <w:szCs w:val="20"/>
                <w:color w:val="auto"/>
              </w:rPr>
            </w:pPr>
            <w:r>
              <w:rPr>
                <w:rFonts w:ascii="Arial" w:cs="Arial" w:eastAsia="Arial" w:hAnsi="Arial"/>
                <w:sz w:val="14"/>
                <w:szCs w:val="14"/>
                <w:color w:val="auto"/>
              </w:rPr>
              <w:t>4,346</w:t>
            </w: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6,003</w:t>
            </w:r>
          </w:p>
        </w:tc>
      </w:tr>
    </w:tbl>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r>
        <w:rPr>
          <w:rFonts w:ascii="Arial" w:cs="Arial" w:eastAsia="Arial" w:hAnsi="Arial"/>
          <w:sz w:val="12"/>
          <w:szCs w:val="12"/>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66" w:right="319" w:bottom="1440" w:gutter="0" w:footer="0" w:header="0"/>
        </w:sectPr>
      </w:pPr>
    </w:p>
    <w:bookmarkStart w:id="66" w:name="page67"/>
    <w:bookmarkEnd w:id="66"/>
    <w:p>
      <w:pPr>
        <w:jc w:val="center"/>
        <w:spacing w:after="0"/>
        <w:rPr>
          <w:sz w:val="20"/>
          <w:szCs w:val="20"/>
          <w:color w:val="auto"/>
        </w:rPr>
      </w:pPr>
      <w:r>
        <w:rPr>
          <w:rFonts w:ascii="Arial" w:cs="Arial" w:eastAsia="Arial" w:hAnsi="Arial"/>
          <w:sz w:val="20"/>
          <w:szCs w:val="20"/>
          <w:b w:val="1"/>
          <w:bCs w:val="1"/>
          <w:u w:val="single" w:color="auto"/>
          <w:color w:val="auto"/>
        </w:rPr>
        <w:t>READING INTERNATIONAL, INC. and SUBSIDIARIES</w:t>
      </w:r>
    </w:p>
    <w:p>
      <w:pPr>
        <w:jc w:val="center"/>
        <w:spacing w:after="0" w:line="23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6" w:lineRule="auto"/>
        <w:rPr>
          <w:sz w:val="20"/>
          <w:szCs w:val="20"/>
          <w:color w:val="auto"/>
        </w:rPr>
      </w:pPr>
      <w:r>
        <w:rPr>
          <w:rFonts w:ascii="Arial" w:cs="Arial" w:eastAsia="Arial" w:hAnsi="Arial"/>
          <w:sz w:val="14"/>
          <w:szCs w:val="14"/>
          <w:b w:val="1"/>
          <w:bCs w:val="1"/>
          <w:color w:val="auto"/>
        </w:rPr>
        <w:t>As of and for Three Years Ended December 31, 2021</w:t>
      </w:r>
    </w:p>
    <w:p>
      <w:pPr>
        <w:ind w:left="1880"/>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________________________________________________________________________________________________________</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1 – DESCRIPTION OF BUSINESS AND SEGMENT REPORTING</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Company</w:t>
      </w:r>
    </w:p>
    <w:p>
      <w:pPr>
        <w:spacing w:after="0" w:line="143"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Reading International, Inc., a Nevada corporation (“RDI” and collectively with our consolidated subsidiaries and corporate predecessors, the “Company,” “Reading,” and “we,” “us,” or “our”), was incorporated in 1999. Our businesses consist primarily of:</w:t>
      </w:r>
    </w:p>
    <w:p>
      <w:pPr>
        <w:spacing w:after="0" w:line="3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development, ownership, and operation, of cinemas in the United States, Australia, and New Zealand; and,</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development, ownership, operation and/or rental of retail, commercial and live venue real estate assets in Australia, New Zealand, and the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Segments</w:t>
      </w:r>
    </w:p>
    <w:p>
      <w:pPr>
        <w:spacing w:after="0" w:line="143" w:lineRule="exact"/>
        <w:rPr>
          <w:sz w:val="20"/>
          <w:szCs w:val="20"/>
          <w:color w:val="auto"/>
        </w:rPr>
      </w:pPr>
    </w:p>
    <w:p>
      <w:pPr>
        <w:ind w:right="140"/>
        <w:spacing w:after="0" w:line="237" w:lineRule="auto"/>
        <w:rPr>
          <w:sz w:val="20"/>
          <w:szCs w:val="20"/>
          <w:color w:val="auto"/>
        </w:rPr>
      </w:pPr>
      <w:r>
        <w:rPr>
          <w:rFonts w:ascii="Arial" w:cs="Arial" w:eastAsia="Arial" w:hAnsi="Arial"/>
          <w:sz w:val="14"/>
          <w:szCs w:val="14"/>
          <w:color w:val="auto"/>
        </w:rPr>
        <w:t xml:space="preserve">Our business is comprised of two operating segments, as follows: (i) cinema exhibition and (ii) real estate. Each of these segments has discrete and separate financial information and for which operating results are evaluated regularly by our Chief Executive Officer, the chief operating decision-maker of the Company. As part of our real estate activities, we have historically held undeveloped land in urban and suburban centers in the United States, Australia, and New Zealand. However, in 2021, we monetized certain raw landholdings and other real estate assets as detailed at </w:t>
      </w:r>
      <w:r>
        <w:rPr>
          <w:rFonts w:ascii="Arial" w:cs="Arial" w:eastAsia="Arial" w:hAnsi="Arial"/>
          <w:sz w:val="14"/>
          <w:szCs w:val="14"/>
          <w:i w:val="1"/>
          <w:iCs w:val="1"/>
          <w:color w:val="auto"/>
        </w:rPr>
        <w:t>Note 5 – Real Estate Transactions</w:t>
      </w:r>
      <w:r>
        <w:rPr>
          <w:rFonts w:ascii="Arial" w:cs="Arial" w:eastAsia="Arial" w:hAnsi="Arial"/>
          <w:sz w:val="14"/>
          <w:szCs w:val="14"/>
          <w:color w:val="auto"/>
        </w:rPr>
        <w:t>.</w:t>
      </w:r>
    </w:p>
    <w:p>
      <w:pPr>
        <w:spacing w:after="0" w:line="123" w:lineRule="exact"/>
        <w:rPr>
          <w:sz w:val="20"/>
          <w:szCs w:val="20"/>
          <w:color w:val="auto"/>
        </w:rPr>
      </w:pPr>
    </w:p>
    <w:p>
      <w:pPr>
        <w:ind w:right="400"/>
        <w:spacing w:after="0" w:line="258" w:lineRule="auto"/>
        <w:rPr>
          <w:sz w:val="20"/>
          <w:szCs w:val="20"/>
          <w:color w:val="auto"/>
        </w:rPr>
      </w:pPr>
      <w:r>
        <w:rPr>
          <w:rFonts w:ascii="Arial" w:cs="Arial" w:eastAsia="Arial" w:hAnsi="Arial"/>
          <w:sz w:val="14"/>
          <w:szCs w:val="14"/>
          <w:color w:val="auto"/>
        </w:rPr>
        <w:t>The tables below summarize the results of operations for each of our business segments. Operating expense includes costs associated with the day-to-day operations of the cinemas and the management of rental properties, including our live theatre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109"/>
              <w:spacing w:after="0"/>
              <w:rPr>
                <w:sz w:val="20"/>
                <w:szCs w:val="20"/>
                <w:color w:val="auto"/>
              </w:rPr>
            </w:pPr>
            <w:r>
              <w:rPr>
                <w:rFonts w:ascii="Arial" w:cs="Arial" w:eastAsia="Arial" w:hAnsi="Arial"/>
                <w:sz w:val="10"/>
                <w:szCs w:val="10"/>
                <w:b w:val="1"/>
                <w:bCs w:val="1"/>
                <w:color w:val="auto"/>
                <w:w w:val="89"/>
              </w:rPr>
              <w:t>2020</w:t>
            </w: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09"/>
              <w:spacing w:after="0"/>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r>
        <w:trPr>
          <w:trHeight w:val="95"/>
        </w:trPr>
        <w:tc>
          <w:tcPr>
            <w:tcW w:w="2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w w:val="94"/>
              </w:rPr>
              <w:t>Real</w:t>
            </w: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w w:val="94"/>
              </w:rPr>
              <w:t>Real</w:t>
            </w: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tcPr>
          <w:p>
            <w:pPr>
              <w:jc w:val="center"/>
              <w:ind w:right="260"/>
              <w:spacing w:after="0" w:line="95" w:lineRule="exact"/>
              <w:rPr>
                <w:sz w:val="20"/>
                <w:szCs w:val="20"/>
                <w:color w:val="auto"/>
              </w:rPr>
            </w:pPr>
            <w:r>
              <w:rPr>
                <w:rFonts w:ascii="Arial" w:cs="Arial" w:eastAsia="Arial" w:hAnsi="Arial"/>
                <w:sz w:val="10"/>
                <w:szCs w:val="10"/>
                <w:b w:val="1"/>
                <w:bCs w:val="1"/>
                <w:color w:val="auto"/>
                <w:w w:val="94"/>
              </w:rPr>
              <w:t>Real</w:t>
            </w: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23"/>
        </w:trPr>
        <w:tc>
          <w:tcPr>
            <w:tcW w:w="2400" w:type="dxa"/>
            <w:vAlign w:val="bottom"/>
          </w:tcPr>
          <w:p>
            <w:pPr>
              <w:spacing w:after="0"/>
              <w:rPr>
                <w:sz w:val="20"/>
                <w:szCs w:val="20"/>
                <w:color w:val="auto"/>
              </w:rPr>
            </w:pPr>
            <w:r>
              <w:rPr>
                <w:rFonts w:ascii="Arial" w:cs="Arial" w:eastAsia="Arial" w:hAnsi="Arial"/>
                <w:sz w:val="10"/>
                <w:szCs w:val="10"/>
                <w:i w:val="1"/>
                <w:iCs w:val="1"/>
                <w:color w:val="auto"/>
              </w:rPr>
              <w:t>(Dollars in thousands)</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Cinema</w:t>
            </w:r>
          </w:p>
        </w:tc>
        <w:tc>
          <w:tcPr>
            <w:tcW w:w="16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Estate</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ind w:left="160"/>
              <w:spacing w:after="0"/>
              <w:rPr>
                <w:sz w:val="20"/>
                <w:szCs w:val="20"/>
                <w:color w:val="auto"/>
              </w:rPr>
            </w:pPr>
            <w:r>
              <w:rPr>
                <w:rFonts w:ascii="Arial" w:cs="Arial" w:eastAsia="Arial" w:hAnsi="Arial"/>
                <w:sz w:val="10"/>
                <w:szCs w:val="10"/>
                <w:b w:val="1"/>
                <w:bCs w:val="1"/>
                <w:color w:val="auto"/>
              </w:rPr>
              <w:t>Total</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Cinema</w:t>
            </w:r>
          </w:p>
        </w:tc>
        <w:tc>
          <w:tcPr>
            <w:tcW w:w="16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Estate</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Total</w:t>
            </w:r>
          </w:p>
        </w:tc>
        <w:tc>
          <w:tcPr>
            <w:tcW w:w="180" w:type="dxa"/>
            <w:vAlign w:val="bottom"/>
          </w:tcPr>
          <w:p>
            <w:pPr>
              <w:spacing w:after="0"/>
              <w:rPr>
                <w:sz w:val="10"/>
                <w:szCs w:val="1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Cinema</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6"/>
              </w:rPr>
              <w:t>Estate</w:t>
            </w:r>
          </w:p>
        </w:tc>
        <w:tc>
          <w:tcPr>
            <w:tcW w:w="200" w:type="dxa"/>
            <w:vAlign w:val="bottom"/>
          </w:tcPr>
          <w:p>
            <w:pPr>
              <w:spacing w:after="0"/>
              <w:rPr>
                <w:sz w:val="10"/>
                <w:szCs w:val="10"/>
                <w:color w:val="auto"/>
              </w:rPr>
            </w:pPr>
          </w:p>
        </w:tc>
        <w:tc>
          <w:tcPr>
            <w:tcW w:w="720" w:type="dxa"/>
            <w:vAlign w:val="bottom"/>
          </w:tcPr>
          <w:p>
            <w:pPr>
              <w:jc w:val="right"/>
              <w:ind w:right="289"/>
              <w:spacing w:after="0"/>
              <w:rPr>
                <w:sz w:val="20"/>
                <w:szCs w:val="20"/>
                <w:color w:val="auto"/>
              </w:rPr>
            </w:pPr>
            <w:r>
              <w:rPr>
                <w:rFonts w:ascii="Arial" w:cs="Arial" w:eastAsia="Arial" w:hAnsi="Arial"/>
                <w:sz w:val="10"/>
                <w:szCs w:val="10"/>
                <w:b w:val="1"/>
                <w:bCs w:val="1"/>
                <w:color w:val="auto"/>
              </w:rPr>
              <w:t>Total</w:t>
            </w:r>
          </w:p>
        </w:tc>
      </w:tr>
      <w:tr>
        <w:trPr>
          <w:trHeight w:val="108"/>
        </w:trPr>
        <w:tc>
          <w:tcPr>
            <w:tcW w:w="240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0"/>
                <w:szCs w:val="10"/>
                <w:color w:val="auto"/>
              </w:rPr>
              <w:t>Revenue - third party</w:t>
            </w: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126,812</w:t>
            </w: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49"/>
              <w:spacing w:after="0" w:line="109"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12,248</w:t>
            </w: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ind w:right="89"/>
              <w:spacing w:after="0" w:line="109"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139,060</w:t>
            </w: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ind w:right="69"/>
              <w:spacing w:after="0" w:line="109" w:lineRule="exact"/>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67,014</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10,848</w:t>
            </w: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ind w:right="109"/>
              <w:spacing w:after="0" w:line="109"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77,862</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262,189</w:t>
            </w: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14,579</w:t>
            </w: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ind w:right="89"/>
              <w:spacing w:after="0" w:line="109"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276,768</w:t>
            </w:r>
          </w:p>
        </w:tc>
      </w:tr>
      <w:tr>
        <w:trPr>
          <w:trHeight w:val="141"/>
        </w:trPr>
        <w:tc>
          <w:tcPr>
            <w:tcW w:w="2400" w:type="dxa"/>
            <w:vAlign w:val="bottom"/>
          </w:tcPr>
          <w:p>
            <w:pPr>
              <w:ind w:left="80"/>
              <w:spacing w:after="0" w:line="141" w:lineRule="exact"/>
              <w:rPr>
                <w:sz w:val="20"/>
                <w:szCs w:val="20"/>
                <w:color w:val="auto"/>
              </w:rPr>
            </w:pPr>
            <w:r>
              <w:rPr>
                <w:rFonts w:ascii="Arial" w:cs="Arial" w:eastAsia="Arial" w:hAnsi="Arial"/>
                <w:sz w:val="10"/>
                <w:szCs w:val="10"/>
                <w:color w:val="auto"/>
              </w:rPr>
              <w:t xml:space="preserve">Inter-segment revenue </w:t>
            </w:r>
            <w:r>
              <w:rPr>
                <w:rFonts w:ascii="Arial" w:cs="Arial" w:eastAsia="Arial" w:hAnsi="Arial"/>
                <w:sz w:val="16"/>
                <w:szCs w:val="16"/>
                <w:color w:val="auto"/>
                <w:vertAlign w:val="superscript"/>
              </w:rPr>
              <w:t>(1)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0"/>
                <w:szCs w:val="10"/>
                <w:color w:val="auto"/>
              </w:rPr>
              <w:t>515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0"/>
                <w:szCs w:val="10"/>
                <w:color w:val="auto"/>
              </w:rPr>
              <w:t>515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0"/>
                <w:szCs w:val="10"/>
                <w:color w:val="auto"/>
              </w:rPr>
              <w:t>2,115</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0"/>
                <w:szCs w:val="10"/>
                <w:color w:val="auto"/>
              </w:rPr>
              <w:t>2,115</w:t>
            </w:r>
          </w:p>
        </w:tc>
        <w:tc>
          <w:tcPr>
            <w:tcW w:w="18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7,326</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7,326</w:t>
            </w:r>
          </w:p>
        </w:tc>
      </w:tr>
      <w:tr>
        <w:trPr>
          <w:trHeight w:val="99"/>
        </w:trPr>
        <w:tc>
          <w:tcPr>
            <w:tcW w:w="2400" w:type="dxa"/>
            <w:vAlign w:val="bottom"/>
            <w:tcBorders>
              <w:top w:val="single" w:sz="8" w:color="CCEEFF"/>
            </w:tcBorders>
            <w:shd w:val="clear" w:color="auto" w:fill="CCEEFF"/>
          </w:tcPr>
          <w:p>
            <w:pPr>
              <w:spacing w:after="0" w:line="100" w:lineRule="exact"/>
              <w:rPr>
                <w:sz w:val="20"/>
                <w:szCs w:val="20"/>
                <w:color w:val="auto"/>
              </w:rPr>
            </w:pPr>
            <w:r>
              <w:rPr>
                <w:rFonts w:ascii="Arial" w:cs="Arial" w:eastAsia="Arial" w:hAnsi="Arial"/>
                <w:sz w:val="10"/>
                <w:szCs w:val="10"/>
                <w:b w:val="1"/>
                <w:bCs w:val="1"/>
                <w:color w:val="auto"/>
              </w:rPr>
              <w:t>Total segment revenue</w:t>
            </w: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126,812</w:t>
            </w: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12,763</w:t>
            </w: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139,575</w:t>
            </w: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67,014</w:t>
            </w: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12,963</w:t>
            </w: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79,977</w:t>
            </w:r>
          </w:p>
        </w:tc>
        <w:tc>
          <w:tcPr>
            <w:tcW w:w="1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262,189</w:t>
            </w: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21,905</w:t>
            </w:r>
          </w:p>
        </w:tc>
        <w:tc>
          <w:tcPr>
            <w:tcW w:w="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284,094</w:t>
            </w:r>
          </w:p>
        </w:tc>
      </w:tr>
      <w:tr>
        <w:trPr>
          <w:trHeight w:val="108"/>
        </w:trPr>
        <w:tc>
          <w:tcPr>
            <w:tcW w:w="2400" w:type="dxa"/>
            <w:vAlign w:val="bottom"/>
          </w:tcPr>
          <w:p>
            <w:pPr>
              <w:spacing w:after="0" w:line="109" w:lineRule="exact"/>
              <w:rPr>
                <w:sz w:val="20"/>
                <w:szCs w:val="20"/>
                <w:color w:val="auto"/>
              </w:rPr>
            </w:pPr>
            <w:r>
              <w:rPr>
                <w:rFonts w:ascii="Arial" w:cs="Arial" w:eastAsia="Arial" w:hAnsi="Arial"/>
                <w:sz w:val="10"/>
                <w:szCs w:val="10"/>
                <w:b w:val="1"/>
                <w:bCs w:val="1"/>
                <w:color w:val="auto"/>
              </w:rPr>
              <w:t>Operating expense</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40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Operating Expense - Third Party</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0"/>
                <w:szCs w:val="10"/>
                <w:color w:val="auto"/>
              </w:rPr>
              <w:t>(122,901)</w:t>
            </w:r>
          </w:p>
        </w:tc>
        <w:tc>
          <w:tcPr>
            <w:tcW w:w="16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40"/>
              <w:spacing w:after="0" w:line="109" w:lineRule="exact"/>
              <w:rPr>
                <w:sz w:val="20"/>
                <w:szCs w:val="20"/>
                <w:color w:val="auto"/>
              </w:rPr>
            </w:pPr>
            <w:r>
              <w:rPr>
                <w:rFonts w:ascii="Arial" w:cs="Arial" w:eastAsia="Arial" w:hAnsi="Arial"/>
                <w:sz w:val="10"/>
                <w:szCs w:val="10"/>
                <w:color w:val="auto"/>
              </w:rPr>
              <w:t>(10,106)</w:t>
            </w: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40"/>
              <w:spacing w:after="0" w:line="109" w:lineRule="exact"/>
              <w:rPr>
                <w:sz w:val="20"/>
                <w:szCs w:val="20"/>
                <w:color w:val="auto"/>
              </w:rPr>
            </w:pPr>
            <w:r>
              <w:rPr>
                <w:rFonts w:ascii="Arial" w:cs="Arial" w:eastAsia="Arial" w:hAnsi="Arial"/>
                <w:sz w:val="10"/>
                <w:szCs w:val="10"/>
                <w:color w:val="auto"/>
              </w:rPr>
              <w:t>(133,007)</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0"/>
                <w:szCs w:val="10"/>
                <w:color w:val="auto"/>
              </w:rPr>
              <w:t>(91,065)</w:t>
            </w:r>
          </w:p>
        </w:tc>
        <w:tc>
          <w:tcPr>
            <w:tcW w:w="1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40"/>
              <w:spacing w:after="0" w:line="109" w:lineRule="exact"/>
              <w:rPr>
                <w:sz w:val="20"/>
                <w:szCs w:val="20"/>
                <w:color w:val="auto"/>
              </w:rPr>
            </w:pPr>
            <w:r>
              <w:rPr>
                <w:rFonts w:ascii="Arial" w:cs="Arial" w:eastAsia="Arial" w:hAnsi="Arial"/>
                <w:sz w:val="10"/>
                <w:szCs w:val="10"/>
                <w:color w:val="auto"/>
              </w:rPr>
              <w:t>(8,578)</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0"/>
                <w:szCs w:val="10"/>
                <w:color w:val="auto"/>
              </w:rPr>
              <w:t>(99,643)</w:t>
            </w:r>
          </w:p>
        </w:tc>
        <w:tc>
          <w:tcPr>
            <w:tcW w:w="1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40"/>
              <w:spacing w:after="0" w:line="109" w:lineRule="exact"/>
              <w:rPr>
                <w:sz w:val="20"/>
                <w:szCs w:val="20"/>
                <w:color w:val="auto"/>
              </w:rPr>
            </w:pPr>
            <w:r>
              <w:rPr>
                <w:rFonts w:ascii="Arial" w:cs="Arial" w:eastAsia="Arial" w:hAnsi="Arial"/>
                <w:sz w:val="10"/>
                <w:szCs w:val="10"/>
                <w:color w:val="auto"/>
              </w:rPr>
              <w:t>(210,050)</w:t>
            </w: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0"/>
                <w:szCs w:val="10"/>
                <w:color w:val="auto"/>
              </w:rPr>
              <w:t>(9,453)</w:t>
            </w: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(219,503)</w:t>
            </w:r>
          </w:p>
        </w:tc>
      </w:tr>
      <w:tr>
        <w:trPr>
          <w:trHeight w:val="141"/>
        </w:trPr>
        <w:tc>
          <w:tcPr>
            <w:tcW w:w="2400" w:type="dxa"/>
            <w:vAlign w:val="bottom"/>
          </w:tcPr>
          <w:p>
            <w:pPr>
              <w:ind w:left="80"/>
              <w:spacing w:after="0" w:line="141" w:lineRule="exact"/>
              <w:rPr>
                <w:sz w:val="20"/>
                <w:szCs w:val="20"/>
                <w:color w:val="auto"/>
              </w:rPr>
            </w:pPr>
            <w:r>
              <w:rPr>
                <w:rFonts w:ascii="Arial" w:cs="Arial" w:eastAsia="Arial" w:hAnsi="Arial"/>
                <w:sz w:val="10"/>
                <w:szCs w:val="10"/>
                <w:color w:val="auto"/>
              </w:rPr>
              <w:t xml:space="preserve">Inter-Segment Operating Expenses </w:t>
            </w:r>
            <w:r>
              <w:rPr>
                <w:rFonts w:ascii="Arial" w:cs="Arial" w:eastAsia="Arial" w:hAnsi="Arial"/>
                <w:sz w:val="16"/>
                <w:szCs w:val="16"/>
                <w:color w:val="auto"/>
                <w:vertAlign w:val="superscript"/>
              </w:rPr>
              <w:t>(1)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0"/>
                <w:szCs w:val="10"/>
                <w:color w:val="auto"/>
              </w:rPr>
              <w:t>(515)</w:t>
            </w:r>
          </w:p>
        </w:tc>
        <w:tc>
          <w:tcPr>
            <w:tcW w:w="16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0"/>
                <w:szCs w:val="10"/>
                <w:color w:val="auto"/>
              </w:rPr>
              <w:t>(515)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0"/>
                <w:szCs w:val="10"/>
                <w:color w:val="auto"/>
              </w:rPr>
              <w:t>(2,115)</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0"/>
                <w:szCs w:val="10"/>
                <w:color w:val="auto"/>
              </w:rPr>
              <w:t>(2,115)</w:t>
            </w:r>
          </w:p>
        </w:tc>
        <w:tc>
          <w:tcPr>
            <w:tcW w:w="18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0"/>
                <w:szCs w:val="10"/>
                <w:color w:val="auto"/>
              </w:rPr>
              <w:t>(7,326)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(7,326)</w:t>
            </w:r>
          </w:p>
        </w:tc>
      </w:tr>
      <w:tr>
        <w:trPr>
          <w:trHeight w:val="77"/>
        </w:trPr>
        <w:tc>
          <w:tcPr>
            <w:tcW w:w="2400" w:type="dxa"/>
            <w:vAlign w:val="bottom"/>
            <w:tcBorders>
              <w:top w:val="single" w:sz="8" w:color="CCEEFF"/>
            </w:tcBorders>
            <w:shd w:val="clear" w:color="auto" w:fill="CCEEFF"/>
          </w:tcPr>
          <w:p>
            <w:pPr>
              <w:ind w:left="80"/>
              <w:spacing w:after="0" w:line="77" w:lineRule="exact"/>
              <w:rPr>
                <w:sz w:val="20"/>
                <w:szCs w:val="20"/>
                <w:color w:val="auto"/>
              </w:rPr>
            </w:pPr>
            <w:r>
              <w:rPr>
                <w:rFonts w:ascii="Arial" w:cs="Arial" w:eastAsia="Arial" w:hAnsi="Arial"/>
                <w:sz w:val="8"/>
                <w:szCs w:val="8"/>
                <w:color w:val="auto"/>
              </w:rPr>
              <w:t>Total of services and products (excluding depreciation</w:t>
            </w: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76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7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7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7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7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720" w:type="dxa"/>
            <w:vAlign w:val="bottom"/>
            <w:tcBorders>
              <w:top w:val="single" w:sz="8" w:color="auto"/>
            </w:tcBorders>
            <w:shd w:val="clear" w:color="auto" w:fill="CCEEFF"/>
          </w:tcPr>
          <w:p>
            <w:pPr>
              <w:spacing w:after="0"/>
              <w:rPr>
                <w:sz w:val="6"/>
                <w:szCs w:val="6"/>
                <w:color w:val="auto"/>
              </w:rPr>
            </w:pPr>
          </w:p>
        </w:tc>
      </w:tr>
      <w:tr>
        <w:trPr>
          <w:trHeight w:val="120"/>
        </w:trPr>
        <w:tc>
          <w:tcPr>
            <w:tcW w:w="2400" w:type="dxa"/>
            <w:vAlign w:val="bottom"/>
            <w:shd w:val="clear" w:color="auto" w:fill="CCEEFF"/>
          </w:tcPr>
          <w:p>
            <w:pPr>
              <w:ind w:left="80"/>
              <w:spacing w:after="0"/>
              <w:rPr>
                <w:sz w:val="20"/>
                <w:szCs w:val="20"/>
                <w:color w:val="auto"/>
              </w:rPr>
            </w:pPr>
            <w:r>
              <w:rPr>
                <w:rFonts w:ascii="Arial" w:cs="Arial" w:eastAsia="Arial" w:hAnsi="Arial"/>
                <w:sz w:val="10"/>
                <w:szCs w:val="10"/>
                <w:color w:val="auto"/>
              </w:rPr>
              <w:t>and amortization)</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(123,416)</w:t>
            </w:r>
          </w:p>
        </w:tc>
        <w:tc>
          <w:tcPr>
            <w:tcW w:w="1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(10,106)</w:t>
            </w: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(133,522)</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(93,180)</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(8,578)</w:t>
            </w: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(101,758)</w:t>
            </w:r>
          </w:p>
        </w:tc>
        <w:tc>
          <w:tcPr>
            <w:tcW w:w="1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(217,376)</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(9,453)</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(226,829)</w:t>
            </w:r>
          </w:p>
        </w:tc>
      </w:tr>
      <w:tr>
        <w:trPr>
          <w:trHeight w:val="108"/>
        </w:trPr>
        <w:tc>
          <w:tcPr>
            <w:tcW w:w="2400" w:type="dxa"/>
            <w:vAlign w:val="bottom"/>
          </w:tcPr>
          <w:p>
            <w:pPr>
              <w:ind w:left="80"/>
              <w:spacing w:after="0" w:line="109" w:lineRule="exact"/>
              <w:rPr>
                <w:sz w:val="20"/>
                <w:szCs w:val="20"/>
                <w:color w:val="auto"/>
              </w:rPr>
            </w:pPr>
            <w:r>
              <w:rPr>
                <w:rFonts w:ascii="Arial" w:cs="Arial" w:eastAsia="Arial" w:hAnsi="Arial"/>
                <w:sz w:val="10"/>
                <w:szCs w:val="10"/>
                <w:color w:val="auto"/>
              </w:rPr>
              <w:t>Depreciation and amortization</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(14,422)</w:t>
            </w:r>
          </w:p>
        </w:tc>
        <w:tc>
          <w:tcPr>
            <w:tcW w:w="160" w:type="dxa"/>
            <w:vAlign w:val="bottom"/>
          </w:tcPr>
          <w:p>
            <w:pPr>
              <w:spacing w:after="0"/>
              <w:rPr>
                <w:sz w:val="9"/>
                <w:szCs w:val="9"/>
                <w:color w:val="auto"/>
              </w:rPr>
            </w:pPr>
          </w:p>
        </w:tc>
        <w:tc>
          <w:tcPr>
            <w:tcW w:w="68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(7,092)</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(21,514)</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(15,246)</w:t>
            </w:r>
          </w:p>
        </w:tc>
        <w:tc>
          <w:tcPr>
            <w:tcW w:w="160" w:type="dxa"/>
            <w:vAlign w:val="bottom"/>
          </w:tcPr>
          <w:p>
            <w:pPr>
              <w:spacing w:after="0"/>
              <w:rPr>
                <w:sz w:val="9"/>
                <w:szCs w:val="9"/>
                <w:color w:val="auto"/>
              </w:rPr>
            </w:pPr>
          </w:p>
        </w:tc>
        <w:tc>
          <w:tcPr>
            <w:tcW w:w="72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(6,101)</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(21,347)</w:t>
            </w:r>
          </w:p>
        </w:tc>
        <w:tc>
          <w:tcPr>
            <w:tcW w:w="180" w:type="dxa"/>
            <w:vAlign w:val="bottom"/>
          </w:tcPr>
          <w:p>
            <w:pPr>
              <w:spacing w:after="0"/>
              <w:rPr>
                <w:sz w:val="9"/>
                <w:szCs w:val="9"/>
                <w:color w:val="auto"/>
              </w:rPr>
            </w:pPr>
          </w:p>
        </w:tc>
        <w:tc>
          <w:tcPr>
            <w:tcW w:w="82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(16,940)</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(5,393)</w:t>
            </w:r>
          </w:p>
        </w:tc>
        <w:tc>
          <w:tcPr>
            <w:tcW w:w="200" w:type="dxa"/>
            <w:vAlign w:val="bottom"/>
          </w:tcPr>
          <w:p>
            <w:pPr>
              <w:spacing w:after="0"/>
              <w:rPr>
                <w:sz w:val="9"/>
                <w:szCs w:val="9"/>
                <w:color w:val="auto"/>
              </w:rPr>
            </w:pPr>
          </w:p>
        </w:tc>
        <w:tc>
          <w:tcPr>
            <w:tcW w:w="720" w:type="dxa"/>
            <w:vAlign w:val="bottom"/>
          </w:tcPr>
          <w:p>
            <w:pPr>
              <w:jc w:val="right"/>
              <w:spacing w:after="0" w:line="109" w:lineRule="exact"/>
              <w:rPr>
                <w:sz w:val="20"/>
                <w:szCs w:val="20"/>
                <w:color w:val="auto"/>
              </w:rPr>
            </w:pPr>
            <w:r>
              <w:rPr>
                <w:rFonts w:ascii="Arial" w:cs="Arial" w:eastAsia="Arial" w:hAnsi="Arial"/>
                <w:sz w:val="10"/>
                <w:szCs w:val="10"/>
                <w:color w:val="auto"/>
              </w:rPr>
              <w:t>(22,333)</w:t>
            </w:r>
          </w:p>
        </w:tc>
      </w:tr>
      <w:tr>
        <w:trPr>
          <w:trHeight w:val="108"/>
        </w:trPr>
        <w:tc>
          <w:tcPr>
            <w:tcW w:w="2400" w:type="dxa"/>
            <w:vAlign w:val="bottom"/>
            <w:shd w:val="clear" w:color="auto" w:fill="CCEEFF"/>
          </w:tcPr>
          <w:p>
            <w:pPr>
              <w:ind w:left="80"/>
              <w:spacing w:after="0" w:line="109" w:lineRule="exact"/>
              <w:rPr>
                <w:sz w:val="20"/>
                <w:szCs w:val="20"/>
                <w:color w:val="auto"/>
              </w:rPr>
            </w:pPr>
            <w:r>
              <w:rPr>
                <w:rFonts w:ascii="Arial" w:cs="Arial" w:eastAsia="Arial" w:hAnsi="Arial"/>
                <w:sz w:val="10"/>
                <w:szCs w:val="10"/>
                <w:color w:val="auto"/>
              </w:rPr>
              <w:t>Impairment of long-lived assets</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0"/>
                <w:szCs w:val="10"/>
                <w:color w:val="auto"/>
              </w:rPr>
              <w:t>(217)</w:t>
            </w:r>
          </w:p>
        </w:tc>
        <w:tc>
          <w:tcPr>
            <w:tcW w:w="1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0"/>
                <w:szCs w:val="10"/>
                <w:color w:val="auto"/>
              </w:rPr>
              <w:t>(217)</w:t>
            </w:r>
          </w:p>
        </w:tc>
        <w:tc>
          <w:tcPr>
            <w:tcW w:w="1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40"/>
              <w:spacing w:after="0" w:line="109"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r>
      <w:tr>
        <w:trPr>
          <w:trHeight w:val="108"/>
        </w:trPr>
        <w:tc>
          <w:tcPr>
            <w:tcW w:w="2400" w:type="dxa"/>
            <w:vAlign w:val="bottom"/>
          </w:tcPr>
          <w:p>
            <w:pPr>
              <w:ind w:left="80"/>
              <w:spacing w:after="0" w:line="109" w:lineRule="exact"/>
              <w:rPr>
                <w:sz w:val="20"/>
                <w:szCs w:val="20"/>
                <w:color w:val="auto"/>
              </w:rPr>
            </w:pPr>
            <w:r>
              <w:rPr>
                <w:rFonts w:ascii="Arial" w:cs="Arial" w:eastAsia="Arial" w:hAnsi="Arial"/>
                <w:sz w:val="10"/>
                <w:szCs w:val="10"/>
                <w:color w:val="auto"/>
              </w:rPr>
              <w:t>General and administrative expense</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(7,611)</w:t>
            </w:r>
          </w:p>
        </w:tc>
        <w:tc>
          <w:tcPr>
            <w:tcW w:w="160" w:type="dxa"/>
            <w:vAlign w:val="bottom"/>
          </w:tcPr>
          <w:p>
            <w:pPr>
              <w:spacing w:after="0"/>
              <w:rPr>
                <w:sz w:val="9"/>
                <w:szCs w:val="9"/>
                <w:color w:val="auto"/>
              </w:rPr>
            </w:pPr>
          </w:p>
        </w:tc>
        <w:tc>
          <w:tcPr>
            <w:tcW w:w="68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(920)</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(8,531)</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(3,427)</w:t>
            </w:r>
          </w:p>
        </w:tc>
        <w:tc>
          <w:tcPr>
            <w:tcW w:w="160" w:type="dxa"/>
            <w:vAlign w:val="bottom"/>
          </w:tcPr>
          <w:p>
            <w:pPr>
              <w:spacing w:after="0"/>
              <w:rPr>
                <w:sz w:val="9"/>
                <w:szCs w:val="9"/>
                <w:color w:val="auto"/>
              </w:rPr>
            </w:pPr>
          </w:p>
        </w:tc>
        <w:tc>
          <w:tcPr>
            <w:tcW w:w="72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(747)</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(4,174)</w:t>
            </w:r>
          </w:p>
        </w:tc>
        <w:tc>
          <w:tcPr>
            <w:tcW w:w="180" w:type="dxa"/>
            <w:vAlign w:val="bottom"/>
          </w:tcPr>
          <w:p>
            <w:pPr>
              <w:spacing w:after="0"/>
              <w:rPr>
                <w:sz w:val="9"/>
                <w:szCs w:val="9"/>
                <w:color w:val="auto"/>
              </w:rPr>
            </w:pPr>
          </w:p>
        </w:tc>
        <w:tc>
          <w:tcPr>
            <w:tcW w:w="82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(4,544)</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(1,918)</w:t>
            </w:r>
          </w:p>
        </w:tc>
        <w:tc>
          <w:tcPr>
            <w:tcW w:w="200" w:type="dxa"/>
            <w:vAlign w:val="bottom"/>
          </w:tcPr>
          <w:p>
            <w:pPr>
              <w:spacing w:after="0"/>
              <w:rPr>
                <w:sz w:val="9"/>
                <w:szCs w:val="9"/>
                <w:color w:val="auto"/>
              </w:rPr>
            </w:pPr>
          </w:p>
        </w:tc>
        <w:tc>
          <w:tcPr>
            <w:tcW w:w="720" w:type="dxa"/>
            <w:vAlign w:val="bottom"/>
          </w:tcPr>
          <w:p>
            <w:pPr>
              <w:jc w:val="right"/>
              <w:spacing w:after="0" w:line="109" w:lineRule="exact"/>
              <w:rPr>
                <w:sz w:val="20"/>
                <w:szCs w:val="20"/>
                <w:color w:val="auto"/>
              </w:rPr>
            </w:pPr>
            <w:r>
              <w:rPr>
                <w:rFonts w:ascii="Arial" w:cs="Arial" w:eastAsia="Arial" w:hAnsi="Arial"/>
                <w:sz w:val="10"/>
                <w:szCs w:val="10"/>
                <w:color w:val="auto"/>
              </w:rPr>
              <w:t>(6,462)</w:t>
            </w:r>
          </w:p>
        </w:tc>
      </w:tr>
      <w:tr>
        <w:trPr>
          <w:trHeight w:val="99"/>
        </w:trPr>
        <w:tc>
          <w:tcPr>
            <w:tcW w:w="2400" w:type="dxa"/>
            <w:vAlign w:val="bottom"/>
            <w:tcBorders>
              <w:top w:val="single" w:sz="8" w:color="CCEEFF"/>
            </w:tcBorders>
            <w:shd w:val="clear" w:color="auto" w:fill="CCEEFF"/>
          </w:tcPr>
          <w:p>
            <w:pPr>
              <w:spacing w:after="0" w:line="100" w:lineRule="exact"/>
              <w:rPr>
                <w:sz w:val="20"/>
                <w:szCs w:val="20"/>
                <w:color w:val="auto"/>
              </w:rPr>
            </w:pPr>
            <w:r>
              <w:rPr>
                <w:rFonts w:ascii="Arial" w:cs="Arial" w:eastAsia="Arial" w:hAnsi="Arial"/>
                <w:sz w:val="10"/>
                <w:szCs w:val="10"/>
                <w:color w:val="auto"/>
              </w:rPr>
              <w:t>Total operating expense</w:t>
            </w: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spacing w:after="0"/>
              <w:rPr>
                <w:sz w:val="8"/>
                <w:szCs w:val="8"/>
                <w:color w:val="auto"/>
              </w:rPr>
            </w:pPr>
          </w:p>
        </w:tc>
        <w:tc>
          <w:tcPr>
            <w:tcW w:w="76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(145,449)</w:t>
            </w: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bottom w:val="single" w:sz="8" w:color="auto"/>
            </w:tcBorders>
            <w:shd w:val="clear" w:color="auto" w:fill="CCEEFF"/>
          </w:tcPr>
          <w:p>
            <w:pPr>
              <w:spacing w:after="0"/>
              <w:rPr>
                <w:sz w:val="8"/>
                <w:szCs w:val="8"/>
                <w:color w:val="auto"/>
              </w:rPr>
            </w:pPr>
          </w:p>
        </w:tc>
        <w:tc>
          <w:tcPr>
            <w:tcW w:w="64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(18,118)</w:t>
            </w: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bottom w:val="single" w:sz="8" w:color="auto"/>
            </w:tcBorders>
            <w:shd w:val="clear" w:color="auto" w:fill="CCEEFF"/>
          </w:tcPr>
          <w:p>
            <w:pPr>
              <w:spacing w:after="0"/>
              <w:rPr>
                <w:sz w:val="8"/>
                <w:szCs w:val="8"/>
                <w:color w:val="auto"/>
              </w:rPr>
            </w:pPr>
          </w:p>
        </w:tc>
        <w:tc>
          <w:tcPr>
            <w:tcW w:w="72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(163,567)</w:t>
            </w: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spacing w:after="0"/>
              <w:rPr>
                <w:sz w:val="8"/>
                <w:szCs w:val="8"/>
                <w:color w:val="auto"/>
              </w:rPr>
            </w:pPr>
          </w:p>
        </w:tc>
        <w:tc>
          <w:tcPr>
            <w:tcW w:w="76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(112,070)</w:t>
            </w: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bottom w:val="single" w:sz="8" w:color="auto"/>
            </w:tcBorders>
            <w:shd w:val="clear" w:color="auto" w:fill="CCEEFF"/>
          </w:tcPr>
          <w:p>
            <w:pPr>
              <w:spacing w:after="0"/>
              <w:rPr>
                <w:sz w:val="8"/>
                <w:szCs w:val="8"/>
                <w:color w:val="auto"/>
              </w:rPr>
            </w:pPr>
          </w:p>
        </w:tc>
        <w:tc>
          <w:tcPr>
            <w:tcW w:w="68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(15,426)</w:t>
            </w: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bottom w:val="single" w:sz="8" w:color="auto"/>
            </w:tcBorders>
            <w:shd w:val="clear" w:color="auto" w:fill="CCEEFF"/>
          </w:tcPr>
          <w:p>
            <w:pPr>
              <w:spacing w:after="0"/>
              <w:rPr>
                <w:sz w:val="8"/>
                <w:szCs w:val="8"/>
                <w:color w:val="auto"/>
              </w:rPr>
            </w:pPr>
          </w:p>
        </w:tc>
        <w:tc>
          <w:tcPr>
            <w:tcW w:w="72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(127,496)</w:t>
            </w:r>
          </w:p>
        </w:tc>
        <w:tc>
          <w:tcPr>
            <w:tcW w:w="1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spacing w:after="0"/>
              <w:rPr>
                <w:sz w:val="8"/>
                <w:szCs w:val="8"/>
                <w:color w:val="auto"/>
              </w:rPr>
            </w:pPr>
          </w:p>
        </w:tc>
        <w:tc>
          <w:tcPr>
            <w:tcW w:w="76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(238,860)</w:t>
            </w: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bottom w:val="single" w:sz="8" w:color="auto"/>
            </w:tcBorders>
            <w:shd w:val="clear" w:color="auto" w:fill="CCEEFF"/>
          </w:tcPr>
          <w:p>
            <w:pPr>
              <w:spacing w:after="0"/>
              <w:rPr>
                <w:sz w:val="8"/>
                <w:szCs w:val="8"/>
                <w:color w:val="auto"/>
              </w:rPr>
            </w:pPr>
          </w:p>
        </w:tc>
        <w:tc>
          <w:tcPr>
            <w:tcW w:w="70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(16,764)</w:t>
            </w:r>
          </w:p>
        </w:tc>
        <w:tc>
          <w:tcPr>
            <w:tcW w:w="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bottom w:val="single" w:sz="8" w:color="auto"/>
            </w:tcBorders>
            <w:shd w:val="clear" w:color="auto" w:fill="CCEEFF"/>
          </w:tcPr>
          <w:p>
            <w:pPr>
              <w:spacing w:after="0"/>
              <w:rPr>
                <w:sz w:val="8"/>
                <w:szCs w:val="8"/>
                <w:color w:val="auto"/>
              </w:rPr>
            </w:pPr>
          </w:p>
        </w:tc>
        <w:tc>
          <w:tcPr>
            <w:tcW w:w="720" w:type="dxa"/>
            <w:vAlign w:val="bottom"/>
            <w:tcBorders>
              <w:top w:val="single" w:sz="8" w:color="auto"/>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0"/>
                <w:szCs w:val="10"/>
                <w:color w:val="auto"/>
              </w:rPr>
              <w:t>(255,624)</w:t>
            </w:r>
          </w:p>
        </w:tc>
      </w:tr>
      <w:tr>
        <w:trPr>
          <w:trHeight w:val="101"/>
        </w:trPr>
        <w:tc>
          <w:tcPr>
            <w:tcW w:w="2400" w:type="dxa"/>
            <w:vAlign w:val="bottom"/>
          </w:tcPr>
          <w:p>
            <w:pPr>
              <w:spacing w:after="0" w:line="100" w:lineRule="exact"/>
              <w:rPr>
                <w:sz w:val="20"/>
                <w:szCs w:val="20"/>
                <w:color w:val="auto"/>
              </w:rPr>
            </w:pPr>
            <w:r>
              <w:rPr>
                <w:rFonts w:ascii="Arial" w:cs="Arial" w:eastAsia="Arial" w:hAnsi="Arial"/>
                <w:sz w:val="10"/>
                <w:szCs w:val="10"/>
                <w:b w:val="1"/>
                <w:bCs w:val="1"/>
                <w:color w:val="auto"/>
              </w:rPr>
              <w:t>Segment operating income (loss)</w:t>
            </w:r>
          </w:p>
        </w:tc>
        <w:tc>
          <w:tcPr>
            <w:tcW w:w="80" w:type="dxa"/>
            <w:vAlign w:val="bottom"/>
          </w:tcPr>
          <w:p>
            <w:pPr>
              <w:spacing w:after="0"/>
              <w:rPr>
                <w:sz w:val="8"/>
                <w:szCs w:val="8"/>
                <w:color w:val="auto"/>
              </w:rPr>
            </w:pPr>
          </w:p>
        </w:tc>
        <w:tc>
          <w:tcPr>
            <w:tcW w:w="180" w:type="dxa"/>
            <w:vAlign w:val="bottom"/>
            <w:tcBorders>
              <w:bottom w:val="single" w:sz="8" w:color="auto"/>
            </w:tcBorders>
          </w:tcPr>
          <w:p>
            <w:pPr>
              <w:jc w:val="right"/>
              <w:ind w:right="115"/>
              <w:spacing w:after="0"/>
              <w:rPr>
                <w:sz w:val="20"/>
                <w:szCs w:val="20"/>
                <w:color w:val="auto"/>
              </w:rPr>
            </w:pPr>
            <w:r>
              <w:rPr>
                <w:rFonts w:ascii="Arial" w:cs="Arial" w:eastAsia="Arial" w:hAnsi="Arial"/>
                <w:sz w:val="5"/>
                <w:szCs w:val="5"/>
                <w:b w:val="1"/>
                <w:bCs w:val="1"/>
                <w:color w:val="auto"/>
                <w:w w:val="70"/>
              </w:rPr>
              <w:t>$</w:t>
            </w:r>
          </w:p>
        </w:tc>
        <w:tc>
          <w:tcPr>
            <w:tcW w:w="76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(18,637)</w:t>
            </w:r>
          </w:p>
        </w:tc>
        <w:tc>
          <w:tcPr>
            <w:tcW w:w="80" w:type="dxa"/>
            <w:vAlign w:val="bottom"/>
          </w:tcPr>
          <w:p>
            <w:pPr>
              <w:spacing w:after="0"/>
              <w:rPr>
                <w:sz w:val="8"/>
                <w:szCs w:val="8"/>
                <w:color w:val="auto"/>
              </w:rPr>
            </w:pPr>
          </w:p>
        </w:tc>
        <w:tc>
          <w:tcPr>
            <w:tcW w:w="160" w:type="dxa"/>
            <w:vAlign w:val="bottom"/>
            <w:tcBorders>
              <w:bottom w:val="single" w:sz="8" w:color="auto"/>
            </w:tcBorders>
          </w:tcPr>
          <w:p>
            <w:pPr>
              <w:jc w:val="right"/>
              <w:ind w:right="49"/>
              <w:spacing w:after="0" w:line="100" w:lineRule="exact"/>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(5,355)</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auto"/>
            </w:tcBorders>
          </w:tcPr>
          <w:p>
            <w:pPr>
              <w:jc w:val="right"/>
              <w:ind w:right="89"/>
              <w:spacing w:after="0" w:line="100" w:lineRule="exact"/>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(23,992)</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auto"/>
            </w:tcBorders>
          </w:tcPr>
          <w:p>
            <w:pPr>
              <w:jc w:val="right"/>
              <w:ind w:right="69"/>
              <w:spacing w:after="0" w:line="100" w:lineRule="exact"/>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(45,056)</w:t>
            </w:r>
          </w:p>
        </w:tc>
        <w:tc>
          <w:tcPr>
            <w:tcW w:w="100" w:type="dxa"/>
            <w:vAlign w:val="bottom"/>
          </w:tcPr>
          <w:p>
            <w:pPr>
              <w:spacing w:after="0"/>
              <w:rPr>
                <w:sz w:val="8"/>
                <w:szCs w:val="8"/>
                <w:color w:val="auto"/>
              </w:rPr>
            </w:pPr>
          </w:p>
        </w:tc>
        <w:tc>
          <w:tcPr>
            <w:tcW w:w="160" w:type="dxa"/>
            <w:vAlign w:val="bottom"/>
            <w:tcBorders>
              <w:bottom w:val="single" w:sz="8" w:color="auto"/>
            </w:tcBorders>
          </w:tcPr>
          <w:p>
            <w:pPr>
              <w:jc w:val="right"/>
              <w:ind w:right="95"/>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(2,463)</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auto"/>
            </w:tcBorders>
          </w:tcPr>
          <w:p>
            <w:pPr>
              <w:jc w:val="right"/>
              <w:ind w:right="109"/>
              <w:spacing w:after="0" w:line="100" w:lineRule="exact"/>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(47,519)</w:t>
            </w:r>
          </w:p>
        </w:tc>
        <w:tc>
          <w:tcPr>
            <w:tcW w:w="100" w:type="dxa"/>
            <w:vAlign w:val="bottom"/>
          </w:tcPr>
          <w:p>
            <w:pPr>
              <w:spacing w:after="0"/>
              <w:rPr>
                <w:sz w:val="8"/>
                <w:szCs w:val="8"/>
                <w:color w:val="auto"/>
              </w:rPr>
            </w:pPr>
          </w:p>
        </w:tc>
        <w:tc>
          <w:tcPr>
            <w:tcW w:w="180" w:type="dxa"/>
            <w:vAlign w:val="bottom"/>
            <w:tcBorders>
              <w:bottom w:val="single" w:sz="8" w:color="auto"/>
            </w:tcBorders>
          </w:tcPr>
          <w:p>
            <w:pPr>
              <w:jc w:val="right"/>
              <w:ind w:right="115"/>
              <w:spacing w:after="0"/>
              <w:rPr>
                <w:sz w:val="20"/>
                <w:szCs w:val="20"/>
                <w:color w:val="auto"/>
              </w:rPr>
            </w:pPr>
            <w:r>
              <w:rPr>
                <w:rFonts w:ascii="Arial" w:cs="Arial" w:eastAsia="Arial" w:hAnsi="Arial"/>
                <w:sz w:val="5"/>
                <w:szCs w:val="5"/>
                <w:b w:val="1"/>
                <w:bCs w:val="1"/>
                <w:color w:val="auto"/>
                <w:w w:val="70"/>
              </w:rPr>
              <w:t>$</w:t>
            </w:r>
          </w:p>
        </w:tc>
        <w:tc>
          <w:tcPr>
            <w:tcW w:w="76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23,329</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jc w:val="right"/>
              <w:ind w:right="95"/>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5,141</w:t>
            </w:r>
          </w:p>
        </w:tc>
        <w:tc>
          <w:tcPr>
            <w:tcW w:w="80" w:type="dxa"/>
            <w:vAlign w:val="bottom"/>
          </w:tcPr>
          <w:p>
            <w:pPr>
              <w:spacing w:after="0"/>
              <w:rPr>
                <w:sz w:val="8"/>
                <w:szCs w:val="8"/>
                <w:color w:val="auto"/>
              </w:rPr>
            </w:pPr>
          </w:p>
        </w:tc>
        <w:tc>
          <w:tcPr>
            <w:tcW w:w="200" w:type="dxa"/>
            <w:vAlign w:val="bottom"/>
            <w:tcBorders>
              <w:bottom w:val="single" w:sz="8" w:color="auto"/>
            </w:tcBorders>
          </w:tcPr>
          <w:p>
            <w:pPr>
              <w:jc w:val="right"/>
              <w:ind w:right="89"/>
              <w:spacing w:after="0" w:line="100" w:lineRule="exact"/>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0"/>
                <w:szCs w:val="10"/>
                <w:b w:val="1"/>
                <w:bCs w:val="1"/>
                <w:color w:val="auto"/>
              </w:rPr>
              <w:t>28,470</w:t>
            </w:r>
          </w:p>
        </w:tc>
      </w:tr>
    </w:tbl>
    <w:p>
      <w:pPr>
        <w:spacing w:after="0" w:line="104" w:lineRule="exact"/>
        <w:rPr>
          <w:sz w:val="20"/>
          <w:szCs w:val="20"/>
          <w:color w:val="auto"/>
        </w:rPr>
      </w:pPr>
    </w:p>
    <w:p>
      <w:pPr>
        <w:ind w:left="520" w:hanging="253"/>
        <w:spacing w:after="0"/>
        <w:tabs>
          <w:tab w:leader="none" w:pos="5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Inter-segment Revenues and Operating Expense relates to the internal charge between the two segments where the cinema operates within real estate owned within the group.</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segment operating income to income before income taxes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32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23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2019</w:t>
            </w:r>
          </w:p>
        </w:tc>
      </w:tr>
      <w:tr>
        <w:trPr>
          <w:trHeight w:val="173"/>
        </w:trPr>
        <w:tc>
          <w:tcPr>
            <w:tcW w:w="4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Segment operating income (loss)</w:t>
            </w:r>
          </w:p>
        </w:tc>
        <w:tc>
          <w:tcPr>
            <w:tcW w:w="282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(23,992)</w:t>
            </w:r>
          </w:p>
        </w:tc>
        <w:tc>
          <w:tcPr>
            <w:tcW w:w="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(47,519)</w:t>
            </w:r>
          </w:p>
        </w:tc>
        <w:tc>
          <w:tcPr>
            <w:tcW w:w="48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28,470</w:t>
            </w:r>
          </w:p>
        </w:tc>
      </w:tr>
      <w:tr>
        <w:trPr>
          <w:trHeight w:val="184"/>
        </w:trPr>
        <w:tc>
          <w:tcPr>
            <w:tcW w:w="4320" w:type="dxa"/>
            <w:vAlign w:val="bottom"/>
          </w:tcPr>
          <w:p>
            <w:pPr>
              <w:spacing w:after="0"/>
              <w:rPr>
                <w:sz w:val="20"/>
                <w:szCs w:val="20"/>
                <w:color w:val="auto"/>
              </w:rPr>
            </w:pPr>
            <w:r>
              <w:rPr>
                <w:rFonts w:ascii="Arial" w:cs="Arial" w:eastAsia="Arial" w:hAnsi="Arial"/>
                <w:sz w:val="14"/>
                <w:szCs w:val="14"/>
                <w:color w:val="auto"/>
              </w:rPr>
              <w:t>Unallocated corporate expense:</w:t>
            </w:r>
          </w:p>
        </w:tc>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4"/>
        </w:trPr>
        <w:tc>
          <w:tcPr>
            <w:tcW w:w="4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Depreciation and amortization expense</w:t>
            </w:r>
          </w:p>
        </w:tc>
        <w:tc>
          <w:tcPr>
            <w:tcW w:w="2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r>
      <w:tr>
        <w:trPr>
          <w:trHeight w:val="184"/>
        </w:trPr>
        <w:tc>
          <w:tcPr>
            <w:tcW w:w="4320" w:type="dxa"/>
            <w:vAlign w:val="bottom"/>
          </w:tcPr>
          <w:p>
            <w:pPr>
              <w:ind w:left="80"/>
              <w:spacing w:after="0"/>
              <w:rPr>
                <w:sz w:val="20"/>
                <w:szCs w:val="20"/>
                <w:color w:val="auto"/>
              </w:rPr>
            </w:pPr>
            <w:r>
              <w:rPr>
                <w:rFonts w:ascii="Arial" w:cs="Arial" w:eastAsia="Arial" w:hAnsi="Arial"/>
                <w:sz w:val="14"/>
                <w:szCs w:val="14"/>
                <w:color w:val="auto"/>
              </w:rPr>
              <w:t>General and administrative expense</w:t>
            </w:r>
          </w:p>
        </w:tc>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(16,569)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(12,824)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(18,933)</w:t>
            </w:r>
          </w:p>
        </w:tc>
      </w:tr>
      <w:tr>
        <w:trPr>
          <w:trHeight w:val="184"/>
        </w:trPr>
        <w:tc>
          <w:tcPr>
            <w:tcW w:w="4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Interest expense, net</w:t>
            </w:r>
          </w:p>
        </w:tc>
        <w:tc>
          <w:tcPr>
            <w:tcW w:w="2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(9,354)</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(7,904)</w:t>
            </w:r>
          </w:p>
        </w:tc>
      </w:tr>
      <w:tr>
        <w:trPr>
          <w:trHeight w:val="184"/>
        </w:trPr>
        <w:tc>
          <w:tcPr>
            <w:tcW w:w="4320" w:type="dxa"/>
            <w:vAlign w:val="bottom"/>
          </w:tcPr>
          <w:p>
            <w:pPr>
              <w:spacing w:after="0"/>
              <w:rPr>
                <w:sz w:val="20"/>
                <w:szCs w:val="20"/>
                <w:color w:val="auto"/>
              </w:rPr>
            </w:pPr>
            <w:r>
              <w:rPr>
                <w:rFonts w:ascii="Arial" w:cs="Arial" w:eastAsia="Arial" w:hAnsi="Arial"/>
                <w:sz w:val="14"/>
                <w:szCs w:val="14"/>
                <w:color w:val="auto"/>
              </w:rPr>
              <w:t>Equity earnings (loss) of unconsolidated joint ventures</w:t>
            </w:r>
          </w:p>
        </w:tc>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258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792</w:t>
            </w:r>
          </w:p>
        </w:tc>
      </w:tr>
      <w:tr>
        <w:trPr>
          <w:trHeight w:val="184"/>
        </w:trPr>
        <w:tc>
          <w:tcPr>
            <w:tcW w:w="4320" w:type="dxa"/>
            <w:vAlign w:val="bottom"/>
            <w:shd w:val="clear" w:color="auto" w:fill="CCEEFF"/>
          </w:tcPr>
          <w:p>
            <w:pPr>
              <w:spacing w:after="0"/>
              <w:rPr>
                <w:sz w:val="20"/>
                <w:szCs w:val="20"/>
                <w:color w:val="auto"/>
              </w:rPr>
            </w:pPr>
            <w:r>
              <w:rPr>
                <w:rFonts w:ascii="Arial" w:cs="Arial" w:eastAsia="Arial" w:hAnsi="Arial"/>
                <w:sz w:val="14"/>
                <w:szCs w:val="14"/>
                <w:color w:val="auto"/>
              </w:rPr>
              <w:t>Gain (loss) on sale of assets</w:t>
            </w:r>
          </w:p>
        </w:tc>
        <w:tc>
          <w:tcPr>
            <w:tcW w:w="2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92,219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4"/>
        </w:trPr>
        <w:tc>
          <w:tcPr>
            <w:tcW w:w="43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(expense) income</w:t>
            </w:r>
          </w:p>
        </w:tc>
        <w:tc>
          <w:tcPr>
            <w:tcW w:w="23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3,762</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w:t>
            </w:r>
          </w:p>
        </w:tc>
      </w:tr>
      <w:tr>
        <w:trPr>
          <w:trHeight w:val="173"/>
        </w:trPr>
        <w:tc>
          <w:tcPr>
            <w:tcW w:w="4320" w:type="dxa"/>
            <w:vAlign w:val="bottom"/>
            <w:tcBorders>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Income (loss) before income taxes</w:t>
            </w:r>
          </w:p>
        </w:tc>
        <w:tc>
          <w:tcPr>
            <w:tcW w:w="23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8"/>
              <w:spacing w:after="0" w:line="153"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40,758</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(70,824)</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2,334</w:t>
            </w:r>
          </w:p>
        </w:tc>
      </w:tr>
      <w:tr>
        <w:trPr>
          <w:trHeight w:val="295"/>
        </w:trPr>
        <w:tc>
          <w:tcPr>
            <w:tcW w:w="4320" w:type="dxa"/>
            <w:vAlign w:val="bottom"/>
          </w:tcPr>
          <w:p>
            <w:pPr>
              <w:spacing w:after="0"/>
              <w:rPr>
                <w:sz w:val="24"/>
                <w:szCs w:val="24"/>
                <w:color w:val="auto"/>
              </w:rPr>
            </w:pPr>
          </w:p>
        </w:tc>
        <w:tc>
          <w:tcPr>
            <w:tcW w:w="2340" w:type="dxa"/>
            <w:vAlign w:val="bottom"/>
          </w:tcPr>
          <w:p>
            <w:pPr>
              <w:jc w:val="right"/>
              <w:ind w:right="788"/>
              <w:spacing w:after="0"/>
              <w:rPr>
                <w:sz w:val="20"/>
                <w:szCs w:val="20"/>
                <w:color w:val="auto"/>
              </w:rPr>
            </w:pPr>
            <w:r>
              <w:rPr>
                <w:rFonts w:ascii="Arial" w:cs="Arial" w:eastAsia="Arial" w:hAnsi="Arial"/>
                <w:sz w:val="14"/>
                <w:szCs w:val="14"/>
                <w:color w:val="auto"/>
              </w:rPr>
              <w:t>- 67 -</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2"/>
        </w:trPr>
        <w:tc>
          <w:tcPr>
            <w:tcW w:w="4320" w:type="dxa"/>
            <w:vAlign w:val="bottom"/>
            <w:tcBorders>
              <w:bottom w:val="single" w:sz="8" w:color="9A9A9A"/>
            </w:tcBorders>
          </w:tcPr>
          <w:p>
            <w:pPr>
              <w:spacing w:after="0"/>
              <w:rPr>
                <w:sz w:val="21"/>
                <w:szCs w:val="21"/>
                <w:color w:val="auto"/>
              </w:rPr>
            </w:pPr>
          </w:p>
        </w:tc>
        <w:tc>
          <w:tcPr>
            <w:tcW w:w="234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32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32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32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414"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color w:val="auto"/>
        </w:rPr>
        <w:t>Assuming cash and cash equivalents are accounted for as corporate assets, total assets by business segment and by country are presented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200" w:type="dxa"/>
            <w:vAlign w:val="bottom"/>
            <w:vMerge w:val="restart"/>
          </w:tcPr>
          <w:p>
            <w:pPr>
              <w:spacing w:after="0"/>
              <w:rPr>
                <w:sz w:val="20"/>
                <w:szCs w:val="20"/>
                <w:color w:val="auto"/>
              </w:rPr>
            </w:pPr>
            <w:r>
              <w:rPr>
                <w:rFonts w:ascii="Arial" w:cs="Arial" w:eastAsia="Arial" w:hAnsi="Arial"/>
                <w:sz w:val="12"/>
                <w:szCs w:val="12"/>
                <w:i w:val="1"/>
                <w:iCs w:val="1"/>
                <w:color w:val="auto"/>
              </w:rPr>
              <w:t>(Dollars in thousands)</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ind w:left="800"/>
              <w:spacing w:after="0"/>
              <w:rPr>
                <w:sz w:val="20"/>
                <w:szCs w:val="20"/>
                <w:color w:val="auto"/>
              </w:rPr>
            </w:pPr>
            <w:r>
              <w:rPr>
                <w:rFonts w:ascii="Arial" w:cs="Arial" w:eastAsia="Arial" w:hAnsi="Arial"/>
                <w:sz w:val="12"/>
                <w:szCs w:val="12"/>
                <w:b w:val="1"/>
                <w:bCs w:val="1"/>
                <w:color w:val="auto"/>
              </w:rPr>
              <w:t>December 31,</w:t>
            </w: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200" w:type="dxa"/>
            <w:vAlign w:val="bottom"/>
            <w:tcBorders>
              <w:bottom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ind w:left="260"/>
              <w:spacing w:after="0" w:line="120" w:lineRule="exact"/>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509"/>
              <w:spacing w:after="0" w:line="120" w:lineRule="exact"/>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2"/>
        </w:trPr>
        <w:tc>
          <w:tcPr>
            <w:tcW w:w="8200" w:type="dxa"/>
            <w:vAlign w:val="bottom"/>
          </w:tcPr>
          <w:p>
            <w:pPr>
              <w:spacing w:after="0" w:line="152" w:lineRule="exact"/>
              <w:rPr>
                <w:sz w:val="20"/>
                <w:szCs w:val="20"/>
                <w:color w:val="auto"/>
              </w:rPr>
            </w:pPr>
            <w:r>
              <w:rPr>
                <w:rFonts w:ascii="Arial" w:cs="Arial" w:eastAsia="Arial" w:hAnsi="Arial"/>
                <w:sz w:val="14"/>
                <w:szCs w:val="14"/>
                <w:b w:val="1"/>
                <w:bCs w:val="1"/>
                <w:color w:val="auto"/>
              </w:rPr>
              <w:t>By segment: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20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Cinema</w:t>
            </w:r>
          </w:p>
        </w:tc>
        <w:tc>
          <w:tcPr>
            <w:tcW w:w="480" w:type="dxa"/>
            <w:vAlign w:val="bottom"/>
            <w:gridSpan w:val="2"/>
            <w:shd w:val="clear" w:color="auto" w:fill="CCEEFF"/>
          </w:tcPr>
          <w:p>
            <w:pPr>
              <w:jc w:val="right"/>
              <w:ind w:right="168"/>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ind w:left="520"/>
              <w:spacing w:after="0" w:line="152" w:lineRule="exact"/>
              <w:rPr>
                <w:sz w:val="20"/>
                <w:szCs w:val="20"/>
                <w:color w:val="auto"/>
              </w:rPr>
            </w:pPr>
            <w:r>
              <w:rPr>
                <w:rFonts w:ascii="Arial" w:cs="Arial" w:eastAsia="Arial" w:hAnsi="Arial"/>
                <w:sz w:val="14"/>
                <w:szCs w:val="14"/>
                <w:color w:val="auto"/>
              </w:rPr>
              <w:t>316,169</w:t>
            </w:r>
          </w:p>
        </w:tc>
        <w:tc>
          <w:tcPr>
            <w:tcW w:w="580" w:type="dxa"/>
            <w:vAlign w:val="bottom"/>
            <w:gridSpan w:val="2"/>
            <w:shd w:val="clear" w:color="auto" w:fill="CCEEFF"/>
          </w:tcPr>
          <w:p>
            <w:pPr>
              <w:jc w:val="right"/>
              <w:ind w:right="308"/>
              <w:spacing w:after="0" w:line="152"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357,196</w:t>
            </w:r>
          </w:p>
        </w:tc>
        <w:tc>
          <w:tcPr>
            <w:tcW w:w="0" w:type="dxa"/>
            <w:vAlign w:val="bottom"/>
          </w:tcPr>
          <w:p>
            <w:pPr>
              <w:spacing w:after="0"/>
              <w:rPr>
                <w:sz w:val="1"/>
                <w:szCs w:val="1"/>
                <w:color w:val="auto"/>
              </w:rPr>
            </w:pPr>
          </w:p>
        </w:tc>
      </w:tr>
      <w:tr>
        <w:trPr>
          <w:trHeight w:val="152"/>
        </w:trPr>
        <w:tc>
          <w:tcPr>
            <w:tcW w:w="8200" w:type="dxa"/>
            <w:vAlign w:val="bottom"/>
          </w:tcPr>
          <w:p>
            <w:pPr>
              <w:spacing w:after="0" w:line="152" w:lineRule="exact"/>
              <w:rPr>
                <w:sz w:val="20"/>
                <w:szCs w:val="20"/>
                <w:color w:val="auto"/>
              </w:rPr>
            </w:pPr>
            <w:r>
              <w:rPr>
                <w:rFonts w:ascii="Arial" w:cs="Arial" w:eastAsia="Arial" w:hAnsi="Arial"/>
                <w:sz w:val="14"/>
                <w:szCs w:val="14"/>
                <w:color w:val="auto"/>
              </w:rPr>
              <w:t>Real estate</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ind w:left="520"/>
              <w:spacing w:after="0" w:line="152" w:lineRule="exact"/>
              <w:rPr>
                <w:sz w:val="20"/>
                <w:szCs w:val="20"/>
                <w:color w:val="auto"/>
              </w:rPr>
            </w:pPr>
            <w:r>
              <w:rPr>
                <w:rFonts w:ascii="Arial" w:cs="Arial" w:eastAsia="Arial" w:hAnsi="Arial"/>
                <w:sz w:val="14"/>
                <w:szCs w:val="14"/>
                <w:color w:val="auto"/>
              </w:rPr>
              <w:t>257,224</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jc w:val="right"/>
              <w:spacing w:after="0" w:line="152" w:lineRule="exact"/>
              <w:rPr>
                <w:sz w:val="20"/>
                <w:szCs w:val="20"/>
                <w:color w:val="auto"/>
              </w:rPr>
            </w:pPr>
            <w:r>
              <w:rPr>
                <w:rFonts w:ascii="Arial" w:cs="Arial" w:eastAsia="Arial" w:hAnsi="Arial"/>
                <w:sz w:val="14"/>
                <w:szCs w:val="14"/>
                <w:color w:val="auto"/>
              </w:rPr>
              <w:t>312,832</w:t>
            </w:r>
          </w:p>
        </w:tc>
        <w:tc>
          <w:tcPr>
            <w:tcW w:w="0" w:type="dxa"/>
            <w:vAlign w:val="bottom"/>
          </w:tcPr>
          <w:p>
            <w:pPr>
              <w:spacing w:after="0"/>
              <w:rPr>
                <w:sz w:val="1"/>
                <w:szCs w:val="1"/>
                <w:color w:val="auto"/>
              </w:rPr>
            </w:pPr>
          </w:p>
        </w:tc>
      </w:tr>
      <w:tr>
        <w:trPr>
          <w:trHeight w:val="206"/>
        </w:trPr>
        <w:tc>
          <w:tcPr>
            <w:tcW w:w="8200" w:type="dxa"/>
            <w:vAlign w:val="bottom"/>
            <w:shd w:val="clear" w:color="auto" w:fill="CCEEFF"/>
          </w:tcPr>
          <w:p>
            <w:pPr>
              <w:spacing w:after="0" w:line="205" w:lineRule="exact"/>
              <w:rPr>
                <w:sz w:val="20"/>
                <w:szCs w:val="20"/>
                <w:color w:val="auto"/>
              </w:rPr>
            </w:pPr>
            <w:r>
              <w:rPr>
                <w:rFonts w:ascii="Arial" w:cs="Arial" w:eastAsia="Arial" w:hAnsi="Arial"/>
                <w:sz w:val="14"/>
                <w:szCs w:val="14"/>
                <w:color w:val="auto"/>
              </w:rPr>
              <w:t xml:space="preserve">Corporate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w w:val="98"/>
              </w:rPr>
              <w:t>114,309</w:t>
            </w:r>
          </w:p>
        </w:tc>
        <w:tc>
          <w:tcPr>
            <w:tcW w:w="1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20,141</w:t>
            </w:r>
          </w:p>
        </w:tc>
        <w:tc>
          <w:tcPr>
            <w:tcW w:w="0" w:type="dxa"/>
            <w:vAlign w:val="bottom"/>
          </w:tcPr>
          <w:p>
            <w:pPr>
              <w:spacing w:after="0"/>
              <w:rPr>
                <w:sz w:val="1"/>
                <w:szCs w:val="1"/>
                <w:color w:val="auto"/>
              </w:rPr>
            </w:pPr>
          </w:p>
        </w:tc>
      </w:tr>
      <w:tr>
        <w:trPr>
          <w:trHeight w:val="144"/>
        </w:trPr>
        <w:tc>
          <w:tcPr>
            <w:tcW w:w="8200" w:type="dxa"/>
            <w:vAlign w:val="bottom"/>
            <w:tcBorders>
              <w:bottom w:val="single" w:sz="8" w:color="CCEEFF"/>
            </w:tcBorders>
          </w:tcPr>
          <w:p>
            <w:pPr>
              <w:ind w:left="80"/>
              <w:spacing w:after="0" w:line="143" w:lineRule="exact"/>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168"/>
              <w:spacing w:after="0" w:line="14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ind w:left="540"/>
              <w:spacing w:after="0" w:line="143" w:lineRule="exact"/>
              <w:rPr>
                <w:sz w:val="20"/>
                <w:szCs w:val="20"/>
                <w:color w:val="auto"/>
              </w:rPr>
            </w:pPr>
            <w:r>
              <w:rPr>
                <w:rFonts w:ascii="Arial" w:cs="Arial" w:eastAsia="Arial" w:hAnsi="Arial"/>
                <w:sz w:val="14"/>
                <w:szCs w:val="14"/>
                <w:b w:val="1"/>
                <w:bCs w:val="1"/>
                <w:color w:val="auto"/>
                <w:w w:val="98"/>
              </w:rPr>
              <w:t>687,702</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690,169</w:t>
            </w:r>
          </w:p>
        </w:tc>
        <w:tc>
          <w:tcPr>
            <w:tcW w:w="0" w:type="dxa"/>
            <w:vAlign w:val="bottom"/>
          </w:tcPr>
          <w:p>
            <w:pPr>
              <w:spacing w:after="0"/>
              <w:rPr>
                <w:sz w:val="1"/>
                <w:szCs w:val="1"/>
                <w:color w:val="auto"/>
              </w:rPr>
            </w:pPr>
          </w:p>
        </w:tc>
      </w:tr>
      <w:tr>
        <w:trPr>
          <w:trHeight w:val="152"/>
        </w:trPr>
        <w:tc>
          <w:tcPr>
            <w:tcW w:w="8200" w:type="dxa"/>
            <w:vAlign w:val="bottom"/>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By country:</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200" w:type="dxa"/>
            <w:vAlign w:val="bottom"/>
          </w:tcPr>
          <w:p>
            <w:pPr>
              <w:spacing w:after="0" w:line="152" w:lineRule="exact"/>
              <w:rPr>
                <w:sz w:val="20"/>
                <w:szCs w:val="20"/>
                <w:color w:val="auto"/>
              </w:rPr>
            </w:pPr>
            <w:r>
              <w:rPr>
                <w:rFonts w:ascii="Arial" w:cs="Arial" w:eastAsia="Arial" w:hAnsi="Arial"/>
                <w:sz w:val="14"/>
                <w:szCs w:val="14"/>
                <w:color w:val="auto"/>
              </w:rPr>
              <w:t>United States</w:t>
            </w:r>
          </w:p>
        </w:tc>
        <w:tc>
          <w:tcPr>
            <w:tcW w:w="480" w:type="dxa"/>
            <w:vAlign w:val="bottom"/>
            <w:gridSpan w:val="2"/>
          </w:tcPr>
          <w:p>
            <w:pPr>
              <w:jc w:val="right"/>
              <w:ind w:right="168"/>
              <w:spacing w:after="0" w:line="152" w:lineRule="exact"/>
              <w:rPr>
                <w:sz w:val="20"/>
                <w:szCs w:val="20"/>
                <w:color w:val="auto"/>
              </w:rPr>
            </w:pPr>
            <w:r>
              <w:rPr>
                <w:rFonts w:ascii="Arial" w:cs="Arial" w:eastAsia="Arial" w:hAnsi="Arial"/>
                <w:sz w:val="14"/>
                <w:szCs w:val="14"/>
                <w:color w:val="auto"/>
              </w:rPr>
              <w:t>$</w:t>
            </w:r>
          </w:p>
        </w:tc>
        <w:tc>
          <w:tcPr>
            <w:tcW w:w="1060" w:type="dxa"/>
            <w:vAlign w:val="bottom"/>
          </w:tcPr>
          <w:p>
            <w:pPr>
              <w:ind w:left="520"/>
              <w:spacing w:after="0" w:line="152" w:lineRule="exact"/>
              <w:rPr>
                <w:sz w:val="20"/>
                <w:szCs w:val="20"/>
                <w:color w:val="auto"/>
              </w:rPr>
            </w:pPr>
            <w:r>
              <w:rPr>
                <w:rFonts w:ascii="Arial" w:cs="Arial" w:eastAsia="Arial" w:hAnsi="Arial"/>
                <w:sz w:val="14"/>
                <w:szCs w:val="14"/>
                <w:color w:val="auto"/>
              </w:rPr>
              <w:t>336,029</w:t>
            </w:r>
          </w:p>
        </w:tc>
        <w:tc>
          <w:tcPr>
            <w:tcW w:w="580" w:type="dxa"/>
            <w:vAlign w:val="bottom"/>
            <w:gridSpan w:val="2"/>
          </w:tcPr>
          <w:p>
            <w:pPr>
              <w:jc w:val="right"/>
              <w:ind w:right="308"/>
              <w:spacing w:after="0" w:line="152"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52" w:lineRule="exact"/>
              <w:rPr>
                <w:sz w:val="20"/>
                <w:szCs w:val="20"/>
                <w:color w:val="auto"/>
              </w:rPr>
            </w:pPr>
            <w:r>
              <w:rPr>
                <w:rFonts w:ascii="Arial" w:cs="Arial" w:eastAsia="Arial" w:hAnsi="Arial"/>
                <w:sz w:val="14"/>
                <w:szCs w:val="14"/>
                <w:color w:val="auto"/>
              </w:rPr>
              <w:t>340,836</w:t>
            </w:r>
          </w:p>
        </w:tc>
        <w:tc>
          <w:tcPr>
            <w:tcW w:w="0" w:type="dxa"/>
            <w:vAlign w:val="bottom"/>
          </w:tcPr>
          <w:p>
            <w:pPr>
              <w:spacing w:after="0"/>
              <w:rPr>
                <w:sz w:val="1"/>
                <w:szCs w:val="1"/>
                <w:color w:val="auto"/>
              </w:rPr>
            </w:pPr>
          </w:p>
        </w:tc>
      </w:tr>
      <w:tr>
        <w:trPr>
          <w:trHeight w:val="152"/>
        </w:trPr>
        <w:tc>
          <w:tcPr>
            <w:tcW w:w="820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Australia</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ind w:left="520"/>
              <w:spacing w:after="0" w:line="152" w:lineRule="exact"/>
              <w:rPr>
                <w:sz w:val="20"/>
                <w:szCs w:val="20"/>
                <w:color w:val="auto"/>
              </w:rPr>
            </w:pPr>
            <w:r>
              <w:rPr>
                <w:rFonts w:ascii="Arial" w:cs="Arial" w:eastAsia="Arial" w:hAnsi="Arial"/>
                <w:sz w:val="14"/>
                <w:szCs w:val="14"/>
                <w:color w:val="auto"/>
              </w:rPr>
              <w:t>274,330</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267,153</w:t>
            </w:r>
          </w:p>
        </w:tc>
        <w:tc>
          <w:tcPr>
            <w:tcW w:w="0" w:type="dxa"/>
            <w:vAlign w:val="bottom"/>
          </w:tcPr>
          <w:p>
            <w:pPr>
              <w:spacing w:after="0"/>
              <w:rPr>
                <w:sz w:val="1"/>
                <w:szCs w:val="1"/>
                <w:color w:val="auto"/>
              </w:rPr>
            </w:pPr>
          </w:p>
        </w:tc>
      </w:tr>
      <w:tr>
        <w:trPr>
          <w:trHeight w:val="152"/>
        </w:trPr>
        <w:tc>
          <w:tcPr>
            <w:tcW w:w="8200" w:type="dxa"/>
            <w:vAlign w:val="bottom"/>
            <w:tcBorders>
              <w:bottom w:val="single" w:sz="8" w:color="CCEEFF"/>
            </w:tcBorders>
          </w:tcPr>
          <w:p>
            <w:pPr>
              <w:spacing w:after="0" w:line="152" w:lineRule="exact"/>
              <w:rPr>
                <w:sz w:val="20"/>
                <w:szCs w:val="20"/>
                <w:color w:val="auto"/>
              </w:rPr>
            </w:pPr>
            <w:r>
              <w:rPr>
                <w:rFonts w:ascii="Arial" w:cs="Arial" w:eastAsia="Arial" w:hAnsi="Arial"/>
                <w:sz w:val="14"/>
                <w:szCs w:val="14"/>
                <w:color w:val="auto"/>
              </w:rPr>
              <w:t>New Zealand</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600"/>
              <w:spacing w:after="0" w:line="152" w:lineRule="exact"/>
              <w:rPr>
                <w:sz w:val="20"/>
                <w:szCs w:val="20"/>
                <w:color w:val="auto"/>
              </w:rPr>
            </w:pPr>
            <w:r>
              <w:rPr>
                <w:rFonts w:ascii="Arial" w:cs="Arial" w:eastAsia="Arial" w:hAnsi="Arial"/>
                <w:sz w:val="14"/>
                <w:szCs w:val="14"/>
                <w:color w:val="auto"/>
              </w:rPr>
              <w:t>77,343</w:t>
            </w:r>
          </w:p>
        </w:tc>
        <w:tc>
          <w:tcPr>
            <w:tcW w:w="1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82,180</w:t>
            </w:r>
          </w:p>
        </w:tc>
        <w:tc>
          <w:tcPr>
            <w:tcW w:w="0" w:type="dxa"/>
            <w:vAlign w:val="bottom"/>
          </w:tcPr>
          <w:p>
            <w:pPr>
              <w:spacing w:after="0"/>
              <w:rPr>
                <w:sz w:val="1"/>
                <w:szCs w:val="1"/>
                <w:color w:val="auto"/>
              </w:rPr>
            </w:pPr>
          </w:p>
        </w:tc>
      </w:tr>
      <w:tr>
        <w:trPr>
          <w:trHeight w:val="144"/>
        </w:trPr>
        <w:tc>
          <w:tcPr>
            <w:tcW w:w="8200" w:type="dxa"/>
            <w:vAlign w:val="bottom"/>
            <w:tcBorders>
              <w:bottom w:val="single" w:sz="8" w:color="CCEEFF"/>
            </w:tcBorders>
            <w:shd w:val="clear" w:color="auto" w:fill="CCEEFF"/>
          </w:tcPr>
          <w:p>
            <w:pPr>
              <w:ind w:left="80"/>
              <w:spacing w:after="0" w:line="143" w:lineRule="exact"/>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ind w:left="540"/>
              <w:spacing w:after="0" w:line="143" w:lineRule="exact"/>
              <w:rPr>
                <w:sz w:val="20"/>
                <w:szCs w:val="20"/>
                <w:color w:val="auto"/>
              </w:rPr>
            </w:pPr>
            <w:r>
              <w:rPr>
                <w:rFonts w:ascii="Arial" w:cs="Arial" w:eastAsia="Arial" w:hAnsi="Arial"/>
                <w:sz w:val="14"/>
                <w:szCs w:val="14"/>
                <w:b w:val="1"/>
                <w:bCs w:val="1"/>
                <w:color w:val="auto"/>
                <w:w w:val="98"/>
              </w:rPr>
              <w:t>687,702</w:t>
            </w:r>
          </w:p>
        </w:tc>
        <w:tc>
          <w:tcPr>
            <w:tcW w:w="1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690,169</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520" w:hanging="253"/>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Corporate Assets includes cash and cash equivalents of $83.3 million and $26.8 million as of December 31, 2021 and 2020,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operating properties by country: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60" w:type="dxa"/>
            <w:vAlign w:val="bottom"/>
            <w:vMerge w:val="restart"/>
          </w:tcPr>
          <w:p>
            <w:pPr>
              <w:spacing w:after="0"/>
              <w:rPr>
                <w:sz w:val="20"/>
                <w:szCs w:val="20"/>
                <w:color w:val="auto"/>
              </w:rPr>
            </w:pPr>
            <w:r>
              <w:rPr>
                <w:rFonts w:ascii="Arial" w:cs="Arial" w:eastAsia="Arial" w:hAnsi="Arial"/>
                <w:sz w:val="12"/>
                <w:szCs w:val="12"/>
                <w:i w:val="1"/>
                <w:iCs w:val="1"/>
                <w:color w:val="auto"/>
              </w:rPr>
              <w:t>(Dollars in thousands)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2"/>
                <w:szCs w:val="12"/>
                <w:b w:val="1"/>
                <w:bCs w:val="1"/>
                <w:color w:val="auto"/>
              </w:rPr>
              <w:t>December 31,</w:t>
            </w: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66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12"/>
              <w:spacing w:after="0" w:line="120" w:lineRule="exact"/>
              <w:rPr>
                <w:sz w:val="20"/>
                <w:szCs w:val="20"/>
                <w:color w:val="auto"/>
              </w:rPr>
            </w:pPr>
            <w:r>
              <w:rPr>
                <w:rFonts w:ascii="Arial" w:cs="Arial" w:eastAsia="Arial" w:hAnsi="Arial"/>
                <w:sz w:val="12"/>
                <w:szCs w:val="12"/>
                <w:b w:val="1"/>
                <w:bCs w:val="1"/>
                <w:color w:val="auto"/>
              </w:rPr>
              <w:t>2021</w:t>
            </w:r>
          </w:p>
        </w:tc>
        <w:tc>
          <w:tcPr>
            <w:tcW w:w="16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511"/>
              <w:spacing w:after="0" w:line="120" w:lineRule="exact"/>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2"/>
        </w:trPr>
        <w:tc>
          <w:tcPr>
            <w:tcW w:w="666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United States</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177,918</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0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182,416</w:t>
            </w:r>
          </w:p>
        </w:tc>
        <w:tc>
          <w:tcPr>
            <w:tcW w:w="0" w:type="dxa"/>
            <w:vAlign w:val="bottom"/>
          </w:tcPr>
          <w:p>
            <w:pPr>
              <w:spacing w:after="0"/>
              <w:rPr>
                <w:sz w:val="1"/>
                <w:szCs w:val="1"/>
                <w:color w:val="auto"/>
              </w:rPr>
            </w:pPr>
          </w:p>
        </w:tc>
      </w:tr>
      <w:tr>
        <w:trPr>
          <w:trHeight w:val="152"/>
        </w:trPr>
        <w:tc>
          <w:tcPr>
            <w:tcW w:w="6660" w:type="dxa"/>
            <w:vAlign w:val="bottom"/>
          </w:tcPr>
          <w:p>
            <w:pPr>
              <w:spacing w:after="0" w:line="152" w:lineRule="exact"/>
              <w:rPr>
                <w:sz w:val="20"/>
                <w:szCs w:val="20"/>
                <w:color w:val="auto"/>
              </w:rPr>
            </w:pPr>
            <w:r>
              <w:rPr>
                <w:rFonts w:ascii="Arial" w:cs="Arial" w:eastAsia="Arial" w:hAnsi="Arial"/>
                <w:sz w:val="14"/>
                <w:szCs w:val="14"/>
                <w:color w:val="auto"/>
              </w:rPr>
              <w:t>Australia</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107,343</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jc w:val="right"/>
              <w:spacing w:after="0" w:line="152" w:lineRule="exact"/>
              <w:rPr>
                <w:sz w:val="20"/>
                <w:szCs w:val="20"/>
                <w:color w:val="auto"/>
              </w:rPr>
            </w:pPr>
            <w:r>
              <w:rPr>
                <w:rFonts w:ascii="Arial" w:cs="Arial" w:eastAsia="Arial" w:hAnsi="Arial"/>
                <w:sz w:val="14"/>
                <w:szCs w:val="14"/>
                <w:color w:val="auto"/>
              </w:rPr>
              <w:t>144,573</w:t>
            </w:r>
          </w:p>
        </w:tc>
        <w:tc>
          <w:tcPr>
            <w:tcW w:w="0" w:type="dxa"/>
            <w:vAlign w:val="bottom"/>
          </w:tcPr>
          <w:p>
            <w:pPr>
              <w:spacing w:after="0"/>
              <w:rPr>
                <w:sz w:val="1"/>
                <w:szCs w:val="1"/>
                <w:color w:val="auto"/>
              </w:rPr>
            </w:pPr>
          </w:p>
        </w:tc>
      </w:tr>
      <w:tr>
        <w:trPr>
          <w:trHeight w:val="152"/>
        </w:trPr>
        <w:tc>
          <w:tcPr>
            <w:tcW w:w="666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New Zealand</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21,396</w:t>
            </w:r>
          </w:p>
        </w:tc>
        <w:tc>
          <w:tcPr>
            <w:tcW w:w="16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26,136</w:t>
            </w:r>
          </w:p>
        </w:tc>
        <w:tc>
          <w:tcPr>
            <w:tcW w:w="0" w:type="dxa"/>
            <w:vAlign w:val="bottom"/>
          </w:tcPr>
          <w:p>
            <w:pPr>
              <w:spacing w:after="0"/>
              <w:rPr>
                <w:sz w:val="1"/>
                <w:szCs w:val="1"/>
                <w:color w:val="auto"/>
              </w:rPr>
            </w:pPr>
          </w:p>
        </w:tc>
      </w:tr>
      <w:tr>
        <w:trPr>
          <w:trHeight w:val="144"/>
        </w:trPr>
        <w:tc>
          <w:tcPr>
            <w:tcW w:w="6660" w:type="dxa"/>
            <w:vAlign w:val="bottom"/>
          </w:tcPr>
          <w:p>
            <w:pPr>
              <w:spacing w:after="0" w:line="143" w:lineRule="exact"/>
              <w:rPr>
                <w:sz w:val="20"/>
                <w:szCs w:val="20"/>
                <w:color w:val="auto"/>
              </w:rPr>
            </w:pPr>
            <w:r>
              <w:rPr>
                <w:rFonts w:ascii="Arial" w:cs="Arial" w:eastAsia="Arial" w:hAnsi="Arial"/>
                <w:sz w:val="14"/>
                <w:szCs w:val="14"/>
                <w:b w:val="1"/>
                <w:bCs w:val="1"/>
                <w:color w:val="auto"/>
              </w:rPr>
              <w:t>Total operating property</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306,657</w:t>
            </w:r>
          </w:p>
        </w:tc>
        <w:tc>
          <w:tcPr>
            <w:tcW w:w="160" w:type="dxa"/>
            <w:vAlign w:val="bottom"/>
          </w:tcPr>
          <w:p>
            <w:pPr>
              <w:spacing w:after="0"/>
              <w:rPr>
                <w:sz w:val="12"/>
                <w:szCs w:val="12"/>
                <w:color w:val="auto"/>
              </w:rPr>
            </w:pPr>
          </w:p>
        </w:tc>
        <w:tc>
          <w:tcPr>
            <w:tcW w:w="42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353,125</w:t>
            </w:r>
          </w:p>
        </w:tc>
        <w:tc>
          <w:tcPr>
            <w:tcW w:w="0" w:type="dxa"/>
            <w:vAlign w:val="bottom"/>
          </w:tcPr>
          <w:p>
            <w:pPr>
              <w:spacing w:after="0"/>
              <w:rPr>
                <w:sz w:val="1"/>
                <w:szCs w:val="1"/>
                <w:color w:val="auto"/>
              </w:rPr>
            </w:pPr>
          </w:p>
        </w:tc>
      </w:tr>
      <w:tr>
        <w:trPr>
          <w:trHeight w:val="313"/>
        </w:trPr>
        <w:tc>
          <w:tcPr>
            <w:tcW w:w="6660" w:type="dxa"/>
            <w:vAlign w:val="bottom"/>
          </w:tcPr>
          <w:p>
            <w:pPr>
              <w:spacing w:after="0"/>
              <w:rPr>
                <w:sz w:val="20"/>
                <w:szCs w:val="20"/>
                <w:color w:val="auto"/>
              </w:rPr>
            </w:pPr>
            <w:r>
              <w:rPr>
                <w:rFonts w:ascii="Arial" w:cs="Arial" w:eastAsia="Arial" w:hAnsi="Arial"/>
                <w:sz w:val="14"/>
                <w:szCs w:val="14"/>
                <w:color w:val="auto"/>
              </w:rPr>
              <w:t>The table below summarizes capital expenditures for the three years ended December 31, 2021: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6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11"/>
              <w:spacing w:after="0"/>
              <w:rPr>
                <w:sz w:val="20"/>
                <w:szCs w:val="20"/>
                <w:color w:val="auto"/>
              </w:rPr>
            </w:pPr>
            <w:r>
              <w:rPr>
                <w:rFonts w:ascii="Arial" w:cs="Arial" w:eastAsia="Arial" w:hAnsi="Arial"/>
                <w:sz w:val="12"/>
                <w:szCs w:val="12"/>
                <w:b w:val="1"/>
                <w:bCs w:val="1"/>
                <w:color w:val="auto"/>
              </w:rPr>
              <w:t>2021</w:t>
            </w: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52"/>
        </w:trPr>
        <w:tc>
          <w:tcPr>
            <w:tcW w:w="666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Segment capital expenditures</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68"/>
              <w:spacing w:after="0" w:line="152"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14,428</w:t>
            </w:r>
          </w:p>
        </w:tc>
        <w:tc>
          <w:tcPr>
            <w:tcW w:w="1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16,686</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0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47,555</w:t>
            </w:r>
          </w:p>
        </w:tc>
        <w:tc>
          <w:tcPr>
            <w:tcW w:w="0" w:type="dxa"/>
            <w:vAlign w:val="bottom"/>
          </w:tcPr>
          <w:p>
            <w:pPr>
              <w:spacing w:after="0"/>
              <w:rPr>
                <w:sz w:val="1"/>
                <w:szCs w:val="1"/>
                <w:color w:val="auto"/>
              </w:rPr>
            </w:pPr>
          </w:p>
        </w:tc>
      </w:tr>
      <w:tr>
        <w:trPr>
          <w:trHeight w:val="152"/>
        </w:trPr>
        <w:tc>
          <w:tcPr>
            <w:tcW w:w="6660" w:type="dxa"/>
            <w:vAlign w:val="bottom"/>
            <w:tcBorders>
              <w:bottom w:val="single" w:sz="8" w:color="CCEEFF"/>
            </w:tcBorders>
          </w:tcPr>
          <w:p>
            <w:pPr>
              <w:spacing w:after="0" w:line="152" w:lineRule="exact"/>
              <w:rPr>
                <w:sz w:val="20"/>
                <w:szCs w:val="20"/>
                <w:color w:val="auto"/>
              </w:rPr>
            </w:pPr>
            <w:r>
              <w:rPr>
                <w:rFonts w:ascii="Arial" w:cs="Arial" w:eastAsia="Arial" w:hAnsi="Arial"/>
                <w:sz w:val="14"/>
                <w:szCs w:val="14"/>
                <w:color w:val="auto"/>
              </w:rPr>
              <w:t>Corporate capital expenditures</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73</w:t>
            </w:r>
          </w:p>
        </w:tc>
        <w:tc>
          <w:tcPr>
            <w:tcW w:w="1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4"/>
        </w:trPr>
        <w:tc>
          <w:tcPr>
            <w:tcW w:w="6660" w:type="dxa"/>
            <w:vAlign w:val="bottom"/>
            <w:tcBorders>
              <w:bottom w:val="single" w:sz="8" w:color="CCEEFF"/>
            </w:tcBorders>
            <w:shd w:val="clear" w:color="auto" w:fill="CCEEFF"/>
          </w:tcPr>
          <w:p>
            <w:pPr>
              <w:ind w:left="80"/>
              <w:spacing w:after="0" w:line="143" w:lineRule="exact"/>
              <w:rPr>
                <w:sz w:val="20"/>
                <w:szCs w:val="20"/>
                <w:color w:val="auto"/>
              </w:rPr>
            </w:pPr>
            <w:r>
              <w:rPr>
                <w:rFonts w:ascii="Arial" w:cs="Arial" w:eastAsia="Arial" w:hAnsi="Arial"/>
                <w:sz w:val="14"/>
                <w:szCs w:val="14"/>
                <w:b w:val="1"/>
                <w:bCs w:val="1"/>
                <w:color w:val="auto"/>
              </w:rPr>
              <w:t>Total capital expenditures</w:t>
            </w:r>
          </w:p>
        </w:tc>
        <w:tc>
          <w:tcPr>
            <w:tcW w:w="1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14,428</w:t>
            </w:r>
          </w:p>
        </w:tc>
        <w:tc>
          <w:tcPr>
            <w:tcW w:w="1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16,759</w:t>
            </w:r>
          </w:p>
        </w:tc>
        <w:tc>
          <w:tcPr>
            <w:tcW w:w="1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47,722</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2 – SUMMARY OF SIGNIFICANT ACCOUNTING POLICIES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Significant Accounting Policies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Basis of Consolidation</w:t>
      </w:r>
    </w:p>
    <w:p>
      <w:pPr>
        <w:spacing w:after="0" w:line="143" w:lineRule="exact"/>
        <w:rPr>
          <w:sz w:val="20"/>
          <w:szCs w:val="20"/>
          <w:color w:val="auto"/>
        </w:rPr>
      </w:pPr>
    </w:p>
    <w:p>
      <w:pPr>
        <w:ind w:right="240"/>
        <w:spacing w:after="0" w:line="242" w:lineRule="auto"/>
        <w:rPr>
          <w:sz w:val="20"/>
          <w:szCs w:val="20"/>
          <w:color w:val="auto"/>
        </w:rPr>
      </w:pPr>
      <w:r>
        <w:rPr>
          <w:rFonts w:ascii="Arial" w:cs="Arial" w:eastAsia="Arial" w:hAnsi="Arial"/>
          <w:sz w:val="14"/>
          <w:szCs w:val="14"/>
          <w:color w:val="auto"/>
        </w:rPr>
        <w:t>Our consolidated financial statements have been prepared in accordance with accounting principles generally accepted in the United States of America (“U.S. GAAP”). These consolidated financial statements include the accounts of our wholly owned subsidiaries, which are RDGE, CRG, and CDL. We have also consolidated the following entities that are not wholly owned for which we have control:</w:t>
      </w:r>
    </w:p>
    <w:p>
      <w:pPr>
        <w:spacing w:after="0" w:line="44" w:lineRule="exact"/>
        <w:rPr>
          <w:sz w:val="20"/>
          <w:szCs w:val="20"/>
          <w:color w:val="auto"/>
        </w:rPr>
      </w:pPr>
    </w:p>
    <w:p>
      <w:pPr>
        <w:ind w:left="520" w:right="380"/>
        <w:spacing w:after="0" w:line="274" w:lineRule="auto"/>
        <w:rPr>
          <w:sz w:val="20"/>
          <w:szCs w:val="20"/>
          <w:color w:val="auto"/>
        </w:rPr>
      </w:pPr>
      <w:r>
        <w:rPr>
          <w:rFonts w:ascii="Arial" w:cs="Arial" w:eastAsia="Arial" w:hAnsi="Arial"/>
          <w:sz w:val="14"/>
          <w:szCs w:val="14"/>
          <w:color w:val="auto"/>
        </w:rPr>
        <w:t>Australia Country Cinemas Pty, Limited, a company in which we own a 75% interest and whose only assets are our leasehold cinema at Dubbo, Australia and our owned cinema at Townsville, Australia;</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Sutton Hill Properties, LLC (“SHP”), a company based in New York in which we own a 75% interest and whose only asset is the fee interest in the Cinemas 1,2,3; and,</w:t>
      </w:r>
    </w:p>
    <w:p>
      <w:pPr>
        <w:spacing w:after="0" w:line="78" w:lineRule="exact"/>
        <w:rPr>
          <w:sz w:val="20"/>
          <w:szCs w:val="20"/>
          <w:color w:val="auto"/>
        </w:rPr>
      </w:pPr>
    </w:p>
    <w:p>
      <w:pPr>
        <w:ind w:left="520" w:right="620"/>
        <w:spacing w:after="0" w:line="274" w:lineRule="auto"/>
        <w:rPr>
          <w:sz w:val="20"/>
          <w:szCs w:val="20"/>
          <w:color w:val="auto"/>
        </w:rPr>
      </w:pPr>
      <w:r>
        <w:rPr>
          <w:rFonts w:ascii="Arial" w:cs="Arial" w:eastAsia="Arial" w:hAnsi="Arial"/>
          <w:sz w:val="14"/>
          <w:szCs w:val="14"/>
          <w:color w:val="auto"/>
        </w:rPr>
        <w:t>Shadow View Land and Farming, LLC in which we own a 50% controlling membership interest and whose only asset was a 202-acre land parcel in Coachella, California as of December 31, 2020. This land was sold in March 2021, and the company is now in the process of winding up.</w:t>
      </w:r>
    </w:p>
    <w:p>
      <w:pPr>
        <w:spacing w:after="0" w:line="99"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Our investment interests in certain joint venture arrangements, for which we own between 20% to 50% and for which we have no control over the operations, are accounted for as unconsolidated joint ventures, and hence, recorded in the consolidated financial statements under the equity method. These investment interests include our:</w:t>
      </w:r>
    </w:p>
    <w:p>
      <w:pPr>
        <w:spacing w:after="0" w:line="3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33.3% undivided interest in the unincorporated joint venture that owns the Mt. Gravatt cinema in a suburb of Brisbane, Australia;</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50% undivided interest in the unincorporated joint venture that owns Rialto Cinemas in New Zealand.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22"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auto"/>
        </w:rPr>
        <w:t>We consider that we have control over our partially owned subsidiaries and joint venture interests (collectively “investee”) when these conditions exist:</w:t>
      </w:r>
    </w:p>
    <w:p>
      <w:pPr>
        <w:spacing w:after="0" w:line="143" w:lineRule="exact"/>
        <w:rPr>
          <w:sz w:val="20"/>
          <w:szCs w:val="20"/>
          <w:color w:val="auto"/>
        </w:rPr>
      </w:pPr>
    </w:p>
    <w:p>
      <w:pPr>
        <w:ind w:left="520" w:hanging="253"/>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own a majority of the voting rights or interests of the investee (typically above 50%), or</w:t>
      </w:r>
    </w:p>
    <w:p>
      <w:pPr>
        <w:spacing w:after="0" w:line="2" w:lineRule="exact"/>
        <w:rPr>
          <w:rFonts w:ascii="Arial" w:cs="Arial" w:eastAsia="Arial" w:hAnsi="Arial"/>
          <w:sz w:val="14"/>
          <w:szCs w:val="14"/>
          <w:color w:val="auto"/>
        </w:rPr>
      </w:pPr>
    </w:p>
    <w:p>
      <w:pPr>
        <w:ind w:left="520" w:right="320" w:hanging="253"/>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the case when we own less than the majority voting rights or interests, we have the power over the investee when the voting rights or interests are sufficient to give it the practical ability to direct the relevant activities of the investee unilaterally.</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The Company considers all relevant facts and circumstances in assessing whether or not our voting rights in the investee are sufficient to give it power, including:</w:t>
      </w:r>
    </w:p>
    <w:p>
      <w:pPr>
        <w:spacing w:after="0" w:line="143" w:lineRule="exact"/>
        <w:rPr>
          <w:sz w:val="20"/>
          <w:szCs w:val="20"/>
          <w:color w:val="auto"/>
        </w:rPr>
      </w:pPr>
    </w:p>
    <w:p>
      <w:pPr>
        <w:ind w:left="520" w:hanging="253"/>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size of our voting rights and interests relative to the size and dispersion of holdings of other vote holders;</w:t>
      </w:r>
    </w:p>
    <w:p>
      <w:pPr>
        <w:spacing w:after="0" w:line="2" w:lineRule="exact"/>
        <w:rPr>
          <w:rFonts w:ascii="Arial" w:cs="Arial" w:eastAsia="Arial" w:hAnsi="Arial"/>
          <w:sz w:val="14"/>
          <w:szCs w:val="14"/>
          <w:color w:val="auto"/>
        </w:rPr>
      </w:pPr>
    </w:p>
    <w:p>
      <w:pPr>
        <w:ind w:left="520" w:hanging="253"/>
        <w:spacing w:after="0" w:line="226"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potential voting rights and interests held by us;</w:t>
      </w:r>
    </w:p>
    <w:p>
      <w:pPr>
        <w:ind w:left="520" w:hanging="253"/>
        <w:spacing w:after="0" w:line="226"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rights and interests arising from other contractual arrangements; and,</w:t>
      </w:r>
    </w:p>
    <w:p>
      <w:pPr>
        <w:ind w:left="520" w:hanging="253"/>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any additional other relevant facts.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All intercompany balances and transactions have been eliminated on the consolidation.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Use of Estimates</w:t>
      </w:r>
    </w:p>
    <w:p>
      <w:pPr>
        <w:spacing w:after="0" w:line="143"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The preparation of consolidated financial statements in conformity with U.S. GAAP requires management to make estimates and assumptions that affect the amounts reported in the consolidated financial statements and footnotes thereto. Hence, actual results may differ from those estimates. Significant estimates and assumptions include, but are not limited to:</w:t>
      </w:r>
    </w:p>
    <w:p>
      <w:pPr>
        <w:spacing w:after="0" w:line="109" w:lineRule="exact"/>
        <w:rPr>
          <w:sz w:val="20"/>
          <w:szCs w:val="20"/>
          <w:color w:val="auto"/>
        </w:rPr>
      </w:pPr>
    </w:p>
    <w:p>
      <w:pPr>
        <w:ind w:left="520" w:hanging="253"/>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projections we make regarding the recoverability and impairment of our assets (including goodwill and intangibles);</w:t>
      </w:r>
    </w:p>
    <w:p>
      <w:pPr>
        <w:spacing w:after="0" w:line="2" w:lineRule="exact"/>
        <w:rPr>
          <w:rFonts w:ascii="Arial" w:cs="Arial" w:eastAsia="Arial" w:hAnsi="Arial"/>
          <w:sz w:val="14"/>
          <w:szCs w:val="14"/>
          <w:color w:val="auto"/>
        </w:rPr>
      </w:pPr>
    </w:p>
    <w:p>
      <w:pPr>
        <w:ind w:left="520" w:hanging="253"/>
        <w:spacing w:after="0" w:line="226"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valuations of our derivative instruments;</w:t>
      </w:r>
    </w:p>
    <w:p>
      <w:pPr>
        <w:ind w:left="520" w:hanging="253"/>
        <w:spacing w:after="0" w:line="226"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allocation of insurance proceeds to various recoverable components;</w:t>
      </w:r>
    </w:p>
    <w:p>
      <w:pPr>
        <w:ind w:left="520" w:hanging="253"/>
        <w:spacing w:after="0" w:line="226"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recoverability of our deferred tax;</w:t>
      </w:r>
    </w:p>
    <w:p>
      <w:pPr>
        <w:ind w:left="520" w:hanging="253"/>
        <w:spacing w:after="0" w:line="226"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estimation of our Incremental Borrowing Rate (“IBR”) as relates to the valuation of our right-of-use assets and lease liabilities; and,</w:t>
      </w:r>
    </w:p>
    <w:p>
      <w:pPr>
        <w:ind w:left="520" w:hanging="253"/>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estimation of gift card and gift certificate breakage where we have concluded that the likelihood of redemption is remote.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Revenue Recognition</w:t>
      </w:r>
    </w:p>
    <w:p>
      <w:pPr>
        <w:spacing w:after="0" w:line="143" w:lineRule="exact"/>
        <w:rPr>
          <w:sz w:val="20"/>
          <w:szCs w:val="20"/>
          <w:color w:val="auto"/>
        </w:rPr>
      </w:pPr>
    </w:p>
    <w:p>
      <w:pPr>
        <w:ind w:left="520" w:hanging="253"/>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i w:val="1"/>
          <w:iCs w:val="1"/>
          <w:color w:val="auto"/>
        </w:rPr>
        <w:t>Cinema Exhibition Segment (all net of related taxes):</w:t>
      </w:r>
    </w:p>
    <w:p>
      <w:pPr>
        <w:spacing w:after="0" w:line="66" w:lineRule="exact"/>
        <w:rPr>
          <w:rFonts w:ascii="Arial" w:cs="Arial" w:eastAsia="Arial" w:hAnsi="Arial"/>
          <w:sz w:val="14"/>
          <w:szCs w:val="14"/>
          <w:color w:val="auto"/>
        </w:rPr>
      </w:pPr>
    </w:p>
    <w:p>
      <w:pPr>
        <w:ind w:left="520" w:right="420"/>
        <w:spacing w:after="0" w:line="274" w:lineRule="auto"/>
        <w:rPr>
          <w:rFonts w:ascii="Arial" w:cs="Arial" w:eastAsia="Arial" w:hAnsi="Arial"/>
          <w:sz w:val="14"/>
          <w:szCs w:val="14"/>
          <w:color w:val="auto"/>
        </w:rPr>
      </w:pPr>
      <w:r>
        <w:rPr>
          <w:rFonts w:ascii="Arial" w:cs="Arial" w:eastAsia="Arial" w:hAnsi="Arial"/>
          <w:sz w:val="14"/>
          <w:szCs w:val="14"/>
          <w:i w:val="1"/>
          <w:iCs w:val="1"/>
          <w:u w:val="single" w:color="auto"/>
          <w:color w:val="auto"/>
        </w:rPr>
        <w:t>Sales of Cinema tickets (excluding bulk and advanced ticket sales) and food and beverage (“F&amp;B”) sales</w:t>
      </w:r>
      <w:r>
        <w:rPr>
          <w:rFonts w:ascii="Arial" w:cs="Arial" w:eastAsia="Arial" w:hAnsi="Arial"/>
          <w:sz w:val="14"/>
          <w:szCs w:val="14"/>
          <w:i w:val="1"/>
          <w:iCs w:val="1"/>
          <w:color w:val="auto"/>
        </w:rPr>
        <w:t xml:space="preserve"> </w:t>
      </w:r>
      <w:r>
        <w:rPr>
          <w:rFonts w:ascii="Arial" w:cs="Arial" w:eastAsia="Arial" w:hAnsi="Arial"/>
          <w:sz w:val="14"/>
          <w:szCs w:val="14"/>
          <w:color w:val="auto"/>
        </w:rPr>
        <w:t>– recognized when sold and collected, either in cash or credit card at our</w:t>
      </w:r>
      <w:r>
        <w:rPr>
          <w:rFonts w:ascii="Arial" w:cs="Arial" w:eastAsia="Arial" w:hAnsi="Arial"/>
          <w:sz w:val="14"/>
          <w:szCs w:val="14"/>
          <w:i w:val="1"/>
          <w:iCs w:val="1"/>
          <w:color w:val="auto"/>
        </w:rPr>
        <w:t xml:space="preserve"> </w:t>
      </w:r>
      <w:r>
        <w:rPr>
          <w:rFonts w:ascii="Arial" w:cs="Arial" w:eastAsia="Arial" w:hAnsi="Arial"/>
          <w:sz w:val="14"/>
          <w:szCs w:val="14"/>
          <w:color w:val="auto"/>
        </w:rPr>
        <w:t>theatre locations and through our online selling channels;</w:t>
      </w:r>
    </w:p>
    <w:p>
      <w:pPr>
        <w:spacing w:after="0" w:line="11" w:lineRule="exact"/>
        <w:rPr>
          <w:rFonts w:ascii="Arial" w:cs="Arial" w:eastAsia="Arial" w:hAnsi="Arial"/>
          <w:sz w:val="14"/>
          <w:szCs w:val="14"/>
          <w:color w:val="auto"/>
        </w:rPr>
      </w:pPr>
    </w:p>
    <w:p>
      <w:pPr>
        <w:ind w:left="520" w:right="520"/>
        <w:spacing w:after="0" w:line="382" w:lineRule="auto"/>
        <w:rPr>
          <w:rFonts w:ascii="Arial" w:cs="Arial" w:eastAsia="Arial" w:hAnsi="Arial"/>
          <w:sz w:val="14"/>
          <w:szCs w:val="14"/>
          <w:color w:val="auto"/>
        </w:rPr>
      </w:pPr>
      <w:r>
        <w:rPr>
          <w:rFonts w:ascii="Arial" w:cs="Arial" w:eastAsia="Arial" w:hAnsi="Arial"/>
          <w:sz w:val="13"/>
          <w:szCs w:val="13"/>
          <w:i w:val="1"/>
          <w:iCs w:val="1"/>
          <w:u w:val="single" w:color="auto"/>
          <w:color w:val="auto"/>
        </w:rPr>
        <w:t>Sales of Bulk and Advanced Cinema Ticket Sales</w:t>
      </w:r>
      <w:r>
        <w:rPr>
          <w:rFonts w:ascii="Arial" w:cs="Arial" w:eastAsia="Arial" w:hAnsi="Arial"/>
          <w:sz w:val="13"/>
          <w:szCs w:val="13"/>
          <w:i w:val="1"/>
          <w:iCs w:val="1"/>
          <w:color w:val="auto"/>
        </w:rPr>
        <w:t xml:space="preserve"> </w:t>
      </w:r>
      <w:r>
        <w:rPr>
          <w:rFonts w:ascii="Arial" w:cs="Arial" w:eastAsia="Arial" w:hAnsi="Arial"/>
          <w:sz w:val="13"/>
          <w:szCs w:val="13"/>
          <w:color w:val="auto"/>
        </w:rPr>
        <w:t>– deferred and recognized as revenue when the promised performance or movie that the ticket has been purchased for is shown;</w:t>
      </w:r>
      <w:r>
        <w:rPr>
          <w:rFonts w:ascii="Arial" w:cs="Arial" w:eastAsia="Arial" w:hAnsi="Arial"/>
          <w:sz w:val="13"/>
          <w:szCs w:val="13"/>
          <w:i w:val="1"/>
          <w:iCs w:val="1"/>
          <w:color w:val="auto"/>
        </w:rPr>
        <w:t xml:space="preserve"> </w:t>
      </w:r>
      <w:r>
        <w:rPr>
          <w:rFonts w:ascii="Arial" w:cs="Arial" w:eastAsia="Arial" w:hAnsi="Arial"/>
          <w:sz w:val="13"/>
          <w:szCs w:val="13"/>
          <w:i w:val="1"/>
          <w:iCs w:val="1"/>
          <w:u w:val="single" w:color="auto"/>
          <w:color w:val="auto"/>
        </w:rPr>
        <w:t>Gift Cards and Gift Certificate Sales</w:t>
      </w:r>
      <w:r>
        <w:rPr>
          <w:rFonts w:ascii="Arial" w:cs="Arial" w:eastAsia="Arial" w:hAnsi="Arial"/>
          <w:sz w:val="13"/>
          <w:szCs w:val="13"/>
          <w:i w:val="1"/>
          <w:iCs w:val="1"/>
          <w:color w:val="auto"/>
        </w:rPr>
        <w:t xml:space="preserve"> </w:t>
      </w:r>
      <w:r>
        <w:rPr>
          <w:rFonts w:ascii="Arial" w:cs="Arial" w:eastAsia="Arial" w:hAnsi="Arial"/>
          <w:sz w:val="13"/>
          <w:szCs w:val="13"/>
          <w:color w:val="auto"/>
        </w:rPr>
        <w:t>– deferred and recognized as revenue when redeemed, except for the breakage portion, as described below;</w:t>
      </w:r>
    </w:p>
    <w:p>
      <w:pPr>
        <w:spacing w:after="0" w:line="1" w:lineRule="exact"/>
        <w:rPr>
          <w:rFonts w:ascii="Arial" w:cs="Arial" w:eastAsia="Arial" w:hAnsi="Arial"/>
          <w:sz w:val="14"/>
          <w:szCs w:val="14"/>
          <w:color w:val="auto"/>
        </w:rPr>
      </w:pPr>
    </w:p>
    <w:p>
      <w:pPr>
        <w:ind w:left="520" w:right="380"/>
        <w:spacing w:after="0" w:line="250" w:lineRule="auto"/>
        <w:rPr>
          <w:rFonts w:ascii="Arial" w:cs="Arial" w:eastAsia="Arial" w:hAnsi="Arial"/>
          <w:sz w:val="14"/>
          <w:szCs w:val="14"/>
          <w:color w:val="auto"/>
        </w:rPr>
      </w:pPr>
      <w:r>
        <w:rPr>
          <w:rFonts w:ascii="Arial" w:cs="Arial" w:eastAsia="Arial" w:hAnsi="Arial"/>
          <w:sz w:val="14"/>
          <w:szCs w:val="14"/>
          <w:i w:val="1"/>
          <w:iCs w:val="1"/>
          <w:u w:val="single" w:color="auto"/>
          <w:color w:val="auto"/>
        </w:rPr>
        <w:t>Breakage Income</w:t>
      </w:r>
      <w:r>
        <w:rPr>
          <w:rFonts w:ascii="Arial" w:cs="Arial" w:eastAsia="Arial" w:hAnsi="Arial"/>
          <w:sz w:val="14"/>
          <w:szCs w:val="14"/>
          <w:i w:val="1"/>
          <w:iCs w:val="1"/>
          <w:color w:val="auto"/>
        </w:rPr>
        <w:t xml:space="preserve"> </w:t>
      </w:r>
      <w:r>
        <w:rPr>
          <w:rFonts w:ascii="Arial" w:cs="Arial" w:eastAsia="Arial" w:hAnsi="Arial"/>
          <w:sz w:val="14"/>
          <w:szCs w:val="14"/>
          <w:color w:val="auto"/>
        </w:rPr>
        <w:t>– recognized for unredeemed cards and certificates using the proportional method, whereby breakage revenue is recognized in proportion to the pattern of rights</w:t>
      </w:r>
      <w:r>
        <w:rPr>
          <w:rFonts w:ascii="Arial" w:cs="Arial" w:eastAsia="Arial" w:hAnsi="Arial"/>
          <w:sz w:val="14"/>
          <w:szCs w:val="14"/>
          <w:i w:val="1"/>
          <w:iCs w:val="1"/>
          <w:color w:val="auto"/>
        </w:rPr>
        <w:t xml:space="preserve"> </w:t>
      </w:r>
      <w:r>
        <w:rPr>
          <w:rFonts w:ascii="Arial" w:cs="Arial" w:eastAsia="Arial" w:hAnsi="Arial"/>
          <w:sz w:val="14"/>
          <w:szCs w:val="14"/>
          <w:color w:val="auto"/>
        </w:rPr>
        <w:t>exercised by the customer when the Company expects that it is probable that a significant revenue reversal would not occur for any estimated breakage amounts. This is based on a breakage ‘experience rate’ which is determined by historical redemption data;</w:t>
      </w:r>
    </w:p>
    <w:p>
      <w:pPr>
        <w:spacing w:after="0" w:line="28" w:lineRule="exact"/>
        <w:rPr>
          <w:rFonts w:ascii="Arial" w:cs="Arial" w:eastAsia="Arial" w:hAnsi="Arial"/>
          <w:sz w:val="14"/>
          <w:szCs w:val="14"/>
          <w:color w:val="auto"/>
        </w:rPr>
      </w:pPr>
    </w:p>
    <w:p>
      <w:pPr>
        <w:jc w:val="both"/>
        <w:ind w:left="520"/>
        <w:spacing w:after="0" w:line="250" w:lineRule="auto"/>
        <w:rPr>
          <w:rFonts w:ascii="Arial" w:cs="Arial" w:eastAsia="Arial" w:hAnsi="Arial"/>
          <w:sz w:val="14"/>
          <w:szCs w:val="14"/>
          <w:color w:val="auto"/>
        </w:rPr>
      </w:pPr>
      <w:r>
        <w:rPr>
          <w:rFonts w:ascii="Arial" w:cs="Arial" w:eastAsia="Arial" w:hAnsi="Arial"/>
          <w:sz w:val="14"/>
          <w:szCs w:val="14"/>
          <w:i w:val="1"/>
          <w:iCs w:val="1"/>
          <w:u w:val="single" w:color="auto"/>
          <w:color w:val="auto"/>
        </w:rPr>
        <w:t>Loyalty Income</w:t>
      </w:r>
      <w:r>
        <w:rPr>
          <w:rFonts w:ascii="Arial" w:cs="Arial" w:eastAsia="Arial" w:hAnsi="Arial"/>
          <w:sz w:val="14"/>
          <w:szCs w:val="14"/>
          <w:i w:val="1"/>
          <w:iCs w:val="1"/>
          <w:color w:val="auto"/>
        </w:rPr>
        <w:t xml:space="preserve"> </w:t>
      </w:r>
      <w:r>
        <w:rPr>
          <w:rFonts w:ascii="Arial" w:cs="Arial" w:eastAsia="Arial" w:hAnsi="Arial"/>
          <w:sz w:val="14"/>
          <w:szCs w:val="14"/>
          <w:color w:val="auto"/>
        </w:rPr>
        <w:t>- a component of revenue from members of our loyalty programs relating to the earning of loyalty rewards is deferred until such a time as members redeem rewards, or</w:t>
      </w:r>
      <w:r>
        <w:rPr>
          <w:rFonts w:ascii="Arial" w:cs="Arial" w:eastAsia="Arial" w:hAnsi="Arial"/>
          <w:sz w:val="14"/>
          <w:szCs w:val="14"/>
          <w:i w:val="1"/>
          <w:iCs w:val="1"/>
          <w:color w:val="auto"/>
        </w:rPr>
        <w:t xml:space="preserve"> </w:t>
      </w:r>
      <w:r>
        <w:rPr>
          <w:rFonts w:ascii="Arial" w:cs="Arial" w:eastAsia="Arial" w:hAnsi="Arial"/>
          <w:sz w:val="14"/>
          <w:szCs w:val="14"/>
          <w:color w:val="auto"/>
        </w:rPr>
        <w:t>until we believe the likelihood of redemption by the member is remote. Deferral is based on the progress made toward the next reward, the fair value of that reward, and the likelihood of redemption, determined by historical redemption data, and;</w:t>
      </w:r>
    </w:p>
    <w:p>
      <w:pPr>
        <w:spacing w:after="0" w:line="38"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3"/>
          <w:szCs w:val="13"/>
          <w:i w:val="1"/>
          <w:iCs w:val="1"/>
          <w:u w:val="single" w:color="auto"/>
          <w:color w:val="auto"/>
        </w:rPr>
        <w:t>Advertising Revenues</w:t>
      </w:r>
      <w:r>
        <w:rPr>
          <w:rFonts w:ascii="Arial" w:cs="Arial" w:eastAsia="Arial" w:hAnsi="Arial"/>
          <w:sz w:val="13"/>
          <w:szCs w:val="13"/>
          <w:i w:val="1"/>
          <w:iCs w:val="1"/>
          <w:color w:val="auto"/>
        </w:rPr>
        <w:t xml:space="preserve"> </w:t>
      </w:r>
      <w:r>
        <w:rPr>
          <w:rFonts w:ascii="Arial" w:cs="Arial" w:eastAsia="Arial" w:hAnsi="Arial"/>
          <w:sz w:val="13"/>
          <w:szCs w:val="13"/>
          <w:color w:val="auto"/>
        </w:rPr>
        <w:t>– recognized based on contractual arrangements or relevant admissions information, as appropriate, when the related performance obligation is satisfied.</w:t>
      </w:r>
    </w:p>
    <w:p>
      <w:pPr>
        <w:spacing w:after="0" w:line="164" w:lineRule="exact"/>
        <w:rPr>
          <w:rFonts w:ascii="Arial" w:cs="Arial" w:eastAsia="Arial" w:hAnsi="Arial"/>
          <w:sz w:val="14"/>
          <w:szCs w:val="14"/>
          <w:color w:val="auto"/>
        </w:rPr>
      </w:pPr>
    </w:p>
    <w:p>
      <w:pPr>
        <w:ind w:left="520" w:hanging="253"/>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i w:val="1"/>
          <w:iCs w:val="1"/>
          <w:color w:val="auto"/>
        </w:rPr>
        <w:t>Real Estate Segment:</w:t>
      </w:r>
    </w:p>
    <w:p>
      <w:pPr>
        <w:spacing w:after="0" w:line="66" w:lineRule="exact"/>
        <w:rPr>
          <w:rFonts w:ascii="Arial" w:cs="Arial" w:eastAsia="Arial" w:hAnsi="Arial"/>
          <w:sz w:val="14"/>
          <w:szCs w:val="14"/>
          <w:color w:val="auto"/>
        </w:rPr>
      </w:pPr>
    </w:p>
    <w:p>
      <w:pPr>
        <w:ind w:left="520" w:right="100"/>
        <w:spacing w:after="0" w:line="274" w:lineRule="auto"/>
        <w:rPr>
          <w:rFonts w:ascii="Arial" w:cs="Arial" w:eastAsia="Arial" w:hAnsi="Arial"/>
          <w:sz w:val="14"/>
          <w:szCs w:val="14"/>
          <w:color w:val="auto"/>
        </w:rPr>
      </w:pPr>
      <w:r>
        <w:rPr>
          <w:rFonts w:ascii="Arial" w:cs="Arial" w:eastAsia="Arial" w:hAnsi="Arial"/>
          <w:sz w:val="14"/>
          <w:szCs w:val="14"/>
          <w:i w:val="1"/>
          <w:iCs w:val="1"/>
          <w:u w:val="single" w:color="auto"/>
          <w:color w:val="auto"/>
        </w:rPr>
        <w:t>Property Rentals</w:t>
      </w:r>
      <w:r>
        <w:rPr>
          <w:rFonts w:ascii="Arial" w:cs="Arial" w:eastAsia="Arial" w:hAnsi="Arial"/>
          <w:sz w:val="14"/>
          <w:szCs w:val="14"/>
          <w:i w:val="1"/>
          <w:iCs w:val="1"/>
          <w:color w:val="auto"/>
        </w:rPr>
        <w:t xml:space="preserve"> </w:t>
      </w:r>
      <w:r>
        <w:rPr>
          <w:rFonts w:ascii="Arial" w:cs="Arial" w:eastAsia="Arial" w:hAnsi="Arial"/>
          <w:sz w:val="14"/>
          <w:szCs w:val="14"/>
          <w:color w:val="auto"/>
        </w:rPr>
        <w:t>–we contractually retain substantially all of the risks and benefits of ownership of our real estate properties and therefore, we account for our tenant leases as operating</w:t>
      </w:r>
      <w:r>
        <w:rPr>
          <w:rFonts w:ascii="Arial" w:cs="Arial" w:eastAsia="Arial" w:hAnsi="Arial"/>
          <w:sz w:val="14"/>
          <w:szCs w:val="14"/>
          <w:i w:val="1"/>
          <w:iCs w:val="1"/>
          <w:color w:val="auto"/>
        </w:rPr>
        <w:t xml:space="preserve"> </w:t>
      </w:r>
      <w:r>
        <w:rPr>
          <w:rFonts w:ascii="Arial" w:cs="Arial" w:eastAsia="Arial" w:hAnsi="Arial"/>
          <w:sz w:val="14"/>
          <w:szCs w:val="14"/>
          <w:color w:val="auto"/>
        </w:rPr>
        <w:t>leases. Accordingly, rental revenue is recognized on a straight-line basis over the lease term; and,</w:t>
      </w:r>
    </w:p>
    <w:p>
      <w:pPr>
        <w:spacing w:after="0" w:line="11" w:lineRule="exact"/>
        <w:rPr>
          <w:rFonts w:ascii="Arial" w:cs="Arial" w:eastAsia="Arial" w:hAnsi="Arial"/>
          <w:sz w:val="14"/>
          <w:szCs w:val="14"/>
          <w:color w:val="auto"/>
        </w:rPr>
      </w:pPr>
    </w:p>
    <w:p>
      <w:pPr>
        <w:ind w:left="520" w:right="60"/>
        <w:spacing w:after="0" w:line="243" w:lineRule="auto"/>
        <w:rPr>
          <w:rFonts w:ascii="Arial" w:cs="Arial" w:eastAsia="Arial" w:hAnsi="Arial"/>
          <w:sz w:val="14"/>
          <w:szCs w:val="14"/>
          <w:color w:val="auto"/>
        </w:rPr>
      </w:pPr>
      <w:r>
        <w:rPr>
          <w:rFonts w:ascii="Arial" w:cs="Arial" w:eastAsia="Arial" w:hAnsi="Arial"/>
          <w:sz w:val="14"/>
          <w:szCs w:val="14"/>
          <w:i w:val="1"/>
          <w:iCs w:val="1"/>
          <w:u w:val="single" w:color="auto"/>
          <w:color w:val="auto"/>
        </w:rPr>
        <w:t>Live Theatre License Fees</w:t>
      </w:r>
      <w:r>
        <w:rPr>
          <w:rFonts w:ascii="Arial" w:cs="Arial" w:eastAsia="Arial" w:hAnsi="Arial"/>
          <w:sz w:val="14"/>
          <w:szCs w:val="14"/>
          <w:i w:val="1"/>
          <w:iCs w:val="1"/>
          <w:color w:val="auto"/>
        </w:rPr>
        <w:t xml:space="preserve"> </w:t>
      </w:r>
      <w:r>
        <w:rPr>
          <w:rFonts w:ascii="Arial" w:cs="Arial" w:eastAsia="Arial" w:hAnsi="Arial"/>
          <w:sz w:val="14"/>
          <w:szCs w:val="14"/>
          <w:color w:val="auto"/>
        </w:rPr>
        <w:t>– we have real property interest in and license theatre space to third parties for the presentation of theatrical productions. Revenue is recognized in accordance</w:t>
      </w:r>
      <w:r>
        <w:rPr>
          <w:rFonts w:ascii="Arial" w:cs="Arial" w:eastAsia="Arial" w:hAnsi="Arial"/>
          <w:sz w:val="14"/>
          <w:szCs w:val="14"/>
          <w:i w:val="1"/>
          <w:iCs w:val="1"/>
          <w:color w:val="auto"/>
        </w:rPr>
        <w:t xml:space="preserve"> </w:t>
      </w:r>
      <w:r>
        <w:rPr>
          <w:rFonts w:ascii="Arial" w:cs="Arial" w:eastAsia="Arial" w:hAnsi="Arial"/>
          <w:sz w:val="14"/>
          <w:szCs w:val="14"/>
          <w:color w:val="auto"/>
        </w:rPr>
        <w:t>with the license agreement, and is typically recorded on a weekly basis after the performance of a show has occurred.</w:t>
      </w:r>
    </w:p>
    <w:p>
      <w:pPr>
        <w:ind w:left="5580" w:hanging="93"/>
        <w:spacing w:after="0"/>
        <w:tabs>
          <w:tab w:leader="none" w:pos="5580" w:val="left"/>
        </w:tabs>
        <w:numPr>
          <w:ilvl w:val="1"/>
          <w:numId w:val="16"/>
        </w:numPr>
        <w:rPr>
          <w:rFonts w:ascii="Arial" w:cs="Arial" w:eastAsia="Arial" w:hAnsi="Arial"/>
          <w:sz w:val="14"/>
          <w:szCs w:val="14"/>
          <w:color w:val="auto"/>
        </w:rPr>
      </w:pPr>
      <w:r>
        <w:rPr>
          <w:rFonts w:ascii="Arial" w:cs="Arial" w:eastAsia="Arial" w:hAnsi="Arial"/>
          <w:sz w:val="14"/>
          <w:szCs w:val="14"/>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22"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i w:val="1"/>
          <w:iCs w:val="1"/>
          <w:u w:val="single" w:color="auto"/>
          <w:color w:val="auto"/>
        </w:rPr>
        <w:t>Cash and Cash Equivalents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We consider all highly liquid investments with original maturities of three months or less at the time of purchase as cash equivalents for which cost approximates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Receivables</w:t>
      </w:r>
    </w:p>
    <w:p>
      <w:pPr>
        <w:spacing w:after="0" w:line="143" w:lineRule="exact"/>
        <w:rPr>
          <w:sz w:val="20"/>
          <w:szCs w:val="20"/>
          <w:color w:val="auto"/>
        </w:rPr>
      </w:pPr>
    </w:p>
    <w:p>
      <w:pPr>
        <w:ind w:right="180"/>
        <w:spacing w:after="0" w:line="237" w:lineRule="auto"/>
        <w:rPr>
          <w:sz w:val="20"/>
          <w:szCs w:val="20"/>
          <w:color w:val="auto"/>
        </w:rPr>
      </w:pPr>
      <w:r>
        <w:rPr>
          <w:rFonts w:ascii="Arial" w:cs="Arial" w:eastAsia="Arial" w:hAnsi="Arial"/>
          <w:sz w:val="14"/>
          <w:szCs w:val="14"/>
          <w:color w:val="auto"/>
        </w:rPr>
        <w:t>Our receivables balance is composed primarily of credit card and booking agent receivables, representing the purchase price of tickets, food &amp; beverage items, or coupon books sold at our various businesses. Sales charged on customer credit cards are collected when the credit card transactions are processed. The remaining receivables balance is primarily made up of the net Goods and Service Tax (“GST”) receivable from our Australian taxing authorities, rents receivable from our third-party tenants, and the management fee receivable from the managed cinemas. We have no history of significant bad debt losses but we have established an allowance for accounts that we deem uncollectible.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Inventory</w:t>
      </w:r>
    </w:p>
    <w:p>
      <w:pPr>
        <w:spacing w:after="0" w:line="143"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Inventory is composed of food and beverage items in our theater operations and books and associated stationery items at our State Cinema bookstore, and is stated at the lower of cost (first-in, first-out method) or net realizable value.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Restricted Cash</w:t>
      </w:r>
    </w:p>
    <w:p>
      <w:pPr>
        <w:spacing w:after="0" w:line="143" w:lineRule="exact"/>
        <w:rPr>
          <w:sz w:val="20"/>
          <w:szCs w:val="20"/>
          <w:color w:val="auto"/>
        </w:rPr>
      </w:pPr>
    </w:p>
    <w:p>
      <w:pPr>
        <w:ind w:right="340"/>
        <w:spacing w:after="0" w:line="258" w:lineRule="auto"/>
        <w:rPr>
          <w:sz w:val="20"/>
          <w:szCs w:val="20"/>
          <w:color w:val="auto"/>
        </w:rPr>
      </w:pPr>
      <w:r>
        <w:rPr>
          <w:rFonts w:ascii="Arial" w:cs="Arial" w:eastAsia="Arial" w:hAnsi="Arial"/>
          <w:sz w:val="14"/>
          <w:szCs w:val="14"/>
          <w:color w:val="auto"/>
        </w:rPr>
        <w:t>Restricted cash includes those cash accounts for which the use of funds is restricted by any contract or bank covenant. At December 31, 2021 and 2020, our restricted cash balance was $5.3 million and $8,000,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Derivative Financial Instruments</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auto"/>
        </w:rPr>
        <w:t>From time to time, we purchase interest rate derivative instruments to hedge the interest rate risk that results from the variability of our floating-rate borrowings. Our use of derivative transactions is intended to reduce long-term fluctuations in cash flows caused by market movements. Derivative instruments are recorded on the balance sheet at fair value with changes in fair value through interest expense in the Consolidated Statements of Operations or, in the case of accounting hedges, in Other Comprehensive Income and then reclassified into interest expense in the same period(s) during which the hedged transactions affect earnings. The cash flows from interest rate derivatives are classified as cashflows provided by operating activities in the Consolidated Cashflow Statement, as are the hedged transactions. As of December 31, 2021 and 2020 we have unfavorable derivative positions designated as accounting hedges of $181,000 and $430,000, respectively, and favorable derivative positions designated as accounting hedges of $208,000 and $nil, respectively.</w:t>
      </w:r>
    </w:p>
    <w:p>
      <w:pPr>
        <w:spacing w:after="0" w:line="113" w:lineRule="exact"/>
        <w:rPr>
          <w:sz w:val="20"/>
          <w:szCs w:val="20"/>
          <w:color w:val="auto"/>
        </w:rPr>
      </w:pPr>
    </w:p>
    <w:p>
      <w:pPr>
        <w:ind w:right="120"/>
        <w:spacing w:after="0" w:line="270" w:lineRule="auto"/>
        <w:rPr>
          <w:sz w:val="20"/>
          <w:szCs w:val="20"/>
          <w:color w:val="auto"/>
        </w:rPr>
      </w:pPr>
      <w:r>
        <w:rPr>
          <w:rFonts w:ascii="Arial" w:cs="Arial" w:eastAsia="Arial" w:hAnsi="Arial"/>
          <w:sz w:val="13"/>
          <w:szCs w:val="13"/>
          <w:color w:val="auto"/>
        </w:rPr>
        <w:t xml:space="preserve">With regards to accounting hedges, the Company has elected, by reference to certain practical expedients contained within ASC 848 </w:t>
      </w:r>
      <w:r>
        <w:rPr>
          <w:rFonts w:ascii="Arial" w:cs="Arial" w:eastAsia="Arial" w:hAnsi="Arial"/>
          <w:sz w:val="13"/>
          <w:szCs w:val="13"/>
          <w:i w:val="1"/>
          <w:iCs w:val="1"/>
          <w:color w:val="auto"/>
        </w:rPr>
        <w:t>Reference Rate Reform</w:t>
      </w:r>
      <w:r>
        <w:rPr>
          <w:rFonts w:ascii="Arial" w:cs="Arial" w:eastAsia="Arial" w:hAnsi="Arial"/>
          <w:sz w:val="13"/>
          <w:szCs w:val="13"/>
          <w:color w:val="auto"/>
        </w:rPr>
        <w:t>, to continue the method of assessing effectiveness as document in the original hedge, so that the reference rate on the hypothetical derivative matches the reference rate on the hedging instrument. In addition, the Company has elected the expedient permitting the assertion of probability of the hedged interest payments regardless of any expected modification in the terms related to reference rate reform.</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Operating Properties, net</w:t>
      </w:r>
    </w:p>
    <w:p>
      <w:pPr>
        <w:spacing w:after="0" w:line="143" w:lineRule="exact"/>
        <w:rPr>
          <w:sz w:val="20"/>
          <w:szCs w:val="20"/>
          <w:color w:val="auto"/>
        </w:rPr>
      </w:pPr>
    </w:p>
    <w:p>
      <w:pPr>
        <w:ind w:right="20"/>
        <w:spacing w:after="0" w:line="237" w:lineRule="auto"/>
        <w:rPr>
          <w:sz w:val="20"/>
          <w:szCs w:val="20"/>
          <w:color w:val="auto"/>
        </w:rPr>
      </w:pPr>
      <w:r>
        <w:rPr>
          <w:rFonts w:ascii="Arial" w:cs="Arial" w:eastAsia="Arial" w:hAnsi="Arial"/>
          <w:sz w:val="14"/>
          <w:szCs w:val="14"/>
          <w:color w:val="auto"/>
        </w:rPr>
        <w:t>Our Operating Properties consist of land, buildings and improvements, leasehold improvements, fixtures and equipment, which we use to derive operating income associated with our two business segments, cinema exhibition and real estate. Buildings and improvements, leasehold improvements, fixtures and equipment are initially recorded at the lower of cost or fair market value and depreciated over the useful lives of the related assets. Land is not depreciated. Expenditures relating to renovations, betterments or improvements to existing assets are capitalized if they improve or extend the lives of the respective assets and/or provide long-term future net cash inflows, including the potential for cost savings.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Depreciation and amortization are provided using the straight-line method over the estimated useful lives of the assets. The estimated useful lives are generally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Building and improvements</w:t>
            </w:r>
          </w:p>
        </w:tc>
        <w:tc>
          <w:tcPr>
            <w:tcW w:w="8660" w:type="dxa"/>
            <w:vAlign w:val="bottom"/>
            <w:shd w:val="clear" w:color="auto" w:fill="CCEEFF"/>
          </w:tcPr>
          <w:p>
            <w:pPr>
              <w:ind w:left="1300"/>
              <w:spacing w:after="0"/>
              <w:rPr>
                <w:sz w:val="20"/>
                <w:szCs w:val="20"/>
                <w:color w:val="auto"/>
              </w:rPr>
            </w:pPr>
            <w:r>
              <w:rPr>
                <w:rFonts w:ascii="Arial" w:cs="Arial" w:eastAsia="Arial" w:hAnsi="Arial"/>
                <w:sz w:val="12"/>
                <w:szCs w:val="12"/>
                <w:color w:val="auto"/>
              </w:rPr>
              <w:t>15 – 60 years</w:t>
            </w:r>
          </w:p>
        </w:tc>
      </w:tr>
      <w:tr>
        <w:trPr>
          <w:trHeight w:val="119"/>
        </w:trPr>
        <w:tc>
          <w:tcPr>
            <w:tcW w:w="2620" w:type="dxa"/>
            <w:vAlign w:val="bottom"/>
          </w:tcPr>
          <w:p>
            <w:pPr>
              <w:ind w:left="20"/>
              <w:spacing w:after="0" w:line="120" w:lineRule="exact"/>
              <w:rPr>
                <w:sz w:val="20"/>
                <w:szCs w:val="20"/>
                <w:color w:val="auto"/>
              </w:rPr>
            </w:pPr>
            <w:r>
              <w:rPr>
                <w:rFonts w:ascii="Arial" w:cs="Arial" w:eastAsia="Arial" w:hAnsi="Arial"/>
                <w:sz w:val="12"/>
                <w:szCs w:val="12"/>
                <w:color w:val="auto"/>
              </w:rPr>
              <w:t>Leasehold improvements</w:t>
            </w:r>
          </w:p>
        </w:tc>
        <w:tc>
          <w:tcPr>
            <w:tcW w:w="8660" w:type="dxa"/>
            <w:vAlign w:val="bottom"/>
          </w:tcPr>
          <w:p>
            <w:pPr>
              <w:ind w:left="1300"/>
              <w:spacing w:after="0" w:line="120" w:lineRule="exact"/>
              <w:rPr>
                <w:sz w:val="20"/>
                <w:szCs w:val="20"/>
                <w:color w:val="auto"/>
              </w:rPr>
            </w:pPr>
            <w:r>
              <w:rPr>
                <w:rFonts w:ascii="Arial" w:cs="Arial" w:eastAsia="Arial" w:hAnsi="Arial"/>
                <w:sz w:val="12"/>
                <w:szCs w:val="12"/>
                <w:color w:val="auto"/>
              </w:rPr>
              <w:t>Shorter of the lease term or useful life of the improvement</w:t>
            </w:r>
          </w:p>
        </w:tc>
      </w:tr>
      <w:tr>
        <w:trPr>
          <w:trHeight w:val="119"/>
        </w:trPr>
        <w:tc>
          <w:tcPr>
            <w:tcW w:w="262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Theater equipment</w:t>
            </w:r>
          </w:p>
        </w:tc>
        <w:tc>
          <w:tcPr>
            <w:tcW w:w="8660" w:type="dxa"/>
            <w:vAlign w:val="bottom"/>
            <w:shd w:val="clear" w:color="auto" w:fill="CCEEFF"/>
          </w:tcPr>
          <w:p>
            <w:pPr>
              <w:ind w:left="1300"/>
              <w:spacing w:after="0" w:line="120" w:lineRule="exact"/>
              <w:rPr>
                <w:sz w:val="20"/>
                <w:szCs w:val="20"/>
                <w:color w:val="auto"/>
              </w:rPr>
            </w:pPr>
            <w:r>
              <w:rPr>
                <w:rFonts w:ascii="Arial" w:cs="Arial" w:eastAsia="Arial" w:hAnsi="Arial"/>
                <w:sz w:val="12"/>
                <w:szCs w:val="12"/>
                <w:color w:val="auto"/>
              </w:rPr>
              <w:t>7 years</w:t>
            </w:r>
          </w:p>
        </w:tc>
      </w:tr>
      <w:tr>
        <w:trPr>
          <w:trHeight w:val="147"/>
        </w:trPr>
        <w:tc>
          <w:tcPr>
            <w:tcW w:w="2620" w:type="dxa"/>
            <w:vAlign w:val="bottom"/>
          </w:tcPr>
          <w:p>
            <w:pPr>
              <w:ind w:left="20"/>
              <w:spacing w:after="0"/>
              <w:rPr>
                <w:sz w:val="20"/>
                <w:szCs w:val="20"/>
                <w:color w:val="auto"/>
              </w:rPr>
            </w:pPr>
            <w:r>
              <w:rPr>
                <w:rFonts w:ascii="Arial" w:cs="Arial" w:eastAsia="Arial" w:hAnsi="Arial"/>
                <w:sz w:val="12"/>
                <w:szCs w:val="12"/>
                <w:color w:val="auto"/>
              </w:rPr>
              <w:t>Furniture and fixtures</w:t>
            </w:r>
          </w:p>
        </w:tc>
        <w:tc>
          <w:tcPr>
            <w:tcW w:w="8660" w:type="dxa"/>
            <w:vAlign w:val="bottom"/>
          </w:tcPr>
          <w:p>
            <w:pPr>
              <w:ind w:left="1300"/>
              <w:spacing w:after="0"/>
              <w:rPr>
                <w:sz w:val="20"/>
                <w:szCs w:val="20"/>
                <w:color w:val="auto"/>
              </w:rPr>
            </w:pPr>
            <w:r>
              <w:rPr>
                <w:rFonts w:ascii="Arial" w:cs="Arial" w:eastAsia="Arial" w:hAnsi="Arial"/>
                <w:sz w:val="12"/>
                <w:szCs w:val="12"/>
                <w:color w:val="auto"/>
              </w:rPr>
              <w:t>3 – 10 years</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Investment and Development Properties, net</w:t>
      </w:r>
    </w:p>
    <w:p>
      <w:pPr>
        <w:spacing w:after="0" w:line="143" w:lineRule="exact"/>
        <w:rPr>
          <w:sz w:val="20"/>
          <w:szCs w:val="20"/>
          <w:color w:val="auto"/>
        </w:rPr>
      </w:pPr>
    </w:p>
    <w:p>
      <w:pPr>
        <w:ind w:right="160"/>
        <w:spacing w:after="0" w:line="235" w:lineRule="auto"/>
        <w:rPr>
          <w:sz w:val="20"/>
          <w:szCs w:val="20"/>
          <w:color w:val="auto"/>
        </w:rPr>
      </w:pPr>
      <w:r>
        <w:rPr>
          <w:rFonts w:ascii="Arial" w:cs="Arial" w:eastAsia="Arial" w:hAnsi="Arial"/>
          <w:sz w:val="14"/>
          <w:szCs w:val="14"/>
          <w:color w:val="auto"/>
        </w:rPr>
        <w:t>Investment and Development Properties consist of land, buildings and improvements under development, and their associated capitalized interest and other development costs that we are either holding for development, currently developing, or holding for</w:t>
      </w:r>
    </w:p>
    <w:p>
      <w:pPr>
        <w:jc w:val="center"/>
        <w:spacing w:after="0"/>
        <w:rPr>
          <w:sz w:val="20"/>
          <w:szCs w:val="20"/>
          <w:color w:val="auto"/>
        </w:rPr>
      </w:pPr>
      <w:r>
        <w:rPr>
          <w:rFonts w:ascii="Arial" w:cs="Arial" w:eastAsia="Arial" w:hAnsi="Arial"/>
          <w:sz w:val="14"/>
          <w:szCs w:val="14"/>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70" w:right="319" w:bottom="1440" w:gutter="0" w:footer="0" w:header="0"/>
        </w:sectPr>
      </w:pPr>
    </w:p>
    <w:bookmarkStart w:id="70" w:name="page71"/>
    <w:bookmarkEnd w:id="70"/>
    <w:p>
      <w:pPr>
        <w:ind w:right="160"/>
        <w:spacing w:after="0" w:line="233" w:lineRule="auto"/>
        <w:rPr>
          <w:sz w:val="20"/>
          <w:szCs w:val="20"/>
          <w:color w:val="auto"/>
        </w:rPr>
      </w:pPr>
      <w:r>
        <w:rPr>
          <w:rFonts w:ascii="Arial" w:cs="Arial" w:eastAsia="Arial" w:hAnsi="Arial"/>
          <w:sz w:val="14"/>
          <w:szCs w:val="14"/>
          <w:color w:val="auto"/>
        </w:rPr>
        <w:t>investment appreciation purposes. These properties are initially recorded at the lower of cost or fair market value. Within this category are building and improvement costs directly associated with the development of potential cinemas (whether for sale or lease), the development of entertainment-themed centers (“ETCs”), or other improvements to real property. As incurred, we expense start-up costs (such as pre-opening cinema advertising and training expense) and other costs not directly related to the acquisition and development of long-term assets. We cease cost capitalization (including interest) on a development property when the property is complete and ready for its intended use, or if activities necessary to get the property ready for its intended use have been substantially curtailed. However, we do not suspend cost capitalization for brief interruptions and interruptions that are externally imposed, such as mandates from governmental authorities.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Impairment of Long-Lived Assets</w:t>
      </w:r>
    </w:p>
    <w:p>
      <w:pPr>
        <w:spacing w:after="0" w:line="143"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We review long-lived assets, including goodwill and intangibles, for impairment as part of our annual budgeting process, at the beginning of the fourth quarter, and whenever events or changes in circumstances indicate that the carrying amount of the asset may not be fully recoverable. In 2020, due to the impacts of the COVID-19 pandemic, we have reviewed our long-lived assets, including goodwill and intangibles, for impairment at the end of each reporting quarter. Due to improvements in performance from our long-lived assets in 2021, our impairment testing occurred only at the beginning of the fourth quarter.</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We review internal management reports on a monthly basis as well as monitor current and potential future competition in film markets for indications of potential impairment.</w:t>
      </w:r>
    </w:p>
    <w:p>
      <w:pPr>
        <w:spacing w:after="0" w:line="143" w:lineRule="exact"/>
        <w:rPr>
          <w:sz w:val="20"/>
          <w:szCs w:val="20"/>
          <w:color w:val="auto"/>
        </w:rPr>
      </w:pPr>
    </w:p>
    <w:p>
      <w:pPr>
        <w:ind w:left="520" w:right="20" w:hanging="253"/>
        <w:spacing w:after="0" w:line="254" w:lineRule="auto"/>
        <w:tabs>
          <w:tab w:leader="none" w:pos="520" w:val="left"/>
        </w:tabs>
        <w:numPr>
          <w:ilvl w:val="0"/>
          <w:numId w:val="17"/>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Impairment of Long-lived Assets (other than Goodwill and Intangible Assets with indefinite lives) – </w:t>
      </w:r>
      <w:r>
        <w:rPr>
          <w:rFonts w:ascii="Arial" w:cs="Arial" w:eastAsia="Arial" w:hAnsi="Arial"/>
          <w:sz w:val="13"/>
          <w:szCs w:val="13"/>
          <w:color w:val="auto"/>
        </w:rPr>
        <w:t>we evaluate our long-lived assets and finite-lived intangible assets using historical</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Following the adoption of Accounting Standards Codification 842 </w:t>
      </w:r>
      <w:r>
        <w:rPr>
          <w:rFonts w:ascii="Arial" w:cs="Arial" w:eastAsia="Arial" w:hAnsi="Arial"/>
          <w:sz w:val="13"/>
          <w:szCs w:val="13"/>
          <w:i w:val="1"/>
          <w:iCs w:val="1"/>
          <w:color w:val="auto"/>
        </w:rPr>
        <w:t>Leases</w:t>
      </w:r>
      <w:r>
        <w:rPr>
          <w:rFonts w:ascii="Arial" w:cs="Arial" w:eastAsia="Arial" w:hAnsi="Arial"/>
          <w:sz w:val="13"/>
          <w:szCs w:val="13"/>
          <w:color w:val="auto"/>
        </w:rPr>
        <w:t>, we include all relevant right-of-use assets in our impairment assessments and exclude the related lease liabilities and payments. For certain non-income producing properties or for those assets with no consistent historical or projected cash flows, we obtain appraisals or other evidence to evaluate whether there are impairment indicators for these assets.</w:t>
      </w:r>
    </w:p>
    <w:p>
      <w:pPr>
        <w:spacing w:after="0" w:line="113" w:lineRule="exact"/>
        <w:rPr>
          <w:rFonts w:ascii="Arial" w:cs="Arial" w:eastAsia="Arial" w:hAnsi="Arial"/>
          <w:sz w:val="13"/>
          <w:szCs w:val="13"/>
          <w:i w:val="1"/>
          <w:iCs w:val="1"/>
          <w:color w:val="auto"/>
        </w:rPr>
      </w:pPr>
    </w:p>
    <w:p>
      <w:pPr>
        <w:ind w:left="520" w:right="200"/>
        <w:spacing w:after="0" w:line="242" w:lineRule="auto"/>
        <w:rPr>
          <w:rFonts w:ascii="Arial" w:cs="Arial" w:eastAsia="Arial" w:hAnsi="Arial"/>
          <w:sz w:val="13"/>
          <w:szCs w:val="13"/>
          <w:i w:val="1"/>
          <w:iCs w:val="1"/>
          <w:color w:val="auto"/>
        </w:rPr>
      </w:pPr>
      <w:r>
        <w:rPr>
          <w:rFonts w:ascii="Arial" w:cs="Arial" w:eastAsia="Arial" w:hAnsi="Arial"/>
          <w:sz w:val="14"/>
          <w:szCs w:val="14"/>
          <w:color w:val="auto"/>
        </w:rPr>
        <w:t>No impairment losses were recorded for long-lived and finite-lived intangible assets for the year ended December 31, 2021, based on historical information and projected cash flow. $217,000 of impairment losses were recorded for long-lived and finite-lived intangible assets for the year ended December 31, 2020. No impairment losses were recorded for the year ended December 31, 2019.</w:t>
      </w:r>
    </w:p>
    <w:p>
      <w:pPr>
        <w:spacing w:after="0" w:line="120" w:lineRule="exact"/>
        <w:rPr>
          <w:rFonts w:ascii="Arial" w:cs="Arial" w:eastAsia="Arial" w:hAnsi="Arial"/>
          <w:sz w:val="13"/>
          <w:szCs w:val="13"/>
          <w:i w:val="1"/>
          <w:iCs w:val="1"/>
          <w:color w:val="auto"/>
        </w:rPr>
      </w:pPr>
    </w:p>
    <w:p>
      <w:pPr>
        <w:ind w:left="520" w:right="220" w:hanging="253"/>
        <w:spacing w:after="0" w:line="261" w:lineRule="auto"/>
        <w:tabs>
          <w:tab w:leader="none" w:pos="520" w:val="left"/>
        </w:tabs>
        <w:numPr>
          <w:ilvl w:val="0"/>
          <w:numId w:val="17"/>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Impairment of Goodwill and Intangible Assets with indefinite lives – </w:t>
      </w:r>
      <w:r>
        <w:rPr>
          <w:rFonts w:ascii="Arial" w:cs="Arial" w:eastAsia="Arial" w:hAnsi="Arial"/>
          <w:sz w:val="13"/>
          <w:szCs w:val="13"/>
          <w:color w:val="auto"/>
        </w:rPr>
        <w:t>goodwill and intangible assets with indefinite useful lives are not amortized, but instead, tested for impairment at</w:t>
      </w:r>
      <w:r>
        <w:rPr>
          <w:rFonts w:ascii="Arial" w:cs="Arial" w:eastAsia="Arial" w:hAnsi="Arial"/>
          <w:sz w:val="13"/>
          <w:szCs w:val="13"/>
          <w:i w:val="1"/>
          <w:iCs w:val="1"/>
          <w:color w:val="auto"/>
        </w:rPr>
        <w:t xml:space="preserve"> </w:t>
      </w:r>
      <w:r>
        <w:rPr>
          <w:rFonts w:ascii="Arial" w:cs="Arial" w:eastAsia="Arial" w:hAnsi="Arial"/>
          <w:sz w:val="13"/>
          <w:szCs w:val="13"/>
          <w:color w:val="auto"/>
        </w:rPr>
        <w:t>least annually on a reporting unit basis. The impairment evaluation is based on the present value of estimated future cash flows of the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w:t>
      </w:r>
    </w:p>
    <w:p>
      <w:pPr>
        <w:spacing w:after="0" w:line="108" w:lineRule="exact"/>
        <w:rPr>
          <w:rFonts w:ascii="Arial" w:cs="Arial" w:eastAsia="Arial" w:hAnsi="Arial"/>
          <w:sz w:val="13"/>
          <w:szCs w:val="13"/>
          <w:i w:val="1"/>
          <w:iCs w:val="1"/>
          <w:color w:val="auto"/>
        </w:rPr>
      </w:pPr>
    </w:p>
    <w:p>
      <w:pPr>
        <w:ind w:left="520"/>
        <w:spacing w:after="0"/>
        <w:rPr>
          <w:rFonts w:ascii="Arial" w:cs="Arial" w:eastAsia="Arial" w:hAnsi="Arial"/>
          <w:sz w:val="13"/>
          <w:szCs w:val="13"/>
          <w:i w:val="1"/>
          <w:iCs w:val="1"/>
          <w:color w:val="auto"/>
        </w:rPr>
      </w:pPr>
      <w:r>
        <w:rPr>
          <w:rFonts w:ascii="Arial" w:cs="Arial" w:eastAsia="Arial" w:hAnsi="Arial"/>
          <w:sz w:val="14"/>
          <w:szCs w:val="14"/>
          <w:color w:val="auto"/>
        </w:rPr>
        <w:t>No impairment losses were recorded for goodwill and indefinite-lived intangible assets for the three years ended December 31, 2021.</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For a detailed discussion of our impairment assessments, refer to </w:t>
      </w:r>
      <w:r>
        <w:rPr>
          <w:rFonts w:ascii="Arial" w:cs="Arial" w:eastAsia="Arial" w:hAnsi="Arial"/>
          <w:sz w:val="14"/>
          <w:szCs w:val="14"/>
          <w:i w:val="1"/>
          <w:iCs w:val="1"/>
          <w:color w:val="auto"/>
        </w:rPr>
        <w:t>Note 3 – Impact of COVID-19 Pandemic on Liquidity</w:t>
      </w:r>
      <w:r>
        <w:rPr>
          <w:rFonts w:ascii="Arial" w:cs="Arial" w:eastAsia="Arial" w:hAnsi="Arial"/>
          <w:sz w:val="14"/>
          <w:szCs w:val="14"/>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Variable Interest Entity</w:t>
      </w:r>
    </w:p>
    <w:p>
      <w:pPr>
        <w:spacing w:after="0" w:line="121" w:lineRule="exact"/>
        <w:rPr>
          <w:sz w:val="20"/>
          <w:szCs w:val="20"/>
          <w:color w:val="auto"/>
        </w:rPr>
      </w:pPr>
    </w:p>
    <w:p>
      <w:pPr>
        <w:ind w:right="140"/>
        <w:spacing w:after="0" w:line="242" w:lineRule="auto"/>
        <w:rPr>
          <w:sz w:val="20"/>
          <w:szCs w:val="20"/>
          <w:color w:val="auto"/>
        </w:rPr>
      </w:pPr>
      <w:r>
        <w:rPr>
          <w:rFonts w:ascii="Arial" w:cs="Arial" w:eastAsia="Arial" w:hAnsi="Arial"/>
          <w:sz w:val="14"/>
          <w:szCs w:val="14"/>
          <w:color w:val="auto"/>
        </w:rPr>
        <w:t>The Company enters into relationships or investments with other entities that may be a variable interest entity (“VIE”). A VIE is consolidated in the financial statements if the Company has the power to direct activities that most significantly impact the economic performance of the VIE and has the obligation to absorb losses or the right to receive benefits from the VIE that could potentially be significant to the VIE.</w:t>
      </w:r>
    </w:p>
    <w:p>
      <w:pPr>
        <w:spacing w:after="0" w:line="120"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Reading International Trust I is a VIE. It is not consolidated in our financial statements because we are not the primary beneficiary. We carry our investment in the Reading International Trust I, recorded under “</w:t>
      </w:r>
      <w:r>
        <w:rPr>
          <w:rFonts w:ascii="Arial" w:cs="Arial" w:eastAsia="Arial" w:hAnsi="Arial"/>
          <w:sz w:val="13"/>
          <w:szCs w:val="13"/>
          <w:i w:val="1"/>
          <w:iCs w:val="1"/>
          <w:color w:val="auto"/>
        </w:rPr>
        <w:t>Other Assets”</w:t>
      </w:r>
      <w:r>
        <w:rPr>
          <w:rFonts w:ascii="Arial" w:cs="Arial" w:eastAsia="Arial" w:hAnsi="Arial"/>
          <w:sz w:val="13"/>
          <w:szCs w:val="13"/>
          <w:color w:val="auto"/>
        </w:rPr>
        <w:t>, using the equity method of accounting because we have the ability to exercise significant influence (but not control) over operating and financial policies of the entity. We eliminate transactions with an equity method entity to the extent of our ownership in such an entity. Accordingly, our share of net income/(loss) of this equity method entity is included in consolidated net income/(loss). We have no implicit or explicit obligation to further fund our investment in Reading International Trust I.</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270"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i w:val="1"/>
          <w:iCs w:val="1"/>
          <w:u w:val="single" w:color="auto"/>
          <w:color w:val="auto"/>
        </w:rPr>
        <w:t>Land and Property Held for Sale</w:t>
      </w:r>
    </w:p>
    <w:p>
      <w:pPr>
        <w:spacing w:after="0" w:line="143" w:lineRule="exact"/>
        <w:rPr>
          <w:sz w:val="20"/>
          <w:szCs w:val="20"/>
          <w:color w:val="auto"/>
        </w:rPr>
      </w:pPr>
    </w:p>
    <w:p>
      <w:pPr>
        <w:ind w:right="160"/>
        <w:spacing w:after="0" w:line="235" w:lineRule="auto"/>
        <w:rPr>
          <w:sz w:val="20"/>
          <w:szCs w:val="20"/>
          <w:color w:val="auto"/>
        </w:rPr>
      </w:pPr>
      <w:r>
        <w:rPr>
          <w:rFonts w:ascii="Arial" w:cs="Arial" w:eastAsia="Arial" w:hAnsi="Arial"/>
          <w:sz w:val="14"/>
          <w:szCs w:val="14"/>
          <w:color w:val="auto"/>
        </w:rPr>
        <w:t xml:space="preserve">When a property is classified as held for sale, we present the respective assets and liabilities related to the property held for sale separately on the balance sheet and cease to record depreciation and amortization expense. Properties held for sale are reported at the lower of their carrying value or their estimated fair value less the estimated costs to sell. As of December 31, 2020, we classified our landholding at Coachella, California and Manukau, New Zealand, as held for sale. We had no properties held for sale as of December 31, 2021. There were no adjustments necessary to reduce the carrying value of these assets on transfer to held for sale were subsequently held at historical cost on the consolidated balance sheet until their sale in the first quarter of 2021. Refer to </w:t>
      </w:r>
      <w:r>
        <w:rPr>
          <w:rFonts w:ascii="Arial" w:cs="Arial" w:eastAsia="Arial" w:hAnsi="Arial"/>
          <w:sz w:val="14"/>
          <w:szCs w:val="14"/>
          <w:i w:val="1"/>
          <w:iCs w:val="1"/>
          <w:color w:val="auto"/>
        </w:rPr>
        <w:t>Note 5 – Real Estate Transactions</w:t>
      </w:r>
      <w:r>
        <w:rPr>
          <w:rFonts w:ascii="Arial" w:cs="Arial" w:eastAsia="Arial" w:hAnsi="Arial"/>
          <w:sz w:val="14"/>
          <w:szCs w:val="14"/>
          <w:color w:val="auto"/>
        </w:rPr>
        <w:t xml:space="preserve"> for details.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Deferred Leasing/Financing Costs</w:t>
      </w:r>
    </w:p>
    <w:p>
      <w:pPr>
        <w:spacing w:after="0" w:line="143" w:lineRule="exact"/>
        <w:rPr>
          <w:sz w:val="20"/>
          <w:szCs w:val="20"/>
          <w:color w:val="auto"/>
        </w:rPr>
      </w:pPr>
    </w:p>
    <w:p>
      <w:pPr>
        <w:ind w:right="80"/>
        <w:spacing w:after="0" w:line="242" w:lineRule="auto"/>
        <w:rPr>
          <w:sz w:val="20"/>
          <w:szCs w:val="20"/>
          <w:color w:val="auto"/>
        </w:rPr>
      </w:pPr>
      <w:r>
        <w:rPr>
          <w:rFonts w:ascii="Arial" w:cs="Arial" w:eastAsia="Arial" w:hAnsi="Arial"/>
          <w:sz w:val="14"/>
          <w:szCs w:val="14"/>
          <w:color w:val="auto"/>
        </w:rPr>
        <w:t xml:space="preserve">Direct costs incurred in connection with obtaining tenants and or financing are amortized over the respective term of the loan utilizing the effective interest method, or straight-line method if the result is not materially different. In addition, interest on loans with increasing interest rates and scheduled principal pre-payments are also recognized using the effective interest method. Net deferred financing costs are presented as a reduction in the associated debt account (see </w:t>
      </w:r>
      <w:r>
        <w:rPr>
          <w:rFonts w:ascii="Arial" w:cs="Arial" w:eastAsia="Arial" w:hAnsi="Arial"/>
          <w:sz w:val="14"/>
          <w:szCs w:val="14"/>
          <w:i w:val="1"/>
          <w:iCs w:val="1"/>
          <w:color w:val="auto"/>
        </w:rPr>
        <w:t>Note 11 – Borrowings</w:t>
      </w:r>
      <w:r>
        <w:rPr>
          <w:rFonts w:ascii="Arial" w:cs="Arial" w:eastAsia="Arial" w:hAnsi="Arial"/>
          <w:sz w:val="14"/>
          <w:szCs w:val="14"/>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Film Rental Costs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Film rental costs are accrued based on the applicable box office receipts and estimates of the final settlement to the film licensors.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Advertising Expense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We expense our advertising as incurred. The amount of our advertising expense was $0.7 million, $0.7 million, and $1.8 million in 2021, 2020, and 2019,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Operating Leases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As Lessee</w:t>
      </w:r>
    </w:p>
    <w:p>
      <w:pPr>
        <w:spacing w:after="0" w:line="3" w:lineRule="exact"/>
        <w:rPr>
          <w:sz w:val="20"/>
          <w:szCs w:val="20"/>
          <w:color w:val="auto"/>
        </w:rPr>
      </w:pPr>
    </w:p>
    <w:p>
      <w:pPr>
        <w:ind w:right="60"/>
        <w:spacing w:after="0" w:line="277" w:lineRule="auto"/>
        <w:rPr>
          <w:sz w:val="20"/>
          <w:szCs w:val="20"/>
          <w:color w:val="auto"/>
        </w:rPr>
      </w:pPr>
      <w:r>
        <w:rPr>
          <w:rFonts w:ascii="Arial" w:cs="Arial" w:eastAsia="Arial" w:hAnsi="Arial"/>
          <w:sz w:val="13"/>
          <w:szCs w:val="13"/>
          <w:color w:val="auto"/>
        </w:rPr>
        <w:t>We determine if an arrangement is a lease at inception. Operating leases are included in operating lease right-of-use (“ROU”) assets and operating lease liabilities, current and non-current, in our consolidated balance sheets. Finance leases are included in operating properties, other current liabilities, and other long-term liabilities in our consolidated balance sheets.</w:t>
      </w:r>
    </w:p>
    <w:p>
      <w:pPr>
        <w:spacing w:after="0" w:line="22"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prepaid lease payments made and excludes lease incentives received. Our lease terms may include options to extend or not to terminate the lease when it is reasonably certain that we will exercise that option. Lease expense for lease payments is recognized on a straight-line basis over the lease term.</w:t>
      </w:r>
    </w:p>
    <w:p>
      <w:pPr>
        <w:spacing w:after="0" w:line="23" w:lineRule="exact"/>
        <w:rPr>
          <w:sz w:val="20"/>
          <w:szCs w:val="20"/>
          <w:color w:val="auto"/>
        </w:rPr>
      </w:pPr>
    </w:p>
    <w:p>
      <w:pPr>
        <w:ind w:right="380"/>
        <w:spacing w:after="0" w:line="258" w:lineRule="auto"/>
        <w:rPr>
          <w:sz w:val="20"/>
          <w:szCs w:val="20"/>
          <w:color w:val="auto"/>
        </w:rPr>
      </w:pPr>
      <w:r>
        <w:rPr>
          <w:rFonts w:ascii="Arial" w:cs="Arial" w:eastAsia="Arial" w:hAnsi="Arial"/>
          <w:sz w:val="14"/>
          <w:szCs w:val="14"/>
          <w:color w:val="auto"/>
        </w:rPr>
        <w:t>We have lease agreements with lease and non-lease components, which we do not separate. For certain equipment leases, such as cinema equipment, we account for the lease and non-lease components as a single lease component.</w:t>
      </w:r>
    </w:p>
    <w:p>
      <w:pPr>
        <w:spacing w:after="0" w:line="33" w:lineRule="exact"/>
        <w:rPr>
          <w:sz w:val="20"/>
          <w:szCs w:val="20"/>
          <w:color w:val="auto"/>
        </w:rPr>
      </w:pPr>
    </w:p>
    <w:p>
      <w:pPr>
        <w:ind w:right="60"/>
        <w:spacing w:after="0" w:line="237" w:lineRule="auto"/>
        <w:rPr>
          <w:sz w:val="20"/>
          <w:szCs w:val="20"/>
          <w:color w:val="auto"/>
        </w:rPr>
      </w:pPr>
      <w:r>
        <w:rPr>
          <w:rFonts w:ascii="Arial" w:cs="Arial" w:eastAsia="Arial" w:hAnsi="Arial"/>
          <w:sz w:val="14"/>
          <w:szCs w:val="14"/>
          <w:color w:val="auto"/>
        </w:rPr>
        <w:t>As a result of the impacts of COVID-19, we have obtained certain concessions from our landlords. Where we have obtained rent concessions from our landlords, or provided concessions to our tenants, we have elected not to perform the standard Topic 842 modification evaluation where the concession does not result in the total consideration required by the contract being substantially less than the total consideration originally required by the contract. We have elected to account for these concessions as if there have been no changes to the underlying contracts, thereby recognizing abatements secured as variable lease expenses, and increasing payables for lease payment deferrals.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As Lessor</w:t>
      </w:r>
    </w:p>
    <w:p>
      <w:pPr>
        <w:spacing w:after="0" w:line="3" w:lineRule="exact"/>
        <w:rPr>
          <w:sz w:val="20"/>
          <w:szCs w:val="20"/>
          <w:color w:val="auto"/>
        </w:rPr>
      </w:pPr>
    </w:p>
    <w:p>
      <w:pPr>
        <w:jc w:val="both"/>
        <w:ind w:right="40"/>
        <w:spacing w:after="0" w:line="235" w:lineRule="auto"/>
        <w:rPr>
          <w:sz w:val="20"/>
          <w:szCs w:val="20"/>
          <w:color w:val="auto"/>
        </w:rPr>
      </w:pPr>
      <w:r>
        <w:rPr>
          <w:rFonts w:ascii="Arial" w:cs="Arial" w:eastAsia="Arial" w:hAnsi="Arial"/>
          <w:sz w:val="14"/>
          <w:szCs w:val="14"/>
          <w:color w:val="auto"/>
        </w:rPr>
        <w:t>As part of our real estate operations, we own certain real estate property in the U.S., Australia and New Zealand which we lease to third parties. We recognize lease payments for operating leases as property revenue on a straight-line basis over the lease term. Lease incentive payments we make to lessees are amortized as a reduction in property revenue over the lease term. The lease term includes all non-cancellable periods contracted for within the lease and excludes any option periods which a tenant may hold.</w:t>
      </w:r>
    </w:p>
    <w:p>
      <w:pPr>
        <w:spacing w:after="0" w:line="122" w:lineRule="exact"/>
        <w:rPr>
          <w:sz w:val="20"/>
          <w:szCs w:val="20"/>
          <w:color w:val="auto"/>
        </w:rPr>
      </w:pPr>
    </w:p>
    <w:p>
      <w:pPr>
        <w:ind w:right="440"/>
        <w:spacing w:after="0" w:line="297" w:lineRule="auto"/>
        <w:rPr>
          <w:sz w:val="20"/>
          <w:szCs w:val="20"/>
          <w:color w:val="auto"/>
        </w:rPr>
      </w:pPr>
      <w:r>
        <w:rPr>
          <w:rFonts w:ascii="Arial" w:cs="Arial" w:eastAsia="Arial" w:hAnsi="Arial"/>
          <w:sz w:val="13"/>
          <w:szCs w:val="13"/>
          <w:color w:val="auto"/>
        </w:rPr>
        <w:t>As a result of the impacts of COVID-19, we have provided certain concessions to specific tenants. Where we have received or provided deferrals of rent, we have recorded the deferrals as receivables or payables, and where we have received or provided abatements, we have recorded these as variable rents in the consolidated statements of income.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270"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i w:val="1"/>
          <w:iCs w:val="1"/>
          <w:u w:val="single" w:color="auto"/>
          <w:color w:val="auto"/>
        </w:rPr>
        <w:t>Share-based Compensation</w:t>
      </w:r>
    </w:p>
    <w:p>
      <w:pPr>
        <w:spacing w:after="0" w:line="143" w:lineRule="exact"/>
        <w:rPr>
          <w:sz w:val="20"/>
          <w:szCs w:val="20"/>
          <w:color w:val="auto"/>
        </w:rPr>
      </w:pPr>
    </w:p>
    <w:p>
      <w:pPr>
        <w:jc w:val="both"/>
        <w:ind w:right="60"/>
        <w:spacing w:after="0" w:line="270" w:lineRule="auto"/>
        <w:rPr>
          <w:sz w:val="20"/>
          <w:szCs w:val="20"/>
          <w:color w:val="auto"/>
        </w:rPr>
      </w:pPr>
      <w:r>
        <w:rPr>
          <w:rFonts w:ascii="Arial" w:cs="Arial" w:eastAsia="Arial" w:hAnsi="Arial"/>
          <w:sz w:val="13"/>
          <w:szCs w:val="13"/>
          <w:color w:val="auto"/>
        </w:rPr>
        <w:t xml:space="preserve">The determination of the compensation cost for our share-based awards (primarily in the form of stock options or restricted stock units) is made at the grant date based on the estimated fair value of the award, and such cost is recognized over the grantee’s requisite service period (which typically equates to our vesting term). Previously recognized compensation cost shall be reversed for any forfeited award to the extent unvested at the time of forfeiture. Refer to </w:t>
      </w:r>
      <w:r>
        <w:rPr>
          <w:rFonts w:ascii="Arial" w:cs="Arial" w:eastAsia="Arial" w:hAnsi="Arial"/>
          <w:sz w:val="13"/>
          <w:szCs w:val="13"/>
          <w:i w:val="1"/>
          <w:iCs w:val="1"/>
          <w:color w:val="auto"/>
        </w:rPr>
        <w:t>Note 15 – Share-based Compensation and Repurchase Plans</w:t>
      </w:r>
      <w:r>
        <w:rPr>
          <w:rFonts w:ascii="Arial" w:cs="Arial" w:eastAsia="Arial" w:hAnsi="Arial"/>
          <w:sz w:val="13"/>
          <w:szCs w:val="13"/>
          <w:color w:val="auto"/>
        </w:rPr>
        <w:t xml:space="preserve"> for further details.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Treasury Shares</w:t>
      </w:r>
    </w:p>
    <w:p>
      <w:pPr>
        <w:spacing w:after="0" w:line="143"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 xml:space="preserve">In recent years, we repurchased our own Class A common shares as part of a publicly announced stock repurchase plan. We account for these repurchases using the cost method and present these as a separate line within the Stockholders’ Equity section in our consolidated balance sheets. Refer to </w:t>
      </w:r>
      <w:r>
        <w:rPr>
          <w:rFonts w:ascii="Arial" w:cs="Arial" w:eastAsia="Arial" w:hAnsi="Arial"/>
          <w:sz w:val="14"/>
          <w:szCs w:val="14"/>
          <w:i w:val="1"/>
          <w:iCs w:val="1"/>
          <w:color w:val="auto"/>
        </w:rPr>
        <w:t>Note 15 – Share-based Compensation and Repurchase Plans</w:t>
      </w:r>
      <w:r>
        <w:rPr>
          <w:rFonts w:ascii="Arial" w:cs="Arial" w:eastAsia="Arial" w:hAnsi="Arial"/>
          <w:sz w:val="14"/>
          <w:szCs w:val="14"/>
          <w:color w:val="auto"/>
        </w:rPr>
        <w:t xml:space="preserve"> for further details of our stock repurchase plan.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Insurance Recoveries and Other Contingency Matters</w:t>
      </w:r>
    </w:p>
    <w:p>
      <w:pPr>
        <w:spacing w:after="0" w:line="143" w:lineRule="exact"/>
        <w:rPr>
          <w:sz w:val="20"/>
          <w:szCs w:val="20"/>
          <w:color w:val="auto"/>
        </w:rPr>
      </w:pPr>
    </w:p>
    <w:p>
      <w:pPr>
        <w:ind w:left="520" w:hanging="253"/>
        <w:spacing w:after="0"/>
        <w:tabs>
          <w:tab w:leader="none" w:pos="520" w:val="left"/>
        </w:tabs>
        <w:numPr>
          <w:ilvl w:val="0"/>
          <w:numId w:val="18"/>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Loss contingencies </w:t>
      </w:r>
      <w:r>
        <w:rPr>
          <w:rFonts w:ascii="Arial" w:cs="Arial" w:eastAsia="Arial" w:hAnsi="Arial"/>
          <w:sz w:val="13"/>
          <w:szCs w:val="13"/>
          <w:color w:val="auto"/>
        </w:rPr>
        <w:t>– we record any loss contingencies if there is a “probable” likelihood that the liability had been incurred, and the amount of the loss can be reasonably estimated.</w:t>
      </w:r>
    </w:p>
    <w:p>
      <w:pPr>
        <w:spacing w:after="0" w:line="154" w:lineRule="exact"/>
        <w:rPr>
          <w:rFonts w:ascii="Arial" w:cs="Arial" w:eastAsia="Arial" w:hAnsi="Arial"/>
          <w:sz w:val="13"/>
          <w:szCs w:val="13"/>
          <w:i w:val="1"/>
          <w:iCs w:val="1"/>
          <w:color w:val="auto"/>
        </w:rPr>
      </w:pPr>
    </w:p>
    <w:p>
      <w:pPr>
        <w:ind w:left="520" w:hanging="253"/>
        <w:spacing w:after="0"/>
        <w:tabs>
          <w:tab w:leader="none" w:pos="52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Gain contingencies:</w:t>
      </w:r>
    </w:p>
    <w:p>
      <w:pPr>
        <w:spacing w:after="0" w:line="66" w:lineRule="exact"/>
        <w:rPr>
          <w:rFonts w:ascii="Arial" w:cs="Arial" w:eastAsia="Arial" w:hAnsi="Arial"/>
          <w:sz w:val="14"/>
          <w:szCs w:val="14"/>
          <w:i w:val="1"/>
          <w:iCs w:val="1"/>
          <w:color w:val="auto"/>
        </w:rPr>
      </w:pPr>
    </w:p>
    <w:p>
      <w:pPr>
        <w:ind w:left="520" w:right="20"/>
        <w:spacing w:after="0" w:line="279" w:lineRule="auto"/>
        <w:rPr>
          <w:rFonts w:ascii="Arial" w:cs="Arial" w:eastAsia="Arial" w:hAnsi="Arial"/>
          <w:sz w:val="14"/>
          <w:szCs w:val="14"/>
          <w:i w:val="1"/>
          <w:iCs w:val="1"/>
          <w:color w:val="auto"/>
        </w:rPr>
      </w:pPr>
      <w:r>
        <w:rPr>
          <w:rFonts w:ascii="Arial" w:cs="Arial" w:eastAsia="Arial" w:hAnsi="Arial"/>
          <w:sz w:val="13"/>
          <w:szCs w:val="13"/>
          <w:u w:val="single" w:color="auto"/>
          <w:color w:val="auto"/>
        </w:rPr>
        <w:t>Insurance recoveries</w:t>
      </w:r>
      <w:r>
        <w:rPr>
          <w:rFonts w:ascii="Arial" w:cs="Arial" w:eastAsia="Arial" w:hAnsi="Arial"/>
          <w:sz w:val="13"/>
          <w:szCs w:val="13"/>
          <w:color w:val="auto"/>
        </w:rPr>
        <w:t xml:space="preserve"> – in the event we incur a loss attributable to an impairment of an asset or incurrence of a liability that is recoverable, in whole or in part, through an insurance claim, we record an insurance recoverable (not to exceed the amount of the total losses incurred) only when the collectability of such claim is probable. To evaluate the probable collectability of an insurance claim, we consider communications with third parties (such as with our insurance company), in addition to advice from legal counsel.</w:t>
      </w:r>
    </w:p>
    <w:p>
      <w:pPr>
        <w:spacing w:after="0" w:line="9" w:lineRule="exact"/>
        <w:rPr>
          <w:rFonts w:ascii="Arial" w:cs="Arial" w:eastAsia="Arial" w:hAnsi="Arial"/>
          <w:sz w:val="14"/>
          <w:szCs w:val="14"/>
          <w:i w:val="1"/>
          <w:iCs w:val="1"/>
          <w:color w:val="auto"/>
        </w:rPr>
      </w:pPr>
    </w:p>
    <w:p>
      <w:pPr>
        <w:ind w:left="520"/>
        <w:spacing w:after="0"/>
        <w:rPr>
          <w:rFonts w:ascii="Arial" w:cs="Arial" w:eastAsia="Arial" w:hAnsi="Arial"/>
          <w:sz w:val="14"/>
          <w:szCs w:val="14"/>
          <w:i w:val="1"/>
          <w:iCs w:val="1"/>
          <w:color w:val="auto"/>
        </w:rPr>
      </w:pPr>
      <w:r>
        <w:rPr>
          <w:rFonts w:ascii="Arial" w:cs="Arial" w:eastAsia="Arial" w:hAnsi="Arial"/>
          <w:sz w:val="14"/>
          <w:szCs w:val="14"/>
          <w:u w:val="single" w:color="auto"/>
          <w:color w:val="auto"/>
        </w:rPr>
        <w:t>Others</w:t>
      </w:r>
      <w:r>
        <w:rPr>
          <w:rFonts w:ascii="Arial" w:cs="Arial" w:eastAsia="Arial" w:hAnsi="Arial"/>
          <w:sz w:val="14"/>
          <w:szCs w:val="14"/>
          <w:color w:val="auto"/>
        </w:rPr>
        <w:t xml:space="preserve"> – other gain contingencies typically result from legal settlements and we record those settlements in income when cash or other forms of payments are received.</w:t>
      </w:r>
    </w:p>
    <w:p>
      <w:pPr>
        <w:spacing w:after="0" w:line="153"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Legal costs relating to our litigation matters, whether we are the plaintiff or the defendant, are recorded when incurred. For the years ended December 31, 2021, 2020, and 2019, we recorded gains/(losses) relating to litigation settlement of $0.8 million, $3,000, and ($67,000),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Currency Translation Policy</w:t>
      </w:r>
    </w:p>
    <w:p>
      <w:pPr>
        <w:spacing w:after="0" w:line="143" w:lineRule="exact"/>
        <w:rPr>
          <w:sz w:val="20"/>
          <w:szCs w:val="20"/>
          <w:color w:val="auto"/>
        </w:rPr>
      </w:pPr>
    </w:p>
    <w:p>
      <w:pPr>
        <w:ind w:right="140"/>
        <w:spacing w:after="0" w:line="237" w:lineRule="auto"/>
        <w:rPr>
          <w:sz w:val="20"/>
          <w:szCs w:val="20"/>
          <w:color w:val="auto"/>
        </w:rPr>
      </w:pPr>
      <w:r>
        <w:rPr>
          <w:rFonts w:ascii="Arial" w:cs="Arial" w:eastAsia="Arial" w:hAnsi="Arial"/>
          <w:sz w:val="14"/>
          <w:szCs w:val="14"/>
          <w:color w:val="auto"/>
        </w:rPr>
        <w:t>The financial statements and transactions of our Australian and New Zealand cinema and real estate operations are recorded in their functional currencies, namely Australian and New Zealand dollars, respectively, and are then translated into U.S. dollars. Assets and liabilities of these operations are denominated in their functional currencies and are then translated at exchange rates in effect at the balance sheet date. Revenue and expenses are translated at the average exchange rate for the reporting period. Translation adjustments are reported in “Accumulated Other Comprehensive Income,” a component of Stockholders’ Equity.</w:t>
      </w:r>
    </w:p>
    <w:p>
      <w:pPr>
        <w:spacing w:after="0" w:line="123"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The carrying values of our Australian and New Zealand assets fluctuate due to changes in the exchange rate between the U.S. dollar and the Australian and New Zealand dollars. Presented in the table below are the currency exchange rates for Australia and New Zealand as of and for the three years ended December 31,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9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4"/>
              </w:rPr>
              <w:t>As of and</w:t>
            </w:r>
          </w:p>
        </w:tc>
        <w:tc>
          <w:tcPr>
            <w:tcW w:w="20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As of and</w:t>
            </w:r>
          </w:p>
        </w:tc>
        <w:tc>
          <w:tcPr>
            <w:tcW w:w="1800" w:type="dxa"/>
            <w:vAlign w:val="bottom"/>
          </w:tcPr>
          <w:p>
            <w:pPr>
              <w:jc w:val="center"/>
              <w:spacing w:after="0"/>
              <w:rPr>
                <w:sz w:val="20"/>
                <w:szCs w:val="20"/>
                <w:color w:val="auto"/>
              </w:rPr>
            </w:pPr>
            <w:r>
              <w:rPr>
                <w:rFonts w:ascii="Arial" w:cs="Arial" w:eastAsia="Arial" w:hAnsi="Arial"/>
                <w:sz w:val="12"/>
                <w:szCs w:val="12"/>
                <w:b w:val="1"/>
                <w:bCs w:val="1"/>
                <w:color w:val="auto"/>
                <w:w w:val="87"/>
              </w:rPr>
              <w:t>As of and</w:t>
            </w:r>
          </w:p>
        </w:tc>
        <w:tc>
          <w:tcPr>
            <w:tcW w:w="0" w:type="dxa"/>
            <w:vAlign w:val="bottom"/>
          </w:tcPr>
          <w:p>
            <w:pPr>
              <w:spacing w:after="0"/>
              <w:rPr>
                <w:sz w:val="1"/>
                <w:szCs w:val="1"/>
                <w:color w:val="auto"/>
              </w:rPr>
            </w:pPr>
          </w:p>
        </w:tc>
      </w:tr>
      <w:tr>
        <w:trPr>
          <w:trHeight w:val="119"/>
        </w:trPr>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980" w:type="dxa"/>
            <w:vAlign w:val="bottom"/>
            <w:gridSpan w:val="2"/>
          </w:tcPr>
          <w:p>
            <w:pPr>
              <w:jc w:val="center"/>
              <w:ind w:right="160"/>
              <w:spacing w:after="0" w:line="120" w:lineRule="exact"/>
              <w:rPr>
                <w:sz w:val="20"/>
                <w:szCs w:val="20"/>
                <w:color w:val="auto"/>
              </w:rPr>
            </w:pPr>
            <w:r>
              <w:rPr>
                <w:rFonts w:ascii="Arial" w:cs="Arial" w:eastAsia="Arial" w:hAnsi="Arial"/>
                <w:sz w:val="12"/>
                <w:szCs w:val="12"/>
                <w:b w:val="1"/>
                <w:bCs w:val="1"/>
                <w:color w:val="auto"/>
                <w:w w:val="86"/>
              </w:rPr>
              <w:t>for the year ended</w:t>
            </w:r>
          </w:p>
        </w:tc>
        <w:tc>
          <w:tcPr>
            <w:tcW w:w="200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86"/>
              </w:rPr>
              <w:t>for the year ended</w:t>
            </w:r>
          </w:p>
        </w:tc>
        <w:tc>
          <w:tcPr>
            <w:tcW w:w="18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6"/>
              </w:rPr>
              <w:t>for the year ended</w:t>
            </w:r>
          </w:p>
        </w:tc>
        <w:tc>
          <w:tcPr>
            <w:tcW w:w="0" w:type="dxa"/>
            <w:vAlign w:val="bottom"/>
          </w:tcPr>
          <w:p>
            <w:pPr>
              <w:spacing w:after="0"/>
              <w:rPr>
                <w:sz w:val="1"/>
                <w:szCs w:val="1"/>
                <w:color w:val="auto"/>
              </w:rPr>
            </w:pPr>
          </w:p>
        </w:tc>
      </w:tr>
      <w:tr>
        <w:trPr>
          <w:trHeight w:val="138"/>
        </w:trPr>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91"/>
              </w:rPr>
              <w:t>Spot Rate</w:t>
            </w:r>
          </w:p>
        </w:tc>
        <w:tc>
          <w:tcPr>
            <w:tcW w:w="4880" w:type="dxa"/>
            <w:vAlign w:val="bottom"/>
            <w:gridSpan w:val="2"/>
            <w:vMerge w:val="restart"/>
          </w:tcPr>
          <w:p>
            <w:pPr>
              <w:spacing w:after="0"/>
              <w:rPr>
                <w:sz w:val="12"/>
                <w:szCs w:val="12"/>
                <w:color w:val="auto"/>
              </w:rPr>
            </w:pPr>
          </w:p>
        </w:tc>
        <w:tc>
          <w:tcPr>
            <w:tcW w:w="1980" w:type="dxa"/>
            <w:vAlign w:val="bottom"/>
            <w:gridSpan w:val="2"/>
          </w:tcPr>
          <w:p>
            <w:pPr>
              <w:jc w:val="center"/>
              <w:ind w:right="160"/>
              <w:spacing w:after="0" w:line="137" w:lineRule="exact"/>
              <w:rPr>
                <w:sz w:val="20"/>
                <w:szCs w:val="20"/>
                <w:color w:val="auto"/>
              </w:rPr>
            </w:pPr>
            <w:r>
              <w:rPr>
                <w:rFonts w:ascii="Arial" w:cs="Arial" w:eastAsia="Arial" w:hAnsi="Arial"/>
                <w:sz w:val="12"/>
                <w:szCs w:val="12"/>
                <w:b w:val="1"/>
                <w:bCs w:val="1"/>
                <w:color w:val="auto"/>
                <w:w w:val="86"/>
              </w:rPr>
              <w:t>December 31, 2021</w:t>
            </w:r>
          </w:p>
        </w:tc>
        <w:tc>
          <w:tcPr>
            <w:tcW w:w="2000" w:type="dxa"/>
            <w:vAlign w:val="bottom"/>
            <w:gridSpan w:val="2"/>
          </w:tcPr>
          <w:p>
            <w:pPr>
              <w:jc w:val="center"/>
              <w:ind w:right="160"/>
              <w:spacing w:after="0" w:line="137" w:lineRule="exact"/>
              <w:rPr>
                <w:sz w:val="20"/>
                <w:szCs w:val="20"/>
                <w:color w:val="auto"/>
              </w:rPr>
            </w:pPr>
            <w:r>
              <w:rPr>
                <w:rFonts w:ascii="Arial" w:cs="Arial" w:eastAsia="Arial" w:hAnsi="Arial"/>
                <w:sz w:val="12"/>
                <w:szCs w:val="12"/>
                <w:b w:val="1"/>
                <w:bCs w:val="1"/>
                <w:color w:val="auto"/>
                <w:w w:val="85"/>
              </w:rPr>
              <w:t>December 31, 2020</w:t>
            </w:r>
          </w:p>
        </w:tc>
        <w:tc>
          <w:tcPr>
            <w:tcW w:w="180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85"/>
              </w:rPr>
              <w:t>December 31, 2019</w:t>
            </w:r>
          </w:p>
        </w:tc>
        <w:tc>
          <w:tcPr>
            <w:tcW w:w="0" w:type="dxa"/>
            <w:vAlign w:val="bottom"/>
          </w:tcPr>
          <w:p>
            <w:pPr>
              <w:spacing w:after="0"/>
              <w:rPr>
                <w:sz w:val="1"/>
                <w:szCs w:val="1"/>
                <w:color w:val="auto"/>
              </w:rPr>
            </w:pPr>
          </w:p>
        </w:tc>
      </w:tr>
      <w:tr>
        <w:trPr>
          <w:trHeight w:val="131"/>
        </w:trPr>
        <w:tc>
          <w:tcPr>
            <w:tcW w:w="620" w:type="dxa"/>
            <w:vAlign w:val="bottom"/>
            <w:tcBorders>
              <w:bottom w:val="single" w:sz="8" w:color="auto"/>
            </w:tcBorders>
            <w:vMerge w:val="continue"/>
          </w:tcPr>
          <w:p>
            <w:pPr>
              <w:spacing w:after="0"/>
              <w:rPr>
                <w:sz w:val="10"/>
                <w:szCs w:val="10"/>
                <w:color w:val="auto"/>
              </w:rPr>
            </w:pPr>
          </w:p>
        </w:tc>
        <w:tc>
          <w:tcPr>
            <w:tcW w:w="4880" w:type="dxa"/>
            <w:vAlign w:val="bottom"/>
            <w:gridSpan w:val="2"/>
            <w:vMerge w:val="continue"/>
          </w:tcPr>
          <w:p>
            <w:pPr>
              <w:spacing w:after="0"/>
              <w:rPr>
                <w:sz w:val="10"/>
                <w:szCs w:val="10"/>
                <w:color w:val="auto"/>
              </w:rPr>
            </w:pPr>
          </w:p>
        </w:tc>
        <w:tc>
          <w:tcPr>
            <w:tcW w:w="18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500" w:type="dxa"/>
            <w:vAlign w:val="bottom"/>
            <w:gridSpan w:val="3"/>
            <w:shd w:val="clear" w:color="auto" w:fill="CCEEFF"/>
          </w:tcPr>
          <w:p>
            <w:pPr>
              <w:ind w:left="180"/>
              <w:spacing w:after="0" w:line="158" w:lineRule="exact"/>
              <w:rPr>
                <w:sz w:val="20"/>
                <w:szCs w:val="20"/>
                <w:color w:val="auto"/>
              </w:rPr>
            </w:pPr>
            <w:r>
              <w:rPr>
                <w:rFonts w:ascii="Arial" w:cs="Arial" w:eastAsia="Arial" w:hAnsi="Arial"/>
                <w:sz w:val="14"/>
                <w:szCs w:val="14"/>
                <w:color w:val="auto"/>
              </w:rPr>
              <w:t>Australian Dollar</w:t>
            </w:r>
          </w:p>
        </w:tc>
        <w:tc>
          <w:tcPr>
            <w:tcW w:w="182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3"/>
              </w:rPr>
              <w:t>0.7260</w:t>
            </w:r>
          </w:p>
        </w:tc>
        <w:tc>
          <w:tcPr>
            <w:tcW w:w="16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3"/>
              </w:rPr>
              <w:t>0.7709</w:t>
            </w:r>
          </w:p>
        </w:tc>
        <w:tc>
          <w:tcPr>
            <w:tcW w:w="180" w:type="dxa"/>
            <w:vAlign w:val="bottom"/>
            <w:shd w:val="clear" w:color="auto" w:fill="CCEEFF"/>
          </w:tcPr>
          <w:p>
            <w:pPr>
              <w:spacing w:after="0"/>
              <w:rPr>
                <w:sz w:val="13"/>
                <w:szCs w:val="13"/>
                <w:color w:val="auto"/>
              </w:rPr>
            </w:pPr>
          </w:p>
        </w:tc>
        <w:tc>
          <w:tcPr>
            <w:tcW w:w="18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3"/>
              </w:rPr>
              <w:t>0.7030</w:t>
            </w:r>
          </w:p>
        </w:tc>
        <w:tc>
          <w:tcPr>
            <w:tcW w:w="0" w:type="dxa"/>
            <w:vAlign w:val="bottom"/>
          </w:tcPr>
          <w:p>
            <w:pPr>
              <w:spacing w:after="0"/>
              <w:rPr>
                <w:sz w:val="1"/>
                <w:szCs w:val="1"/>
                <w:color w:val="auto"/>
              </w:rPr>
            </w:pPr>
          </w:p>
        </w:tc>
      </w:tr>
      <w:tr>
        <w:trPr>
          <w:trHeight w:val="152"/>
        </w:trPr>
        <w:tc>
          <w:tcPr>
            <w:tcW w:w="5500" w:type="dxa"/>
            <w:vAlign w:val="bottom"/>
            <w:gridSpan w:val="3"/>
          </w:tcPr>
          <w:p>
            <w:pPr>
              <w:ind w:left="180"/>
              <w:spacing w:after="0" w:line="152" w:lineRule="exact"/>
              <w:rPr>
                <w:sz w:val="20"/>
                <w:szCs w:val="20"/>
                <w:color w:val="auto"/>
              </w:rPr>
            </w:pPr>
            <w:r>
              <w:rPr>
                <w:rFonts w:ascii="Arial" w:cs="Arial" w:eastAsia="Arial" w:hAnsi="Arial"/>
                <w:sz w:val="14"/>
                <w:szCs w:val="14"/>
                <w:color w:val="auto"/>
              </w:rPr>
              <w:t>New Zealand Dollar</w:t>
            </w:r>
          </w:p>
        </w:tc>
        <w:tc>
          <w:tcPr>
            <w:tcW w:w="1820" w:type="dxa"/>
            <w:vAlign w:val="bottom"/>
          </w:tcPr>
          <w:p>
            <w:pPr>
              <w:jc w:val="center"/>
              <w:spacing w:after="0" w:line="152" w:lineRule="exact"/>
              <w:rPr>
                <w:sz w:val="20"/>
                <w:szCs w:val="20"/>
                <w:color w:val="auto"/>
              </w:rPr>
            </w:pPr>
            <w:r>
              <w:rPr>
                <w:rFonts w:ascii="Arial" w:cs="Arial" w:eastAsia="Arial" w:hAnsi="Arial"/>
                <w:sz w:val="14"/>
                <w:szCs w:val="14"/>
                <w:color w:val="auto"/>
                <w:w w:val="93"/>
              </w:rPr>
              <w:t>0.6839</w:t>
            </w:r>
          </w:p>
        </w:tc>
        <w:tc>
          <w:tcPr>
            <w:tcW w:w="160" w:type="dxa"/>
            <w:vAlign w:val="bottom"/>
          </w:tcPr>
          <w:p>
            <w:pPr>
              <w:spacing w:after="0"/>
              <w:rPr>
                <w:sz w:val="13"/>
                <w:szCs w:val="13"/>
                <w:color w:val="auto"/>
              </w:rPr>
            </w:pPr>
          </w:p>
        </w:tc>
        <w:tc>
          <w:tcPr>
            <w:tcW w:w="1820" w:type="dxa"/>
            <w:vAlign w:val="bottom"/>
          </w:tcPr>
          <w:p>
            <w:pPr>
              <w:jc w:val="center"/>
              <w:spacing w:after="0" w:line="152" w:lineRule="exact"/>
              <w:rPr>
                <w:sz w:val="20"/>
                <w:szCs w:val="20"/>
                <w:color w:val="auto"/>
              </w:rPr>
            </w:pPr>
            <w:r>
              <w:rPr>
                <w:rFonts w:ascii="Arial" w:cs="Arial" w:eastAsia="Arial" w:hAnsi="Arial"/>
                <w:sz w:val="14"/>
                <w:szCs w:val="14"/>
                <w:color w:val="auto"/>
                <w:w w:val="93"/>
              </w:rPr>
              <w:t>0.7194</w:t>
            </w:r>
          </w:p>
        </w:tc>
        <w:tc>
          <w:tcPr>
            <w:tcW w:w="180" w:type="dxa"/>
            <w:vAlign w:val="bottom"/>
          </w:tcPr>
          <w:p>
            <w:pPr>
              <w:spacing w:after="0"/>
              <w:rPr>
                <w:sz w:val="13"/>
                <w:szCs w:val="13"/>
                <w:color w:val="auto"/>
              </w:rPr>
            </w:pPr>
          </w:p>
        </w:tc>
        <w:tc>
          <w:tcPr>
            <w:tcW w:w="1800" w:type="dxa"/>
            <w:vAlign w:val="bottom"/>
          </w:tcPr>
          <w:p>
            <w:pPr>
              <w:jc w:val="center"/>
              <w:spacing w:after="0" w:line="152" w:lineRule="exact"/>
              <w:rPr>
                <w:sz w:val="20"/>
                <w:szCs w:val="20"/>
                <w:color w:val="auto"/>
              </w:rPr>
            </w:pPr>
            <w:r>
              <w:rPr>
                <w:rFonts w:ascii="Arial" w:cs="Arial" w:eastAsia="Arial" w:hAnsi="Arial"/>
                <w:sz w:val="14"/>
                <w:szCs w:val="14"/>
                <w:color w:val="auto"/>
                <w:w w:val="93"/>
              </w:rPr>
              <w:t>0.6745</w:t>
            </w:r>
          </w:p>
        </w:tc>
        <w:tc>
          <w:tcPr>
            <w:tcW w:w="0" w:type="dxa"/>
            <w:vAlign w:val="bottom"/>
          </w:tcPr>
          <w:p>
            <w:pPr>
              <w:spacing w:after="0"/>
              <w:rPr>
                <w:sz w:val="1"/>
                <w:szCs w:val="1"/>
                <w:color w:val="auto"/>
              </w:rPr>
            </w:pPr>
          </w:p>
        </w:tc>
      </w:tr>
      <w:tr>
        <w:trPr>
          <w:trHeight w:val="132"/>
        </w:trPr>
        <w:tc>
          <w:tcPr>
            <w:tcW w:w="840" w:type="dxa"/>
            <w:vAlign w:val="bottom"/>
            <w:tcBorders>
              <w:bottom w:val="single" w:sz="8" w:color="auto"/>
            </w:tcBorders>
            <w:gridSpan w:val="2"/>
            <w:shd w:val="clear" w:color="auto" w:fill="CCEEFF"/>
          </w:tcPr>
          <w:p>
            <w:pPr>
              <w:spacing w:after="0" w:line="130" w:lineRule="exact"/>
              <w:rPr>
                <w:sz w:val="20"/>
                <w:szCs w:val="20"/>
                <w:color w:val="auto"/>
              </w:rPr>
            </w:pPr>
            <w:r>
              <w:rPr>
                <w:rFonts w:ascii="Arial" w:cs="Arial" w:eastAsia="Arial" w:hAnsi="Arial"/>
                <w:sz w:val="14"/>
                <w:szCs w:val="14"/>
                <w:b w:val="1"/>
                <w:bCs w:val="1"/>
                <w:color w:val="auto"/>
                <w:w w:val="91"/>
              </w:rPr>
              <w:t>Average Rate</w:t>
            </w:r>
          </w:p>
        </w:tc>
        <w:tc>
          <w:tcPr>
            <w:tcW w:w="4660" w:type="dxa"/>
            <w:vAlign w:val="bottom"/>
            <w:tcBorders>
              <w:bottom w:val="single" w:sz="8" w:color="CCEEFF"/>
            </w:tcBorders>
            <w:shd w:val="clear" w:color="auto" w:fill="CCEEFF"/>
          </w:tcPr>
          <w:p>
            <w:pPr>
              <w:spacing w:after="0"/>
              <w:rPr>
                <w:sz w:val="11"/>
                <w:szCs w:val="11"/>
                <w:color w:val="auto"/>
              </w:rPr>
            </w:pPr>
          </w:p>
        </w:tc>
        <w:tc>
          <w:tcPr>
            <w:tcW w:w="18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8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8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500" w:type="dxa"/>
            <w:vAlign w:val="bottom"/>
            <w:gridSpan w:val="3"/>
          </w:tcPr>
          <w:p>
            <w:pPr>
              <w:ind w:left="180"/>
              <w:spacing w:after="0" w:line="152" w:lineRule="exact"/>
              <w:rPr>
                <w:sz w:val="20"/>
                <w:szCs w:val="20"/>
                <w:color w:val="auto"/>
              </w:rPr>
            </w:pPr>
            <w:r>
              <w:rPr>
                <w:rFonts w:ascii="Arial" w:cs="Arial" w:eastAsia="Arial" w:hAnsi="Arial"/>
                <w:sz w:val="14"/>
                <w:szCs w:val="14"/>
                <w:color w:val="auto"/>
              </w:rPr>
              <w:t>Australian Dollar</w:t>
            </w:r>
          </w:p>
        </w:tc>
        <w:tc>
          <w:tcPr>
            <w:tcW w:w="1820" w:type="dxa"/>
            <w:vAlign w:val="bottom"/>
          </w:tcPr>
          <w:p>
            <w:pPr>
              <w:jc w:val="center"/>
              <w:spacing w:after="0" w:line="152" w:lineRule="exact"/>
              <w:rPr>
                <w:sz w:val="20"/>
                <w:szCs w:val="20"/>
                <w:color w:val="auto"/>
              </w:rPr>
            </w:pPr>
            <w:r>
              <w:rPr>
                <w:rFonts w:ascii="Arial" w:cs="Arial" w:eastAsia="Arial" w:hAnsi="Arial"/>
                <w:sz w:val="14"/>
                <w:szCs w:val="14"/>
                <w:color w:val="auto"/>
                <w:w w:val="93"/>
              </w:rPr>
              <w:t>0.7517</w:t>
            </w:r>
          </w:p>
        </w:tc>
        <w:tc>
          <w:tcPr>
            <w:tcW w:w="160" w:type="dxa"/>
            <w:vAlign w:val="bottom"/>
          </w:tcPr>
          <w:p>
            <w:pPr>
              <w:spacing w:after="0"/>
              <w:rPr>
                <w:sz w:val="13"/>
                <w:szCs w:val="13"/>
                <w:color w:val="auto"/>
              </w:rPr>
            </w:pPr>
          </w:p>
        </w:tc>
        <w:tc>
          <w:tcPr>
            <w:tcW w:w="1820" w:type="dxa"/>
            <w:vAlign w:val="bottom"/>
          </w:tcPr>
          <w:p>
            <w:pPr>
              <w:jc w:val="center"/>
              <w:spacing w:after="0" w:line="152" w:lineRule="exact"/>
              <w:rPr>
                <w:sz w:val="20"/>
                <w:szCs w:val="20"/>
                <w:color w:val="auto"/>
              </w:rPr>
            </w:pPr>
            <w:r>
              <w:rPr>
                <w:rFonts w:ascii="Arial" w:cs="Arial" w:eastAsia="Arial" w:hAnsi="Arial"/>
                <w:sz w:val="14"/>
                <w:szCs w:val="14"/>
                <w:color w:val="auto"/>
                <w:w w:val="93"/>
              </w:rPr>
              <w:t>0.6904</w:t>
            </w:r>
          </w:p>
        </w:tc>
        <w:tc>
          <w:tcPr>
            <w:tcW w:w="180" w:type="dxa"/>
            <w:vAlign w:val="bottom"/>
          </w:tcPr>
          <w:p>
            <w:pPr>
              <w:spacing w:after="0"/>
              <w:rPr>
                <w:sz w:val="13"/>
                <w:szCs w:val="13"/>
                <w:color w:val="auto"/>
              </w:rPr>
            </w:pPr>
          </w:p>
        </w:tc>
        <w:tc>
          <w:tcPr>
            <w:tcW w:w="1800" w:type="dxa"/>
            <w:vAlign w:val="bottom"/>
          </w:tcPr>
          <w:p>
            <w:pPr>
              <w:jc w:val="center"/>
              <w:spacing w:after="0" w:line="152" w:lineRule="exact"/>
              <w:rPr>
                <w:sz w:val="20"/>
                <w:szCs w:val="20"/>
                <w:color w:val="auto"/>
              </w:rPr>
            </w:pPr>
            <w:r>
              <w:rPr>
                <w:rFonts w:ascii="Arial" w:cs="Arial" w:eastAsia="Arial" w:hAnsi="Arial"/>
                <w:sz w:val="14"/>
                <w:szCs w:val="14"/>
                <w:color w:val="auto"/>
                <w:w w:val="93"/>
              </w:rPr>
              <w:t>0.6954</w:t>
            </w:r>
          </w:p>
        </w:tc>
        <w:tc>
          <w:tcPr>
            <w:tcW w:w="0" w:type="dxa"/>
            <w:vAlign w:val="bottom"/>
          </w:tcPr>
          <w:p>
            <w:pPr>
              <w:spacing w:after="0"/>
              <w:rPr>
                <w:sz w:val="1"/>
                <w:szCs w:val="1"/>
                <w:color w:val="auto"/>
              </w:rPr>
            </w:pPr>
          </w:p>
        </w:tc>
      </w:tr>
      <w:tr>
        <w:trPr>
          <w:trHeight w:val="152"/>
        </w:trPr>
        <w:tc>
          <w:tcPr>
            <w:tcW w:w="5500" w:type="dxa"/>
            <w:vAlign w:val="bottom"/>
            <w:gridSpan w:val="3"/>
            <w:shd w:val="clear" w:color="auto" w:fill="CCEEFF"/>
          </w:tcPr>
          <w:p>
            <w:pPr>
              <w:ind w:left="180"/>
              <w:spacing w:after="0" w:line="152" w:lineRule="exact"/>
              <w:rPr>
                <w:sz w:val="20"/>
                <w:szCs w:val="20"/>
                <w:color w:val="auto"/>
              </w:rPr>
            </w:pPr>
            <w:r>
              <w:rPr>
                <w:rFonts w:ascii="Arial" w:cs="Arial" w:eastAsia="Arial" w:hAnsi="Arial"/>
                <w:sz w:val="14"/>
                <w:szCs w:val="14"/>
                <w:color w:val="auto"/>
              </w:rPr>
              <w:t>New Zealand Dollar</w:t>
            </w:r>
          </w:p>
        </w:tc>
        <w:tc>
          <w:tcPr>
            <w:tcW w:w="1820" w:type="dxa"/>
            <w:vAlign w:val="bottom"/>
            <w:shd w:val="clear" w:color="auto" w:fill="CCEEFF"/>
          </w:tcPr>
          <w:p>
            <w:pPr>
              <w:jc w:val="center"/>
              <w:spacing w:after="0" w:line="152" w:lineRule="exact"/>
              <w:rPr>
                <w:sz w:val="20"/>
                <w:szCs w:val="20"/>
                <w:color w:val="auto"/>
              </w:rPr>
            </w:pPr>
            <w:r>
              <w:rPr>
                <w:rFonts w:ascii="Arial" w:cs="Arial" w:eastAsia="Arial" w:hAnsi="Arial"/>
                <w:sz w:val="14"/>
                <w:szCs w:val="14"/>
                <w:color w:val="auto"/>
                <w:w w:val="93"/>
              </w:rPr>
              <w:t>0.7077</w:t>
            </w:r>
          </w:p>
        </w:tc>
        <w:tc>
          <w:tcPr>
            <w:tcW w:w="16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line="152" w:lineRule="exact"/>
              <w:rPr>
                <w:sz w:val="20"/>
                <w:szCs w:val="20"/>
                <w:color w:val="auto"/>
              </w:rPr>
            </w:pPr>
            <w:r>
              <w:rPr>
                <w:rFonts w:ascii="Arial" w:cs="Arial" w:eastAsia="Arial" w:hAnsi="Arial"/>
                <w:sz w:val="14"/>
                <w:szCs w:val="14"/>
                <w:color w:val="auto"/>
                <w:w w:val="93"/>
              </w:rPr>
              <w:t>0.6504</w:t>
            </w:r>
          </w:p>
        </w:tc>
        <w:tc>
          <w:tcPr>
            <w:tcW w:w="180" w:type="dxa"/>
            <w:vAlign w:val="bottom"/>
            <w:shd w:val="clear" w:color="auto" w:fill="CCEEFF"/>
          </w:tcPr>
          <w:p>
            <w:pPr>
              <w:spacing w:after="0"/>
              <w:rPr>
                <w:sz w:val="13"/>
                <w:szCs w:val="13"/>
                <w:color w:val="auto"/>
              </w:rPr>
            </w:pPr>
          </w:p>
        </w:tc>
        <w:tc>
          <w:tcPr>
            <w:tcW w:w="1800" w:type="dxa"/>
            <w:vAlign w:val="bottom"/>
            <w:shd w:val="clear" w:color="auto" w:fill="CCEEFF"/>
          </w:tcPr>
          <w:p>
            <w:pPr>
              <w:jc w:val="center"/>
              <w:spacing w:after="0" w:line="152" w:lineRule="exact"/>
              <w:rPr>
                <w:sz w:val="20"/>
                <w:szCs w:val="20"/>
                <w:color w:val="auto"/>
              </w:rPr>
            </w:pPr>
            <w:r>
              <w:rPr>
                <w:rFonts w:ascii="Arial" w:cs="Arial" w:eastAsia="Arial" w:hAnsi="Arial"/>
                <w:sz w:val="14"/>
                <w:szCs w:val="14"/>
                <w:color w:val="auto"/>
                <w:w w:val="93"/>
              </w:rPr>
              <w:t>0.6593</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Income Taxes</w:t>
      </w:r>
    </w:p>
    <w:p>
      <w:pPr>
        <w:spacing w:after="0" w:line="143" w:lineRule="exact"/>
        <w:rPr>
          <w:sz w:val="20"/>
          <w:szCs w:val="20"/>
          <w:color w:val="auto"/>
        </w:rPr>
      </w:pPr>
    </w:p>
    <w:p>
      <w:pPr>
        <w:ind w:right="60"/>
        <w:spacing w:after="0" w:line="232" w:lineRule="auto"/>
        <w:rPr>
          <w:sz w:val="20"/>
          <w:szCs w:val="20"/>
          <w:color w:val="auto"/>
        </w:rPr>
      </w:pPr>
      <w:r>
        <w:rPr>
          <w:rFonts w:ascii="Arial" w:cs="Arial" w:eastAsia="Arial" w:hAnsi="Arial"/>
          <w:sz w:val="14"/>
          <w:szCs w:val="14"/>
          <w:color w:val="auto"/>
        </w:rPr>
        <w:t>We account for income taxes under an asset and liability approach. Under the asset and liability method, deferred tax assets and liabilities are recognized for the expected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w:t>
      </w:r>
    </w:p>
    <w:p>
      <w:pPr>
        <w:jc w:val="center"/>
        <w:spacing w:after="0"/>
        <w:rPr>
          <w:sz w:val="20"/>
          <w:szCs w:val="20"/>
          <w:color w:val="auto"/>
        </w:rPr>
      </w:pPr>
      <w:r>
        <w:rPr>
          <w:rFonts w:ascii="Arial" w:cs="Arial" w:eastAsia="Arial" w:hAnsi="Arial"/>
          <w:sz w:val="14"/>
          <w:szCs w:val="14"/>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70" w:right="319" w:bottom="1440" w:gutter="0" w:footer="0" w:header="0"/>
        </w:sectPr>
      </w:pPr>
    </w:p>
    <w:bookmarkStart w:id="73" w:name="page74"/>
    <w:bookmarkEnd w:id="73"/>
    <w:p>
      <w:pPr>
        <w:ind w:right="40"/>
        <w:spacing w:after="0" w:line="242" w:lineRule="auto"/>
        <w:rPr>
          <w:sz w:val="20"/>
          <w:szCs w:val="20"/>
          <w:color w:val="auto"/>
        </w:rPr>
      </w:pPr>
      <w:r>
        <w:rPr>
          <w:rFonts w:ascii="Arial" w:cs="Arial" w:eastAsia="Arial" w:hAnsi="Arial"/>
          <w:sz w:val="14"/>
          <w:szCs w:val="14"/>
          <w:color w:val="auto"/>
        </w:rPr>
        <w:t>and are classified as noncurrent on the balance sheets in accordance with current U.S. GAAP. Valuation allowances are established, when necessary, to reduce deferred tax assets to the amount expected to be realized. Income tax expense (benefit) is the tax payable (refundable) for the period and the change during the period in deferred tax assets and liabilities. The effect of a change in tax rates or law on deferred tax assets and liabilities is recognized in income in the period that includes the enactment date.</w:t>
      </w:r>
    </w:p>
    <w:p>
      <w:pPr>
        <w:spacing w:after="0" w:line="120"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We recognize deferred tax assets to the extent that we believe that these assets are more likely than not to be realized. In evaluating our ability to recover our deferred tax assets within the jurisdiction from which they arise, we consider all available positive and negative evidence, including scheduled reversals of deferred tax liabilities, projected future taxable income, tax planning strategies and recent financial operations.</w:t>
      </w:r>
    </w:p>
    <w:p>
      <w:pPr>
        <w:spacing w:after="0" w:line="12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 tax benefit from an uncertain tax position may be recognized when it is more likely than not that the position will be sustained upon examination, including resolutions of any related appeals or litigation processes, based on the technical merits.</w:t>
      </w:r>
    </w:p>
    <w:p>
      <w:pPr>
        <w:spacing w:after="0" w:line="109" w:lineRule="exact"/>
        <w:rPr>
          <w:sz w:val="20"/>
          <w:szCs w:val="20"/>
          <w:color w:val="auto"/>
        </w:rPr>
      </w:pPr>
    </w:p>
    <w:p>
      <w:pPr>
        <w:ind w:right="40"/>
        <w:spacing w:after="0" w:line="237" w:lineRule="auto"/>
        <w:rPr>
          <w:sz w:val="20"/>
          <w:szCs w:val="20"/>
          <w:color w:val="auto"/>
        </w:rPr>
      </w:pPr>
      <w:r>
        <w:rPr>
          <w:rFonts w:ascii="Arial" w:cs="Arial" w:eastAsia="Arial" w:hAnsi="Arial"/>
          <w:sz w:val="14"/>
          <w:szCs w:val="14"/>
          <w:color w:val="auto"/>
        </w:rPr>
        <w:t>We recognize tax liabilities for uncertain tax positions and adjust these liabilities when our judgment changes as a result of the evaluation of new information not previously available. We record interest and penalties related to income tax matters as part of income tax expense and record the related liabilities in income tax related balance sheet accounts. Due to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it is determined a change in recognition or measurement is appropriate.</w:t>
      </w:r>
    </w:p>
    <w:p>
      <w:pPr>
        <w:spacing w:after="0" w:line="123" w:lineRule="exact"/>
        <w:rPr>
          <w:sz w:val="20"/>
          <w:szCs w:val="20"/>
          <w:color w:val="auto"/>
        </w:rPr>
      </w:pPr>
    </w:p>
    <w:p>
      <w:pPr>
        <w:jc w:val="both"/>
        <w:ind w:right="60"/>
        <w:spacing w:after="0" w:line="242" w:lineRule="auto"/>
        <w:rPr>
          <w:sz w:val="20"/>
          <w:szCs w:val="20"/>
          <w:color w:val="auto"/>
        </w:rPr>
      </w:pPr>
      <w:r>
        <w:rPr>
          <w:rFonts w:ascii="Arial" w:cs="Arial" w:eastAsia="Arial" w:hAnsi="Arial"/>
          <w:sz w:val="14"/>
          <w:szCs w:val="14"/>
          <w:color w:val="auto"/>
        </w:rPr>
        <w:t>The U.S. Tax Cuts and Jobs Act of 2017 (the “Tax Act”) creates a new requirement for U.S. corporations to include in U.S. taxable income certain earnings of their foreign subsidiaries, effective beginning tax year 2018. The Global Intangible Low Taxed Income (“GILTI”) framework introduces a new tax on foreign earnings of U.S. based consolidated groups. We record taxes related to GILTI as a current-period expense when incurred.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Earnings (Loss) Per Share</w:t>
      </w:r>
    </w:p>
    <w:p>
      <w:pPr>
        <w:spacing w:after="0" w:line="143" w:lineRule="exact"/>
        <w:rPr>
          <w:sz w:val="20"/>
          <w:szCs w:val="20"/>
          <w:color w:val="auto"/>
        </w:rPr>
      </w:pPr>
    </w:p>
    <w:p>
      <w:pPr>
        <w:spacing w:after="0" w:line="235" w:lineRule="auto"/>
        <w:rPr>
          <w:sz w:val="20"/>
          <w:szCs w:val="20"/>
          <w:color w:val="auto"/>
        </w:rPr>
      </w:pPr>
      <w:r>
        <w:rPr>
          <w:rFonts w:ascii="Arial" w:cs="Arial" w:eastAsia="Arial" w:hAnsi="Arial"/>
          <w:sz w:val="14"/>
          <w:szCs w:val="14"/>
          <w:color w:val="auto"/>
        </w:rPr>
        <w:t>The Company presents both basic and diluted earnings (loss) per share amounts. Basic earnings (loss) per share is calculated by dividing net income (loss) attributable to the Company by the weighted average number of common shares outstanding during the year. Diluted earnings (loss) per share is based upon the weighted average number of common and common equivalent shares outstanding during the year, which is calculated using the treasury-stock method for equity-based awards. Common equivalent shares are excluded from the computation of diluted earnings (loss) per share in periods for which they have an anti-dilutive effect. Stock options for which the exercise price exceeds the average market price over the period are anti-dilutive and, accordingly, are excluded from the calculation.</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Government Grants</w:t>
      </w:r>
    </w:p>
    <w:p>
      <w:pPr>
        <w:spacing w:after="0" w:line="143" w:lineRule="exact"/>
        <w:rPr>
          <w:sz w:val="20"/>
          <w:szCs w:val="20"/>
          <w:color w:val="auto"/>
        </w:rPr>
      </w:pPr>
    </w:p>
    <w:p>
      <w:pPr>
        <w:ind w:right="60"/>
        <w:spacing w:after="0" w:line="248" w:lineRule="auto"/>
        <w:rPr>
          <w:sz w:val="20"/>
          <w:szCs w:val="20"/>
          <w:color w:val="auto"/>
        </w:rPr>
      </w:pPr>
      <w:r>
        <w:rPr>
          <w:rFonts w:ascii="Arial" w:cs="Arial" w:eastAsia="Arial" w:hAnsi="Arial"/>
          <w:sz w:val="13"/>
          <w:szCs w:val="13"/>
          <w:color w:val="auto"/>
        </w:rPr>
        <w:t xml:space="preserve">In the second quarter of 2020, in order to account for certain wage subsidies received from the Australian and New Zealand governments, we adopted </w:t>
      </w:r>
      <w:r>
        <w:rPr>
          <w:rFonts w:ascii="Arial" w:cs="Arial" w:eastAsia="Arial" w:hAnsi="Arial"/>
          <w:sz w:val="13"/>
          <w:szCs w:val="13"/>
          <w:i w:val="1"/>
          <w:iCs w:val="1"/>
          <w:color w:val="auto"/>
        </w:rPr>
        <w:t>International Accounting Standard 20 -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Accounting for Government Grants and Disclosure of Government Assistance (“IAS 20”). </w:t>
      </w:r>
      <w:r>
        <w:rPr>
          <w:rFonts w:ascii="Arial" w:cs="Arial" w:eastAsia="Arial" w:hAnsi="Arial"/>
          <w:sz w:val="13"/>
          <w:szCs w:val="13"/>
          <w:color w:val="auto"/>
        </w:rPr>
        <w:t>The aim of these Australian and New Zealand government subsidies is to protect as many jobs as</w:t>
      </w:r>
      <w:r>
        <w:rPr>
          <w:rFonts w:ascii="Arial" w:cs="Arial" w:eastAsia="Arial" w:hAnsi="Arial"/>
          <w:sz w:val="13"/>
          <w:szCs w:val="13"/>
          <w:i w:val="1"/>
          <w:iCs w:val="1"/>
          <w:color w:val="auto"/>
        </w:rPr>
        <w:t xml:space="preserve"> </w:t>
      </w:r>
      <w:r>
        <w:rPr>
          <w:rFonts w:ascii="Arial" w:cs="Arial" w:eastAsia="Arial" w:hAnsi="Arial"/>
          <w:sz w:val="13"/>
          <w:szCs w:val="13"/>
          <w:color w:val="auto"/>
        </w:rPr>
        <w:t>possible during the COVID-19 pandemic by subsidizing the wages of employees, using the administrative capabilities of employers to forward such subsidies to their employees. The subsidies are not loans to employees or employers. Other than the disclosure requirements promulgated by ASU 2021-10, U.S. GAAP has no other codified accounting guidance concerning the measurement and presentation of such government grants for for-profit entities, and in lieu of such guidance, common practice is to refer to IAS 20. IAS 20 permits entities to account for government grants on a gross basis, showing grants receivable as income and the associated expense as costs, or on a net basis, by deducting the grant from the related expense. The nature of the wage subsidies is such that, without them, our Company would likely have reduced its wages and salaries expense through the termination of certain employees. In order to faithfully present the transaction, our Company has therefore elected to present wages and salaries expense net of government grants. The impacted wages and salaries costs are contained within ‘other operating expenses’ and ‘general and administrative expenses’ in our cinema and real estate segments. In the year to December 31, 2021, we received subsidies totaling $2.6 million (AU $3.5 million) in Australia and $366,000 (NZ$518,000) in New Zealand, respectively. In the year to December 31, 2020, we received subsidies totaling $9.5 million (AU$12.3 million) and $1.4 million (NZ$1.9 million) in Australia and New Zealand, respectively. There are no unfulfilled conditions or contingencies relating to these subsidies as of December 31, 2021.</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270"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i w:val="1"/>
          <w:iCs w:val="1"/>
          <w:u w:val="single" w:color="auto"/>
          <w:color w:val="auto"/>
        </w:rPr>
        <w:t>Business Acquisition Valuation and Purchase Price Allocation</w:t>
      </w:r>
    </w:p>
    <w:p>
      <w:pPr>
        <w:spacing w:after="0" w:line="143" w:lineRule="exact"/>
        <w:rPr>
          <w:sz w:val="20"/>
          <w:szCs w:val="20"/>
          <w:color w:val="auto"/>
        </w:rPr>
      </w:pPr>
    </w:p>
    <w:p>
      <w:pPr>
        <w:ind w:right="20"/>
        <w:spacing w:after="0" w:line="235" w:lineRule="auto"/>
        <w:rPr>
          <w:sz w:val="20"/>
          <w:szCs w:val="20"/>
          <w:color w:val="auto"/>
        </w:rPr>
      </w:pPr>
      <w:r>
        <w:rPr>
          <w:rFonts w:ascii="Arial" w:cs="Arial" w:eastAsia="Arial" w:hAnsi="Arial"/>
          <w:sz w:val="14"/>
          <w:szCs w:val="14"/>
          <w:color w:val="auto"/>
        </w:rPr>
        <w:t xml:space="preserve">In recent years, our business acquisition efforts have been focused on our real estate segment however, in 2019 we completed two acquisitions of established cinemas in Tasmania, Australia. For acquisitions meeting the definition of a “business” in accordance with ASC 805, </w:t>
      </w:r>
      <w:r>
        <w:rPr>
          <w:rFonts w:ascii="Arial" w:cs="Arial" w:eastAsia="Arial" w:hAnsi="Arial"/>
          <w:sz w:val="14"/>
          <w:szCs w:val="14"/>
          <w:i w:val="1"/>
          <w:iCs w:val="1"/>
          <w:color w:val="auto"/>
        </w:rPr>
        <w:t>Business Combinations</w:t>
      </w:r>
      <w:r>
        <w:rPr>
          <w:rFonts w:ascii="Arial" w:cs="Arial" w:eastAsia="Arial" w:hAnsi="Arial"/>
          <w:sz w:val="14"/>
          <w:szCs w:val="14"/>
          <w:color w:val="auto"/>
        </w:rPr>
        <w:t>, the assets acquired, and the liabilities assumed are recorded at their fair values as of the acquisition date. To accomplish this, we typically obtain third-party valuations to allocate the purchase price to the assets acquired and liabilities assumed, including both tangible and intangible components. The determination of the fair values of the acquisition components and its related determination of the estimated lives of depreciable tangible assets and amortizing intangible assets/liabilities require significant judgment and several considerations, described as follows:</w:t>
      </w:r>
    </w:p>
    <w:p>
      <w:pPr>
        <w:spacing w:after="0" w:line="122" w:lineRule="exact"/>
        <w:rPr>
          <w:sz w:val="20"/>
          <w:szCs w:val="20"/>
          <w:color w:val="auto"/>
        </w:rPr>
      </w:pPr>
    </w:p>
    <w:p>
      <w:pPr>
        <w:ind w:left="520" w:right="100" w:hanging="253"/>
        <w:spacing w:after="0" w:line="232" w:lineRule="auto"/>
        <w:tabs>
          <w:tab w:leader="none" w:pos="52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Tangible assets – </w:t>
      </w:r>
      <w:r>
        <w:rPr>
          <w:rFonts w:ascii="Arial" w:cs="Arial" w:eastAsia="Arial" w:hAnsi="Arial"/>
          <w:sz w:val="14"/>
          <w:szCs w:val="14"/>
          <w:color w:val="auto"/>
        </w:rPr>
        <w:t>we allocate the purchase price to the tangible assets of an acquired property (which typically includes land, building and site/tenant improvements) based on the</w:t>
      </w:r>
      <w:r>
        <w:rPr>
          <w:rFonts w:ascii="Arial" w:cs="Arial" w:eastAsia="Arial" w:hAnsi="Arial"/>
          <w:sz w:val="14"/>
          <w:szCs w:val="14"/>
          <w:i w:val="1"/>
          <w:iCs w:val="1"/>
          <w:color w:val="auto"/>
        </w:rPr>
        <w:t xml:space="preserve"> </w:t>
      </w:r>
      <w:r>
        <w:rPr>
          <w:rFonts w:ascii="Arial" w:cs="Arial" w:eastAsia="Arial" w:hAnsi="Arial"/>
          <w:sz w:val="14"/>
          <w:szCs w:val="14"/>
          <w:color w:val="auto"/>
        </w:rPr>
        <w:t>estimated fair values of those tangible assets assuming the building was vacant. Estimates of fair value for land are based on factors such as comparisons to other properties sold in the same geographic area adjusted for unique characteristics. Estimates of fair values of buildings, and site/tenant improvements are based on present values determined based upon the application of hypothetical leases with market rates and terms. Estimates of plant and equipment, leasehold improvements and any cinema related equipment are based on their current market values with relation to their age and condition. Building and site improvements are depreciated over their remaining economic lives, while tenant improvements are depreciated over the remaining non-cancelable terms of the respective leases. Plant and equipment, leasehold improvements and any cinema related equipment are depreciated over the shorter of their useful economic lives and the underlying cinema lease.</w:t>
      </w:r>
    </w:p>
    <w:p>
      <w:pPr>
        <w:spacing w:after="0" w:line="124" w:lineRule="exact"/>
        <w:rPr>
          <w:rFonts w:ascii="Arial" w:cs="Arial" w:eastAsia="Arial" w:hAnsi="Arial"/>
          <w:sz w:val="14"/>
          <w:szCs w:val="14"/>
          <w:i w:val="1"/>
          <w:iCs w:val="1"/>
          <w:color w:val="auto"/>
        </w:rPr>
      </w:pPr>
    </w:p>
    <w:p>
      <w:pPr>
        <w:ind w:left="520" w:hanging="253"/>
        <w:spacing w:after="0"/>
        <w:tabs>
          <w:tab w:leader="none" w:pos="52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Intangible assets and liabilities – </w:t>
      </w:r>
      <w:r>
        <w:rPr>
          <w:rFonts w:ascii="Arial" w:cs="Arial" w:eastAsia="Arial" w:hAnsi="Arial"/>
          <w:sz w:val="14"/>
          <w:szCs w:val="14"/>
          <w:color w:val="auto"/>
        </w:rPr>
        <w:t>the valuation of the intangible assets and liabilities in a typical real estate acquisition is described below:</w:t>
      </w:r>
    </w:p>
    <w:p>
      <w:pPr>
        <w:spacing w:after="0" w:line="66" w:lineRule="exact"/>
        <w:rPr>
          <w:rFonts w:ascii="Arial" w:cs="Arial" w:eastAsia="Arial" w:hAnsi="Arial"/>
          <w:sz w:val="14"/>
          <w:szCs w:val="14"/>
          <w:i w:val="1"/>
          <w:iCs w:val="1"/>
          <w:color w:val="auto"/>
        </w:rPr>
      </w:pPr>
    </w:p>
    <w:p>
      <w:pPr>
        <w:ind w:left="520" w:right="20"/>
        <w:spacing w:after="0" w:line="238" w:lineRule="auto"/>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Above-market and below-market leases </w:t>
      </w:r>
      <w:r>
        <w:rPr>
          <w:rFonts w:ascii="Arial" w:cs="Arial" w:eastAsia="Arial" w:hAnsi="Arial"/>
          <w:sz w:val="14"/>
          <w:szCs w:val="14"/>
          <w:color w:val="auto"/>
        </w:rPr>
        <w:t>– where we are the lessor, we record above-market and below-market in-place lease values for acquired properties based on the present value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(using an interest rate which reflects the risks associated with the leases acquired) of the difference between (i) the contractual amounts to be paid pursuant to the in-place leases and (ii) management’s estimate of fair market lease rates for the corresponding in-place leases, measured over a period equal to the remaining non-cancelable term of the lease. We amortize any capitalized above-market lease values (an intangible asset) and capitalized below-market lease values (an intangible liability) over the remaining non-cancelable terms of the respective leases. Where we are the lessee, lease arrangements entered into are assessed under ASC 842 </w:t>
      </w:r>
      <w:r>
        <w:rPr>
          <w:rFonts w:ascii="Arial" w:cs="Arial" w:eastAsia="Arial" w:hAnsi="Arial"/>
          <w:sz w:val="14"/>
          <w:szCs w:val="14"/>
          <w:i w:val="1"/>
          <w:iCs w:val="1"/>
          <w:color w:val="auto"/>
        </w:rPr>
        <w:t>Leases.</w:t>
      </w:r>
    </w:p>
    <w:p>
      <w:pPr>
        <w:spacing w:after="0" w:line="36" w:lineRule="exact"/>
        <w:rPr>
          <w:rFonts w:ascii="Arial" w:cs="Arial" w:eastAsia="Arial" w:hAnsi="Arial"/>
          <w:sz w:val="14"/>
          <w:szCs w:val="14"/>
          <w:i w:val="1"/>
          <w:iCs w:val="1"/>
          <w:color w:val="auto"/>
        </w:rPr>
      </w:pPr>
    </w:p>
    <w:p>
      <w:pPr>
        <w:ind w:left="520"/>
        <w:spacing w:after="0" w:line="255" w:lineRule="auto"/>
        <w:rPr>
          <w:rFonts w:ascii="Arial" w:cs="Arial" w:eastAsia="Arial" w:hAnsi="Arial"/>
          <w:sz w:val="14"/>
          <w:szCs w:val="14"/>
          <w:i w:val="1"/>
          <w:iCs w:val="1"/>
          <w:color w:val="auto"/>
        </w:rPr>
      </w:pPr>
      <w:r>
        <w:rPr>
          <w:rFonts w:ascii="Arial" w:cs="Arial" w:eastAsia="Arial" w:hAnsi="Arial"/>
          <w:sz w:val="13"/>
          <w:szCs w:val="13"/>
          <w:i w:val="1"/>
          <w:iCs w:val="1"/>
          <w:color w:val="auto"/>
        </w:rPr>
        <w:t xml:space="preserve">Benefit of avoided costs due to existing tenancies </w:t>
      </w:r>
      <w:r>
        <w:rPr>
          <w:rFonts w:ascii="Arial" w:cs="Arial" w:eastAsia="Arial" w:hAnsi="Arial"/>
          <w:sz w:val="13"/>
          <w:szCs w:val="13"/>
          <w:color w:val="auto"/>
        </w:rPr>
        <w:t>– this typically includes (i) in-place leases (the value of avoided lease-up costs) and (ii) leasing commissions and legal/marketing costs</w:t>
      </w:r>
      <w:r>
        <w:rPr>
          <w:rFonts w:ascii="Arial" w:cs="Arial" w:eastAsia="Arial" w:hAnsi="Arial"/>
          <w:sz w:val="13"/>
          <w:szCs w:val="13"/>
          <w:i w:val="1"/>
          <w:iCs w:val="1"/>
          <w:color w:val="auto"/>
        </w:rPr>
        <w:t xml:space="preserve"> </w:t>
      </w:r>
      <w:r>
        <w:rPr>
          <w:rFonts w:ascii="Arial" w:cs="Arial" w:eastAsia="Arial" w:hAnsi="Arial"/>
          <w:sz w:val="13"/>
          <w:szCs w:val="13"/>
          <w:color w:val="auto"/>
        </w:rPr>
        <w:t>avoided with the leases in place. We measure the fair values of the in-place leases based on the difference between (i) the property valued with existing in-place leases adjusted to market rental rates and (ii) the property valued as if vacant. Factors considered in the fair value determination include an estimate of carrying costs during hypothetical expected lease-up periods considering current market conditions, and costs to execute similar leases. We also consider information obtained about each property as a result of our pre-acquisition due diligence, marketing, and leasing activities in estimating the fair value of the intangible assets acquired. In estimating carrying costs, management includes real estate taxes, insurance and other operating expenses and estimates of lost rentals at market rates during the expected lease-up periods. Management also estimates costs to execute similar leases including leasing commissions, legal, and other related expenses to the extent that such costs are not already incurred in connection with a new lease origination as part of the transaction.</w:t>
      </w:r>
    </w:p>
    <w:p>
      <w:pPr>
        <w:spacing w:after="0" w:line="37" w:lineRule="exact"/>
        <w:rPr>
          <w:rFonts w:ascii="Arial" w:cs="Arial" w:eastAsia="Arial" w:hAnsi="Arial"/>
          <w:sz w:val="14"/>
          <w:szCs w:val="14"/>
          <w:i w:val="1"/>
          <w:iCs w:val="1"/>
          <w:color w:val="auto"/>
        </w:rPr>
      </w:pPr>
    </w:p>
    <w:p>
      <w:pPr>
        <w:ind w:left="520" w:right="160"/>
        <w:spacing w:after="0" w:line="258" w:lineRule="auto"/>
        <w:rPr>
          <w:rFonts w:ascii="Arial" w:cs="Arial" w:eastAsia="Arial" w:hAnsi="Arial"/>
          <w:sz w:val="14"/>
          <w:szCs w:val="14"/>
          <w:i w:val="1"/>
          <w:iCs w:val="1"/>
          <w:color w:val="auto"/>
        </w:rPr>
      </w:pPr>
      <w:r>
        <w:rPr>
          <w:rFonts w:ascii="Arial" w:cs="Arial" w:eastAsia="Arial" w:hAnsi="Arial"/>
          <w:sz w:val="14"/>
          <w:szCs w:val="14"/>
          <w:color w:val="auto"/>
        </w:rPr>
        <w:t>We amortize the value of in-place leases and unamortized leasing origination costs to expense over the remaining term of the respective leases. Should a tenant terminate its lease, the unamortized portion of the in-place lease values and leasing origination costs will be charged to expense.</w:t>
      </w:r>
    </w:p>
    <w:p>
      <w:pPr>
        <w:spacing w:after="0" w:line="33" w:lineRule="exact"/>
        <w:rPr>
          <w:rFonts w:ascii="Arial" w:cs="Arial" w:eastAsia="Arial" w:hAnsi="Arial"/>
          <w:sz w:val="14"/>
          <w:szCs w:val="14"/>
          <w:i w:val="1"/>
          <w:iCs w:val="1"/>
          <w:color w:val="auto"/>
        </w:rPr>
      </w:pPr>
    </w:p>
    <w:p>
      <w:pPr>
        <w:ind w:left="520"/>
        <w:spacing w:after="0"/>
        <w:rPr>
          <w:rFonts w:ascii="Arial" w:cs="Arial" w:eastAsia="Arial" w:hAnsi="Arial"/>
          <w:sz w:val="14"/>
          <w:szCs w:val="14"/>
          <w:i w:val="1"/>
          <w:iCs w:val="1"/>
          <w:color w:val="auto"/>
        </w:rPr>
      </w:pPr>
      <w:r>
        <w:rPr>
          <w:rFonts w:ascii="Arial" w:cs="Arial" w:eastAsia="Arial" w:hAnsi="Arial"/>
          <w:sz w:val="14"/>
          <w:szCs w:val="14"/>
          <w:color w:val="auto"/>
        </w:rPr>
        <w:t>Intangible assets acquired in cinema business combination typically relate to the brand of the underlying business being acquired.</w:t>
      </w:r>
    </w:p>
    <w:p>
      <w:pPr>
        <w:spacing w:after="0" w:line="143"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 xml:space="preserve">These assessments have a direct impact on revenue and net income, particularly on the depreciable base of the allocated assets which will impact the timing of expense allocation. In accordance with our adoption of </w:t>
      </w:r>
      <w:r>
        <w:rPr>
          <w:rFonts w:ascii="Arial" w:cs="Arial" w:eastAsia="Arial" w:hAnsi="Arial"/>
          <w:sz w:val="14"/>
          <w:szCs w:val="14"/>
          <w:i w:val="1"/>
          <w:iCs w:val="1"/>
          <w:color w:val="auto"/>
        </w:rPr>
        <w:t>ASU 2015-16</w:t>
      </w:r>
      <w:r>
        <w:rPr>
          <w:rFonts w:ascii="Arial" w:cs="Arial" w:eastAsia="Arial" w:hAnsi="Arial"/>
          <w:sz w:val="14"/>
          <w:szCs w:val="14"/>
          <w:color w:val="auto"/>
        </w:rPr>
        <w:t>, we record the changes in depreciation and amortization in the period we finalized our purchase price allocation.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40"/>
          </w:cols>
          <w:pgMar w:left="300" w:top="270" w:right="35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color w:val="auto"/>
        </w:rPr>
        <w:t>New Accounting Standards and Accounting Changes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Adopted and Issued Accounting Pronouncements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Adopted:</w:t>
      </w:r>
    </w:p>
    <w:p>
      <w:pPr>
        <w:spacing w:after="0" w:line="139" w:lineRule="exact"/>
        <w:rPr>
          <w:sz w:val="20"/>
          <w:szCs w:val="20"/>
          <w:color w:val="auto"/>
        </w:rPr>
      </w:pPr>
    </w:p>
    <w:p>
      <w:pPr>
        <w:ind w:right="620"/>
        <w:spacing w:after="0" w:line="264" w:lineRule="auto"/>
        <w:rPr>
          <w:sz w:val="20"/>
          <w:szCs w:val="20"/>
          <w:color w:val="auto"/>
        </w:rPr>
      </w:pPr>
      <w:r>
        <w:rPr>
          <w:rFonts w:ascii="Arial" w:cs="Arial" w:eastAsia="Arial" w:hAnsi="Arial"/>
          <w:sz w:val="14"/>
          <w:szCs w:val="14"/>
          <w:b w:val="1"/>
          <w:bCs w:val="1"/>
          <w:u w:val="single" w:color="auto"/>
          <w:color w:val="auto"/>
        </w:rPr>
        <w:t xml:space="preserve">ASU 2021-10 </w:t>
      </w:r>
      <w:r>
        <w:rPr>
          <w:rFonts w:ascii="Arial" w:cs="Arial" w:eastAsia="Arial" w:hAnsi="Arial"/>
          <w:sz w:val="14"/>
          <w:szCs w:val="14"/>
          <w:b w:val="1"/>
          <w:bCs w:val="1"/>
          <w:i w:val="1"/>
          <w:iCs w:val="1"/>
          <w:u w:val="single" w:color="auto"/>
          <w:color w:val="auto"/>
        </w:rPr>
        <w:t>Government Assistance (Topic 832): Disclosures by Business Entities about Government Assistance /</w:t>
      </w:r>
      <w:r>
        <w:rPr>
          <w:rFonts w:ascii="Arial" w:cs="Arial" w:eastAsia="Arial" w:hAnsi="Arial"/>
          <w:sz w:val="14"/>
          <w:szCs w:val="14"/>
          <w:b w:val="1"/>
          <w:bCs w:val="1"/>
          <w:u w:val="single" w:color="auto"/>
          <w:color w:val="auto"/>
        </w:rPr>
        <w:t xml:space="preserve"> IAS 20 – </w:t>
      </w:r>
      <w:r>
        <w:rPr>
          <w:rFonts w:ascii="Arial" w:cs="Arial" w:eastAsia="Arial" w:hAnsi="Arial"/>
          <w:sz w:val="14"/>
          <w:szCs w:val="14"/>
          <w:b w:val="1"/>
          <w:bCs w:val="1"/>
          <w:i w:val="1"/>
          <w:iCs w:val="1"/>
          <w:u w:val="single" w:color="auto"/>
          <w:color w:val="auto"/>
        </w:rPr>
        <w:t>Accounting for Government Grants and Disclosure of</w:t>
      </w:r>
      <w:r>
        <w:rPr>
          <w:rFonts w:ascii="Arial" w:cs="Arial" w:eastAsia="Arial" w:hAnsi="Arial"/>
          <w:sz w:val="14"/>
          <w:szCs w:val="14"/>
          <w:b w:val="1"/>
          <w:bCs w:val="1"/>
          <w:u w:val="single" w:color="auto"/>
          <w:color w:val="auto"/>
        </w:rPr>
        <w:t xml:space="preserve"> </w:t>
      </w:r>
      <w:r>
        <w:rPr>
          <w:rFonts w:ascii="Arial" w:cs="Arial" w:eastAsia="Arial" w:hAnsi="Arial"/>
          <w:sz w:val="14"/>
          <w:szCs w:val="14"/>
          <w:b w:val="1"/>
          <w:bCs w:val="1"/>
          <w:i w:val="1"/>
          <w:iCs w:val="1"/>
          <w:u w:val="single" w:color="auto"/>
          <w:color w:val="auto"/>
        </w:rPr>
        <w:t>Government Assistance</w:t>
      </w:r>
    </w:p>
    <w:p>
      <w:pPr>
        <w:spacing w:after="0" w:line="105" w:lineRule="exact"/>
        <w:rPr>
          <w:sz w:val="20"/>
          <w:szCs w:val="20"/>
          <w:color w:val="auto"/>
        </w:rPr>
      </w:pPr>
    </w:p>
    <w:p>
      <w:pPr>
        <w:ind w:right="220"/>
        <w:spacing w:after="0" w:line="237" w:lineRule="auto"/>
        <w:rPr>
          <w:sz w:val="20"/>
          <w:szCs w:val="20"/>
          <w:color w:val="auto"/>
        </w:rPr>
      </w:pPr>
      <w:r>
        <w:rPr>
          <w:rFonts w:ascii="Arial" w:cs="Arial" w:eastAsia="Arial" w:hAnsi="Arial"/>
          <w:sz w:val="14"/>
          <w:szCs w:val="14"/>
          <w:color w:val="auto"/>
        </w:rPr>
        <w:t xml:space="preserve">On December 15, 2021, we early adopted </w:t>
      </w:r>
      <w:r>
        <w:rPr>
          <w:rFonts w:ascii="Arial" w:cs="Arial" w:eastAsia="Arial" w:hAnsi="Arial"/>
          <w:sz w:val="14"/>
          <w:szCs w:val="14"/>
          <w:i w:val="1"/>
          <w:iCs w:val="1"/>
          <w:color w:val="auto"/>
        </w:rPr>
        <w:t>ASU 2021-10, Government Assistance: Disclosures by Business Entities about Government Assistance (Topic 832).</w:t>
      </w:r>
      <w:r>
        <w:rPr>
          <w:rFonts w:ascii="Arial" w:cs="Arial" w:eastAsia="Arial" w:hAnsi="Arial"/>
          <w:sz w:val="14"/>
          <w:szCs w:val="14"/>
          <w:color w:val="auto"/>
        </w:rPr>
        <w:t xml:space="preserve"> This ASU applies to transactions with a government that are accounted for by analogizing to accounting standards such as </w:t>
      </w:r>
      <w:r>
        <w:rPr>
          <w:rFonts w:ascii="Arial" w:cs="Arial" w:eastAsia="Arial" w:hAnsi="Arial"/>
          <w:sz w:val="14"/>
          <w:szCs w:val="14"/>
          <w:i w:val="1"/>
          <w:iCs w:val="1"/>
          <w:color w:val="auto"/>
        </w:rPr>
        <w:t>International Accounting Standard 20 - Accounting for Government Grants and Disclosure of</w:t>
      </w:r>
      <w:r>
        <w:rPr>
          <w:rFonts w:ascii="Arial" w:cs="Arial" w:eastAsia="Arial" w:hAnsi="Arial"/>
          <w:sz w:val="14"/>
          <w:szCs w:val="14"/>
          <w:color w:val="auto"/>
        </w:rPr>
        <w:t xml:space="preserve"> </w:t>
      </w:r>
      <w:r>
        <w:rPr>
          <w:rFonts w:ascii="Arial" w:cs="Arial" w:eastAsia="Arial" w:hAnsi="Arial"/>
          <w:sz w:val="14"/>
          <w:szCs w:val="14"/>
          <w:i w:val="1"/>
          <w:iCs w:val="1"/>
          <w:color w:val="auto"/>
        </w:rPr>
        <w:t>Government Assistance (“IAS 20”)</w:t>
      </w:r>
      <w:r>
        <w:rPr>
          <w:rFonts w:ascii="Arial" w:cs="Arial" w:eastAsia="Arial" w:hAnsi="Arial"/>
          <w:sz w:val="14"/>
          <w:szCs w:val="14"/>
          <w:color w:val="auto"/>
        </w:rPr>
        <w:t>, which we adopted in the second quarter of 2020 in order to account for the receipt of certain government grants in Australia and New Zealand. The early</w:t>
      </w:r>
      <w:r>
        <w:rPr>
          <w:rFonts w:ascii="Arial" w:cs="Arial" w:eastAsia="Arial" w:hAnsi="Arial"/>
          <w:sz w:val="14"/>
          <w:szCs w:val="14"/>
          <w:i w:val="1"/>
          <w:iCs w:val="1"/>
          <w:color w:val="auto"/>
        </w:rPr>
        <w:t xml:space="preserve"> </w:t>
      </w:r>
      <w:r>
        <w:rPr>
          <w:rFonts w:ascii="Arial" w:cs="Arial" w:eastAsia="Arial" w:hAnsi="Arial"/>
          <w:sz w:val="14"/>
          <w:szCs w:val="14"/>
          <w:color w:val="auto"/>
        </w:rPr>
        <w:t>adoption of the ASU has no material effect on our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 xml:space="preserve">ASU 2020-04 – </w:t>
      </w:r>
      <w:r>
        <w:rPr>
          <w:rFonts w:ascii="Arial" w:cs="Arial" w:eastAsia="Arial" w:hAnsi="Arial"/>
          <w:sz w:val="14"/>
          <w:szCs w:val="14"/>
          <w:b w:val="1"/>
          <w:bCs w:val="1"/>
          <w:i w:val="1"/>
          <w:iCs w:val="1"/>
          <w:u w:val="single" w:color="auto"/>
          <w:color w:val="auto"/>
        </w:rPr>
        <w:t>Reference Rate Reform</w:t>
      </w:r>
    </w:p>
    <w:p>
      <w:pPr>
        <w:spacing w:after="0" w:line="147"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 xml:space="preserve">In the fourth quarter of 2020, we adopted certain practical expedients provided by </w:t>
      </w:r>
      <w:r>
        <w:rPr>
          <w:rFonts w:ascii="Arial" w:cs="Arial" w:eastAsia="Arial" w:hAnsi="Arial"/>
          <w:sz w:val="14"/>
          <w:szCs w:val="14"/>
          <w:i w:val="1"/>
          <w:iCs w:val="1"/>
          <w:color w:val="auto"/>
        </w:rPr>
        <w:t>ASU 2020-04 Reference Rate Reform (Topic 848)</w:t>
      </w:r>
      <w:r>
        <w:rPr>
          <w:rFonts w:ascii="Arial" w:cs="Arial" w:eastAsia="Arial" w:hAnsi="Arial"/>
          <w:sz w:val="14"/>
          <w:szCs w:val="14"/>
          <w:color w:val="auto"/>
        </w:rPr>
        <w:t>. This new guidance contains optional expedients and exceptions for applying U.S. GAAP to contracts, hedging relationships and other transactions affected by reference rate reform. We have elected certain expedients which permit us to i) continue the method of assessing hedge effectiveness such that the reference rate on the hypothetical derivative matches the reference rate on the hedging instrument and ii) to continue to assert probability of the relevant hedged interest payments regardless of any expected modification in terms related to reference reform.</w:t>
      </w:r>
    </w:p>
    <w:p>
      <w:pPr>
        <w:spacing w:after="0" w:line="123" w:lineRule="exact"/>
        <w:rPr>
          <w:sz w:val="20"/>
          <w:szCs w:val="20"/>
          <w:color w:val="auto"/>
        </w:rPr>
      </w:pPr>
    </w:p>
    <w:p>
      <w:pPr>
        <w:ind w:right="600"/>
        <w:spacing w:after="0" w:line="258" w:lineRule="auto"/>
        <w:rPr>
          <w:sz w:val="20"/>
          <w:szCs w:val="20"/>
          <w:color w:val="auto"/>
        </w:rPr>
      </w:pPr>
      <w:r>
        <w:rPr>
          <w:rFonts w:ascii="Arial" w:cs="Arial" w:eastAsia="Arial" w:hAnsi="Arial"/>
          <w:sz w:val="14"/>
          <w:szCs w:val="14"/>
          <w:color w:val="auto"/>
        </w:rPr>
        <w:t>The guidance allows for different expedient elections to be made at different points in time, and to this end the Company intends to reassess its elections of such expedients as and when alternations become necessary.</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 xml:space="preserve">ASU 2017-04 </w:t>
      </w:r>
      <w:r>
        <w:rPr>
          <w:rFonts w:ascii="Arial" w:cs="Arial" w:eastAsia="Arial" w:hAnsi="Arial"/>
          <w:sz w:val="14"/>
          <w:szCs w:val="14"/>
          <w:b w:val="1"/>
          <w:bCs w:val="1"/>
          <w:i w:val="1"/>
          <w:iCs w:val="1"/>
          <w:u w:val="single" w:color="auto"/>
          <w:color w:val="auto"/>
        </w:rPr>
        <w:t>Intangibles – Goodwill and Other (Topic 305): Simplifying the Test for Goodwill Impairment</w:t>
      </w:r>
    </w:p>
    <w:p>
      <w:pPr>
        <w:spacing w:after="0" w:line="147" w:lineRule="exact"/>
        <w:rPr>
          <w:sz w:val="20"/>
          <w:szCs w:val="20"/>
          <w:color w:val="auto"/>
        </w:rPr>
      </w:pPr>
    </w:p>
    <w:p>
      <w:pPr>
        <w:ind w:right="180"/>
        <w:spacing w:after="0" w:line="297" w:lineRule="auto"/>
        <w:rPr>
          <w:sz w:val="20"/>
          <w:szCs w:val="20"/>
          <w:color w:val="auto"/>
        </w:rPr>
      </w:pPr>
      <w:r>
        <w:rPr>
          <w:rFonts w:ascii="Arial" w:cs="Arial" w:eastAsia="Arial" w:hAnsi="Arial"/>
          <w:sz w:val="13"/>
          <w:szCs w:val="13"/>
          <w:color w:val="auto"/>
        </w:rPr>
        <w:t xml:space="preserve">On January 1, 2020, we adopted </w:t>
      </w:r>
      <w:r>
        <w:rPr>
          <w:rFonts w:ascii="Arial" w:cs="Arial" w:eastAsia="Arial" w:hAnsi="Arial"/>
          <w:sz w:val="13"/>
          <w:szCs w:val="13"/>
          <w:i w:val="1"/>
          <w:iCs w:val="1"/>
          <w:color w:val="auto"/>
        </w:rPr>
        <w:t>ASU 2017-04, Intangibles – Goodwill and Other (Topic 350)</w:t>
      </w:r>
      <w:r>
        <w:rPr>
          <w:rFonts w:ascii="Arial" w:cs="Arial" w:eastAsia="Arial" w:hAnsi="Arial"/>
          <w:sz w:val="13"/>
          <w:szCs w:val="13"/>
          <w:color w:val="auto"/>
        </w:rPr>
        <w:t xml:space="preserve">: </w:t>
      </w:r>
      <w:r>
        <w:rPr>
          <w:rFonts w:ascii="Arial" w:cs="Arial" w:eastAsia="Arial" w:hAnsi="Arial"/>
          <w:sz w:val="13"/>
          <w:szCs w:val="13"/>
          <w:i w:val="1"/>
          <w:iCs w:val="1"/>
          <w:color w:val="auto"/>
        </w:rPr>
        <w:t>Simplifying the Test for Goodwill Impairment</w:t>
      </w:r>
      <w:r>
        <w:rPr>
          <w:rFonts w:ascii="Arial" w:cs="Arial" w:eastAsia="Arial" w:hAnsi="Arial"/>
          <w:sz w:val="13"/>
          <w:szCs w:val="13"/>
          <w:color w:val="auto"/>
        </w:rPr>
        <w:t>. This new guidance removes the second step of the two-step impairment test for measuring goodwill and is to be applied on a prospective basis only. Adoption of this standard has no material effect on our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 xml:space="preserve">ASU 2016-13 </w:t>
      </w:r>
      <w:r>
        <w:rPr>
          <w:rFonts w:ascii="Arial" w:cs="Arial" w:eastAsia="Arial" w:hAnsi="Arial"/>
          <w:sz w:val="14"/>
          <w:szCs w:val="14"/>
          <w:b w:val="1"/>
          <w:bCs w:val="1"/>
          <w:i w:val="1"/>
          <w:iCs w:val="1"/>
          <w:u w:val="single" w:color="auto"/>
          <w:color w:val="auto"/>
        </w:rPr>
        <w:t>Financial Instruments – Credit Losses (Topic 326)</w:t>
      </w:r>
    </w:p>
    <w:p>
      <w:pPr>
        <w:spacing w:after="0" w:line="147"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 xml:space="preserve">On January 1, 2020, we adopted </w:t>
      </w:r>
      <w:r>
        <w:rPr>
          <w:rFonts w:ascii="Arial" w:cs="Arial" w:eastAsia="Arial" w:hAnsi="Arial"/>
          <w:sz w:val="14"/>
          <w:szCs w:val="14"/>
          <w:i w:val="1"/>
          <w:iCs w:val="1"/>
          <w:color w:val="auto"/>
        </w:rPr>
        <w:t>ASU 2016-13, Financial Instruments – Credit Losses (Topic 326)</w:t>
      </w:r>
      <w:r>
        <w:rPr>
          <w:rFonts w:ascii="Arial" w:cs="Arial" w:eastAsia="Arial" w:hAnsi="Arial"/>
          <w:sz w:val="14"/>
          <w:szCs w:val="14"/>
          <w:color w:val="auto"/>
        </w:rPr>
        <w:t>. This new guidance replaces the incurred loss impairment methodology under prior GAAP with a methodology that reflects expected credit losses and requires consideration of a broader range of reasonable and supportable information to inform credit loss estimates. We have no history of significant bad debt losses and as such adoption of this standard has no material effect on our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66"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auto"/>
        </w:rPr>
        <w:t>NOTE 3 – IMPACT OF COVID-19 PANDEMIC ON LIQUIDITY</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General</w:t>
      </w:r>
    </w:p>
    <w:p>
      <w:pPr>
        <w:spacing w:after="0" w:line="3"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On March 11, 2020, the World Health Organization (“WHO”) declared the novel coronavirus, COVID-19, a global pandemic. In March 2020 we temporarily closed all of our live theatres and cinema operations in the U.S., Australia and New Zealand. Operating restrictions adopted in Australia and New Zealand also affected many of our tenants at our retail shopping centers. These closures materially negatively impacted our revenues and profitability. Our cinemas began reopening at various times throughout the last quarter of 2020 and into 2021. COVID-19 has progressed through several variants, with the most current variant affecting the jurisdictions in which we do business being the Omicron variant. Vaccination programs are advancing, and it appears that societies are moving towards relaxing restrictions. There can be no assurances, however, that the current trend of reduced restrictions will continue, nor that there will be no further variants of COVID-19 which could lead to material business disruption.</w:t>
      </w:r>
    </w:p>
    <w:p>
      <w:pPr>
        <w:spacing w:after="0" w:line="125"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During 2020, we successfully implemented our COVID-19 response plans, generating cash inflows from strategic asset monetizations of $179.1 million and reducing or refinancing key debt. As a result of this, and the increasing health of the cinema segment, we have concluded that our Company has sufficient resources to meet its obligations as they become due within one year after the issuance of this Form 10-K.</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Cinema Segment Ongoing Impact</w:t>
      </w:r>
    </w:p>
    <w:p>
      <w:pPr>
        <w:spacing w:after="0" w:line="3"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As of December 31, 2021, none of our cinemas are closed as a result of COVID-19 government closure orders. As of the date of this report, substantially all of our U.S. cinemas are trading. On March 3, 2022, we reopened our Consolidated Theatre in Kapolei following a renovation. All of our New Zealand cinemas are trading except Courtenay Central which continues to be closed due to non-COVID related seismic concerns which predated the pandemic. A return to operation of this center has been delayed, however, by among other things our efforts to respond to COVID-19. Our Australian circuit is fully open.</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Real Estate Segment Ongoing Impact</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Substantially all of our tenants in our Australian and New Zealand real estate businesses (excluding Courtenay Central) are currently open for trading. In the U.S., much of our real estate income has traditionally been generated by rental revenue from our live theatres. As of the date of this report, our Minetta and Orpheum theatres are conducting public performances.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Liquidity Impact</w:t>
      </w:r>
    </w:p>
    <w:p>
      <w:pPr>
        <w:spacing w:after="0" w:line="3"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The continued disruption of our global cinemas caused by COVID-19 led to a significant decrease in our Company’s revenues and earnings for the year ended December 31, 2021, as compared to pre-COVID-19 operations. Such effects will likely continue, to varying degrees, until the virus is materially contained and its impact on the cinema going public abates. As compared to the year ended December 31, 2020, our revenues and earnings have increased as we have been able to reopen, and keep open, many of our cinemas. Even though we are encouraged by the return of patrons to our cinemas and theatres and the movie releases expected in the coming months, we cannot provide any assurances as to the nature or pace of a return to prior operating levels. With regards to our real estate operations, while all our New Zealand and Australian real estate tenants are currently trading (other than certain tenants who have closed for reasons unrelated to COVID-19), our real estate revenue and earnings may again be affected by any rent relief that we may deem necessary to provide to certain tenants experiencing continuing impacts from COVID-19.</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Going Concern</w:t>
      </w:r>
    </w:p>
    <w:p>
      <w:pPr>
        <w:spacing w:after="0" w:line="3"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 xml:space="preserve">We continue to evaluate the going concern assertion required by </w:t>
      </w:r>
      <w:r>
        <w:rPr>
          <w:rFonts w:ascii="Arial" w:cs="Arial" w:eastAsia="Arial" w:hAnsi="Arial"/>
          <w:sz w:val="14"/>
          <w:szCs w:val="14"/>
          <w:i w:val="1"/>
          <w:iCs w:val="1"/>
          <w:color w:val="auto"/>
        </w:rPr>
        <w:t>ASC 205-40 Going Concern</w:t>
      </w:r>
      <w:r>
        <w:rPr>
          <w:rFonts w:ascii="Arial" w:cs="Arial" w:eastAsia="Arial" w:hAnsi="Arial"/>
          <w:sz w:val="14"/>
          <w:szCs w:val="14"/>
          <w:color w:val="auto"/>
        </w:rPr>
        <w:t xml:space="preserve"> as it relates to our Company. Management’s evaluation is informed by current liquidity positions, cash flow estimates, known capital and other expenditure requirements and commitments and management’s current business plan and strategies. Our Company’s business plan - two businesses (real estate and cinema) in three countries (Australia, New Zealand and the U.S.) - has served us well since the onset of COVID-19 and is key to management’s overall evaluation of </w:t>
      </w:r>
      <w:r>
        <w:rPr>
          <w:rFonts w:ascii="Arial" w:cs="Arial" w:eastAsia="Arial" w:hAnsi="Arial"/>
          <w:sz w:val="14"/>
          <w:szCs w:val="14"/>
          <w:i w:val="1"/>
          <w:iCs w:val="1"/>
          <w:color w:val="auto"/>
        </w:rPr>
        <w:t>ASC 205-40</w:t>
      </w:r>
      <w:r>
        <w:rPr>
          <w:rFonts w:ascii="Arial" w:cs="Arial" w:eastAsia="Arial" w:hAnsi="Arial"/>
          <w:sz w:val="14"/>
          <w:szCs w:val="14"/>
          <w:color w:val="auto"/>
        </w:rPr>
        <w:t xml:space="preserve"> </w:t>
      </w:r>
      <w:r>
        <w:rPr>
          <w:rFonts w:ascii="Arial" w:cs="Arial" w:eastAsia="Arial" w:hAnsi="Arial"/>
          <w:sz w:val="14"/>
          <w:szCs w:val="14"/>
          <w:i w:val="1"/>
          <w:iCs w:val="1"/>
          <w:color w:val="auto"/>
        </w:rPr>
        <w:t>Going Concern</w:t>
      </w:r>
      <w:r>
        <w:rPr>
          <w:rFonts w:ascii="Arial" w:cs="Arial" w:eastAsia="Arial" w:hAnsi="Arial"/>
          <w:sz w:val="14"/>
          <w:szCs w:val="14"/>
          <w:color w:val="auto"/>
        </w:rPr>
        <w:t>.</w:t>
      </w:r>
    </w:p>
    <w:p>
      <w:pPr>
        <w:spacing w:after="0" w:line="122"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The cumulative impact of COVID-19 on our cinema business led to the conclusion in the third quarter of 2020 that there was substantial doubt regarding our Company’s ability to continue as a going concern; however, management’s plans to alleviate such substantial doubt included the adoption of plans to refinance our 44 Union Square property and the monetization of certain real estate assets.</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 xml:space="preserve">By June 2021 we had successfully executed these plans, as detailed in </w:t>
      </w:r>
      <w:r>
        <w:rPr>
          <w:rFonts w:ascii="Arial" w:cs="Arial" w:eastAsia="Arial" w:hAnsi="Arial"/>
          <w:sz w:val="13"/>
          <w:szCs w:val="13"/>
          <w:i w:val="1"/>
          <w:iCs w:val="1"/>
          <w:color w:val="auto"/>
        </w:rPr>
        <w:t>Note 5 – Real Estate Transactions</w:t>
      </w:r>
      <w:r>
        <w:rPr>
          <w:rFonts w:ascii="Arial" w:cs="Arial" w:eastAsia="Arial" w:hAnsi="Arial"/>
          <w:sz w:val="13"/>
          <w:szCs w:val="13"/>
          <w:color w:val="auto"/>
        </w:rPr>
        <w:t xml:space="preserve"> and </w:t>
      </w:r>
      <w:r>
        <w:rPr>
          <w:rFonts w:ascii="Arial" w:cs="Arial" w:eastAsia="Arial" w:hAnsi="Arial"/>
          <w:sz w:val="13"/>
          <w:szCs w:val="13"/>
          <w:i w:val="1"/>
          <w:iCs w:val="1"/>
          <w:color w:val="auto"/>
        </w:rPr>
        <w:t>Note 11 – Borrowings</w:t>
      </w:r>
      <w:r>
        <w:rPr>
          <w:rFonts w:ascii="Arial" w:cs="Arial" w:eastAsia="Arial" w:hAnsi="Arial"/>
          <w:sz w:val="13"/>
          <w:szCs w:val="13"/>
          <w:color w:val="auto"/>
        </w:rPr>
        <w:t xml:space="preserve">. The execution of these plans generated cash inflows of $179.1 million. Furthermore, we have reduced our debt from $282.6 million at December 31, 2020 to $234.0 million at December 31, 2021. We have no debt maturing until March 2023, being our Bank of America facility as presented at </w:t>
      </w:r>
      <w:r>
        <w:rPr>
          <w:rFonts w:ascii="Arial" w:cs="Arial" w:eastAsia="Arial" w:hAnsi="Arial"/>
          <w:sz w:val="13"/>
          <w:szCs w:val="13"/>
          <w:i w:val="1"/>
          <w:iCs w:val="1"/>
          <w:color w:val="auto"/>
        </w:rPr>
        <w:t>Note 11 - Borrowings</w:t>
      </w:r>
      <w:r>
        <w:rPr>
          <w:rFonts w:ascii="Arial" w:cs="Arial" w:eastAsia="Arial" w:hAnsi="Arial"/>
          <w:sz w:val="13"/>
          <w:szCs w:val="13"/>
          <w:color w:val="auto"/>
        </w:rPr>
        <w:t>, and we have the funds to repay this debt in the event that our refinancing efforts are unsuccessful.</w:t>
      </w:r>
    </w:p>
    <w:p>
      <w:pPr>
        <w:spacing w:after="0" w:line="103"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There have been no material business developments in the period since the execution of our plans that have negatively impacted our assessment of our going concern position. We acknowledge the impact of the Omicron variant on the cinema industry, but its impact is proving to be less than those of past variants. We believe that our current cash holdings, and the current and expected future improvements in the cinema industry, are such that our going concern assessment has not changed since the execution of management’s plans.</w:t>
      </w:r>
    </w:p>
    <w:p>
      <w:pPr>
        <w:jc w:val="center"/>
        <w:spacing w:after="0"/>
        <w:rPr>
          <w:sz w:val="20"/>
          <w:szCs w:val="20"/>
          <w:color w:val="auto"/>
        </w:rPr>
      </w:pPr>
      <w:r>
        <w:rPr>
          <w:rFonts w:ascii="Arial" w:cs="Arial" w:eastAsia="Arial" w:hAnsi="Arial"/>
          <w:sz w:val="14"/>
          <w:szCs w:val="14"/>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66" w:right="319" w:bottom="1440" w:gutter="0" w:footer="0" w:header="0"/>
        </w:sectPr>
      </w:pPr>
    </w:p>
    <w:bookmarkStart w:id="77" w:name="page78"/>
    <w:bookmarkEnd w:id="77"/>
    <w:p>
      <w:pPr>
        <w:jc w:val="both"/>
        <w:spacing w:after="0" w:line="233" w:lineRule="auto"/>
        <w:rPr>
          <w:sz w:val="20"/>
          <w:szCs w:val="20"/>
          <w:color w:val="auto"/>
        </w:rPr>
      </w:pPr>
      <w:r>
        <w:rPr>
          <w:rFonts w:ascii="Arial" w:cs="Arial" w:eastAsia="Arial" w:hAnsi="Arial"/>
          <w:sz w:val="14"/>
          <w:szCs w:val="14"/>
          <w:color w:val="auto"/>
        </w:rPr>
        <w:t>Our current financial position, forecasts and cash flow estimates based on our current expectations of industry performance and recovery, mean that our Company has sufficient resources to meet its obligations as they become due within one year after the issuance of this report on Form 10-K. Our forecasts and cash flow estimates are based on the current expectation that the global cinema industry will continue to recover in 2022 and 2023. Forecasts are by their nature inherently uncertain, but the effects of COVID-19 continue to cause greater forecasting difficulties than would otherwise exist in more stable economic times. While we are seeing substantial evidence of recovery, our forecasts rely upon the ability and desire of moviegoers to return to the movie theatres. Many factors influencing this are outside of management’s control, but are, nevertheless, material, individually and in the aggregate, to the realization of management’s forecasts and expectations throughout the period of COVID-19.</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Impairment Considerations</w:t>
      </w:r>
    </w:p>
    <w:p>
      <w:pPr>
        <w:spacing w:after="0" w:line="147" w:lineRule="exact"/>
        <w:rPr>
          <w:sz w:val="20"/>
          <w:szCs w:val="20"/>
          <w:color w:val="auto"/>
        </w:rPr>
      </w:pPr>
    </w:p>
    <w:p>
      <w:pPr>
        <w:ind w:right="120"/>
        <w:spacing w:after="0" w:line="235" w:lineRule="auto"/>
        <w:rPr>
          <w:sz w:val="20"/>
          <w:szCs w:val="20"/>
          <w:color w:val="auto"/>
        </w:rPr>
      </w:pPr>
      <w:r>
        <w:rPr>
          <w:rFonts w:ascii="Arial" w:cs="Arial" w:eastAsia="Arial" w:hAnsi="Arial"/>
          <w:sz w:val="14"/>
          <w:szCs w:val="14"/>
          <w:color w:val="auto"/>
        </w:rPr>
        <w:t xml:space="preserve">Our Company considers that the events and factors described above continue to constitute impairment indicators under </w:t>
      </w:r>
      <w:r>
        <w:rPr>
          <w:rFonts w:ascii="Arial" w:cs="Arial" w:eastAsia="Arial" w:hAnsi="Arial"/>
          <w:sz w:val="14"/>
          <w:szCs w:val="14"/>
          <w:i w:val="1"/>
          <w:iCs w:val="1"/>
          <w:color w:val="auto"/>
        </w:rPr>
        <w:t>ASC 360 Property, Plant and Equipment</w:t>
      </w:r>
      <w:r>
        <w:rPr>
          <w:rFonts w:ascii="Arial" w:cs="Arial" w:eastAsia="Arial" w:hAnsi="Arial"/>
          <w:sz w:val="14"/>
          <w:szCs w:val="14"/>
          <w:color w:val="auto"/>
        </w:rPr>
        <w:t>. At December 31, 2021, our Company performed a quantitative recoverability test of the carrying values of all its asset groups. Our Company estimated the undiscounted future cash flows expected to result from the use of these asset groups and found that no impairment charge was necessary. This was due to our improved financial performance at the asset group level, and our more favorable expectations for future trading. Actual performance against our forecasts is dependent on several variables and conditions, many of which are subject to the uncertainties associated with COVID-19 and as a result, actual results may materially differ from management’s estimates.</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 xml:space="preserve">Our Company also considers that the events and factors described above continue to constitute impairment indicators under </w:t>
      </w:r>
      <w:r>
        <w:rPr>
          <w:rFonts w:ascii="Arial" w:cs="Arial" w:eastAsia="Arial" w:hAnsi="Arial"/>
          <w:sz w:val="13"/>
          <w:szCs w:val="13"/>
          <w:i w:val="1"/>
          <w:iCs w:val="1"/>
          <w:color w:val="auto"/>
        </w:rPr>
        <w:t>ASC 350 Intangibles – Goodwill and Other</w:t>
      </w:r>
      <w:r>
        <w:rPr>
          <w:rFonts w:ascii="Arial" w:cs="Arial" w:eastAsia="Arial" w:hAnsi="Arial"/>
          <w:sz w:val="13"/>
          <w:szCs w:val="13"/>
          <w:color w:val="auto"/>
        </w:rPr>
        <w:t>. Our Company performed a quantitative goodwill impairment test and determined that our goodwill was not impaired as of December 31, 2021. The test was performed at a reporting unit level by comparing each reporting unit’s carrying value, including goodwill, to its fair value. The fair value of each reporting unit was assessed using a discounted cash flow model based on the budgetary revisions performed by management in response to COVID-19 and the developing market conditions. Actual performance against our forecasts is dependent on several variables and conditions, many of which are subject to the uncertainties associated with COVID-19 and as a result, actual results may materially differ from management’s estimates.</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4 – EARNINGS (LOSS) PER SHARE</w:t>
      </w:r>
    </w:p>
    <w:p>
      <w:pPr>
        <w:spacing w:after="0" w:line="147" w:lineRule="exact"/>
        <w:rPr>
          <w:sz w:val="20"/>
          <w:szCs w:val="20"/>
          <w:color w:val="auto"/>
        </w:rPr>
      </w:pPr>
    </w:p>
    <w:p>
      <w:pPr>
        <w:ind w:right="380"/>
        <w:spacing w:after="0" w:line="258" w:lineRule="auto"/>
        <w:rPr>
          <w:sz w:val="20"/>
          <w:szCs w:val="20"/>
          <w:color w:val="auto"/>
        </w:rPr>
      </w:pPr>
      <w:r>
        <w:rPr>
          <w:rFonts w:ascii="Arial" w:cs="Arial" w:eastAsia="Arial" w:hAnsi="Arial"/>
          <w:sz w:val="14"/>
          <w:szCs w:val="14"/>
          <w:color w:val="auto"/>
        </w:rPr>
        <w:t>The following table sets forth the computation of basic and diluted earnings (loss) per share and a reconciliation of the weighted average number of common and common equivalent shares outstanding for the three years ended December 31,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 except share and per share data)</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2"/>
                <w:szCs w:val="12"/>
                <w:b w:val="1"/>
                <w:bCs w:val="1"/>
                <w:color w:val="auto"/>
              </w:rPr>
              <w:t>2019</w:t>
            </w:r>
          </w:p>
        </w:tc>
      </w:tr>
      <w:tr>
        <w:trPr>
          <w:trHeight w:val="152"/>
        </w:trPr>
        <w:tc>
          <w:tcPr>
            <w:tcW w:w="6660" w:type="dxa"/>
            <w:vAlign w:val="bottom"/>
          </w:tcPr>
          <w:p>
            <w:pPr>
              <w:spacing w:after="0" w:line="152" w:lineRule="exact"/>
              <w:rPr>
                <w:sz w:val="20"/>
                <w:szCs w:val="20"/>
                <w:color w:val="auto"/>
              </w:rPr>
            </w:pPr>
            <w:r>
              <w:rPr>
                <w:rFonts w:ascii="Arial" w:cs="Arial" w:eastAsia="Arial" w:hAnsi="Arial"/>
                <w:sz w:val="14"/>
                <w:szCs w:val="14"/>
                <w:b w:val="1"/>
                <w:bCs w:val="1"/>
                <w:color w:val="auto"/>
              </w:rPr>
              <w:t>Numerator:</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2"/>
        </w:trPr>
        <w:tc>
          <w:tcPr>
            <w:tcW w:w="666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Net income (loss) attributable to Reading International, Inc.</w:t>
            </w:r>
          </w:p>
        </w:tc>
        <w:tc>
          <w:tcPr>
            <w:tcW w:w="480" w:type="dxa"/>
            <w:vAlign w:val="bottom"/>
            <w:gridSpan w:val="2"/>
            <w:shd w:val="clear" w:color="auto" w:fill="CCEEFF"/>
          </w:tcPr>
          <w:p>
            <w:pPr>
              <w:jc w:val="right"/>
              <w:ind w:right="168"/>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31,921</w:t>
            </w:r>
          </w:p>
        </w:tc>
        <w:tc>
          <w:tcPr>
            <w:tcW w:w="480" w:type="dxa"/>
            <w:vAlign w:val="bottom"/>
            <w:gridSpan w:val="2"/>
            <w:shd w:val="clear" w:color="auto" w:fill="CCEEFF"/>
          </w:tcPr>
          <w:p>
            <w:pPr>
              <w:jc w:val="right"/>
              <w:ind w:right="208"/>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(65,200)</w:t>
            </w:r>
          </w:p>
        </w:tc>
        <w:tc>
          <w:tcPr>
            <w:tcW w:w="480" w:type="dxa"/>
            <w:vAlign w:val="bottom"/>
            <w:gridSpan w:val="2"/>
            <w:shd w:val="clear" w:color="auto" w:fill="CCEEFF"/>
          </w:tcPr>
          <w:p>
            <w:pPr>
              <w:jc w:val="right"/>
              <w:ind w:right="208"/>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(26,429)</w:t>
            </w:r>
          </w:p>
        </w:tc>
      </w:tr>
      <w:tr>
        <w:trPr>
          <w:trHeight w:val="152"/>
        </w:trPr>
        <w:tc>
          <w:tcPr>
            <w:tcW w:w="6660" w:type="dxa"/>
            <w:vAlign w:val="bottom"/>
          </w:tcPr>
          <w:p>
            <w:pPr>
              <w:spacing w:after="0" w:line="152" w:lineRule="exact"/>
              <w:rPr>
                <w:sz w:val="20"/>
                <w:szCs w:val="20"/>
                <w:color w:val="auto"/>
              </w:rPr>
            </w:pPr>
            <w:r>
              <w:rPr>
                <w:rFonts w:ascii="Arial" w:cs="Arial" w:eastAsia="Arial" w:hAnsi="Arial"/>
                <w:sz w:val="14"/>
                <w:szCs w:val="14"/>
                <w:b w:val="1"/>
                <w:bCs w:val="1"/>
                <w:color w:val="auto"/>
              </w:rPr>
              <w:t>Denominator:</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2"/>
        </w:trPr>
        <w:tc>
          <w:tcPr>
            <w:tcW w:w="666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Weighted average shares of common stock – basic</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21,801,719</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21,749,155</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22,631,754</w:t>
            </w:r>
          </w:p>
        </w:tc>
      </w:tr>
      <w:tr>
        <w:trPr>
          <w:trHeight w:val="152"/>
        </w:trPr>
        <w:tc>
          <w:tcPr>
            <w:tcW w:w="6660" w:type="dxa"/>
            <w:vAlign w:val="bottom"/>
            <w:tcBorders>
              <w:bottom w:val="single" w:sz="8" w:color="CCEEFF"/>
            </w:tcBorders>
          </w:tcPr>
          <w:p>
            <w:pPr>
              <w:spacing w:after="0" w:line="152" w:lineRule="exact"/>
              <w:rPr>
                <w:sz w:val="20"/>
                <w:szCs w:val="20"/>
                <w:color w:val="auto"/>
              </w:rPr>
            </w:pPr>
            <w:r>
              <w:rPr>
                <w:rFonts w:ascii="Arial" w:cs="Arial" w:eastAsia="Arial" w:hAnsi="Arial"/>
                <w:sz w:val="14"/>
                <w:szCs w:val="14"/>
                <w:color w:val="auto"/>
              </w:rPr>
              <w:t>Weighted average dilutive impact of stock-based awards</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605,097</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466,356</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152,368</w:t>
            </w:r>
          </w:p>
        </w:tc>
      </w:tr>
      <w:tr>
        <w:trPr>
          <w:trHeight w:val="163"/>
        </w:trPr>
        <w:tc>
          <w:tcPr>
            <w:tcW w:w="666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auto"/>
              </w:rPr>
              <w:t>Weighted average shares of common stock – diluted</w:t>
            </w: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22,406,816</w:t>
            </w: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22,215,511</w:t>
            </w: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22,784,122</w:t>
            </w:r>
          </w:p>
        </w:tc>
      </w:tr>
      <w:tr>
        <w:trPr>
          <w:trHeight w:val="135"/>
        </w:trPr>
        <w:tc>
          <w:tcPr>
            <w:tcW w:w="6660" w:type="dxa"/>
            <w:vAlign w:val="bottom"/>
            <w:tcBorders>
              <w:bottom w:val="single" w:sz="8" w:color="CCEEFF"/>
            </w:tcBorders>
          </w:tcPr>
          <w:p>
            <w:pPr>
              <w:spacing w:after="0" w:line="133" w:lineRule="exact"/>
              <w:rPr>
                <w:sz w:val="20"/>
                <w:szCs w:val="20"/>
                <w:color w:val="auto"/>
              </w:rPr>
            </w:pPr>
            <w:r>
              <w:rPr>
                <w:rFonts w:ascii="Arial" w:cs="Arial" w:eastAsia="Arial" w:hAnsi="Arial"/>
                <w:sz w:val="14"/>
                <w:szCs w:val="14"/>
                <w:b w:val="1"/>
                <w:bCs w:val="1"/>
                <w:color w:val="auto"/>
              </w:rPr>
              <w:t>Basic earnings (loss) per share</w:t>
            </w:r>
          </w:p>
        </w:tc>
        <w:tc>
          <w:tcPr>
            <w:tcW w:w="1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right"/>
              <w:ind w:right="168"/>
              <w:spacing w:after="0" w:line="13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rPr>
              <w:t>1.46</w:t>
            </w:r>
          </w:p>
        </w:tc>
        <w:tc>
          <w:tcPr>
            <w:tcW w:w="1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rPr>
              <w:t>(3.00)</w:t>
            </w:r>
          </w:p>
        </w:tc>
        <w:tc>
          <w:tcPr>
            <w:tcW w:w="1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rPr>
              <w:t>(1.17)</w:t>
            </w:r>
          </w:p>
        </w:tc>
      </w:tr>
      <w:tr>
        <w:trPr>
          <w:trHeight w:val="172"/>
        </w:trPr>
        <w:tc>
          <w:tcPr>
            <w:tcW w:w="666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Diluted earnings (loss) per share</w:t>
            </w: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8"/>
              <w:spacing w:after="0" w:line="152"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1.42</w:t>
            </w: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(3.00)</w:t>
            </w: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(1.17)</w:t>
            </w:r>
          </w:p>
        </w:tc>
      </w:tr>
      <w:tr>
        <w:trPr>
          <w:trHeight w:val="135"/>
        </w:trPr>
        <w:tc>
          <w:tcPr>
            <w:tcW w:w="6660" w:type="dxa"/>
            <w:vAlign w:val="bottom"/>
          </w:tcPr>
          <w:p>
            <w:pPr>
              <w:spacing w:after="0" w:line="133" w:lineRule="exact"/>
              <w:rPr>
                <w:sz w:val="20"/>
                <w:szCs w:val="20"/>
                <w:color w:val="auto"/>
              </w:rPr>
            </w:pPr>
            <w:r>
              <w:rPr>
                <w:rFonts w:ascii="Arial" w:cs="Arial" w:eastAsia="Arial" w:hAnsi="Arial"/>
                <w:sz w:val="14"/>
                <w:szCs w:val="14"/>
                <w:color w:val="auto"/>
              </w:rPr>
              <w:t>Awards excluded from diluted earnings (loss) per share</w:t>
            </w: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517,344</w:t>
            </w: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674,676</w:t>
            </w: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516,010</w:t>
            </w:r>
          </w:p>
        </w:tc>
      </w:tr>
    </w:tbl>
    <w:p>
      <w:pPr>
        <w:spacing w:after="0" w:line="130"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Outstanding awards of 674,676 for the year ended December 31, 2020, and 516,010 for the year ended December 31, 2019, were excluded from the computation of dilutive shares, as they were anti-dilutive because of the net loss from continuing operations.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auto"/>
        </w:rPr>
        <w:t>NOTE 5 – REAL ESTATE TRANSACTIONS</w:t>
      </w:r>
    </w:p>
    <w:p>
      <w:pPr>
        <w:spacing w:after="0" w:line="147" w:lineRule="exact"/>
        <w:rPr>
          <w:sz w:val="20"/>
          <w:szCs w:val="20"/>
          <w:color w:val="auto"/>
        </w:rPr>
      </w:pPr>
    </w:p>
    <w:p>
      <w:pPr>
        <w:ind w:right="520"/>
        <w:spacing w:after="0" w:line="258" w:lineRule="auto"/>
        <w:rPr>
          <w:sz w:val="20"/>
          <w:szCs w:val="20"/>
          <w:color w:val="auto"/>
        </w:rPr>
      </w:pPr>
      <w:r>
        <w:rPr>
          <w:rFonts w:ascii="Arial" w:cs="Arial" w:eastAsia="Arial" w:hAnsi="Arial"/>
          <w:sz w:val="14"/>
          <w:szCs w:val="14"/>
          <w:color w:val="auto"/>
        </w:rPr>
        <w:t>Discussed below are the real estate transactions affecting the presentation in our consolidated balance sheets as of December 31, 2021 and 2020, and the profitability determination in our consolidated statements of income for the three years ended December 31, 2021:</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Real Estate Monetizations</w:t>
      </w:r>
    </w:p>
    <w:p>
      <w:pPr>
        <w:spacing w:after="0" w:line="147" w:lineRule="exact"/>
        <w:rPr>
          <w:sz w:val="20"/>
          <w:szCs w:val="20"/>
          <w:color w:val="auto"/>
        </w:rPr>
      </w:pPr>
    </w:p>
    <w:p>
      <w:pPr>
        <w:ind w:right="40"/>
        <w:spacing w:after="0" w:line="254" w:lineRule="auto"/>
        <w:rPr>
          <w:sz w:val="20"/>
          <w:szCs w:val="20"/>
          <w:color w:val="auto"/>
        </w:rPr>
      </w:pPr>
      <w:r>
        <w:rPr>
          <w:rFonts w:ascii="Arial" w:cs="Arial" w:eastAsia="Arial" w:hAnsi="Arial"/>
          <w:sz w:val="13"/>
          <w:szCs w:val="13"/>
          <w:color w:val="auto"/>
        </w:rPr>
        <w:t>Beginning in 2020, we reviewed our various real estate holdings in light of the fact that our cash flow from cinema operations had been adversely affected by the governmentally mandated cinema closings ordered in response to the COVID-19 pandemic and that, for the foreseeable future, other sources of cash would be needed to support our operations and that only very limited funds would be available for capital investment in our properties. Between the fourth quarter of 2020 and the second quarter of 2021, we classified as assets held for sale disposal groups and thereafter monetized the following real estate assets: The Auburn/Redyard Entertainment Themed Center (“ETC”), the Royal George Theatre, Coachella (land), and Manukau (land). In addition, in the third quarter of 2021, we monetized our Invercargill, New Zealand, property, comprised of a cinema and ancillary land. A ‘disposal group’ represents assets to be disposed of in a single transaction. A disposal group may represent a single asset, or multiple assets. Each of these transactions is discussed separately below.</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Auburn/Redyard, New South Wales</w:t>
      </w:r>
    </w:p>
    <w:p>
      <w:pPr>
        <w:spacing w:after="0" w:line="143" w:lineRule="exact"/>
        <w:rPr>
          <w:sz w:val="20"/>
          <w:szCs w:val="20"/>
          <w:color w:val="auto"/>
        </w:rPr>
      </w:pPr>
    </w:p>
    <w:p>
      <w:pPr>
        <w:ind w:right="160"/>
        <w:spacing w:after="0" w:line="242" w:lineRule="auto"/>
        <w:rPr>
          <w:sz w:val="20"/>
          <w:szCs w:val="20"/>
          <w:color w:val="auto"/>
        </w:rPr>
      </w:pPr>
      <w:r>
        <w:rPr>
          <w:rFonts w:ascii="Arial" w:cs="Arial" w:eastAsia="Arial" w:hAnsi="Arial"/>
          <w:sz w:val="14"/>
          <w:szCs w:val="14"/>
          <w:color w:val="auto"/>
        </w:rPr>
        <w:t>In January 2021, we classified our Auburn / Redyard ETC as held for sale, reflecting the fact that approximately 2.6 acres of this property was non-income producing land. This disposal group, which consisted of land, the ETC building and related property, plant and equipment, was transferred to Land and Property Held for Sale at its book value of $30.2 million (AU$39.1 million), being the lower of cost and fair value less costs to sell. No adjustments to the book value of the assets contained within this disposal group were required.</w:t>
      </w:r>
    </w:p>
    <w:p>
      <w:pPr>
        <w:spacing w:after="0" w:line="120"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The sale of Auburn/Redyard was completed on June 9, 2021, for $69.6 million (AU$90.0 million). As part of the transaction, we entered into a lease with the purchaser for the cinema portion of the Auburn/Redyard site.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The gain on sale of this property is calculated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tcPr>
          <w:p>
            <w:pPr>
              <w:jc w:val="right"/>
              <w:ind w:right="1152"/>
              <w:spacing w:after="0"/>
              <w:rPr>
                <w:sz w:val="20"/>
                <w:szCs w:val="20"/>
                <w:color w:val="auto"/>
              </w:rPr>
            </w:pPr>
            <w:r>
              <w:rPr>
                <w:rFonts w:ascii="Arial" w:cs="Arial" w:eastAsia="Arial" w:hAnsi="Arial"/>
                <w:sz w:val="12"/>
                <w:szCs w:val="12"/>
                <w:b w:val="1"/>
                <w:bCs w:val="1"/>
                <w:color w:val="auto"/>
              </w:rPr>
              <w:t>June 30</w:t>
            </w:r>
          </w:p>
        </w:tc>
      </w:tr>
      <w:tr>
        <w:trPr>
          <w:trHeight w:val="163"/>
        </w:trPr>
        <w:tc>
          <w:tcPr>
            <w:tcW w:w="82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2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ind w:right="1232"/>
              <w:spacing w:after="0"/>
              <w:rPr>
                <w:sz w:val="20"/>
                <w:szCs w:val="20"/>
                <w:color w:val="auto"/>
              </w:rPr>
            </w:pPr>
            <w:r>
              <w:rPr>
                <w:rFonts w:ascii="Arial" w:cs="Arial" w:eastAsia="Arial" w:hAnsi="Arial"/>
                <w:sz w:val="12"/>
                <w:szCs w:val="12"/>
                <w:b w:val="1"/>
                <w:bCs w:val="1"/>
                <w:color w:val="auto"/>
              </w:rPr>
              <w:t>2021</w:t>
            </w:r>
          </w:p>
        </w:tc>
      </w:tr>
      <w:tr>
        <w:trPr>
          <w:trHeight w:val="173"/>
        </w:trPr>
        <w:tc>
          <w:tcPr>
            <w:tcW w:w="8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Sales price</w:t>
            </w:r>
          </w:p>
        </w:tc>
        <w:tc>
          <w:tcPr>
            <w:tcW w:w="640" w:type="dxa"/>
            <w:vAlign w:val="bottom"/>
            <w:shd w:val="clear" w:color="auto" w:fill="CCEEFF"/>
          </w:tcPr>
          <w:p>
            <w:pPr>
              <w:jc w:val="right"/>
              <w:ind w:right="528"/>
              <w:spacing w:after="0"/>
              <w:rPr>
                <w:sz w:val="20"/>
                <w:szCs w:val="20"/>
                <w:color w:val="auto"/>
              </w:rPr>
            </w:pPr>
            <w:r>
              <w:rPr>
                <w:rFonts w:ascii="Arial" w:cs="Arial" w:eastAsia="Arial" w:hAnsi="Arial"/>
                <w:sz w:val="10"/>
                <w:szCs w:val="10"/>
                <w:color w:val="auto"/>
                <w:w w:val="71"/>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69,579</w:t>
            </w:r>
          </w:p>
        </w:tc>
      </w:tr>
      <w:tr>
        <w:trPr>
          <w:trHeight w:val="184"/>
        </w:trPr>
        <w:tc>
          <w:tcPr>
            <w:tcW w:w="84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Net book value</w:t>
            </w:r>
          </w:p>
        </w:tc>
        <w:tc>
          <w:tcPr>
            <w:tcW w:w="6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(30,231)</w:t>
            </w:r>
          </w:p>
        </w:tc>
      </w:tr>
      <w:tr>
        <w:trPr>
          <w:trHeight w:val="164"/>
        </w:trPr>
        <w:tc>
          <w:tcPr>
            <w:tcW w:w="8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Gain on sale, gross of direct costs</w:t>
            </w:r>
          </w:p>
        </w:tc>
        <w:tc>
          <w:tcPr>
            <w:tcW w:w="64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39,348</w:t>
            </w:r>
          </w:p>
        </w:tc>
      </w:tr>
      <w:tr>
        <w:trPr>
          <w:trHeight w:val="184"/>
        </w:trPr>
        <w:tc>
          <w:tcPr>
            <w:tcW w:w="84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Direct sale costs incurred</w:t>
            </w:r>
          </w:p>
        </w:tc>
        <w:tc>
          <w:tcPr>
            <w:tcW w:w="6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(622)</w:t>
            </w:r>
          </w:p>
        </w:tc>
      </w:tr>
      <w:tr>
        <w:trPr>
          <w:trHeight w:val="155"/>
        </w:trPr>
        <w:tc>
          <w:tcPr>
            <w:tcW w:w="8460" w:type="dxa"/>
            <w:vAlign w:val="bottom"/>
            <w:tcBorders>
              <w:bottom w:val="single" w:sz="8" w:color="CCEEFF"/>
            </w:tcBorders>
            <w:gridSpan w:val="2"/>
            <w:shd w:val="clear" w:color="auto" w:fill="CCEEFF"/>
          </w:tcPr>
          <w:p>
            <w:pPr>
              <w:spacing w:after="0" w:line="153" w:lineRule="exact"/>
              <w:rPr>
                <w:sz w:val="20"/>
                <w:szCs w:val="20"/>
                <w:color w:val="auto"/>
              </w:rPr>
            </w:pPr>
            <w:r>
              <w:rPr>
                <w:rFonts w:ascii="Arial" w:cs="Arial" w:eastAsia="Arial" w:hAnsi="Arial"/>
                <w:sz w:val="14"/>
                <w:szCs w:val="14"/>
                <w:color w:val="auto"/>
              </w:rPr>
              <w:t>Gain on sale, net of direct costs</w:t>
            </w:r>
          </w:p>
        </w:tc>
        <w:tc>
          <w:tcPr>
            <w:tcW w:w="64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0"/>
                <w:szCs w:val="10"/>
                <w:b w:val="1"/>
                <w:bCs w:val="1"/>
                <w:color w:val="auto"/>
                <w:w w:val="71"/>
              </w:rPr>
              <w:t>$</w:t>
            </w:r>
          </w:p>
        </w:tc>
        <w:tc>
          <w:tcPr>
            <w:tcW w:w="218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38,726</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Manukau, New Zealand</w:t>
      </w:r>
    </w:p>
    <w:p>
      <w:pPr>
        <w:spacing w:after="0" w:line="143" w:lineRule="exact"/>
        <w:rPr>
          <w:sz w:val="20"/>
          <w:szCs w:val="20"/>
          <w:color w:val="auto"/>
        </w:rPr>
      </w:pPr>
    </w:p>
    <w:p>
      <w:pPr>
        <w:ind w:right="100"/>
        <w:spacing w:after="0" w:line="237" w:lineRule="auto"/>
        <w:rPr>
          <w:sz w:val="20"/>
          <w:szCs w:val="20"/>
          <w:color w:val="auto"/>
        </w:rPr>
      </w:pPr>
      <w:r>
        <w:rPr>
          <w:rFonts w:ascii="Arial" w:cs="Arial" w:eastAsia="Arial" w:hAnsi="Arial"/>
          <w:sz w:val="14"/>
          <w:szCs w:val="14"/>
          <w:color w:val="auto"/>
        </w:rPr>
        <w:t>In December 2020, we classified our non-income producing land at Manukau, New Zealand, as held for sale. This disposal group, which consisted of land and certain improvements to that land, was transferred to Land Held for Sale at its book value of $13.6 million, being the lower of cost and fair value less costs to sell. No adjustments to the book value of this asset were required. The sale of this land was completed on March 4, 2021, for $56.1 million (NZ$77.2 million), of which NZ$1.0 million was received on February 23, 2021, and the balance of funds was received on March 4, 2021.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The gain on sale of this property is calculated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20" w:type="dxa"/>
            <w:vAlign w:val="bottom"/>
          </w:tcPr>
          <w:p>
            <w:pPr>
              <w:jc w:val="right"/>
              <w:ind w:right="1092"/>
              <w:spacing w:after="0"/>
              <w:rPr>
                <w:sz w:val="20"/>
                <w:szCs w:val="20"/>
                <w:color w:val="auto"/>
              </w:rPr>
            </w:pPr>
            <w:r>
              <w:rPr>
                <w:rFonts w:ascii="Arial" w:cs="Arial" w:eastAsia="Arial" w:hAnsi="Arial"/>
                <w:sz w:val="12"/>
                <w:szCs w:val="12"/>
                <w:b w:val="1"/>
                <w:bCs w:val="1"/>
                <w:color w:val="auto"/>
              </w:rPr>
              <w:t>March 31,</w:t>
            </w:r>
          </w:p>
        </w:tc>
      </w:tr>
      <w:tr>
        <w:trPr>
          <w:trHeight w:val="163"/>
        </w:trPr>
        <w:tc>
          <w:tcPr>
            <w:tcW w:w="372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45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ind w:right="1232"/>
              <w:spacing w:after="0"/>
              <w:rPr>
                <w:sz w:val="20"/>
                <w:szCs w:val="20"/>
                <w:color w:val="auto"/>
              </w:rPr>
            </w:pPr>
            <w:r>
              <w:rPr>
                <w:rFonts w:ascii="Arial" w:cs="Arial" w:eastAsia="Arial" w:hAnsi="Arial"/>
                <w:sz w:val="12"/>
                <w:szCs w:val="12"/>
                <w:b w:val="1"/>
                <w:bCs w:val="1"/>
                <w:color w:val="auto"/>
              </w:rPr>
              <w:t>2021</w:t>
            </w:r>
          </w:p>
        </w:tc>
      </w:tr>
      <w:tr>
        <w:trPr>
          <w:trHeight w:val="173"/>
        </w:trPr>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Sales price</w:t>
            </w:r>
          </w:p>
        </w:tc>
        <w:tc>
          <w:tcPr>
            <w:tcW w:w="5340" w:type="dxa"/>
            <w:vAlign w:val="bottom"/>
            <w:gridSpan w:val="3"/>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56,058</w:t>
            </w:r>
          </w:p>
        </w:tc>
      </w:tr>
      <w:tr>
        <w:trPr>
          <w:trHeight w:val="184"/>
        </w:trPr>
        <w:tc>
          <w:tcPr>
            <w:tcW w:w="37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book value</w:t>
            </w:r>
          </w:p>
        </w:tc>
        <w:tc>
          <w:tcPr>
            <w:tcW w:w="45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(13,618)</w:t>
            </w:r>
          </w:p>
        </w:tc>
      </w:tr>
      <w:tr>
        <w:trPr>
          <w:trHeight w:val="164"/>
        </w:trPr>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Gain on sale, gross of direct costs</w:t>
            </w:r>
          </w:p>
        </w:tc>
        <w:tc>
          <w:tcPr>
            <w:tcW w:w="4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42,440</w:t>
            </w:r>
          </w:p>
        </w:tc>
      </w:tr>
      <w:tr>
        <w:trPr>
          <w:trHeight w:val="184"/>
        </w:trPr>
        <w:tc>
          <w:tcPr>
            <w:tcW w:w="37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Direct sale costs incurred</w:t>
            </w:r>
          </w:p>
        </w:tc>
        <w:tc>
          <w:tcPr>
            <w:tcW w:w="45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(1,514)</w:t>
            </w:r>
          </w:p>
        </w:tc>
      </w:tr>
      <w:tr>
        <w:trPr>
          <w:trHeight w:val="173"/>
        </w:trPr>
        <w:tc>
          <w:tcPr>
            <w:tcW w:w="3720" w:type="dxa"/>
            <w:vAlign w:val="bottom"/>
            <w:tcBorders>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Gain on sale, net of direct costs</w:t>
            </w:r>
          </w:p>
        </w:tc>
        <w:tc>
          <w:tcPr>
            <w:tcW w:w="45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0"/>
                <w:szCs w:val="10"/>
                <w:b w:val="1"/>
                <w:bCs w:val="1"/>
                <w:color w:val="auto"/>
                <w:w w:val="71"/>
              </w:rPr>
              <w:t>$</w:t>
            </w:r>
          </w:p>
        </w:tc>
        <w:tc>
          <w:tcPr>
            <w:tcW w:w="222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40,926</w:t>
            </w:r>
          </w:p>
        </w:tc>
      </w:tr>
      <w:tr>
        <w:trPr>
          <w:trHeight w:val="154"/>
        </w:trPr>
        <w:tc>
          <w:tcPr>
            <w:tcW w:w="3720" w:type="dxa"/>
            <w:vAlign w:val="bottom"/>
          </w:tcPr>
          <w:p>
            <w:pPr>
              <w:spacing w:after="0"/>
              <w:rPr>
                <w:sz w:val="13"/>
                <w:szCs w:val="13"/>
                <w:color w:val="auto"/>
              </w:rPr>
            </w:pPr>
          </w:p>
        </w:tc>
        <w:tc>
          <w:tcPr>
            <w:tcW w:w="4540" w:type="dxa"/>
            <w:vAlign w:val="bottom"/>
          </w:tcPr>
          <w:p>
            <w:pPr>
              <w:jc w:val="right"/>
              <w:ind w:right="2388"/>
              <w:spacing w:after="0" w:line="153" w:lineRule="exact"/>
              <w:rPr>
                <w:sz w:val="20"/>
                <w:szCs w:val="20"/>
                <w:color w:val="auto"/>
              </w:rPr>
            </w:pPr>
            <w:r>
              <w:rPr>
                <w:rFonts w:ascii="Arial" w:cs="Arial" w:eastAsia="Arial" w:hAnsi="Arial"/>
                <w:sz w:val="14"/>
                <w:szCs w:val="14"/>
                <w:color w:val="auto"/>
              </w:rPr>
              <w:t>- 79 -</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242"/>
        </w:trPr>
        <w:tc>
          <w:tcPr>
            <w:tcW w:w="3720" w:type="dxa"/>
            <w:vAlign w:val="bottom"/>
            <w:tcBorders>
              <w:bottom w:val="single" w:sz="8" w:color="9A9A9A"/>
            </w:tcBorders>
          </w:tcPr>
          <w:p>
            <w:pPr>
              <w:spacing w:after="0"/>
              <w:rPr>
                <w:sz w:val="21"/>
                <w:szCs w:val="21"/>
                <w:color w:val="auto"/>
              </w:rPr>
            </w:pPr>
          </w:p>
        </w:tc>
        <w:tc>
          <w:tcPr>
            <w:tcW w:w="454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600" w:type="dxa"/>
            <w:vAlign w:val="bottom"/>
            <w:tcBorders>
              <w:bottom w:val="single" w:sz="8" w:color="9A9A9A"/>
            </w:tcBorders>
          </w:tcPr>
          <w:p>
            <w:pPr>
              <w:spacing w:after="0"/>
              <w:rPr>
                <w:sz w:val="21"/>
                <w:szCs w:val="21"/>
                <w:color w:val="auto"/>
              </w:rPr>
            </w:pPr>
          </w:p>
        </w:tc>
        <w:tc>
          <w:tcPr>
            <w:tcW w:w="222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266"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auto"/>
        </w:rPr>
        <w:t>Coachella, California</w:t>
      </w:r>
    </w:p>
    <w:p>
      <w:pPr>
        <w:spacing w:after="0" w:line="143" w:lineRule="exact"/>
        <w:rPr>
          <w:sz w:val="20"/>
          <w:szCs w:val="20"/>
          <w:color w:val="auto"/>
        </w:rPr>
      </w:pPr>
    </w:p>
    <w:p>
      <w:pPr>
        <w:ind w:right="20"/>
        <w:spacing w:after="0" w:line="235" w:lineRule="auto"/>
        <w:rPr>
          <w:sz w:val="20"/>
          <w:szCs w:val="20"/>
          <w:color w:val="auto"/>
        </w:rPr>
      </w:pPr>
      <w:r>
        <w:rPr>
          <w:rFonts w:ascii="Arial" w:cs="Arial" w:eastAsia="Arial" w:hAnsi="Arial"/>
          <w:sz w:val="14"/>
          <w:szCs w:val="14"/>
          <w:color w:val="auto"/>
        </w:rPr>
        <w:t>In December 2020, we classified the non-income producing land at Coachella (held through Shadow View Land and Farming LLC) as held for sale. This disposal group, which consisted of land and certain improvements to that land, was transferred to Land and Property Held for Sale at its book value of $4.4 million, being the lower of cost and fair value less costs to sell. No adjustments to the book value of this asset were required. The sale of this land was completed on March 5, 2021 for $11.0 million. As a 50% member in Shadow View Land and Farming LLC, our Company received the benefit of 50% of the sale proceeds, being $5.3 million. As the other 50% member was Estate of James J. Cotter, Sr., these actions were approved by our Audit and Conflicts Committee.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The gain on sale of this property, including both our interests and those of the other 50% owner of Shadow View Land and Farming, LLC, is calculated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20" w:type="dxa"/>
            <w:vAlign w:val="bottom"/>
          </w:tcPr>
          <w:p>
            <w:pPr>
              <w:jc w:val="right"/>
              <w:ind w:right="1092"/>
              <w:spacing w:after="0"/>
              <w:rPr>
                <w:sz w:val="20"/>
                <w:szCs w:val="20"/>
                <w:color w:val="auto"/>
              </w:rPr>
            </w:pPr>
            <w:r>
              <w:rPr>
                <w:rFonts w:ascii="Arial" w:cs="Arial" w:eastAsia="Arial" w:hAnsi="Arial"/>
                <w:sz w:val="12"/>
                <w:szCs w:val="12"/>
                <w:b w:val="1"/>
                <w:bCs w:val="1"/>
                <w:color w:val="auto"/>
              </w:rPr>
              <w:t>March 31,</w:t>
            </w:r>
          </w:p>
        </w:tc>
      </w:tr>
      <w:tr>
        <w:trPr>
          <w:trHeight w:val="174"/>
        </w:trPr>
        <w:tc>
          <w:tcPr>
            <w:tcW w:w="82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2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right"/>
              <w:ind w:right="1232"/>
              <w:spacing w:after="0"/>
              <w:rPr>
                <w:sz w:val="20"/>
                <w:szCs w:val="20"/>
                <w:color w:val="auto"/>
              </w:rPr>
            </w:pPr>
            <w:r>
              <w:rPr>
                <w:rFonts w:ascii="Arial" w:cs="Arial" w:eastAsia="Arial" w:hAnsi="Arial"/>
                <w:sz w:val="12"/>
                <w:szCs w:val="12"/>
                <w:b w:val="1"/>
                <w:bCs w:val="1"/>
                <w:color w:val="auto"/>
              </w:rPr>
              <w:t>2021</w:t>
            </w:r>
          </w:p>
        </w:tc>
      </w:tr>
      <w:tr>
        <w:trPr>
          <w:trHeight w:val="173"/>
        </w:trPr>
        <w:tc>
          <w:tcPr>
            <w:tcW w:w="8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Sales price</w:t>
            </w:r>
          </w:p>
        </w:tc>
        <w:tc>
          <w:tcPr>
            <w:tcW w:w="600" w:type="dxa"/>
            <w:vAlign w:val="bottom"/>
            <w:shd w:val="clear" w:color="auto" w:fill="CCEEFF"/>
          </w:tcPr>
          <w:p>
            <w:pPr>
              <w:jc w:val="right"/>
              <w:ind w:right="488"/>
              <w:spacing w:after="0"/>
              <w:rPr>
                <w:sz w:val="20"/>
                <w:szCs w:val="20"/>
                <w:color w:val="auto"/>
              </w:rPr>
            </w:pPr>
            <w:r>
              <w:rPr>
                <w:rFonts w:ascii="Arial" w:cs="Arial" w:eastAsia="Arial" w:hAnsi="Arial"/>
                <w:sz w:val="10"/>
                <w:szCs w:val="10"/>
                <w:color w:val="auto"/>
                <w:w w:val="71"/>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r>
      <w:tr>
        <w:trPr>
          <w:trHeight w:val="184"/>
        </w:trPr>
        <w:tc>
          <w:tcPr>
            <w:tcW w:w="84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Net book value</w:t>
            </w:r>
          </w:p>
        </w:tc>
        <w:tc>
          <w:tcPr>
            <w:tcW w:w="6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(4,351)</w:t>
            </w:r>
          </w:p>
        </w:tc>
      </w:tr>
      <w:tr>
        <w:trPr>
          <w:trHeight w:val="164"/>
        </w:trPr>
        <w:tc>
          <w:tcPr>
            <w:tcW w:w="8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Gain on sale, gross of direct costs</w:t>
            </w:r>
          </w:p>
        </w:tc>
        <w:tc>
          <w:tcPr>
            <w:tcW w:w="600" w:type="dxa"/>
            <w:vAlign w:val="bottom"/>
            <w:shd w:val="clear" w:color="auto" w:fill="CCEEFF"/>
          </w:tcPr>
          <w:p>
            <w:pPr>
              <w:spacing w:after="0"/>
              <w:rPr>
                <w:sz w:val="14"/>
                <w:szCs w:val="14"/>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6,649</w:t>
            </w:r>
          </w:p>
        </w:tc>
      </w:tr>
      <w:tr>
        <w:trPr>
          <w:trHeight w:val="184"/>
        </w:trPr>
        <w:tc>
          <w:tcPr>
            <w:tcW w:w="84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Direct sale costs incurred</w:t>
            </w:r>
          </w:p>
        </w:tc>
        <w:tc>
          <w:tcPr>
            <w:tcW w:w="6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w:t>
            </w:r>
          </w:p>
        </w:tc>
      </w:tr>
      <w:tr>
        <w:trPr>
          <w:trHeight w:val="166"/>
        </w:trPr>
        <w:tc>
          <w:tcPr>
            <w:tcW w:w="8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Gain on sale, net of direct costs</w:t>
            </w:r>
          </w:p>
        </w:tc>
        <w:tc>
          <w:tcPr>
            <w:tcW w:w="60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0"/>
                <w:szCs w:val="10"/>
                <w:b w:val="1"/>
                <w:bCs w:val="1"/>
                <w:color w:val="auto"/>
                <w:w w:val="71"/>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6,348</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Royal George Theatre, Chicago</w:t>
      </w:r>
    </w:p>
    <w:p>
      <w:pPr>
        <w:spacing w:after="0" w:line="143" w:lineRule="exact"/>
        <w:rPr>
          <w:sz w:val="20"/>
          <w:szCs w:val="20"/>
          <w:color w:val="auto"/>
        </w:rPr>
      </w:pPr>
    </w:p>
    <w:p>
      <w:pPr>
        <w:ind w:right="60"/>
        <w:spacing w:after="0" w:line="237" w:lineRule="auto"/>
        <w:rPr>
          <w:sz w:val="20"/>
          <w:szCs w:val="20"/>
          <w:color w:val="auto"/>
        </w:rPr>
      </w:pPr>
      <w:r>
        <w:rPr>
          <w:rFonts w:ascii="Arial" w:cs="Arial" w:eastAsia="Arial" w:hAnsi="Arial"/>
          <w:sz w:val="14"/>
          <w:szCs w:val="14"/>
          <w:color w:val="auto"/>
        </w:rPr>
        <w:t>In February 2021, we classified our Royal George Theatre as held for sale as part of our strategy to monetize certain real estate assets. This disposal group, which consisted of the Royal George Theatre building and the associated property, plant and equipment, was transferred to Land and Property Held for Sale at its book value of $1.8 million, being the lower of cost and fair value less costs to sell. No adjustments to the book value of the assets contained within this disposal group were required. On June 30, 2021, we received net sale proceeds of $6.8 million (net of closing costs).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The gain on sale of this property is calculated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tcPr>
          <w:p>
            <w:pPr>
              <w:jc w:val="right"/>
              <w:ind w:right="1152"/>
              <w:spacing w:after="0"/>
              <w:rPr>
                <w:sz w:val="20"/>
                <w:szCs w:val="20"/>
                <w:color w:val="auto"/>
              </w:rPr>
            </w:pPr>
            <w:r>
              <w:rPr>
                <w:rFonts w:ascii="Arial" w:cs="Arial" w:eastAsia="Arial" w:hAnsi="Arial"/>
                <w:sz w:val="12"/>
                <w:szCs w:val="12"/>
                <w:b w:val="1"/>
                <w:bCs w:val="1"/>
                <w:color w:val="auto"/>
              </w:rPr>
              <w:t>June 30</w:t>
            </w:r>
          </w:p>
        </w:tc>
      </w:tr>
      <w:tr>
        <w:trPr>
          <w:trHeight w:val="163"/>
        </w:trPr>
        <w:tc>
          <w:tcPr>
            <w:tcW w:w="82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2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ind w:right="1232"/>
              <w:spacing w:after="0"/>
              <w:rPr>
                <w:sz w:val="20"/>
                <w:szCs w:val="20"/>
                <w:color w:val="auto"/>
              </w:rPr>
            </w:pPr>
            <w:r>
              <w:rPr>
                <w:rFonts w:ascii="Arial" w:cs="Arial" w:eastAsia="Arial" w:hAnsi="Arial"/>
                <w:sz w:val="12"/>
                <w:szCs w:val="12"/>
                <w:b w:val="1"/>
                <w:bCs w:val="1"/>
                <w:color w:val="auto"/>
              </w:rPr>
              <w:t>2021</w:t>
            </w:r>
          </w:p>
        </w:tc>
      </w:tr>
      <w:tr>
        <w:trPr>
          <w:trHeight w:val="173"/>
        </w:trPr>
        <w:tc>
          <w:tcPr>
            <w:tcW w:w="8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Sales price</w:t>
            </w:r>
          </w:p>
        </w:tc>
        <w:tc>
          <w:tcPr>
            <w:tcW w:w="640" w:type="dxa"/>
            <w:vAlign w:val="bottom"/>
            <w:shd w:val="clear" w:color="auto" w:fill="CCEEFF"/>
          </w:tcPr>
          <w:p>
            <w:pPr>
              <w:jc w:val="right"/>
              <w:ind w:right="528"/>
              <w:spacing w:after="0"/>
              <w:rPr>
                <w:sz w:val="20"/>
                <w:szCs w:val="20"/>
                <w:color w:val="auto"/>
              </w:rPr>
            </w:pPr>
            <w:r>
              <w:rPr>
                <w:rFonts w:ascii="Arial" w:cs="Arial" w:eastAsia="Arial" w:hAnsi="Arial"/>
                <w:sz w:val="10"/>
                <w:szCs w:val="10"/>
                <w:color w:val="auto"/>
                <w:w w:val="71"/>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7,075</w:t>
            </w:r>
          </w:p>
        </w:tc>
      </w:tr>
      <w:tr>
        <w:trPr>
          <w:trHeight w:val="184"/>
        </w:trPr>
        <w:tc>
          <w:tcPr>
            <w:tcW w:w="84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Net book value</w:t>
            </w:r>
          </w:p>
        </w:tc>
        <w:tc>
          <w:tcPr>
            <w:tcW w:w="6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(1,824)</w:t>
            </w:r>
          </w:p>
        </w:tc>
      </w:tr>
      <w:tr>
        <w:trPr>
          <w:trHeight w:val="164"/>
        </w:trPr>
        <w:tc>
          <w:tcPr>
            <w:tcW w:w="8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Gain on sale, gross of direct costs</w:t>
            </w:r>
          </w:p>
        </w:tc>
        <w:tc>
          <w:tcPr>
            <w:tcW w:w="64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5,251</w:t>
            </w:r>
          </w:p>
        </w:tc>
      </w:tr>
      <w:tr>
        <w:trPr>
          <w:trHeight w:val="184"/>
        </w:trPr>
        <w:tc>
          <w:tcPr>
            <w:tcW w:w="84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Direct sale costs incurred</w:t>
            </w:r>
          </w:p>
        </w:tc>
        <w:tc>
          <w:tcPr>
            <w:tcW w:w="6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r>
      <w:tr>
        <w:trPr>
          <w:trHeight w:val="155"/>
        </w:trPr>
        <w:tc>
          <w:tcPr>
            <w:tcW w:w="8460" w:type="dxa"/>
            <w:vAlign w:val="bottom"/>
            <w:tcBorders>
              <w:bottom w:val="single" w:sz="8" w:color="CCEEFF"/>
            </w:tcBorders>
            <w:gridSpan w:val="2"/>
            <w:shd w:val="clear" w:color="auto" w:fill="CCEEFF"/>
          </w:tcPr>
          <w:p>
            <w:pPr>
              <w:spacing w:after="0" w:line="153" w:lineRule="exact"/>
              <w:rPr>
                <w:sz w:val="20"/>
                <w:szCs w:val="20"/>
                <w:color w:val="auto"/>
              </w:rPr>
            </w:pPr>
            <w:r>
              <w:rPr>
                <w:rFonts w:ascii="Arial" w:cs="Arial" w:eastAsia="Arial" w:hAnsi="Arial"/>
                <w:sz w:val="14"/>
                <w:szCs w:val="14"/>
                <w:color w:val="auto"/>
              </w:rPr>
              <w:t>Gain on sale, net of direct costs</w:t>
            </w:r>
          </w:p>
        </w:tc>
        <w:tc>
          <w:tcPr>
            <w:tcW w:w="64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0"/>
                <w:szCs w:val="10"/>
                <w:b w:val="1"/>
                <w:bCs w:val="1"/>
                <w:color w:val="auto"/>
                <w:w w:val="71"/>
              </w:rPr>
              <w:t>$</w:t>
            </w:r>
          </w:p>
        </w:tc>
        <w:tc>
          <w:tcPr>
            <w:tcW w:w="218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4,956</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Invercargill, New Zealand</w:t>
      </w:r>
    </w:p>
    <w:p>
      <w:pPr>
        <w:spacing w:after="0" w:line="143" w:lineRule="exact"/>
        <w:rPr>
          <w:sz w:val="20"/>
          <w:szCs w:val="20"/>
          <w:color w:val="auto"/>
        </w:rPr>
      </w:pPr>
    </w:p>
    <w:p>
      <w:pPr>
        <w:ind w:right="220"/>
        <w:spacing w:after="0" w:line="297" w:lineRule="auto"/>
        <w:rPr>
          <w:sz w:val="20"/>
          <w:szCs w:val="20"/>
          <w:color w:val="auto"/>
        </w:rPr>
      </w:pPr>
      <w:r>
        <w:rPr>
          <w:rFonts w:ascii="Arial" w:cs="Arial" w:eastAsia="Arial" w:hAnsi="Arial"/>
          <w:sz w:val="13"/>
          <w:szCs w:val="13"/>
          <w:color w:val="auto"/>
        </w:rPr>
        <w:t>On August 30, 2021, we monetized our cinema building and land in Invercargill for $3.8 million (NZ$5.4 million) to the owner of the adjacent property, which is currently undergoing a major redevelopment. This property, not then classified as held for sale, was monetized in a transaction whereby the purchaser leased back the Reading Cinema to our company.</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gain on sale on this property is calculated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60" w:type="dxa"/>
            <w:vAlign w:val="bottom"/>
          </w:tcPr>
          <w:p>
            <w:pPr>
              <w:jc w:val="right"/>
              <w:ind w:right="1012"/>
              <w:spacing w:after="0"/>
              <w:rPr>
                <w:sz w:val="20"/>
                <w:szCs w:val="20"/>
                <w:color w:val="auto"/>
              </w:rPr>
            </w:pPr>
            <w:r>
              <w:rPr>
                <w:rFonts w:ascii="Arial" w:cs="Arial" w:eastAsia="Arial" w:hAnsi="Arial"/>
                <w:sz w:val="12"/>
                <w:szCs w:val="12"/>
                <w:b w:val="1"/>
                <w:bCs w:val="1"/>
                <w:color w:val="auto"/>
              </w:rPr>
              <w:t>September 30</w:t>
            </w:r>
          </w:p>
        </w:tc>
      </w:tr>
      <w:tr>
        <w:trPr>
          <w:trHeight w:val="163"/>
        </w:trPr>
        <w:tc>
          <w:tcPr>
            <w:tcW w:w="372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45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ind w:right="1232"/>
              <w:spacing w:after="0"/>
              <w:rPr>
                <w:sz w:val="20"/>
                <w:szCs w:val="20"/>
                <w:color w:val="auto"/>
              </w:rPr>
            </w:pPr>
            <w:r>
              <w:rPr>
                <w:rFonts w:ascii="Arial" w:cs="Arial" w:eastAsia="Arial" w:hAnsi="Arial"/>
                <w:sz w:val="12"/>
                <w:szCs w:val="12"/>
                <w:b w:val="1"/>
                <w:bCs w:val="1"/>
                <w:color w:val="auto"/>
              </w:rPr>
              <w:t>2021</w:t>
            </w:r>
          </w:p>
        </w:tc>
      </w:tr>
      <w:tr>
        <w:trPr>
          <w:trHeight w:val="173"/>
        </w:trPr>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Sales price</w:t>
            </w:r>
          </w:p>
        </w:tc>
        <w:tc>
          <w:tcPr>
            <w:tcW w:w="5300" w:type="dxa"/>
            <w:vAlign w:val="bottom"/>
            <w:gridSpan w:val="3"/>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3,803</w:t>
            </w:r>
          </w:p>
        </w:tc>
      </w:tr>
      <w:tr>
        <w:trPr>
          <w:trHeight w:val="184"/>
        </w:trPr>
        <w:tc>
          <w:tcPr>
            <w:tcW w:w="37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book value</w:t>
            </w:r>
          </w:p>
        </w:tc>
        <w:tc>
          <w:tcPr>
            <w:tcW w:w="45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(1,425)</w:t>
            </w:r>
          </w:p>
        </w:tc>
      </w:tr>
      <w:tr>
        <w:trPr>
          <w:trHeight w:val="164"/>
        </w:trPr>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Gain on sale, gross of direct costs</w:t>
            </w:r>
          </w:p>
        </w:tc>
        <w:tc>
          <w:tcPr>
            <w:tcW w:w="4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w:t>
            </w:r>
          </w:p>
        </w:tc>
      </w:tr>
      <w:tr>
        <w:trPr>
          <w:trHeight w:val="184"/>
        </w:trPr>
        <w:tc>
          <w:tcPr>
            <w:tcW w:w="37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Direct sale costs incurred</w:t>
            </w:r>
          </w:p>
        </w:tc>
        <w:tc>
          <w:tcPr>
            <w:tcW w:w="45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173"/>
        </w:trPr>
        <w:tc>
          <w:tcPr>
            <w:tcW w:w="3720" w:type="dxa"/>
            <w:vAlign w:val="bottom"/>
            <w:tcBorders>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Gain on sale, net of direct costs</w:t>
            </w:r>
          </w:p>
        </w:tc>
        <w:tc>
          <w:tcPr>
            <w:tcW w:w="45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0"/>
                <w:szCs w:val="10"/>
                <w:b w:val="1"/>
                <w:bCs w:val="1"/>
                <w:color w:val="auto"/>
                <w:w w:val="71"/>
              </w:rPr>
              <w:t>$</w:t>
            </w:r>
          </w:p>
        </w:tc>
        <w:tc>
          <w:tcPr>
            <w:tcW w:w="22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2,372</w:t>
            </w:r>
          </w:p>
        </w:tc>
      </w:tr>
      <w:tr>
        <w:trPr>
          <w:trHeight w:val="154"/>
        </w:trPr>
        <w:tc>
          <w:tcPr>
            <w:tcW w:w="3720" w:type="dxa"/>
            <w:vAlign w:val="bottom"/>
          </w:tcPr>
          <w:p>
            <w:pPr>
              <w:spacing w:after="0"/>
              <w:rPr>
                <w:sz w:val="13"/>
                <w:szCs w:val="13"/>
                <w:color w:val="auto"/>
              </w:rPr>
            </w:pPr>
          </w:p>
        </w:tc>
        <w:tc>
          <w:tcPr>
            <w:tcW w:w="4540" w:type="dxa"/>
            <w:vAlign w:val="bottom"/>
          </w:tcPr>
          <w:p>
            <w:pPr>
              <w:jc w:val="right"/>
              <w:ind w:right="2388"/>
              <w:spacing w:after="0" w:line="153" w:lineRule="exact"/>
              <w:rPr>
                <w:sz w:val="20"/>
                <w:szCs w:val="20"/>
                <w:color w:val="auto"/>
              </w:rPr>
            </w:pPr>
            <w:r>
              <w:rPr>
                <w:rFonts w:ascii="Arial" w:cs="Arial" w:eastAsia="Arial" w:hAnsi="Arial"/>
                <w:sz w:val="14"/>
                <w:szCs w:val="14"/>
                <w:color w:val="auto"/>
              </w:rPr>
              <w:t>- 80 -</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242"/>
        </w:trPr>
        <w:tc>
          <w:tcPr>
            <w:tcW w:w="3720" w:type="dxa"/>
            <w:vAlign w:val="bottom"/>
            <w:tcBorders>
              <w:bottom w:val="single" w:sz="8" w:color="9A9A9A"/>
            </w:tcBorders>
          </w:tcPr>
          <w:p>
            <w:pPr>
              <w:spacing w:after="0"/>
              <w:rPr>
                <w:sz w:val="21"/>
                <w:szCs w:val="21"/>
                <w:color w:val="auto"/>
              </w:rPr>
            </w:pPr>
          </w:p>
        </w:tc>
        <w:tc>
          <w:tcPr>
            <w:tcW w:w="454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226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725"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auto"/>
        </w:rPr>
        <w:t>Real Estate Acquisitions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Exercise of Option to Acquire Ground Lessee’s Interest in Ground Lease and Improvements Constituting the Village East Cinema</w:t>
      </w:r>
    </w:p>
    <w:p>
      <w:pPr>
        <w:spacing w:after="0" w:line="143"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 xml:space="preserve">On August 28, 2019, we exercised our option to acquire the ground lessee’s interest in the 13-year ground lease underlying and the real property assets constituent with our Village East Cinema in Manhattan. The purchase price under the option is $5.9 million. The transaction is expected to close on January 1, 2023. Further information is at </w:t>
      </w:r>
      <w:r>
        <w:rPr>
          <w:rFonts w:ascii="Arial" w:cs="Arial" w:eastAsia="Arial" w:hAnsi="Arial"/>
          <w:sz w:val="13"/>
          <w:szCs w:val="13"/>
          <w:i w:val="1"/>
          <w:iCs w:val="1"/>
          <w:color w:val="auto"/>
        </w:rPr>
        <w:t>Note 21 – Related Parties</w:t>
      </w:r>
      <w:r>
        <w:rPr>
          <w:rFonts w:ascii="Arial" w:cs="Arial" w:eastAsia="Arial" w:hAnsi="Arial"/>
          <w:sz w:val="13"/>
          <w:szCs w:val="13"/>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6 – PROPERTIES AND EQUIPMENT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Property, Net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Property associated with our operating activities is summarized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380" w:type="dxa"/>
            <w:vAlign w:val="bottom"/>
            <w:gridSpan w:val="2"/>
            <w:vMerge w:val="restart"/>
          </w:tcPr>
          <w:p>
            <w:pPr>
              <w:spacing w:after="0"/>
              <w:rPr>
                <w:sz w:val="20"/>
                <w:szCs w:val="20"/>
                <w:color w:val="auto"/>
              </w:rPr>
            </w:pPr>
            <w:r>
              <w:rPr>
                <w:rFonts w:ascii="Arial" w:cs="Arial" w:eastAsia="Arial" w:hAnsi="Arial"/>
                <w:sz w:val="12"/>
                <w:szCs w:val="12"/>
                <w:i w:val="1"/>
                <w:iCs w:val="1"/>
                <w:color w:val="auto"/>
              </w:rPr>
              <w:t>(Dollars in thousands)</w:t>
            </w: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2"/>
                <w:szCs w:val="12"/>
                <w:b w:val="1"/>
                <w:bCs w:val="1"/>
                <w:color w:val="auto"/>
              </w:rPr>
              <w:t>December 31,</w:t>
            </w: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3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ind w:right="491"/>
              <w:spacing w:after="0" w:line="120" w:lineRule="exact"/>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jc w:val="right"/>
              <w:ind w:right="509"/>
              <w:spacing w:after="0" w:line="120" w:lineRule="exact"/>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2"/>
        </w:trPr>
        <w:tc>
          <w:tcPr>
            <w:tcW w:w="8200" w:type="dxa"/>
            <w:vAlign w:val="bottom"/>
            <w:tcBorders>
              <w:top w:val="single" w:sz="8" w:color="auto"/>
            </w:tcBorders>
            <w:shd w:val="clear" w:color="auto" w:fill="CCEEFF"/>
          </w:tcPr>
          <w:p>
            <w:pPr>
              <w:ind w:left="80"/>
              <w:spacing w:after="0" w:line="152" w:lineRule="exact"/>
              <w:rPr>
                <w:sz w:val="20"/>
                <w:szCs w:val="20"/>
                <w:color w:val="auto"/>
              </w:rPr>
            </w:pPr>
            <w:r>
              <w:rPr>
                <w:rFonts w:ascii="Arial" w:cs="Arial" w:eastAsia="Arial" w:hAnsi="Arial"/>
                <w:sz w:val="14"/>
                <w:szCs w:val="14"/>
                <w:color w:val="auto"/>
              </w:rPr>
              <w:t>Land</w:t>
            </w:r>
          </w:p>
        </w:tc>
        <w:tc>
          <w:tcPr>
            <w:tcW w:w="1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69,459</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82,286</w:t>
            </w:r>
          </w:p>
        </w:tc>
        <w:tc>
          <w:tcPr>
            <w:tcW w:w="0" w:type="dxa"/>
            <w:vAlign w:val="bottom"/>
          </w:tcPr>
          <w:p>
            <w:pPr>
              <w:spacing w:after="0"/>
              <w:rPr>
                <w:sz w:val="1"/>
                <w:szCs w:val="1"/>
                <w:color w:val="auto"/>
              </w:rPr>
            </w:pPr>
          </w:p>
        </w:tc>
      </w:tr>
      <w:tr>
        <w:trPr>
          <w:trHeight w:val="152"/>
        </w:trPr>
        <w:tc>
          <w:tcPr>
            <w:tcW w:w="8380" w:type="dxa"/>
            <w:vAlign w:val="bottom"/>
            <w:gridSpan w:val="2"/>
          </w:tcPr>
          <w:p>
            <w:pPr>
              <w:ind w:left="80"/>
              <w:spacing w:after="0" w:line="152" w:lineRule="exact"/>
              <w:rPr>
                <w:sz w:val="20"/>
                <w:szCs w:val="20"/>
                <w:color w:val="auto"/>
              </w:rPr>
            </w:pPr>
            <w:r>
              <w:rPr>
                <w:rFonts w:ascii="Arial" w:cs="Arial" w:eastAsia="Arial" w:hAnsi="Arial"/>
                <w:sz w:val="14"/>
                <w:szCs w:val="14"/>
                <w:color w:val="auto"/>
              </w:rPr>
              <w:t>Building and improvements</w:t>
            </w:r>
          </w:p>
        </w:tc>
        <w:tc>
          <w:tcPr>
            <w:tcW w:w="320" w:type="dxa"/>
            <w:vAlign w:val="bottom"/>
          </w:tcPr>
          <w:p>
            <w:pPr>
              <w:spacing w:after="0"/>
              <w:rPr>
                <w:sz w:val="13"/>
                <w:szCs w:val="13"/>
                <w:color w:val="auto"/>
              </w:rPr>
            </w:pPr>
          </w:p>
        </w:tc>
        <w:tc>
          <w:tcPr>
            <w:tcW w:w="1040" w:type="dxa"/>
            <w:vAlign w:val="bottom"/>
          </w:tcPr>
          <w:p>
            <w:pPr>
              <w:jc w:val="right"/>
              <w:spacing w:after="0" w:line="152" w:lineRule="exact"/>
              <w:rPr>
                <w:sz w:val="20"/>
                <w:szCs w:val="20"/>
                <w:color w:val="auto"/>
              </w:rPr>
            </w:pPr>
            <w:r>
              <w:rPr>
                <w:rFonts w:ascii="Arial" w:cs="Arial" w:eastAsia="Arial" w:hAnsi="Arial"/>
                <w:sz w:val="14"/>
                <w:szCs w:val="14"/>
                <w:color w:val="auto"/>
              </w:rPr>
              <w:t>219,580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line="152" w:lineRule="exact"/>
              <w:rPr>
                <w:sz w:val="20"/>
                <w:szCs w:val="20"/>
                <w:color w:val="auto"/>
              </w:rPr>
            </w:pPr>
            <w:r>
              <w:rPr>
                <w:rFonts w:ascii="Arial" w:cs="Arial" w:eastAsia="Arial" w:hAnsi="Arial"/>
                <w:sz w:val="14"/>
                <w:szCs w:val="14"/>
                <w:color w:val="auto"/>
              </w:rPr>
              <w:t>253,419</w:t>
            </w:r>
          </w:p>
        </w:tc>
        <w:tc>
          <w:tcPr>
            <w:tcW w:w="0" w:type="dxa"/>
            <w:vAlign w:val="bottom"/>
          </w:tcPr>
          <w:p>
            <w:pPr>
              <w:spacing w:after="0"/>
              <w:rPr>
                <w:sz w:val="1"/>
                <w:szCs w:val="1"/>
                <w:color w:val="auto"/>
              </w:rPr>
            </w:pPr>
          </w:p>
        </w:tc>
      </w:tr>
      <w:tr>
        <w:trPr>
          <w:trHeight w:val="152"/>
        </w:trPr>
        <w:tc>
          <w:tcPr>
            <w:tcW w:w="8380" w:type="dxa"/>
            <w:vAlign w:val="bottom"/>
            <w:gridSpan w:val="2"/>
            <w:shd w:val="clear" w:color="auto" w:fill="CCEEFF"/>
          </w:tcPr>
          <w:p>
            <w:pPr>
              <w:ind w:left="80"/>
              <w:spacing w:after="0" w:line="152" w:lineRule="exact"/>
              <w:rPr>
                <w:sz w:val="20"/>
                <w:szCs w:val="20"/>
                <w:color w:val="auto"/>
              </w:rPr>
            </w:pPr>
            <w:r>
              <w:rPr>
                <w:rFonts w:ascii="Arial" w:cs="Arial" w:eastAsia="Arial" w:hAnsi="Arial"/>
                <w:sz w:val="14"/>
                <w:szCs w:val="14"/>
                <w:color w:val="auto"/>
              </w:rPr>
              <w:t>Leasehold improvements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58,349</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59,054</w:t>
            </w:r>
          </w:p>
        </w:tc>
        <w:tc>
          <w:tcPr>
            <w:tcW w:w="0" w:type="dxa"/>
            <w:vAlign w:val="bottom"/>
          </w:tcPr>
          <w:p>
            <w:pPr>
              <w:spacing w:after="0"/>
              <w:rPr>
                <w:sz w:val="1"/>
                <w:szCs w:val="1"/>
                <w:color w:val="auto"/>
              </w:rPr>
            </w:pPr>
          </w:p>
        </w:tc>
      </w:tr>
      <w:tr>
        <w:trPr>
          <w:trHeight w:val="152"/>
        </w:trPr>
        <w:tc>
          <w:tcPr>
            <w:tcW w:w="8380" w:type="dxa"/>
            <w:vAlign w:val="bottom"/>
            <w:gridSpan w:val="2"/>
          </w:tcPr>
          <w:p>
            <w:pPr>
              <w:ind w:left="80"/>
              <w:spacing w:after="0" w:line="152" w:lineRule="exact"/>
              <w:rPr>
                <w:sz w:val="20"/>
                <w:szCs w:val="20"/>
                <w:color w:val="auto"/>
              </w:rPr>
            </w:pPr>
            <w:r>
              <w:rPr>
                <w:rFonts w:ascii="Arial" w:cs="Arial" w:eastAsia="Arial" w:hAnsi="Arial"/>
                <w:sz w:val="14"/>
                <w:szCs w:val="14"/>
                <w:color w:val="auto"/>
              </w:rPr>
              <w:t>Fixtures and equipment</w:t>
            </w:r>
          </w:p>
        </w:tc>
        <w:tc>
          <w:tcPr>
            <w:tcW w:w="320" w:type="dxa"/>
            <w:vAlign w:val="bottom"/>
          </w:tcPr>
          <w:p>
            <w:pPr>
              <w:spacing w:after="0"/>
              <w:rPr>
                <w:sz w:val="13"/>
                <w:szCs w:val="13"/>
                <w:color w:val="auto"/>
              </w:rPr>
            </w:pPr>
          </w:p>
        </w:tc>
        <w:tc>
          <w:tcPr>
            <w:tcW w:w="1040" w:type="dxa"/>
            <w:vAlign w:val="bottom"/>
          </w:tcPr>
          <w:p>
            <w:pPr>
              <w:jc w:val="right"/>
              <w:spacing w:after="0" w:line="152" w:lineRule="exact"/>
              <w:rPr>
                <w:sz w:val="20"/>
                <w:szCs w:val="20"/>
                <w:color w:val="auto"/>
              </w:rPr>
            </w:pPr>
            <w:r>
              <w:rPr>
                <w:rFonts w:ascii="Arial" w:cs="Arial" w:eastAsia="Arial" w:hAnsi="Arial"/>
                <w:sz w:val="14"/>
                <w:szCs w:val="14"/>
                <w:color w:val="auto"/>
              </w:rPr>
              <w:t>202,837</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line="152" w:lineRule="exact"/>
              <w:rPr>
                <w:sz w:val="20"/>
                <w:szCs w:val="20"/>
                <w:color w:val="auto"/>
              </w:rPr>
            </w:pPr>
            <w:r>
              <w:rPr>
                <w:rFonts w:ascii="Arial" w:cs="Arial" w:eastAsia="Arial" w:hAnsi="Arial"/>
                <w:sz w:val="14"/>
                <w:szCs w:val="14"/>
                <w:color w:val="auto"/>
              </w:rPr>
              <w:t>201,518</w:t>
            </w:r>
          </w:p>
        </w:tc>
        <w:tc>
          <w:tcPr>
            <w:tcW w:w="0" w:type="dxa"/>
            <w:vAlign w:val="bottom"/>
          </w:tcPr>
          <w:p>
            <w:pPr>
              <w:spacing w:after="0"/>
              <w:rPr>
                <w:sz w:val="1"/>
                <w:szCs w:val="1"/>
                <w:color w:val="auto"/>
              </w:rPr>
            </w:pPr>
          </w:p>
        </w:tc>
      </w:tr>
      <w:tr>
        <w:trPr>
          <w:trHeight w:val="152"/>
        </w:trPr>
        <w:tc>
          <w:tcPr>
            <w:tcW w:w="8380" w:type="dxa"/>
            <w:vAlign w:val="bottom"/>
            <w:gridSpan w:val="2"/>
            <w:shd w:val="clear" w:color="auto" w:fill="CCEEFF"/>
          </w:tcPr>
          <w:p>
            <w:pPr>
              <w:ind w:left="80"/>
              <w:spacing w:after="0" w:line="152" w:lineRule="exact"/>
              <w:rPr>
                <w:sz w:val="20"/>
                <w:szCs w:val="20"/>
                <w:color w:val="auto"/>
              </w:rPr>
            </w:pPr>
            <w:r>
              <w:rPr>
                <w:rFonts w:ascii="Arial" w:cs="Arial" w:eastAsia="Arial" w:hAnsi="Arial"/>
                <w:sz w:val="14"/>
                <w:szCs w:val="14"/>
                <w:color w:val="auto"/>
              </w:rPr>
              <w:t>Construction-in-progress</w:t>
            </w: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5,395</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9,285</w:t>
            </w:r>
          </w:p>
        </w:tc>
        <w:tc>
          <w:tcPr>
            <w:tcW w:w="0" w:type="dxa"/>
            <w:vAlign w:val="bottom"/>
          </w:tcPr>
          <w:p>
            <w:pPr>
              <w:spacing w:after="0"/>
              <w:rPr>
                <w:sz w:val="1"/>
                <w:szCs w:val="1"/>
                <w:color w:val="auto"/>
              </w:rPr>
            </w:pPr>
          </w:p>
        </w:tc>
      </w:tr>
      <w:tr>
        <w:trPr>
          <w:trHeight w:val="143"/>
        </w:trPr>
        <w:tc>
          <w:tcPr>
            <w:tcW w:w="8380" w:type="dxa"/>
            <w:vAlign w:val="bottom"/>
            <w:gridSpan w:val="2"/>
          </w:tcPr>
          <w:p>
            <w:pPr>
              <w:ind w:left="180"/>
              <w:spacing w:after="0" w:line="143" w:lineRule="exact"/>
              <w:rPr>
                <w:sz w:val="20"/>
                <w:szCs w:val="20"/>
                <w:color w:val="auto"/>
              </w:rPr>
            </w:pPr>
            <w:r>
              <w:rPr>
                <w:rFonts w:ascii="Arial" w:cs="Arial" w:eastAsia="Arial" w:hAnsi="Arial"/>
                <w:sz w:val="14"/>
                <w:szCs w:val="14"/>
                <w:color w:val="auto"/>
              </w:rPr>
              <w:t>Total cost</w:t>
            </w:r>
          </w:p>
        </w:tc>
        <w:tc>
          <w:tcPr>
            <w:tcW w:w="320" w:type="dxa"/>
            <w:vAlign w:val="bottom"/>
          </w:tcPr>
          <w:p>
            <w:pPr>
              <w:spacing w:after="0"/>
              <w:rPr>
                <w:sz w:val="12"/>
                <w:szCs w:val="12"/>
                <w:color w:val="auto"/>
              </w:rPr>
            </w:pPr>
          </w:p>
        </w:tc>
        <w:tc>
          <w:tcPr>
            <w:tcW w:w="1040" w:type="dxa"/>
            <w:vAlign w:val="bottom"/>
          </w:tcPr>
          <w:p>
            <w:pPr>
              <w:jc w:val="right"/>
              <w:spacing w:after="0" w:line="143" w:lineRule="exact"/>
              <w:rPr>
                <w:sz w:val="20"/>
                <w:szCs w:val="20"/>
                <w:color w:val="auto"/>
              </w:rPr>
            </w:pPr>
            <w:r>
              <w:rPr>
                <w:rFonts w:ascii="Arial" w:cs="Arial" w:eastAsia="Arial" w:hAnsi="Arial"/>
                <w:sz w:val="14"/>
                <w:szCs w:val="14"/>
                <w:color w:val="auto"/>
              </w:rPr>
              <w:t>555,620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605,562</w:t>
            </w:r>
          </w:p>
        </w:tc>
        <w:tc>
          <w:tcPr>
            <w:tcW w:w="0" w:type="dxa"/>
            <w:vAlign w:val="bottom"/>
          </w:tcPr>
          <w:p>
            <w:pPr>
              <w:spacing w:after="0"/>
              <w:rPr>
                <w:sz w:val="1"/>
                <w:szCs w:val="1"/>
                <w:color w:val="auto"/>
              </w:rPr>
            </w:pPr>
          </w:p>
        </w:tc>
      </w:tr>
      <w:tr>
        <w:trPr>
          <w:trHeight w:val="152"/>
        </w:trPr>
        <w:tc>
          <w:tcPr>
            <w:tcW w:w="8380" w:type="dxa"/>
            <w:vAlign w:val="bottom"/>
            <w:gridSpan w:val="2"/>
            <w:shd w:val="clear" w:color="auto" w:fill="CCEEFF"/>
          </w:tcPr>
          <w:p>
            <w:pPr>
              <w:ind w:left="80"/>
              <w:spacing w:after="0" w:line="152" w:lineRule="exact"/>
              <w:rPr>
                <w:sz w:val="20"/>
                <w:szCs w:val="20"/>
                <w:color w:val="auto"/>
              </w:rPr>
            </w:pPr>
            <w:r>
              <w:rPr>
                <w:rFonts w:ascii="Arial" w:cs="Arial" w:eastAsia="Arial" w:hAnsi="Arial"/>
                <w:sz w:val="14"/>
                <w:szCs w:val="14"/>
                <w:color w:val="auto"/>
              </w:rPr>
              <w:t>Less: accumulated depreciation</w:t>
            </w: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(248,963)</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(252,437)</w:t>
            </w:r>
          </w:p>
        </w:tc>
        <w:tc>
          <w:tcPr>
            <w:tcW w:w="0" w:type="dxa"/>
            <w:vAlign w:val="bottom"/>
          </w:tcPr>
          <w:p>
            <w:pPr>
              <w:spacing w:after="0"/>
              <w:rPr>
                <w:sz w:val="1"/>
                <w:szCs w:val="1"/>
                <w:color w:val="auto"/>
              </w:rPr>
            </w:pPr>
          </w:p>
        </w:tc>
      </w:tr>
      <w:tr>
        <w:trPr>
          <w:trHeight w:val="144"/>
        </w:trPr>
        <w:tc>
          <w:tcPr>
            <w:tcW w:w="83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Operating Properties, net</w:t>
            </w:r>
          </w:p>
        </w:tc>
        <w:tc>
          <w:tcPr>
            <w:tcW w:w="32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306,657</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353,125</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Of our total operating properties as disclosed above, the gross and carrying amounts of the portion of our properties currently on lease or held for leasing as of December 31, 2021 and 2020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200" w:type="dxa"/>
            <w:vAlign w:val="bottom"/>
            <w:vMerge w:val="restart"/>
          </w:tcPr>
          <w:p>
            <w:pPr>
              <w:jc w:val="right"/>
              <w:ind w:right="7071"/>
              <w:spacing w:after="0"/>
              <w:rPr>
                <w:sz w:val="20"/>
                <w:szCs w:val="20"/>
                <w:color w:val="auto"/>
              </w:rPr>
            </w:pPr>
            <w:r>
              <w:rPr>
                <w:rFonts w:ascii="Arial" w:cs="Arial" w:eastAsia="Arial" w:hAnsi="Arial"/>
                <w:sz w:val="12"/>
                <w:szCs w:val="12"/>
                <w:i w:val="1"/>
                <w:iCs w:val="1"/>
                <w:color w:val="auto"/>
                <w:w w:val="89"/>
              </w:rPr>
              <w:t>(Dollars in thousands)</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2"/>
                <w:szCs w:val="12"/>
                <w:b w:val="1"/>
                <w:bCs w:val="1"/>
                <w:color w:val="auto"/>
              </w:rPr>
              <w:t>December 31,</w:t>
            </w: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200" w:type="dxa"/>
            <w:vAlign w:val="bottom"/>
            <w:tcBorders>
              <w:bottom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14"/>
              <w:spacing w:after="0" w:line="120" w:lineRule="exact"/>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511"/>
              <w:spacing w:after="0" w:line="120" w:lineRule="exact"/>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2"/>
        </w:trPr>
        <w:tc>
          <w:tcPr>
            <w:tcW w:w="8200" w:type="dxa"/>
            <w:vAlign w:val="bottom"/>
          </w:tcPr>
          <w:p>
            <w:pPr>
              <w:ind w:left="80"/>
              <w:spacing w:after="0" w:line="152" w:lineRule="exact"/>
              <w:rPr>
                <w:sz w:val="20"/>
                <w:szCs w:val="20"/>
                <w:color w:val="auto"/>
              </w:rPr>
            </w:pPr>
            <w:r>
              <w:rPr>
                <w:rFonts w:ascii="Arial" w:cs="Arial" w:eastAsia="Arial" w:hAnsi="Arial"/>
                <w:sz w:val="14"/>
                <w:szCs w:val="14"/>
                <w:b w:val="1"/>
                <w:bCs w:val="1"/>
                <w:color w:val="auto"/>
              </w:rPr>
              <w:t>Building and improvements</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200" w:type="dxa"/>
            <w:vAlign w:val="bottom"/>
            <w:shd w:val="clear" w:color="auto" w:fill="CCEEFF"/>
          </w:tcPr>
          <w:p>
            <w:pPr>
              <w:ind w:left="260"/>
              <w:spacing w:after="0" w:line="152" w:lineRule="exact"/>
              <w:rPr>
                <w:sz w:val="20"/>
                <w:szCs w:val="20"/>
                <w:color w:val="auto"/>
              </w:rPr>
            </w:pPr>
            <w:r>
              <w:rPr>
                <w:rFonts w:ascii="Arial" w:cs="Arial" w:eastAsia="Arial" w:hAnsi="Arial"/>
                <w:sz w:val="14"/>
                <w:szCs w:val="14"/>
                <w:color w:val="auto"/>
              </w:rPr>
              <w:t>Gross balance</w:t>
            </w:r>
          </w:p>
        </w:tc>
        <w:tc>
          <w:tcPr>
            <w:tcW w:w="480" w:type="dxa"/>
            <w:vAlign w:val="bottom"/>
            <w:gridSpan w:val="2"/>
            <w:shd w:val="clear" w:color="auto" w:fill="CCEEFF"/>
          </w:tcPr>
          <w:p>
            <w:pPr>
              <w:jc w:val="right"/>
              <w:ind w:right="168"/>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140,028</w:t>
            </w:r>
          </w:p>
        </w:tc>
        <w:tc>
          <w:tcPr>
            <w:tcW w:w="580" w:type="dxa"/>
            <w:vAlign w:val="bottom"/>
            <w:gridSpan w:val="2"/>
            <w:shd w:val="clear" w:color="auto" w:fill="CCEEFF"/>
          </w:tcPr>
          <w:p>
            <w:pPr>
              <w:jc w:val="right"/>
              <w:ind w:right="308"/>
              <w:spacing w:after="0" w:line="152"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153,643</w:t>
            </w:r>
          </w:p>
        </w:tc>
        <w:tc>
          <w:tcPr>
            <w:tcW w:w="0" w:type="dxa"/>
            <w:vAlign w:val="bottom"/>
          </w:tcPr>
          <w:p>
            <w:pPr>
              <w:spacing w:after="0"/>
              <w:rPr>
                <w:sz w:val="1"/>
                <w:szCs w:val="1"/>
                <w:color w:val="auto"/>
              </w:rPr>
            </w:pPr>
          </w:p>
        </w:tc>
      </w:tr>
      <w:tr>
        <w:trPr>
          <w:trHeight w:val="152"/>
        </w:trPr>
        <w:tc>
          <w:tcPr>
            <w:tcW w:w="8200" w:type="dxa"/>
            <w:vAlign w:val="bottom"/>
            <w:tcBorders>
              <w:bottom w:val="single" w:sz="8" w:color="CCEEFF"/>
            </w:tcBorders>
          </w:tcPr>
          <w:p>
            <w:pPr>
              <w:ind w:left="260"/>
              <w:spacing w:after="0" w:line="152" w:lineRule="exact"/>
              <w:rPr>
                <w:sz w:val="20"/>
                <w:szCs w:val="20"/>
                <w:color w:val="auto"/>
              </w:rPr>
            </w:pPr>
            <w:r>
              <w:rPr>
                <w:rFonts w:ascii="Arial" w:cs="Arial" w:eastAsia="Arial" w:hAnsi="Arial"/>
                <w:sz w:val="14"/>
                <w:szCs w:val="14"/>
                <w:color w:val="auto"/>
              </w:rPr>
              <w:t>Less: Accumulated depreciation</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(23,923)</w:t>
            </w:r>
          </w:p>
        </w:tc>
        <w:tc>
          <w:tcPr>
            <w:tcW w:w="1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(26,107)</w:t>
            </w:r>
          </w:p>
        </w:tc>
        <w:tc>
          <w:tcPr>
            <w:tcW w:w="0" w:type="dxa"/>
            <w:vAlign w:val="bottom"/>
          </w:tcPr>
          <w:p>
            <w:pPr>
              <w:spacing w:after="0"/>
              <w:rPr>
                <w:sz w:val="1"/>
                <w:szCs w:val="1"/>
                <w:color w:val="auto"/>
              </w:rPr>
            </w:pPr>
          </w:p>
        </w:tc>
      </w:tr>
      <w:tr>
        <w:trPr>
          <w:trHeight w:val="144"/>
        </w:trPr>
        <w:tc>
          <w:tcPr>
            <w:tcW w:w="8200" w:type="dxa"/>
            <w:vAlign w:val="bottom"/>
            <w:tcBorders>
              <w:bottom w:val="single" w:sz="8" w:color="CCEEFF"/>
            </w:tcBorders>
            <w:shd w:val="clear" w:color="auto" w:fill="CCEEFF"/>
          </w:tcPr>
          <w:p>
            <w:pPr>
              <w:jc w:val="right"/>
              <w:ind w:right="7091"/>
              <w:spacing w:after="0" w:line="143" w:lineRule="exact"/>
              <w:rPr>
                <w:sz w:val="20"/>
                <w:szCs w:val="20"/>
                <w:color w:val="auto"/>
              </w:rPr>
            </w:pPr>
            <w:r>
              <w:rPr>
                <w:rFonts w:ascii="Arial" w:cs="Arial" w:eastAsia="Arial" w:hAnsi="Arial"/>
                <w:sz w:val="14"/>
                <w:szCs w:val="14"/>
                <w:b w:val="1"/>
                <w:bCs w:val="1"/>
                <w:color w:val="auto"/>
                <w:w w:val="99"/>
              </w:rPr>
              <w:t>Net Book Value</w:t>
            </w:r>
          </w:p>
        </w:tc>
        <w:tc>
          <w:tcPr>
            <w:tcW w:w="1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116,105</w:t>
            </w:r>
          </w:p>
        </w:tc>
        <w:tc>
          <w:tcPr>
            <w:tcW w:w="1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127,536</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Depreciation expense for operating property was $22.0 million, $21.5 million, and $22.0 million for the year ended December 31, 2021, 2020 and 2019,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and Development Property</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Investment and development property is summarized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2"/>
                <w:szCs w:val="12"/>
                <w:b w:val="1"/>
                <w:bCs w:val="1"/>
                <w:color w:val="auto"/>
              </w:rPr>
              <w:t>December 31,</w:t>
            </w:r>
          </w:p>
        </w:tc>
        <w:tc>
          <w:tcPr>
            <w:tcW w:w="960" w:type="dxa"/>
            <w:vAlign w:val="bottom"/>
            <w:tcBorders>
              <w:bottom w:val="single" w:sz="8" w:color="auto"/>
            </w:tcBorders>
          </w:tcPr>
          <w:p>
            <w:pPr>
              <w:spacing w:after="0"/>
              <w:rPr>
                <w:sz w:val="12"/>
                <w:szCs w:val="12"/>
                <w:color w:val="auto"/>
              </w:rPr>
            </w:pPr>
          </w:p>
        </w:tc>
      </w:tr>
      <w:tr>
        <w:trPr>
          <w:trHeight w:val="143"/>
        </w:trPr>
        <w:tc>
          <w:tcPr>
            <w:tcW w:w="820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2"/>
                <w:szCs w:val="12"/>
                <w:b w:val="1"/>
                <w:bCs w:val="1"/>
                <w:color w:val="auto"/>
              </w:rPr>
              <w:t>2021</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2"/>
                <w:szCs w:val="12"/>
                <w:b w:val="1"/>
                <w:bCs w:val="1"/>
                <w:color w:val="auto"/>
              </w:rPr>
              <w:t>2020</w:t>
            </w:r>
          </w:p>
        </w:tc>
      </w:tr>
      <w:tr>
        <w:trPr>
          <w:trHeight w:val="173"/>
        </w:trPr>
        <w:tc>
          <w:tcPr>
            <w:tcW w:w="8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Land</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4,193</w:t>
            </w:r>
          </w:p>
        </w:tc>
        <w:tc>
          <w:tcPr>
            <w:tcW w:w="58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5,936</w:t>
            </w:r>
          </w:p>
        </w:tc>
      </w:tr>
      <w:tr>
        <w:trPr>
          <w:trHeight w:val="184"/>
        </w:trPr>
        <w:tc>
          <w:tcPr>
            <w:tcW w:w="82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Construction-in-progress (including capitalized interest)</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5,377</w:t>
            </w:r>
          </w:p>
        </w:tc>
        <w:tc>
          <w:tcPr>
            <w:tcW w:w="1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5,634</w:t>
            </w:r>
          </w:p>
        </w:tc>
      </w:tr>
      <w:tr>
        <w:trPr>
          <w:trHeight w:val="155"/>
        </w:trPr>
        <w:tc>
          <w:tcPr>
            <w:tcW w:w="8200" w:type="dxa"/>
            <w:vAlign w:val="bottom"/>
            <w:tcBorders>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Investment and development property, net</w:t>
            </w:r>
          </w:p>
        </w:tc>
        <w:tc>
          <w:tcPr>
            <w:tcW w:w="1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68"/>
              <w:spacing w:after="0" w:line="15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9,570</w:t>
            </w:r>
          </w:p>
        </w:tc>
        <w:tc>
          <w:tcPr>
            <w:tcW w:w="1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11,570</w:t>
            </w:r>
          </w:p>
        </w:tc>
      </w:tr>
    </w:tbl>
    <w:p>
      <w:pPr>
        <w:spacing w:after="0" w:line="130"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We did capitalize any interest charges for the year ended December 31, 2021 pertaining to our on-going development projects. For the year ended December 31, 2020 we capitalized interest charges of $2.4 million.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569"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u w:val="single" w:color="auto"/>
          <w:color w:val="auto"/>
        </w:rPr>
        <w:t>NOTE 7 – INVESTMENTS IN UNCONSOLIDATED JOINT VENTURES</w:t>
      </w:r>
    </w:p>
    <w:p>
      <w:pPr>
        <w:spacing w:after="0" w:line="147" w:lineRule="exact"/>
        <w:rPr>
          <w:sz w:val="20"/>
          <w:szCs w:val="20"/>
          <w:color w:val="auto"/>
        </w:rPr>
      </w:pPr>
    </w:p>
    <w:p>
      <w:pPr>
        <w:ind w:right="240"/>
        <w:spacing w:after="0" w:line="258" w:lineRule="auto"/>
        <w:rPr>
          <w:sz w:val="20"/>
          <w:szCs w:val="20"/>
          <w:color w:val="auto"/>
        </w:rPr>
      </w:pPr>
      <w:r>
        <w:rPr>
          <w:rFonts w:ascii="Arial" w:cs="Arial" w:eastAsia="Arial" w:hAnsi="Arial"/>
          <w:sz w:val="14"/>
          <w:szCs w:val="14"/>
          <w:color w:val="auto"/>
        </w:rPr>
        <w:t>Our investments in unconsolidated joint ventures are accounted for under the equity method of accounting. The table below summarizes our active investment holdings in two unconsolidated joint ventures: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760" w:type="dxa"/>
            <w:vAlign w:val="bottom"/>
            <w:gridSpan w:val="2"/>
            <w:vMerge w:val="restart"/>
          </w:tcPr>
          <w:p>
            <w:pPr>
              <w:spacing w:after="0"/>
              <w:rPr>
                <w:sz w:val="20"/>
                <w:szCs w:val="20"/>
                <w:color w:val="auto"/>
              </w:rPr>
            </w:pPr>
            <w:r>
              <w:rPr>
                <w:rFonts w:ascii="Arial" w:cs="Arial" w:eastAsia="Arial" w:hAnsi="Arial"/>
                <w:sz w:val="12"/>
                <w:szCs w:val="12"/>
                <w:i w:val="1"/>
                <w:iCs w:val="1"/>
                <w:color w:val="auto"/>
              </w:rPr>
              <w:t>(Dollars in thousands)</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Interest</w:t>
            </w: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2"/>
                <w:szCs w:val="12"/>
                <w:b w:val="1"/>
                <w:bCs w:val="1"/>
                <w:color w:val="auto"/>
              </w:rPr>
              <w:t>December 31,</w:t>
            </w: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7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jc w:val="right"/>
              <w:ind w:right="513"/>
              <w:spacing w:after="0" w:line="120" w:lineRule="exact"/>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jc w:val="right"/>
              <w:ind w:right="511"/>
              <w:spacing w:after="0" w:line="120" w:lineRule="exact"/>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2"/>
        </w:trPr>
        <w:tc>
          <w:tcPr>
            <w:tcW w:w="6660" w:type="dxa"/>
            <w:vAlign w:val="bottom"/>
            <w:tcBorders>
              <w:top w:val="single" w:sz="8" w:color="auto"/>
            </w:tcBorders>
            <w:shd w:val="clear" w:color="auto" w:fill="CCEEFF"/>
          </w:tcPr>
          <w:p>
            <w:pPr>
              <w:spacing w:after="0" w:line="152" w:lineRule="exact"/>
              <w:rPr>
                <w:sz w:val="20"/>
                <w:szCs w:val="20"/>
                <w:color w:val="auto"/>
              </w:rPr>
            </w:pPr>
            <w:r>
              <w:rPr>
                <w:rFonts w:ascii="Arial" w:cs="Arial" w:eastAsia="Arial" w:hAnsi="Arial"/>
                <w:sz w:val="14"/>
                <w:szCs w:val="14"/>
                <w:color w:val="auto"/>
              </w:rPr>
              <w:t>Mt. Gravatt</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33.3%</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3,976</w:t>
            </w:r>
          </w:p>
        </w:tc>
        <w:tc>
          <w:tcPr>
            <w:tcW w:w="1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3,960</w:t>
            </w:r>
          </w:p>
        </w:tc>
        <w:tc>
          <w:tcPr>
            <w:tcW w:w="0" w:type="dxa"/>
            <w:vAlign w:val="bottom"/>
          </w:tcPr>
          <w:p>
            <w:pPr>
              <w:spacing w:after="0"/>
              <w:rPr>
                <w:sz w:val="1"/>
                <w:szCs w:val="1"/>
                <w:color w:val="auto"/>
              </w:rPr>
            </w:pPr>
          </w:p>
        </w:tc>
      </w:tr>
      <w:tr>
        <w:trPr>
          <w:trHeight w:val="152"/>
        </w:trPr>
        <w:tc>
          <w:tcPr>
            <w:tcW w:w="6760" w:type="dxa"/>
            <w:vAlign w:val="bottom"/>
            <w:tcBorders>
              <w:bottom w:val="single" w:sz="8" w:color="CCEEFF"/>
            </w:tcBorders>
            <w:gridSpan w:val="2"/>
          </w:tcPr>
          <w:p>
            <w:pPr>
              <w:spacing w:after="0" w:line="152" w:lineRule="exact"/>
              <w:rPr>
                <w:sz w:val="20"/>
                <w:szCs w:val="20"/>
                <w:color w:val="auto"/>
              </w:rPr>
            </w:pPr>
            <w:r>
              <w:rPr>
                <w:rFonts w:ascii="Arial" w:cs="Arial" w:eastAsia="Arial" w:hAnsi="Arial"/>
                <w:sz w:val="14"/>
                <w:szCs w:val="14"/>
                <w:color w:val="auto"/>
              </w:rPr>
              <w:t>Rialto Cinemas</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jc w:val="right"/>
              <w:spacing w:after="0" w:line="152" w:lineRule="exact"/>
              <w:rPr>
                <w:sz w:val="20"/>
                <w:szCs w:val="20"/>
                <w:color w:val="auto"/>
              </w:rPr>
            </w:pPr>
            <w:r>
              <w:rPr>
                <w:rFonts w:ascii="Arial" w:cs="Arial" w:eastAsia="Arial" w:hAnsi="Arial"/>
                <w:sz w:val="14"/>
                <w:szCs w:val="14"/>
                <w:color w:val="auto"/>
              </w:rPr>
              <w:t>50.0%</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1,017</w:t>
            </w:r>
          </w:p>
        </w:tc>
        <w:tc>
          <w:tcPr>
            <w:tcW w:w="1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163"/>
        </w:trPr>
        <w:tc>
          <w:tcPr>
            <w:tcW w:w="6760" w:type="dxa"/>
            <w:vAlign w:val="bottom"/>
            <w:tcBorders>
              <w:bottom w:val="single" w:sz="8" w:color="CCEEFF"/>
            </w:tcBorders>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Total Joint Ventures</w:t>
            </w:r>
          </w:p>
        </w:tc>
        <w:tc>
          <w:tcPr>
            <w:tcW w:w="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4,993</w:t>
            </w:r>
          </w:p>
        </w:tc>
        <w:tc>
          <w:tcPr>
            <w:tcW w:w="1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5,025</w:t>
            </w:r>
          </w:p>
        </w:tc>
        <w:tc>
          <w:tcPr>
            <w:tcW w:w="0" w:type="dxa"/>
            <w:vAlign w:val="bottom"/>
          </w:tcPr>
          <w:p>
            <w:pPr>
              <w:spacing w:after="0"/>
              <w:rPr>
                <w:sz w:val="1"/>
                <w:szCs w:val="1"/>
                <w:color w:val="auto"/>
              </w:rPr>
            </w:pPr>
          </w:p>
        </w:tc>
      </w:tr>
      <w:tr>
        <w:trPr>
          <w:trHeight w:val="295"/>
        </w:trPr>
        <w:tc>
          <w:tcPr>
            <w:tcW w:w="6760" w:type="dxa"/>
            <w:vAlign w:val="bottom"/>
            <w:gridSpan w:val="2"/>
          </w:tcPr>
          <w:p>
            <w:pPr>
              <w:spacing w:after="0"/>
              <w:rPr>
                <w:sz w:val="20"/>
                <w:szCs w:val="20"/>
                <w:color w:val="auto"/>
              </w:rPr>
            </w:pPr>
            <w:r>
              <w:rPr>
                <w:rFonts w:ascii="Arial" w:cs="Arial" w:eastAsia="Arial" w:hAnsi="Arial"/>
                <w:sz w:val="14"/>
                <w:szCs w:val="14"/>
                <w:color w:val="auto"/>
                <w:w w:val="94"/>
              </w:rPr>
              <w:t>Our recorded share of equity earnings (losses) from our investments in unconsolidated joint ventures are as follows: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760" w:type="dxa"/>
            <w:vAlign w:val="bottom"/>
            <w:gridSpan w:val="2"/>
          </w:tcPr>
          <w:p>
            <w:pPr>
              <w:spacing w:after="0"/>
              <w:rPr>
                <w:sz w:val="20"/>
                <w:szCs w:val="20"/>
                <w:color w:val="auto"/>
              </w:rPr>
            </w:pPr>
            <w:r>
              <w:rPr>
                <w:rFonts w:ascii="Arial" w:cs="Arial" w:eastAsia="Arial" w:hAnsi="Arial"/>
                <w:sz w:val="12"/>
                <w:szCs w:val="12"/>
                <w:i w:val="1"/>
                <w:iCs w:val="1"/>
                <w:color w:val="auto"/>
              </w:rPr>
              <w:t>(Dollars in thousands)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512"/>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513"/>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511"/>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52"/>
        </w:trPr>
        <w:tc>
          <w:tcPr>
            <w:tcW w:w="6660" w:type="dxa"/>
            <w:vAlign w:val="bottom"/>
            <w:tcBorders>
              <w:top w:val="single" w:sz="8" w:color="auto"/>
            </w:tcBorders>
            <w:shd w:val="clear" w:color="auto" w:fill="CCEEFF"/>
          </w:tcPr>
          <w:p>
            <w:pPr>
              <w:spacing w:after="0" w:line="152" w:lineRule="exact"/>
              <w:rPr>
                <w:sz w:val="20"/>
                <w:szCs w:val="20"/>
                <w:color w:val="auto"/>
              </w:rPr>
            </w:pPr>
            <w:r>
              <w:rPr>
                <w:rFonts w:ascii="Arial" w:cs="Arial" w:eastAsia="Arial" w:hAnsi="Arial"/>
                <w:sz w:val="14"/>
                <w:szCs w:val="14"/>
                <w:color w:val="auto"/>
              </w:rPr>
              <w:t>Mt. Gravatt</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28"/>
              <w:spacing w:after="0" w:line="15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254</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(249)</w:t>
            </w:r>
          </w:p>
        </w:tc>
        <w:tc>
          <w:tcPr>
            <w:tcW w:w="1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163"/>
        </w:trPr>
        <w:tc>
          <w:tcPr>
            <w:tcW w:w="6760" w:type="dxa"/>
            <w:vAlign w:val="bottom"/>
            <w:gridSpan w:val="2"/>
          </w:tcPr>
          <w:p>
            <w:pPr>
              <w:spacing w:after="0"/>
              <w:rPr>
                <w:sz w:val="20"/>
                <w:szCs w:val="20"/>
                <w:color w:val="auto"/>
              </w:rPr>
            </w:pPr>
            <w:r>
              <w:rPr>
                <w:rFonts w:ascii="Arial" w:cs="Arial" w:eastAsia="Arial" w:hAnsi="Arial"/>
                <w:sz w:val="14"/>
                <w:szCs w:val="14"/>
                <w:color w:val="auto"/>
              </w:rPr>
              <w:t>Rialto Cinemas</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(200)</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55"/>
        </w:trPr>
        <w:tc>
          <w:tcPr>
            <w:tcW w:w="6760" w:type="dxa"/>
            <w:vAlign w:val="bottom"/>
            <w:tcBorders>
              <w:top w:val="single" w:sz="8" w:color="CCEEFF"/>
              <w:bottom w:val="single" w:sz="8" w:color="CCEEFF"/>
            </w:tcBorders>
            <w:gridSpan w:val="2"/>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Total equity earnings</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28"/>
              <w:spacing w:after="0" w:line="153"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258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(449)</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792</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Mt. Gravatt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We own an undivided 33.3% interest in Mt. Gravatt, an unincorporated joint venture that owns and operates a sixteen-screen multiplex cinema in Australia.</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Rialto Cinemas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We own an undivided 50.0% interest in the assets and liabilities of the Rialto Entertainment joint venture that owns and operates two (2) movie theaters, with 13 screens in New Zealand.</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NOTE 8 – GOODWILL AND INTANGIBLE ASSETS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summarizes goodwill by business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1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Cinema</w:t>
            </w: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Real Estate</w:t>
            </w: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2"/>
                <w:szCs w:val="12"/>
                <w:b w:val="1"/>
                <w:bCs w:val="1"/>
                <w:color w:val="auto"/>
              </w:rPr>
              <w:t>Total</w:t>
            </w:r>
          </w:p>
        </w:tc>
      </w:tr>
      <w:tr>
        <w:trPr>
          <w:trHeight w:val="173"/>
        </w:trPr>
        <w:tc>
          <w:tcPr>
            <w:tcW w:w="6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January 1, 2020</w:t>
            </w:r>
          </w:p>
        </w:tc>
        <w:tc>
          <w:tcPr>
            <w:tcW w:w="1060" w:type="dxa"/>
            <w:vAlign w:val="bottom"/>
            <w:gridSpan w:val="2"/>
            <w:shd w:val="clear" w:color="auto" w:fill="CCEEFF"/>
          </w:tcPr>
          <w:p>
            <w:pPr>
              <w:jc w:val="right"/>
              <w:ind w:right="755"/>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21,224</w:t>
            </w:r>
          </w:p>
        </w:tc>
        <w:tc>
          <w:tcPr>
            <w:tcW w:w="1140" w:type="dxa"/>
            <w:vAlign w:val="bottom"/>
            <w:gridSpan w:val="2"/>
            <w:shd w:val="clear" w:color="auto" w:fill="CCEEFF"/>
          </w:tcPr>
          <w:p>
            <w:pPr>
              <w:jc w:val="right"/>
              <w:ind w:right="865"/>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5,224</w:t>
            </w:r>
          </w:p>
        </w:tc>
        <w:tc>
          <w:tcPr>
            <w:tcW w:w="1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234"/>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26,448</w:t>
            </w:r>
          </w:p>
        </w:tc>
      </w:tr>
      <w:tr>
        <w:trPr>
          <w:trHeight w:val="184"/>
        </w:trPr>
        <w:tc>
          <w:tcPr>
            <w:tcW w:w="6660" w:type="dxa"/>
            <w:vAlign w:val="bottom"/>
          </w:tcPr>
          <w:p>
            <w:pPr>
              <w:spacing w:after="0"/>
              <w:rPr>
                <w:sz w:val="20"/>
                <w:szCs w:val="20"/>
                <w:color w:val="auto"/>
              </w:rPr>
            </w:pPr>
            <w:r>
              <w:rPr>
                <w:rFonts w:ascii="Arial" w:cs="Arial" w:eastAsia="Arial" w:hAnsi="Arial"/>
                <w:sz w:val="14"/>
                <w:szCs w:val="14"/>
                <w:color w:val="auto"/>
              </w:rPr>
              <w:t>Change in goodwill due to purchase of business</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120</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185"/>
        </w:trPr>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translation adjustment</w:t>
            </w:r>
          </w:p>
        </w:tc>
        <w:tc>
          <w:tcPr>
            <w:tcW w:w="16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1,548</w:t>
            </w:r>
          </w:p>
        </w:tc>
        <w:tc>
          <w:tcPr>
            <w:tcW w:w="16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1,548</w:t>
            </w:r>
          </w:p>
        </w:tc>
      </w:tr>
      <w:tr>
        <w:trPr>
          <w:trHeight w:val="164"/>
        </w:trPr>
        <w:tc>
          <w:tcPr>
            <w:tcW w:w="6660" w:type="dxa"/>
            <w:vAlign w:val="bottom"/>
          </w:tcPr>
          <w:p>
            <w:pPr>
              <w:spacing w:after="0"/>
              <w:rPr>
                <w:sz w:val="20"/>
                <w:szCs w:val="20"/>
                <w:color w:val="auto"/>
              </w:rPr>
            </w:pPr>
            <w:r>
              <w:rPr>
                <w:rFonts w:ascii="Arial" w:cs="Arial" w:eastAsia="Arial" w:hAnsi="Arial"/>
                <w:sz w:val="14"/>
                <w:szCs w:val="14"/>
                <w:b w:val="1"/>
                <w:bCs w:val="1"/>
                <w:color w:val="auto"/>
              </w:rPr>
              <w:t>Balance at December 31, 2020</w:t>
            </w:r>
          </w:p>
        </w:tc>
        <w:tc>
          <w:tcPr>
            <w:tcW w:w="1060" w:type="dxa"/>
            <w:vAlign w:val="bottom"/>
            <w:gridSpan w:val="2"/>
          </w:tcPr>
          <w:p>
            <w:pPr>
              <w:jc w:val="right"/>
              <w:ind w:right="755"/>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22,892</w:t>
            </w:r>
          </w:p>
        </w:tc>
        <w:tc>
          <w:tcPr>
            <w:tcW w:w="1140" w:type="dxa"/>
            <w:vAlign w:val="bottom"/>
            <w:gridSpan w:val="2"/>
          </w:tcPr>
          <w:p>
            <w:pPr>
              <w:jc w:val="right"/>
              <w:ind w:right="865"/>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91"/>
              </w:rPr>
              <w:t>5,224</w:t>
            </w:r>
          </w:p>
        </w:tc>
        <w:tc>
          <w:tcPr>
            <w:tcW w:w="160" w:type="dxa"/>
            <w:vAlign w:val="bottom"/>
          </w:tcPr>
          <w:p>
            <w:pPr>
              <w:spacing w:after="0"/>
              <w:rPr>
                <w:sz w:val="14"/>
                <w:szCs w:val="14"/>
                <w:color w:val="auto"/>
              </w:rPr>
            </w:pPr>
          </w:p>
        </w:tc>
        <w:tc>
          <w:tcPr>
            <w:tcW w:w="320" w:type="dxa"/>
            <w:vAlign w:val="bottom"/>
            <w:gridSpan w:val="2"/>
          </w:tcPr>
          <w:p>
            <w:pPr>
              <w:jc w:val="right"/>
              <w:ind w:right="234"/>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28,116</w:t>
            </w:r>
          </w:p>
        </w:tc>
      </w:tr>
      <w:tr>
        <w:trPr>
          <w:trHeight w:val="184"/>
        </w:trPr>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translation adjustment</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w:t>
            </w:r>
          </w:p>
        </w:tc>
      </w:tr>
      <w:tr>
        <w:trPr>
          <w:trHeight w:val="155"/>
        </w:trPr>
        <w:tc>
          <w:tcPr>
            <w:tcW w:w="6660" w:type="dxa"/>
            <w:vAlign w:val="bottom"/>
          </w:tcPr>
          <w:p>
            <w:pPr>
              <w:spacing w:after="0" w:line="153" w:lineRule="exact"/>
              <w:rPr>
                <w:sz w:val="20"/>
                <w:szCs w:val="20"/>
                <w:color w:val="auto"/>
              </w:rPr>
            </w:pPr>
            <w:r>
              <w:rPr>
                <w:rFonts w:ascii="Arial" w:cs="Arial" w:eastAsia="Arial" w:hAnsi="Arial"/>
                <w:sz w:val="14"/>
                <w:szCs w:val="14"/>
                <w:b w:val="1"/>
                <w:bCs w:val="1"/>
                <w:color w:val="auto"/>
              </w:rPr>
              <w:t>Balance at December 31, 2021</w:t>
            </w:r>
          </w:p>
        </w:tc>
        <w:tc>
          <w:tcPr>
            <w:tcW w:w="16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ind w:right="755"/>
              <w:spacing w:after="0" w:line="153"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7"/>
              </w:rPr>
              <w:t>21,534</w:t>
            </w:r>
          </w:p>
        </w:tc>
        <w:tc>
          <w:tcPr>
            <w:tcW w:w="16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865"/>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1"/>
              </w:rPr>
              <w:t>5,224</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5"/>
                <w:szCs w:val="5"/>
                <w:b w:val="1"/>
                <w:bCs w:val="1"/>
                <w:color w:val="auto"/>
                <w:w w:val="70"/>
              </w:rPr>
              <w:t>$</w:t>
            </w:r>
          </w:p>
        </w:tc>
        <w:tc>
          <w:tcPr>
            <w:tcW w:w="10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26,758</w:t>
            </w:r>
          </w:p>
        </w:tc>
      </w:tr>
    </w:tbl>
    <w:p>
      <w:pPr>
        <w:spacing w:after="0" w:line="130"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 xml:space="preserve">The Company is required to test goodwill and other intangible assets for impairment on an annual basis and, if current events or circumstances require, on an interim basis. To test the impairment of goodwill, the Company compares the fair value of each reporting unit to its carrying amount, including the goodwill, to determine if there is potential goodwill impairment. A reporting unit is generally one level below the operating segment. The most recent annual assessment occurred in the fourth quarter of 2021. The assessment results, as described at </w:t>
      </w:r>
      <w:r>
        <w:rPr>
          <w:rFonts w:ascii="Arial" w:cs="Arial" w:eastAsia="Arial" w:hAnsi="Arial"/>
          <w:sz w:val="14"/>
          <w:szCs w:val="14"/>
          <w:i w:val="1"/>
          <w:iCs w:val="1"/>
          <w:color w:val="auto"/>
        </w:rPr>
        <w:t>Note 3 – Impact of COVID-19</w:t>
      </w:r>
      <w:r>
        <w:rPr>
          <w:rFonts w:ascii="Arial" w:cs="Arial" w:eastAsia="Arial" w:hAnsi="Arial"/>
          <w:sz w:val="14"/>
          <w:szCs w:val="14"/>
          <w:color w:val="auto"/>
        </w:rPr>
        <w:t xml:space="preserve"> </w:t>
      </w:r>
      <w:r>
        <w:rPr>
          <w:rFonts w:ascii="Arial" w:cs="Arial" w:eastAsia="Arial" w:hAnsi="Arial"/>
          <w:sz w:val="14"/>
          <w:szCs w:val="14"/>
          <w:i w:val="1"/>
          <w:iCs w:val="1"/>
          <w:color w:val="auto"/>
        </w:rPr>
        <w:t>Pandemic and Liquidity</w:t>
      </w:r>
      <w:r>
        <w:rPr>
          <w:rFonts w:ascii="Arial" w:cs="Arial" w:eastAsia="Arial" w:hAnsi="Arial"/>
          <w:sz w:val="14"/>
          <w:szCs w:val="14"/>
          <w:color w:val="auto"/>
        </w:rPr>
        <w:t>, indicated that there is no impairment to our goodwill as of December 31, 2021.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The tables below summarize intangible assets other than goodwill: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ind w:left="680"/>
              <w:spacing w:after="0"/>
              <w:rPr>
                <w:sz w:val="20"/>
                <w:szCs w:val="20"/>
                <w:color w:val="auto"/>
              </w:rPr>
            </w:pPr>
            <w:r>
              <w:rPr>
                <w:rFonts w:ascii="Arial" w:cs="Arial" w:eastAsia="Arial" w:hAnsi="Arial"/>
                <w:sz w:val="12"/>
                <w:szCs w:val="12"/>
                <w:b w:val="1"/>
                <w:bCs w:val="1"/>
                <w:color w:val="auto"/>
                <w:w w:val="85"/>
              </w:rPr>
              <w:t>December 31, 2021</w:t>
            </w:r>
          </w:p>
        </w:tc>
        <w:tc>
          <w:tcPr>
            <w:tcW w:w="9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r>
      <w:tr>
        <w:trPr>
          <w:trHeight w:val="232"/>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center"/>
              <w:ind w:right="314"/>
              <w:spacing w:after="0"/>
              <w:rPr>
                <w:sz w:val="20"/>
                <w:szCs w:val="20"/>
                <w:color w:val="auto"/>
              </w:rPr>
            </w:pPr>
            <w:r>
              <w:rPr>
                <w:rFonts w:ascii="Arial" w:cs="Arial" w:eastAsia="Arial" w:hAnsi="Arial"/>
                <w:sz w:val="12"/>
                <w:szCs w:val="12"/>
                <w:b w:val="1"/>
                <w:bCs w:val="1"/>
                <w:color w:val="auto"/>
                <w:w w:val="93"/>
              </w:rPr>
              <w:t>Other</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19"/>
        </w:trPr>
        <w:tc>
          <w:tcPr>
            <w:tcW w:w="5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jc w:val="right"/>
              <w:ind w:right="600"/>
              <w:spacing w:after="0" w:line="120" w:lineRule="exact"/>
              <w:rPr>
                <w:sz w:val="20"/>
                <w:szCs w:val="20"/>
                <w:color w:val="auto"/>
              </w:rPr>
            </w:pPr>
            <w:r>
              <w:rPr>
                <w:rFonts w:ascii="Arial" w:cs="Arial" w:eastAsia="Arial" w:hAnsi="Arial"/>
                <w:sz w:val="12"/>
                <w:szCs w:val="12"/>
                <w:b w:val="1"/>
                <w:bCs w:val="1"/>
                <w:color w:val="auto"/>
              </w:rPr>
              <w:t>Beneficial</w:t>
            </w:r>
          </w:p>
        </w:tc>
        <w:tc>
          <w:tcPr>
            <w:tcW w:w="320" w:type="dxa"/>
            <w:vAlign w:val="bottom"/>
          </w:tcPr>
          <w:p>
            <w:pPr>
              <w:spacing w:after="0"/>
              <w:rPr>
                <w:sz w:val="10"/>
                <w:szCs w:val="10"/>
                <w:color w:val="auto"/>
              </w:rPr>
            </w:pPr>
          </w:p>
        </w:tc>
        <w:tc>
          <w:tcPr>
            <w:tcW w:w="1220" w:type="dxa"/>
            <w:vAlign w:val="bottom"/>
            <w:gridSpan w:val="2"/>
          </w:tcPr>
          <w:p>
            <w:pPr>
              <w:ind w:left="220"/>
              <w:spacing w:after="0" w:line="120" w:lineRule="exact"/>
              <w:rPr>
                <w:sz w:val="20"/>
                <w:szCs w:val="20"/>
                <w:color w:val="auto"/>
              </w:rPr>
            </w:pPr>
            <w:r>
              <w:rPr>
                <w:rFonts w:ascii="Arial" w:cs="Arial" w:eastAsia="Arial" w:hAnsi="Arial"/>
                <w:sz w:val="12"/>
                <w:szCs w:val="12"/>
                <w:b w:val="1"/>
                <w:bCs w:val="1"/>
                <w:color w:val="auto"/>
              </w:rPr>
              <w:t>Trade</w:t>
            </w:r>
          </w:p>
        </w:tc>
        <w:tc>
          <w:tcPr>
            <w:tcW w:w="400" w:type="dxa"/>
            <w:vAlign w:val="bottom"/>
          </w:tcPr>
          <w:p>
            <w:pPr>
              <w:spacing w:after="0"/>
              <w:rPr>
                <w:sz w:val="10"/>
                <w:szCs w:val="10"/>
                <w:color w:val="auto"/>
              </w:rPr>
            </w:pPr>
          </w:p>
        </w:tc>
        <w:tc>
          <w:tcPr>
            <w:tcW w:w="960" w:type="dxa"/>
            <w:vAlign w:val="bottom"/>
          </w:tcPr>
          <w:p>
            <w:pPr>
              <w:jc w:val="center"/>
              <w:ind w:right="334"/>
              <w:spacing w:after="0" w:line="120" w:lineRule="exact"/>
              <w:rPr>
                <w:sz w:val="20"/>
                <w:szCs w:val="20"/>
                <w:color w:val="auto"/>
              </w:rPr>
            </w:pPr>
            <w:r>
              <w:rPr>
                <w:rFonts w:ascii="Arial" w:cs="Arial" w:eastAsia="Arial" w:hAnsi="Arial"/>
                <w:sz w:val="12"/>
                <w:szCs w:val="12"/>
                <w:b w:val="1"/>
                <w:bCs w:val="1"/>
                <w:color w:val="auto"/>
                <w:w w:val="91"/>
              </w:rPr>
              <w:t>Intangible</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38"/>
        </w:trPr>
        <w:tc>
          <w:tcPr>
            <w:tcW w:w="5160" w:type="dxa"/>
            <w:vAlign w:val="bottom"/>
            <w:tcBorders>
              <w:bottom w:val="single" w:sz="8" w:color="auto"/>
            </w:tcBorders>
          </w:tcPr>
          <w:p>
            <w:pPr>
              <w:spacing w:after="0" w:line="137" w:lineRule="exact"/>
              <w:rPr>
                <w:sz w:val="20"/>
                <w:szCs w:val="20"/>
                <w:color w:val="auto"/>
              </w:rPr>
            </w:pPr>
            <w:r>
              <w:rPr>
                <w:rFonts w:ascii="Arial" w:cs="Arial" w:eastAsia="Arial" w:hAnsi="Arial"/>
                <w:sz w:val="12"/>
                <w:szCs w:val="12"/>
                <w:i w:val="1"/>
                <w:iCs w:val="1"/>
                <w:color w:val="auto"/>
              </w:rPr>
              <w:t>(Dollars in thousands)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52"/>
              <w:spacing w:after="0" w:line="137" w:lineRule="exact"/>
              <w:rPr>
                <w:sz w:val="20"/>
                <w:szCs w:val="20"/>
                <w:color w:val="auto"/>
              </w:rPr>
            </w:pPr>
            <w:r>
              <w:rPr>
                <w:rFonts w:ascii="Arial" w:cs="Arial" w:eastAsia="Arial" w:hAnsi="Arial"/>
                <w:sz w:val="12"/>
                <w:szCs w:val="12"/>
                <w:b w:val="1"/>
                <w:bCs w:val="1"/>
                <w:color w:val="auto"/>
              </w:rPr>
              <w:t>Leases</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220"/>
              <w:spacing w:after="0" w:line="137" w:lineRule="exact"/>
              <w:rPr>
                <w:sz w:val="20"/>
                <w:szCs w:val="20"/>
                <w:color w:val="auto"/>
              </w:rPr>
            </w:pPr>
            <w:r>
              <w:rPr>
                <w:rFonts w:ascii="Arial" w:cs="Arial" w:eastAsia="Arial" w:hAnsi="Arial"/>
                <w:sz w:val="12"/>
                <w:szCs w:val="12"/>
                <w:b w:val="1"/>
                <w:bCs w:val="1"/>
                <w:color w:val="auto"/>
              </w:rPr>
              <w:t>Name</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34"/>
              <w:spacing w:after="0" w:line="137" w:lineRule="exact"/>
              <w:rPr>
                <w:sz w:val="20"/>
                <w:szCs w:val="20"/>
                <w:color w:val="auto"/>
              </w:rPr>
            </w:pPr>
            <w:r>
              <w:rPr>
                <w:rFonts w:ascii="Arial" w:cs="Arial" w:eastAsia="Arial" w:hAnsi="Arial"/>
                <w:sz w:val="12"/>
                <w:szCs w:val="12"/>
                <w:b w:val="1"/>
                <w:bCs w:val="1"/>
                <w:color w:val="auto"/>
                <w:w w:val="81"/>
              </w:rPr>
              <w:t>Assets</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1"/>
              <w:spacing w:after="0" w:line="137" w:lineRule="exact"/>
              <w:rPr>
                <w:sz w:val="20"/>
                <w:szCs w:val="20"/>
                <w:color w:val="auto"/>
              </w:rPr>
            </w:pPr>
            <w:r>
              <w:rPr>
                <w:rFonts w:ascii="Arial" w:cs="Arial" w:eastAsia="Arial" w:hAnsi="Arial"/>
                <w:sz w:val="12"/>
                <w:szCs w:val="12"/>
                <w:b w:val="1"/>
                <w:bCs w:val="1"/>
                <w:color w:val="auto"/>
              </w:rPr>
              <w:t>Total</w:t>
            </w:r>
          </w:p>
        </w:tc>
      </w:tr>
      <w:tr>
        <w:trPr>
          <w:trHeight w:val="173"/>
        </w:trPr>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Gross carrying amount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12,335</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9,058</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8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4,996</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26,389</w:t>
            </w:r>
          </w:p>
        </w:tc>
      </w:tr>
      <w:tr>
        <w:trPr>
          <w:trHeight w:val="184"/>
        </w:trPr>
        <w:tc>
          <w:tcPr>
            <w:tcW w:w="5320" w:type="dxa"/>
            <w:vAlign w:val="bottom"/>
            <w:gridSpan w:val="2"/>
          </w:tcPr>
          <w:p>
            <w:pPr>
              <w:spacing w:after="0"/>
              <w:rPr>
                <w:sz w:val="20"/>
                <w:szCs w:val="20"/>
                <w:color w:val="auto"/>
              </w:rPr>
            </w:pPr>
            <w:r>
              <w:rPr>
                <w:rFonts w:ascii="Arial" w:cs="Arial" w:eastAsia="Arial" w:hAnsi="Arial"/>
                <w:sz w:val="14"/>
                <w:szCs w:val="14"/>
                <w:color w:val="auto"/>
              </w:rPr>
              <w:t>Less: accumulated amortization</w:t>
            </w:r>
          </w:p>
        </w:tc>
        <w:tc>
          <w:tcPr>
            <w:tcW w:w="1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(12,002)</w:t>
            </w:r>
          </w:p>
        </w:tc>
        <w:tc>
          <w:tcPr>
            <w:tcW w:w="3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(7,660)</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(3,452)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(23,114)</w:t>
            </w:r>
          </w:p>
        </w:tc>
      </w:tr>
      <w:tr>
        <w:trPr>
          <w:trHeight w:val="184"/>
        </w:trPr>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impairment charges</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55"/>
        </w:trPr>
        <w:tc>
          <w:tcPr>
            <w:tcW w:w="53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Net intangible assets other than goodwill</w:t>
            </w:r>
          </w:p>
        </w:tc>
        <w:tc>
          <w:tcPr>
            <w:tcW w:w="1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76"/>
              </w:rPr>
              <w:t>$</w:t>
            </w:r>
          </w:p>
        </w:tc>
        <w:tc>
          <w:tcPr>
            <w:tcW w:w="12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333</w:t>
            </w:r>
          </w:p>
        </w:tc>
        <w:tc>
          <w:tcPr>
            <w:tcW w:w="16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68"/>
              <w:spacing w:after="0" w:line="15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1,398</w:t>
            </w:r>
          </w:p>
        </w:tc>
        <w:tc>
          <w:tcPr>
            <w:tcW w:w="16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1,527</w:t>
            </w:r>
          </w:p>
        </w:tc>
        <w:tc>
          <w:tcPr>
            <w:tcW w:w="16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68"/>
              <w:spacing w:after="0" w:line="15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3,258</w:t>
            </w:r>
          </w:p>
        </w:tc>
      </w:tr>
      <w:tr>
        <w:trPr>
          <w:trHeight w:val="313"/>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812"/>
              <w:spacing w:after="0"/>
              <w:rPr>
                <w:sz w:val="20"/>
                <w:szCs w:val="20"/>
                <w:color w:val="auto"/>
              </w:rPr>
            </w:pPr>
            <w:r>
              <w:rPr>
                <w:rFonts w:ascii="Arial" w:cs="Arial" w:eastAsia="Arial" w:hAnsi="Arial"/>
                <w:sz w:val="14"/>
                <w:szCs w:val="14"/>
                <w:color w:val="auto"/>
              </w:rPr>
              <w:t>- 82 -</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2"/>
        </w:trPr>
        <w:tc>
          <w:tcPr>
            <w:tcW w:w="516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124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32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400" w:type="dxa"/>
            <w:vAlign w:val="bottom"/>
            <w:tcBorders>
              <w:bottom w:val="single" w:sz="8" w:color="9A9A9A"/>
            </w:tcBorders>
          </w:tcPr>
          <w:p>
            <w:pPr>
              <w:spacing w:after="0"/>
              <w:rPr>
                <w:sz w:val="21"/>
                <w:szCs w:val="21"/>
                <w:color w:val="auto"/>
              </w:rPr>
            </w:pPr>
          </w:p>
        </w:tc>
        <w:tc>
          <w:tcPr>
            <w:tcW w:w="96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32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266" w:right="3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40"/>
        </w:trPr>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ind w:left="680"/>
              <w:spacing w:after="0"/>
              <w:rPr>
                <w:sz w:val="20"/>
                <w:szCs w:val="20"/>
                <w:color w:val="auto"/>
              </w:rPr>
            </w:pPr>
            <w:r>
              <w:rPr>
                <w:rFonts w:ascii="Arial" w:cs="Arial" w:eastAsia="Arial" w:hAnsi="Arial"/>
                <w:sz w:val="12"/>
                <w:szCs w:val="12"/>
                <w:b w:val="1"/>
                <w:bCs w:val="1"/>
                <w:color w:val="auto"/>
                <w:w w:val="85"/>
              </w:rPr>
              <w:t>December 31, 2020</w:t>
            </w:r>
          </w:p>
        </w:tc>
        <w:tc>
          <w:tcPr>
            <w:tcW w:w="9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r>
      <w:tr>
        <w:trPr>
          <w:trHeight w:val="232"/>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3"/>
              </w:rPr>
              <w:t>Other</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19"/>
        </w:trPr>
        <w:tc>
          <w:tcPr>
            <w:tcW w:w="5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tcPr>
          <w:p>
            <w:pPr>
              <w:jc w:val="right"/>
              <w:ind w:right="600"/>
              <w:spacing w:after="0" w:line="120" w:lineRule="exact"/>
              <w:rPr>
                <w:sz w:val="20"/>
                <w:szCs w:val="20"/>
                <w:color w:val="auto"/>
              </w:rPr>
            </w:pPr>
            <w:r>
              <w:rPr>
                <w:rFonts w:ascii="Arial" w:cs="Arial" w:eastAsia="Arial" w:hAnsi="Arial"/>
                <w:sz w:val="12"/>
                <w:szCs w:val="12"/>
                <w:b w:val="1"/>
                <w:bCs w:val="1"/>
                <w:color w:val="auto"/>
              </w:rPr>
              <w:t>Beneficial</w:t>
            </w:r>
          </w:p>
        </w:tc>
        <w:tc>
          <w:tcPr>
            <w:tcW w:w="320" w:type="dxa"/>
            <w:vAlign w:val="bottom"/>
          </w:tcPr>
          <w:p>
            <w:pPr>
              <w:spacing w:after="0"/>
              <w:rPr>
                <w:sz w:val="10"/>
                <w:szCs w:val="10"/>
                <w:color w:val="auto"/>
              </w:rPr>
            </w:pPr>
          </w:p>
        </w:tc>
        <w:tc>
          <w:tcPr>
            <w:tcW w:w="1220" w:type="dxa"/>
            <w:vAlign w:val="bottom"/>
            <w:gridSpan w:val="2"/>
          </w:tcPr>
          <w:p>
            <w:pPr>
              <w:ind w:left="220"/>
              <w:spacing w:after="0" w:line="120" w:lineRule="exact"/>
              <w:rPr>
                <w:sz w:val="20"/>
                <w:szCs w:val="20"/>
                <w:color w:val="auto"/>
              </w:rPr>
            </w:pPr>
            <w:r>
              <w:rPr>
                <w:rFonts w:ascii="Arial" w:cs="Arial" w:eastAsia="Arial" w:hAnsi="Arial"/>
                <w:sz w:val="12"/>
                <w:szCs w:val="12"/>
                <w:b w:val="1"/>
                <w:bCs w:val="1"/>
                <w:color w:val="auto"/>
              </w:rPr>
              <w:t>Trade</w:t>
            </w:r>
          </w:p>
        </w:tc>
        <w:tc>
          <w:tcPr>
            <w:tcW w:w="400" w:type="dxa"/>
            <w:vAlign w:val="bottom"/>
          </w:tcPr>
          <w:p>
            <w:pPr>
              <w:spacing w:after="0"/>
              <w:rPr>
                <w:sz w:val="10"/>
                <w:szCs w:val="10"/>
                <w:color w:val="auto"/>
              </w:rPr>
            </w:pPr>
          </w:p>
        </w:tc>
        <w:tc>
          <w:tcPr>
            <w:tcW w:w="1120" w:type="dxa"/>
            <w:vAlign w:val="bottom"/>
            <w:gridSpan w:val="2"/>
          </w:tcPr>
          <w:p>
            <w:pPr>
              <w:jc w:val="center"/>
              <w:ind w:right="560"/>
              <w:spacing w:after="0" w:line="120" w:lineRule="exact"/>
              <w:rPr>
                <w:sz w:val="20"/>
                <w:szCs w:val="20"/>
                <w:color w:val="auto"/>
              </w:rPr>
            </w:pPr>
            <w:r>
              <w:rPr>
                <w:rFonts w:ascii="Arial" w:cs="Arial" w:eastAsia="Arial" w:hAnsi="Arial"/>
                <w:sz w:val="12"/>
                <w:szCs w:val="12"/>
                <w:b w:val="1"/>
                <w:bCs w:val="1"/>
                <w:color w:val="auto"/>
                <w:w w:val="91"/>
              </w:rPr>
              <w:t>Intangible</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38"/>
        </w:trPr>
        <w:tc>
          <w:tcPr>
            <w:tcW w:w="5160" w:type="dxa"/>
            <w:vAlign w:val="bottom"/>
            <w:tcBorders>
              <w:bottom w:val="single" w:sz="8" w:color="auto"/>
            </w:tcBorders>
          </w:tcPr>
          <w:p>
            <w:pPr>
              <w:spacing w:after="0" w:line="137" w:lineRule="exact"/>
              <w:rPr>
                <w:sz w:val="20"/>
                <w:szCs w:val="20"/>
                <w:color w:val="auto"/>
              </w:rPr>
            </w:pPr>
            <w:r>
              <w:rPr>
                <w:rFonts w:ascii="Arial" w:cs="Arial" w:eastAsia="Arial" w:hAnsi="Arial"/>
                <w:sz w:val="12"/>
                <w:szCs w:val="12"/>
                <w:i w:val="1"/>
                <w:iCs w:val="1"/>
                <w:color w:val="auto"/>
              </w:rPr>
              <w:t>(Dollars in thousands)</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3"/>
              <w:spacing w:after="0" w:line="137" w:lineRule="exact"/>
              <w:rPr>
                <w:sz w:val="20"/>
                <w:szCs w:val="20"/>
                <w:color w:val="auto"/>
              </w:rPr>
            </w:pPr>
            <w:r>
              <w:rPr>
                <w:rFonts w:ascii="Arial" w:cs="Arial" w:eastAsia="Arial" w:hAnsi="Arial"/>
                <w:sz w:val="12"/>
                <w:szCs w:val="12"/>
                <w:b w:val="1"/>
                <w:bCs w:val="1"/>
                <w:color w:val="auto"/>
              </w:rPr>
              <w:t>Leases</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220"/>
              <w:spacing w:after="0" w:line="137" w:lineRule="exact"/>
              <w:rPr>
                <w:sz w:val="20"/>
                <w:szCs w:val="20"/>
                <w:color w:val="auto"/>
              </w:rPr>
            </w:pPr>
            <w:r>
              <w:rPr>
                <w:rFonts w:ascii="Arial" w:cs="Arial" w:eastAsia="Arial" w:hAnsi="Arial"/>
                <w:sz w:val="12"/>
                <w:szCs w:val="12"/>
                <w:b w:val="1"/>
                <w:bCs w:val="1"/>
                <w:color w:val="auto"/>
              </w:rPr>
              <w:t>Name</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34"/>
              <w:spacing w:after="0" w:line="137" w:lineRule="exact"/>
              <w:rPr>
                <w:sz w:val="20"/>
                <w:szCs w:val="20"/>
                <w:color w:val="auto"/>
              </w:rPr>
            </w:pPr>
            <w:r>
              <w:rPr>
                <w:rFonts w:ascii="Arial" w:cs="Arial" w:eastAsia="Arial" w:hAnsi="Arial"/>
                <w:sz w:val="12"/>
                <w:szCs w:val="12"/>
                <w:b w:val="1"/>
                <w:bCs w:val="1"/>
                <w:color w:val="auto"/>
                <w:w w:val="81"/>
              </w:rPr>
              <w:t>Assets</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1"/>
              <w:spacing w:after="0" w:line="137" w:lineRule="exact"/>
              <w:rPr>
                <w:sz w:val="20"/>
                <w:szCs w:val="20"/>
                <w:color w:val="auto"/>
              </w:rPr>
            </w:pPr>
            <w:r>
              <w:rPr>
                <w:rFonts w:ascii="Arial" w:cs="Arial" w:eastAsia="Arial" w:hAnsi="Arial"/>
                <w:sz w:val="12"/>
                <w:szCs w:val="12"/>
                <w:b w:val="1"/>
                <w:bCs w:val="1"/>
                <w:color w:val="auto"/>
              </w:rPr>
              <w:t>Total</w:t>
            </w:r>
          </w:p>
        </w:tc>
      </w:tr>
      <w:tr>
        <w:trPr>
          <w:trHeight w:val="173"/>
        </w:trPr>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Gross carrying amount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12,451</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9,058</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8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4,764</w:t>
            </w:r>
          </w:p>
        </w:tc>
        <w:tc>
          <w:tcPr>
            <w:tcW w:w="1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26,273</w:t>
            </w:r>
          </w:p>
        </w:tc>
      </w:tr>
      <w:tr>
        <w:trPr>
          <w:trHeight w:val="184"/>
        </w:trPr>
        <w:tc>
          <w:tcPr>
            <w:tcW w:w="5320" w:type="dxa"/>
            <w:vAlign w:val="bottom"/>
            <w:gridSpan w:val="2"/>
          </w:tcPr>
          <w:p>
            <w:pPr>
              <w:spacing w:after="0"/>
              <w:rPr>
                <w:sz w:val="20"/>
                <w:szCs w:val="20"/>
                <w:color w:val="auto"/>
              </w:rPr>
            </w:pPr>
            <w:r>
              <w:rPr>
                <w:rFonts w:ascii="Arial" w:cs="Arial" w:eastAsia="Arial" w:hAnsi="Arial"/>
                <w:sz w:val="14"/>
                <w:szCs w:val="14"/>
                <w:color w:val="auto"/>
              </w:rPr>
              <w:t>Less: accumulated amortization</w:t>
            </w:r>
          </w:p>
        </w:tc>
        <w:tc>
          <w:tcPr>
            <w:tcW w:w="2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(10,375)</w:t>
            </w:r>
          </w:p>
        </w:tc>
        <w:tc>
          <w:tcPr>
            <w:tcW w:w="3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(7,377)</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(4,533)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(22,285)</w:t>
            </w:r>
          </w:p>
        </w:tc>
      </w:tr>
      <w:tr>
        <w:trPr>
          <w:trHeight w:val="184"/>
        </w:trPr>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impairment charges</w:t>
            </w: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55"/>
        </w:trPr>
        <w:tc>
          <w:tcPr>
            <w:tcW w:w="53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Net intangible assets other than goodwill</w:t>
            </w:r>
          </w:p>
        </w:tc>
        <w:tc>
          <w:tcPr>
            <w:tcW w:w="260" w:type="dxa"/>
            <w:vAlign w:val="bottom"/>
            <w:tcBorders>
              <w:top w:val="single" w:sz="8" w:color="auto"/>
              <w:bottom w:val="single" w:sz="8" w:color="auto"/>
            </w:tcBorders>
          </w:tcPr>
          <w:p>
            <w:pPr>
              <w:jc w:val="right"/>
              <w:ind w:right="108"/>
              <w:spacing w:after="0" w:line="153"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2,076</w:t>
            </w:r>
          </w:p>
        </w:tc>
        <w:tc>
          <w:tcPr>
            <w:tcW w:w="16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68"/>
              <w:spacing w:after="0" w:line="15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1,681</w:t>
            </w:r>
          </w:p>
        </w:tc>
        <w:tc>
          <w:tcPr>
            <w:tcW w:w="16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214</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3,971</w:t>
            </w:r>
          </w:p>
        </w:tc>
      </w:tr>
    </w:tbl>
    <w:p>
      <w:pPr>
        <w:spacing w:after="0" w:line="130" w:lineRule="exact"/>
        <w:rPr>
          <w:sz w:val="20"/>
          <w:szCs w:val="20"/>
          <w:color w:val="auto"/>
        </w:rPr>
      </w:pPr>
    </w:p>
    <w:p>
      <w:pPr>
        <w:ind w:right="140"/>
        <w:spacing w:after="0" w:line="237" w:lineRule="auto"/>
        <w:rPr>
          <w:sz w:val="20"/>
          <w:szCs w:val="20"/>
          <w:color w:val="auto"/>
        </w:rPr>
      </w:pPr>
      <w:r>
        <w:rPr>
          <w:rFonts w:ascii="Arial" w:cs="Arial" w:eastAsia="Arial" w:hAnsi="Arial"/>
          <w:sz w:val="14"/>
          <w:szCs w:val="14"/>
          <w:color w:val="auto"/>
        </w:rPr>
        <w:t>Beneficial leases obtained from business combinations relating to our arrangements as lessee were amortized over the life of the lease up to 30 years until January 1, 2019. Under ASC 842 they are now incorporated into the relevant right-of-use asset. The remaining balance of beneficial leases relates to our operations as lessor. Trade names are amortized using an accelerated amortization method over an estimated useful life of 30 years, and other intangible assets over their estimated useful life of up to 30 years (except for transferrable liquor licenses, which are indefinite-lived assets, with a balance of $757,000 and $490,000 as of December 31, 2021 and 2020).</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For the years ended December 31, 2021, 2020, and 2019, our amortization expense was $0.7 million, $0.9 million, and $0.7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2021, the estimated amortization expense for our amortizable intangibles, in the five succeeding years and thereafter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8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ind w:right="251"/>
              <w:spacing w:after="0"/>
              <w:rPr>
                <w:sz w:val="20"/>
                <w:szCs w:val="20"/>
                <w:color w:val="auto"/>
              </w:rPr>
            </w:pPr>
            <w:r>
              <w:rPr>
                <w:rFonts w:ascii="Arial" w:cs="Arial" w:eastAsia="Arial" w:hAnsi="Arial"/>
                <w:sz w:val="12"/>
                <w:szCs w:val="12"/>
                <w:b w:val="1"/>
                <w:bCs w:val="1"/>
                <w:color w:val="auto"/>
                <w:w w:val="87"/>
              </w:rPr>
              <w:t>Estimated</w:t>
            </w:r>
          </w:p>
        </w:tc>
      </w:tr>
      <w:tr>
        <w:trPr>
          <w:trHeight w:val="119"/>
        </w:trPr>
        <w:tc>
          <w:tcPr>
            <w:tcW w:w="27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jc w:val="center"/>
              <w:ind w:right="251"/>
              <w:spacing w:after="0" w:line="120" w:lineRule="exact"/>
              <w:rPr>
                <w:sz w:val="20"/>
                <w:szCs w:val="20"/>
                <w:color w:val="auto"/>
              </w:rPr>
            </w:pPr>
            <w:r>
              <w:rPr>
                <w:rFonts w:ascii="Arial" w:cs="Arial" w:eastAsia="Arial" w:hAnsi="Arial"/>
                <w:sz w:val="12"/>
                <w:szCs w:val="12"/>
                <w:b w:val="1"/>
                <w:bCs w:val="1"/>
                <w:color w:val="auto"/>
                <w:w w:val="90"/>
              </w:rPr>
              <w:t>Future</w:t>
            </w:r>
          </w:p>
        </w:tc>
      </w:tr>
      <w:tr>
        <w:trPr>
          <w:trHeight w:val="119"/>
        </w:trPr>
        <w:tc>
          <w:tcPr>
            <w:tcW w:w="27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jc w:val="center"/>
              <w:ind w:right="251"/>
              <w:spacing w:after="0" w:line="120" w:lineRule="exact"/>
              <w:rPr>
                <w:sz w:val="20"/>
                <w:szCs w:val="20"/>
                <w:color w:val="auto"/>
              </w:rPr>
            </w:pPr>
            <w:r>
              <w:rPr>
                <w:rFonts w:ascii="Arial" w:cs="Arial" w:eastAsia="Arial" w:hAnsi="Arial"/>
                <w:sz w:val="12"/>
                <w:szCs w:val="12"/>
                <w:b w:val="1"/>
                <w:bCs w:val="1"/>
                <w:color w:val="auto"/>
                <w:w w:val="89"/>
              </w:rPr>
              <w:t>Amortization</w:t>
            </w:r>
          </w:p>
        </w:tc>
      </w:tr>
      <w:tr>
        <w:trPr>
          <w:trHeight w:val="138"/>
        </w:trPr>
        <w:tc>
          <w:tcPr>
            <w:tcW w:w="8380" w:type="dxa"/>
            <w:vAlign w:val="bottom"/>
            <w:tcBorders>
              <w:bottom w:val="single" w:sz="8" w:color="auto"/>
            </w:tcBorders>
            <w:gridSpan w:val="3"/>
          </w:tcPr>
          <w:p>
            <w:pPr>
              <w:spacing w:after="0" w:line="137" w:lineRule="exact"/>
              <w:rPr>
                <w:sz w:val="20"/>
                <w:szCs w:val="20"/>
                <w:color w:val="auto"/>
              </w:rPr>
            </w:pPr>
            <w:r>
              <w:rPr>
                <w:rFonts w:ascii="Arial" w:cs="Arial" w:eastAsia="Arial" w:hAnsi="Arial"/>
                <w:sz w:val="12"/>
                <w:szCs w:val="12"/>
                <w:i w:val="1"/>
                <w:iCs w:val="1"/>
                <w:color w:val="auto"/>
              </w:rPr>
              <w:t>(Dollars in thousands)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251"/>
              <w:spacing w:after="0" w:line="137" w:lineRule="exact"/>
              <w:rPr>
                <w:sz w:val="20"/>
                <w:szCs w:val="20"/>
                <w:color w:val="auto"/>
              </w:rPr>
            </w:pPr>
            <w:r>
              <w:rPr>
                <w:rFonts w:ascii="Arial" w:cs="Arial" w:eastAsia="Arial" w:hAnsi="Arial"/>
                <w:sz w:val="12"/>
                <w:szCs w:val="12"/>
                <w:b w:val="1"/>
                <w:bCs w:val="1"/>
                <w:color w:val="auto"/>
                <w:w w:val="84"/>
              </w:rPr>
              <w:t>Expense</w:t>
            </w:r>
          </w:p>
        </w:tc>
      </w:tr>
      <w:tr>
        <w:trPr>
          <w:trHeight w:val="152"/>
        </w:trPr>
        <w:tc>
          <w:tcPr>
            <w:tcW w:w="278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2022</w:t>
            </w:r>
          </w:p>
        </w:tc>
        <w:tc>
          <w:tcPr>
            <w:tcW w:w="5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68"/>
              <w:spacing w:after="0" w:line="152"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824</w:t>
            </w:r>
          </w:p>
        </w:tc>
      </w:tr>
      <w:tr>
        <w:trPr>
          <w:trHeight w:val="152"/>
        </w:trPr>
        <w:tc>
          <w:tcPr>
            <w:tcW w:w="2780" w:type="dxa"/>
            <w:vAlign w:val="bottom"/>
          </w:tcPr>
          <w:p>
            <w:pPr>
              <w:spacing w:after="0" w:line="152" w:lineRule="exact"/>
              <w:rPr>
                <w:sz w:val="20"/>
                <w:szCs w:val="20"/>
                <w:color w:val="auto"/>
              </w:rPr>
            </w:pPr>
            <w:r>
              <w:rPr>
                <w:rFonts w:ascii="Arial" w:cs="Arial" w:eastAsia="Arial" w:hAnsi="Arial"/>
                <w:sz w:val="14"/>
                <w:szCs w:val="14"/>
                <w:color w:val="auto"/>
              </w:rPr>
              <w:t>2023</w:t>
            </w:r>
          </w:p>
        </w:tc>
        <w:tc>
          <w:tcPr>
            <w:tcW w:w="5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405</w:t>
            </w:r>
          </w:p>
        </w:tc>
      </w:tr>
      <w:tr>
        <w:trPr>
          <w:trHeight w:val="152"/>
        </w:trPr>
        <w:tc>
          <w:tcPr>
            <w:tcW w:w="278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2024</w:t>
            </w:r>
          </w:p>
        </w:tc>
        <w:tc>
          <w:tcPr>
            <w:tcW w:w="5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225</w:t>
            </w:r>
          </w:p>
        </w:tc>
      </w:tr>
      <w:tr>
        <w:trPr>
          <w:trHeight w:val="152"/>
        </w:trPr>
        <w:tc>
          <w:tcPr>
            <w:tcW w:w="2780" w:type="dxa"/>
            <w:vAlign w:val="bottom"/>
          </w:tcPr>
          <w:p>
            <w:pPr>
              <w:spacing w:after="0" w:line="152" w:lineRule="exact"/>
              <w:rPr>
                <w:sz w:val="20"/>
                <w:szCs w:val="20"/>
                <w:color w:val="auto"/>
              </w:rPr>
            </w:pPr>
            <w:r>
              <w:rPr>
                <w:rFonts w:ascii="Arial" w:cs="Arial" w:eastAsia="Arial" w:hAnsi="Arial"/>
                <w:sz w:val="14"/>
                <w:szCs w:val="14"/>
                <w:color w:val="auto"/>
              </w:rPr>
              <w:t>2025</w:t>
            </w:r>
          </w:p>
        </w:tc>
        <w:tc>
          <w:tcPr>
            <w:tcW w:w="5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140</w:t>
            </w:r>
          </w:p>
        </w:tc>
      </w:tr>
      <w:tr>
        <w:trPr>
          <w:trHeight w:val="152"/>
        </w:trPr>
        <w:tc>
          <w:tcPr>
            <w:tcW w:w="278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2026</w:t>
            </w:r>
          </w:p>
        </w:tc>
        <w:tc>
          <w:tcPr>
            <w:tcW w:w="5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127</w:t>
            </w:r>
          </w:p>
        </w:tc>
      </w:tr>
      <w:tr>
        <w:trPr>
          <w:trHeight w:val="152"/>
        </w:trPr>
        <w:tc>
          <w:tcPr>
            <w:tcW w:w="8380" w:type="dxa"/>
            <w:vAlign w:val="bottom"/>
            <w:tcBorders>
              <w:bottom w:val="single" w:sz="8" w:color="CCEEFF"/>
            </w:tcBorders>
            <w:gridSpan w:val="3"/>
          </w:tcPr>
          <w:p>
            <w:pPr>
              <w:spacing w:after="0" w:line="152" w:lineRule="exact"/>
              <w:rPr>
                <w:sz w:val="20"/>
                <w:szCs w:val="20"/>
                <w:color w:val="auto"/>
              </w:rPr>
            </w:pPr>
            <w:r>
              <w:rPr>
                <w:rFonts w:ascii="Arial" w:cs="Arial" w:eastAsia="Arial" w:hAnsi="Arial"/>
                <w:sz w:val="14"/>
                <w:szCs w:val="14"/>
                <w:color w:val="auto"/>
              </w:rPr>
              <w:t>Thereafter</w:t>
            </w:r>
          </w:p>
        </w:tc>
        <w:tc>
          <w:tcPr>
            <w:tcW w:w="32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780</w:t>
            </w:r>
          </w:p>
        </w:tc>
      </w:tr>
      <w:tr>
        <w:trPr>
          <w:trHeight w:val="163"/>
        </w:trPr>
        <w:tc>
          <w:tcPr>
            <w:tcW w:w="8380" w:type="dxa"/>
            <w:vAlign w:val="bottom"/>
            <w:tcBorders>
              <w:bottom w:val="single" w:sz="8" w:color="CCEEFF"/>
            </w:tcBorders>
            <w:gridSpan w:val="3"/>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Total future amortization expense</w:t>
            </w: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8"/>
              <w:spacing w:after="0" w:line="14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2,501</w:t>
            </w:r>
          </w:p>
        </w:tc>
      </w:tr>
      <w:tr>
        <w:trPr>
          <w:trHeight w:val="264"/>
        </w:trPr>
        <w:tc>
          <w:tcPr>
            <w:tcW w:w="8380" w:type="dxa"/>
            <w:vAlign w:val="bottom"/>
            <w:gridSpan w:val="3"/>
          </w:tcPr>
          <w:p>
            <w:pPr>
              <w:spacing w:after="0"/>
              <w:rPr>
                <w:sz w:val="20"/>
                <w:szCs w:val="20"/>
                <w:color w:val="auto"/>
              </w:rPr>
            </w:pPr>
            <w:r>
              <w:rPr>
                <w:rFonts w:ascii="Arial" w:cs="Arial" w:eastAsia="Arial" w:hAnsi="Arial"/>
                <w:sz w:val="14"/>
                <w:szCs w:val="14"/>
                <w:b w:val="1"/>
                <w:bCs w:val="1"/>
                <w:color w:val="auto"/>
              </w:rPr>
              <w:t>NOTE 9 – PREPAID AND OTHER ASSETS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
        </w:trPr>
        <w:tc>
          <w:tcPr>
            <w:tcW w:w="2780" w:type="dxa"/>
            <w:vAlign w:val="bottom"/>
            <w:shd w:val="clear" w:color="auto" w:fill="000000"/>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15"/>
        </w:trPr>
        <w:tc>
          <w:tcPr>
            <w:tcW w:w="8380" w:type="dxa"/>
            <w:vAlign w:val="bottom"/>
            <w:gridSpan w:val="3"/>
          </w:tcPr>
          <w:p>
            <w:pPr>
              <w:spacing w:after="0"/>
              <w:rPr>
                <w:sz w:val="20"/>
                <w:szCs w:val="20"/>
                <w:color w:val="auto"/>
              </w:rPr>
            </w:pPr>
            <w:r>
              <w:rPr>
                <w:rFonts w:ascii="Arial" w:cs="Arial" w:eastAsia="Arial" w:hAnsi="Arial"/>
                <w:sz w:val="14"/>
                <w:szCs w:val="14"/>
                <w:color w:val="auto"/>
              </w:rPr>
              <w:t>Prepaid and other assets are summarized as follows: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9"/>
        </w:trPr>
        <w:tc>
          <w:tcPr>
            <w:tcW w:w="2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143"/>
        </w:trPr>
        <w:tc>
          <w:tcPr>
            <w:tcW w:w="8380" w:type="dxa"/>
            <w:vAlign w:val="bottom"/>
            <w:gridSpan w:val="3"/>
          </w:tcPr>
          <w:p>
            <w:pPr>
              <w:spacing w:after="0"/>
              <w:rPr>
                <w:sz w:val="20"/>
                <w:szCs w:val="20"/>
                <w:color w:val="auto"/>
              </w:rPr>
            </w:pPr>
            <w:r>
              <w:rPr>
                <w:rFonts w:ascii="Arial" w:cs="Arial" w:eastAsia="Arial" w:hAnsi="Arial"/>
                <w:sz w:val="12"/>
                <w:szCs w:val="12"/>
                <w:i w:val="1"/>
                <w:iCs w:val="1"/>
                <w:color w:val="auto"/>
              </w:rPr>
              <w:t>(Dollars in thousands)</w:t>
            </w:r>
          </w:p>
        </w:tc>
        <w:tc>
          <w:tcPr>
            <w:tcW w:w="320" w:type="dxa"/>
            <w:vAlign w:val="bottom"/>
          </w:tcPr>
          <w:p>
            <w:pPr>
              <w:spacing w:after="0"/>
              <w:rPr>
                <w:sz w:val="12"/>
                <w:szCs w:val="12"/>
                <w:color w:val="auto"/>
              </w:rPr>
            </w:pPr>
          </w:p>
        </w:tc>
        <w:tc>
          <w:tcPr>
            <w:tcW w:w="1040" w:type="dxa"/>
            <w:vAlign w:val="bottom"/>
          </w:tcPr>
          <w:p>
            <w:pPr>
              <w:jc w:val="right"/>
              <w:ind w:right="490"/>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ind w:right="251"/>
              <w:spacing w:after="0"/>
              <w:rPr>
                <w:sz w:val="20"/>
                <w:szCs w:val="20"/>
                <w:color w:val="auto"/>
              </w:rPr>
            </w:pPr>
            <w:r>
              <w:rPr>
                <w:rFonts w:ascii="Arial" w:cs="Arial" w:eastAsia="Arial" w:hAnsi="Arial"/>
                <w:sz w:val="12"/>
                <w:szCs w:val="12"/>
                <w:b w:val="1"/>
                <w:bCs w:val="1"/>
                <w:color w:val="auto"/>
                <w:w w:val="82"/>
              </w:rPr>
              <w:t>2020</w:t>
            </w:r>
          </w:p>
        </w:tc>
      </w:tr>
      <w:tr>
        <w:trPr>
          <w:trHeight w:val="173"/>
        </w:trPr>
        <w:tc>
          <w:tcPr>
            <w:tcW w:w="82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Prepaid and other current assets</w:t>
            </w:r>
          </w:p>
        </w:tc>
        <w:tc>
          <w:tcPr>
            <w:tcW w:w="1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184"/>
        </w:trPr>
        <w:tc>
          <w:tcPr>
            <w:tcW w:w="83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Prepaid expenses</w:t>
            </w:r>
          </w:p>
        </w:tc>
        <w:tc>
          <w:tcPr>
            <w:tcW w:w="320" w:type="dxa"/>
            <w:vAlign w:val="bottom"/>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w:t>
            </w:r>
          </w:p>
        </w:tc>
      </w:tr>
      <w:tr>
        <w:trPr>
          <w:trHeight w:val="184"/>
        </w:trPr>
        <w:tc>
          <w:tcPr>
            <w:tcW w:w="8380" w:type="dxa"/>
            <w:vAlign w:val="bottom"/>
            <w:gridSpan w:val="3"/>
          </w:tcPr>
          <w:p>
            <w:pPr>
              <w:ind w:left="80"/>
              <w:spacing w:after="0"/>
              <w:rPr>
                <w:sz w:val="20"/>
                <w:szCs w:val="20"/>
                <w:color w:val="auto"/>
              </w:rPr>
            </w:pPr>
            <w:r>
              <w:rPr>
                <w:rFonts w:ascii="Arial" w:cs="Arial" w:eastAsia="Arial" w:hAnsi="Arial"/>
                <w:sz w:val="14"/>
                <w:szCs w:val="14"/>
                <w:color w:val="auto"/>
              </w:rPr>
              <w:t>Prepaid taxes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1,929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455</w:t>
            </w:r>
          </w:p>
        </w:tc>
      </w:tr>
      <w:tr>
        <w:trPr>
          <w:trHeight w:val="184"/>
        </w:trPr>
        <w:tc>
          <w:tcPr>
            <w:tcW w:w="83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Income taxes receivable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5,572</w:t>
            </w:r>
          </w:p>
        </w:tc>
      </w:tr>
      <w:tr>
        <w:trPr>
          <w:trHeight w:val="184"/>
        </w:trPr>
        <w:tc>
          <w:tcPr>
            <w:tcW w:w="8380" w:type="dxa"/>
            <w:vAlign w:val="bottom"/>
            <w:gridSpan w:val="3"/>
          </w:tcPr>
          <w:p>
            <w:pPr>
              <w:ind w:left="80"/>
              <w:spacing w:after="0"/>
              <w:rPr>
                <w:sz w:val="20"/>
                <w:szCs w:val="20"/>
                <w:color w:val="auto"/>
              </w:rPr>
            </w:pPr>
            <w:r>
              <w:rPr>
                <w:rFonts w:ascii="Arial" w:cs="Arial" w:eastAsia="Arial" w:hAnsi="Arial"/>
                <w:sz w:val="14"/>
                <w:szCs w:val="14"/>
                <w:color w:val="auto"/>
              </w:rPr>
              <w:t>Prepaid rent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1,438</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184"/>
        </w:trPr>
        <w:tc>
          <w:tcPr>
            <w:tcW w:w="83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Deposits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r>
      <w:tr>
        <w:trPr>
          <w:trHeight w:val="184"/>
        </w:trPr>
        <w:tc>
          <w:tcPr>
            <w:tcW w:w="8380" w:type="dxa"/>
            <w:vAlign w:val="bottom"/>
            <w:tcBorders>
              <w:bottom w:val="single" w:sz="8" w:color="CCEEFF"/>
            </w:tcBorders>
            <w:gridSpan w:val="3"/>
          </w:tcPr>
          <w:p>
            <w:pPr>
              <w:ind w:left="80"/>
              <w:spacing w:after="0"/>
              <w:rPr>
                <w:sz w:val="20"/>
                <w:szCs w:val="20"/>
                <w:color w:val="auto"/>
              </w:rPr>
            </w:pPr>
            <w:r>
              <w:rPr>
                <w:rFonts w:ascii="Arial" w:cs="Arial" w:eastAsia="Arial" w:hAnsi="Arial"/>
                <w:sz w:val="14"/>
                <w:szCs w:val="14"/>
                <w:color w:val="auto"/>
              </w:rPr>
              <w:t>Investments in marketable securities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173"/>
        </w:trPr>
        <w:tc>
          <w:tcPr>
            <w:tcW w:w="8380" w:type="dxa"/>
            <w:vAlign w:val="bottom"/>
            <w:tcBorders>
              <w:bottom w:val="single" w:sz="8" w:color="CCEEFF"/>
            </w:tcBorders>
            <w:gridSpan w:val="3"/>
            <w:shd w:val="clear" w:color="auto" w:fill="CCEEFF"/>
          </w:tcPr>
          <w:p>
            <w:pPr>
              <w:ind w:left="180"/>
              <w:spacing w:after="0" w:line="153" w:lineRule="exact"/>
              <w:rPr>
                <w:sz w:val="20"/>
                <w:szCs w:val="20"/>
                <w:color w:val="auto"/>
              </w:rPr>
            </w:pPr>
            <w:r>
              <w:rPr>
                <w:rFonts w:ascii="Arial" w:cs="Arial" w:eastAsia="Arial" w:hAnsi="Arial"/>
                <w:sz w:val="14"/>
                <w:szCs w:val="14"/>
                <w:b w:val="1"/>
                <w:bCs w:val="1"/>
                <w:color w:val="auto"/>
              </w:rPr>
              <w:t>Total prepaid and other current assets</w:t>
            </w: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4,871</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8"/>
              <w:spacing w:after="0" w:line="15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8,406</w:t>
            </w:r>
          </w:p>
        </w:tc>
      </w:tr>
      <w:tr>
        <w:trPr>
          <w:trHeight w:val="155"/>
        </w:trPr>
        <w:tc>
          <w:tcPr>
            <w:tcW w:w="83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Other non-current assets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4"/>
        </w:trPr>
        <w:tc>
          <w:tcPr>
            <w:tcW w:w="83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Other non-cinema and non-rental real estate assets</w:t>
            </w:r>
          </w:p>
        </w:tc>
        <w:tc>
          <w:tcPr>
            <w:tcW w:w="320" w:type="dxa"/>
            <w:vAlign w:val="bottom"/>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w:t>
            </w:r>
          </w:p>
        </w:tc>
      </w:tr>
      <w:tr>
        <w:trPr>
          <w:trHeight w:val="184"/>
        </w:trPr>
        <w:tc>
          <w:tcPr>
            <w:tcW w:w="8380" w:type="dxa"/>
            <w:vAlign w:val="bottom"/>
            <w:gridSpan w:val="3"/>
          </w:tcPr>
          <w:p>
            <w:pPr>
              <w:ind w:left="80"/>
              <w:spacing w:after="0"/>
              <w:rPr>
                <w:sz w:val="20"/>
                <w:szCs w:val="20"/>
                <w:color w:val="auto"/>
              </w:rPr>
            </w:pPr>
            <w:r>
              <w:rPr>
                <w:rFonts w:ascii="Arial" w:cs="Arial" w:eastAsia="Arial" w:hAnsi="Arial"/>
                <w:sz w:val="14"/>
                <w:szCs w:val="14"/>
                <w:color w:val="auto"/>
              </w:rPr>
              <w:t>Investment in Reading International Trust I</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838</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838</w:t>
            </w:r>
          </w:p>
        </w:tc>
      </w:tr>
      <w:tr>
        <w:trPr>
          <w:trHeight w:val="184"/>
        </w:trPr>
        <w:tc>
          <w:tcPr>
            <w:tcW w:w="83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Straight-line rent asset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4,477</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6,050</w:t>
            </w:r>
          </w:p>
        </w:tc>
      </w:tr>
      <w:tr>
        <w:trPr>
          <w:trHeight w:val="184"/>
        </w:trPr>
        <w:tc>
          <w:tcPr>
            <w:tcW w:w="8380" w:type="dxa"/>
            <w:vAlign w:val="bottom"/>
            <w:tcBorders>
              <w:bottom w:val="single" w:sz="8" w:color="CCEEFF"/>
            </w:tcBorders>
            <w:gridSpan w:val="3"/>
          </w:tcPr>
          <w:p>
            <w:pPr>
              <w:ind w:left="80"/>
              <w:spacing w:after="0"/>
              <w:rPr>
                <w:sz w:val="20"/>
                <w:szCs w:val="20"/>
                <w:color w:val="auto"/>
              </w:rPr>
            </w:pPr>
            <w:r>
              <w:rPr>
                <w:rFonts w:ascii="Arial" w:cs="Arial" w:eastAsia="Arial" w:hAnsi="Arial"/>
                <w:sz w:val="14"/>
                <w:szCs w:val="14"/>
                <w:color w:val="auto"/>
              </w:rPr>
              <w:t>Long-term deposits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155"/>
        </w:trPr>
        <w:tc>
          <w:tcPr>
            <w:tcW w:w="8380" w:type="dxa"/>
            <w:vAlign w:val="bottom"/>
            <w:tcBorders>
              <w:bottom w:val="single" w:sz="8" w:color="CCEEFF"/>
            </w:tcBorders>
            <w:gridSpan w:val="3"/>
            <w:shd w:val="clear" w:color="auto" w:fill="CCEEFF"/>
          </w:tcPr>
          <w:p>
            <w:pPr>
              <w:ind w:left="180"/>
              <w:spacing w:after="0" w:line="153" w:lineRule="exact"/>
              <w:rPr>
                <w:sz w:val="20"/>
                <w:szCs w:val="20"/>
                <w:color w:val="auto"/>
              </w:rPr>
            </w:pPr>
            <w:r>
              <w:rPr>
                <w:rFonts w:ascii="Arial" w:cs="Arial" w:eastAsia="Arial" w:hAnsi="Arial"/>
                <w:sz w:val="14"/>
                <w:szCs w:val="14"/>
                <w:b w:val="1"/>
                <w:bCs w:val="1"/>
                <w:color w:val="auto"/>
              </w:rPr>
              <w:t>Total non-current assets</w:t>
            </w: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6,461</w:t>
            </w:r>
          </w:p>
        </w:tc>
        <w:tc>
          <w:tcPr>
            <w:tcW w:w="1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68"/>
              <w:spacing w:after="0" w:line="15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8,030</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10 - INCOME TAXES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500"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color w:val="auto"/>
        </w:rPr>
        <w:t>Income before income taxes includes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2021</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2019</w:t>
            </w:r>
          </w:p>
        </w:tc>
      </w:tr>
      <w:tr>
        <w:trPr>
          <w:trHeight w:val="152"/>
        </w:trPr>
        <w:tc>
          <w:tcPr>
            <w:tcW w:w="666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United States</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68"/>
              <w:spacing w:after="0" w:line="152"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(35,835)</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(56,709)</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234"/>
              <w:spacing w:after="0"/>
              <w:rPr>
                <w:sz w:val="20"/>
                <w:szCs w:val="20"/>
                <w:color w:val="auto"/>
              </w:rPr>
            </w:pPr>
            <w:r>
              <w:rPr>
                <w:rFonts w:ascii="Arial" w:cs="Arial" w:eastAsia="Arial" w:hAnsi="Arial"/>
                <w:sz w:val="5"/>
                <w:szCs w:val="5"/>
                <w:color w:val="auto"/>
                <w:w w:val="70"/>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(11,539)</w:t>
            </w:r>
          </w:p>
        </w:tc>
      </w:tr>
      <w:tr>
        <w:trPr>
          <w:trHeight w:val="153"/>
        </w:trPr>
        <w:tc>
          <w:tcPr>
            <w:tcW w:w="6660" w:type="dxa"/>
            <w:vAlign w:val="bottom"/>
            <w:tcBorders>
              <w:bottom w:val="single" w:sz="8" w:color="CCEEFF"/>
            </w:tcBorders>
          </w:tcPr>
          <w:p>
            <w:pPr>
              <w:spacing w:after="0" w:line="152" w:lineRule="exact"/>
              <w:rPr>
                <w:sz w:val="20"/>
                <w:szCs w:val="20"/>
                <w:color w:val="auto"/>
              </w:rPr>
            </w:pPr>
            <w:r>
              <w:rPr>
                <w:rFonts w:ascii="Arial" w:cs="Arial" w:eastAsia="Arial" w:hAnsi="Arial"/>
                <w:sz w:val="14"/>
                <w:szCs w:val="14"/>
                <w:color w:val="auto"/>
              </w:rPr>
              <w:t>Foreign</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76,335</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(13,666)</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13,081</w:t>
            </w:r>
          </w:p>
        </w:tc>
      </w:tr>
      <w:tr>
        <w:trPr>
          <w:trHeight w:val="152"/>
        </w:trPr>
        <w:tc>
          <w:tcPr>
            <w:tcW w:w="6660" w:type="dxa"/>
            <w:vAlign w:val="bottom"/>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Income (loss) before income taxes and equity earnings of unconsolidated joint ventures</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68"/>
              <w:spacing w:after="0" w:line="152"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40,500</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(70,375)</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234"/>
              <w:spacing w:after="0"/>
              <w:rPr>
                <w:sz w:val="20"/>
                <w:szCs w:val="20"/>
                <w:color w:val="auto"/>
              </w:rPr>
            </w:pPr>
            <w:r>
              <w:rPr>
                <w:rFonts w:ascii="Arial" w:cs="Arial" w:eastAsia="Arial" w:hAnsi="Arial"/>
                <w:sz w:val="5"/>
                <w:szCs w:val="5"/>
                <w:color w:val="auto"/>
                <w:w w:val="70"/>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1,542</w:t>
            </w:r>
          </w:p>
        </w:tc>
      </w:tr>
      <w:tr>
        <w:trPr>
          <w:trHeight w:val="152"/>
        </w:trPr>
        <w:tc>
          <w:tcPr>
            <w:tcW w:w="6660" w:type="dxa"/>
            <w:vAlign w:val="bottom"/>
          </w:tcPr>
          <w:p>
            <w:pPr>
              <w:spacing w:after="0" w:line="152" w:lineRule="exact"/>
              <w:rPr>
                <w:sz w:val="20"/>
                <w:szCs w:val="20"/>
                <w:color w:val="auto"/>
              </w:rPr>
            </w:pPr>
            <w:r>
              <w:rPr>
                <w:rFonts w:ascii="Arial" w:cs="Arial" w:eastAsia="Arial" w:hAnsi="Arial"/>
                <w:sz w:val="14"/>
                <w:szCs w:val="14"/>
                <w:i w:val="1"/>
                <w:iCs w:val="1"/>
                <w:color w:val="auto"/>
              </w:rPr>
              <w:t>Equity earnings of unconsolidated joint ventures</w:t>
            </w: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2"/>
        </w:trPr>
        <w:tc>
          <w:tcPr>
            <w:tcW w:w="6660" w:type="dxa"/>
            <w:vAlign w:val="bottom"/>
            <w:shd w:val="clear" w:color="auto" w:fill="CCEEFF"/>
          </w:tcPr>
          <w:p>
            <w:pPr>
              <w:ind w:left="80"/>
              <w:spacing w:after="0" w:line="152" w:lineRule="exact"/>
              <w:rPr>
                <w:sz w:val="20"/>
                <w:szCs w:val="20"/>
                <w:color w:val="auto"/>
              </w:rPr>
            </w:pPr>
            <w:r>
              <w:rPr>
                <w:rFonts w:ascii="Arial" w:cs="Arial" w:eastAsia="Arial" w:hAnsi="Arial"/>
                <w:sz w:val="14"/>
                <w:szCs w:val="14"/>
                <w:color w:val="auto"/>
              </w:rPr>
              <w:t>United States</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r>
      <w:tr>
        <w:trPr>
          <w:trHeight w:val="152"/>
        </w:trPr>
        <w:tc>
          <w:tcPr>
            <w:tcW w:w="6660" w:type="dxa"/>
            <w:vAlign w:val="bottom"/>
            <w:tcBorders>
              <w:bottom w:val="single" w:sz="8" w:color="CCEEFF"/>
            </w:tcBorders>
          </w:tcPr>
          <w:p>
            <w:pPr>
              <w:ind w:left="80"/>
              <w:spacing w:after="0" w:line="152" w:lineRule="exact"/>
              <w:rPr>
                <w:sz w:val="20"/>
                <w:szCs w:val="20"/>
                <w:color w:val="auto"/>
              </w:rPr>
            </w:pPr>
            <w:r>
              <w:rPr>
                <w:rFonts w:ascii="Arial" w:cs="Arial" w:eastAsia="Arial" w:hAnsi="Arial"/>
                <w:sz w:val="14"/>
                <w:szCs w:val="14"/>
                <w:color w:val="auto"/>
              </w:rPr>
              <w:t>Foreign</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258</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(449)</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792</w:t>
            </w:r>
          </w:p>
        </w:tc>
      </w:tr>
      <w:tr>
        <w:trPr>
          <w:trHeight w:val="163"/>
        </w:trPr>
        <w:tc>
          <w:tcPr>
            <w:tcW w:w="666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Income (loss) before income taxes</w:t>
            </w: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8"/>
              <w:spacing w:after="0" w:line="14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40,758</w:t>
            </w: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(70,824)</w:t>
            </w:r>
          </w:p>
        </w:tc>
        <w:tc>
          <w:tcPr>
            <w:tcW w:w="1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5"/>
                <w:szCs w:val="5"/>
                <w:b w:val="1"/>
                <w:bCs w:val="1"/>
                <w:color w:val="auto"/>
                <w:w w:val="70"/>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2,334</w:t>
            </w:r>
          </w:p>
        </w:tc>
      </w:tr>
      <w:tr>
        <w:trPr>
          <w:trHeight w:val="295"/>
        </w:trPr>
        <w:tc>
          <w:tcPr>
            <w:tcW w:w="6660" w:type="dxa"/>
            <w:vAlign w:val="bottom"/>
          </w:tcPr>
          <w:p>
            <w:pPr>
              <w:spacing w:after="0"/>
              <w:rPr>
                <w:sz w:val="20"/>
                <w:szCs w:val="20"/>
                <w:color w:val="auto"/>
              </w:rPr>
            </w:pPr>
            <w:r>
              <w:rPr>
                <w:rFonts w:ascii="Arial" w:cs="Arial" w:eastAsia="Arial" w:hAnsi="Arial"/>
                <w:sz w:val="14"/>
                <w:szCs w:val="14"/>
                <w:color w:val="auto"/>
              </w:rPr>
              <w:t>Significant components of the provision for income taxes are as follows:</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7"/>
        </w:trPr>
        <w:tc>
          <w:tcPr>
            <w:tcW w:w="66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2019</w:t>
            </w:r>
          </w:p>
        </w:tc>
      </w:tr>
      <w:tr>
        <w:trPr>
          <w:trHeight w:val="152"/>
        </w:trPr>
        <w:tc>
          <w:tcPr>
            <w:tcW w:w="6660" w:type="dxa"/>
            <w:vAlign w:val="bottom"/>
          </w:tcPr>
          <w:p>
            <w:pPr>
              <w:spacing w:after="0" w:line="152" w:lineRule="exact"/>
              <w:rPr>
                <w:sz w:val="20"/>
                <w:szCs w:val="20"/>
                <w:color w:val="auto"/>
              </w:rPr>
            </w:pPr>
            <w:r>
              <w:rPr>
                <w:rFonts w:ascii="Arial" w:cs="Arial" w:eastAsia="Arial" w:hAnsi="Arial"/>
                <w:sz w:val="14"/>
                <w:szCs w:val="14"/>
                <w:b w:val="1"/>
                <w:bCs w:val="1"/>
                <w:color w:val="auto"/>
              </w:rPr>
              <w:t>Current income tax expense (benefit)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2"/>
        </w:trPr>
        <w:tc>
          <w:tcPr>
            <w:tcW w:w="6660" w:type="dxa"/>
            <w:vAlign w:val="bottom"/>
            <w:shd w:val="clear" w:color="auto" w:fill="CCEEFF"/>
          </w:tcPr>
          <w:p>
            <w:pPr>
              <w:ind w:left="80"/>
              <w:spacing w:after="0" w:line="152" w:lineRule="exact"/>
              <w:rPr>
                <w:sz w:val="20"/>
                <w:szCs w:val="20"/>
                <w:color w:val="auto"/>
              </w:rPr>
            </w:pPr>
            <w:r>
              <w:rPr>
                <w:rFonts w:ascii="Arial" w:cs="Arial" w:eastAsia="Arial" w:hAnsi="Arial"/>
                <w:sz w:val="14"/>
                <w:szCs w:val="14"/>
                <w:color w:val="auto"/>
              </w:rPr>
              <w:t>Federal</w:t>
            </w:r>
          </w:p>
        </w:tc>
        <w:tc>
          <w:tcPr>
            <w:tcW w:w="480" w:type="dxa"/>
            <w:vAlign w:val="bottom"/>
            <w:gridSpan w:val="2"/>
            <w:shd w:val="clear" w:color="auto" w:fill="CCEEFF"/>
          </w:tcPr>
          <w:p>
            <w:pPr>
              <w:jc w:val="right"/>
              <w:ind w:right="168"/>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(5,727)</w:t>
            </w:r>
          </w:p>
        </w:tc>
        <w:tc>
          <w:tcPr>
            <w:tcW w:w="480" w:type="dxa"/>
            <w:vAlign w:val="bottom"/>
            <w:gridSpan w:val="2"/>
            <w:shd w:val="clear" w:color="auto" w:fill="CCEEFF"/>
          </w:tcPr>
          <w:p>
            <w:pPr>
              <w:jc w:val="right"/>
              <w:ind w:right="208"/>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349</w:t>
            </w:r>
          </w:p>
        </w:tc>
        <w:tc>
          <w:tcPr>
            <w:tcW w:w="480" w:type="dxa"/>
            <w:vAlign w:val="bottom"/>
            <w:gridSpan w:val="3"/>
            <w:shd w:val="clear" w:color="auto" w:fill="CCEEFF"/>
          </w:tcPr>
          <w:p>
            <w:pPr>
              <w:jc w:val="right"/>
              <w:ind w:right="234"/>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239</w:t>
            </w:r>
          </w:p>
        </w:tc>
      </w:tr>
      <w:tr>
        <w:trPr>
          <w:trHeight w:val="152"/>
        </w:trPr>
        <w:tc>
          <w:tcPr>
            <w:tcW w:w="6660" w:type="dxa"/>
            <w:vAlign w:val="bottom"/>
          </w:tcPr>
          <w:p>
            <w:pPr>
              <w:ind w:left="80"/>
              <w:spacing w:after="0" w:line="152" w:lineRule="exact"/>
              <w:rPr>
                <w:sz w:val="20"/>
                <w:szCs w:val="20"/>
                <w:color w:val="auto"/>
              </w:rPr>
            </w:pPr>
            <w:r>
              <w:rPr>
                <w:rFonts w:ascii="Arial" w:cs="Arial" w:eastAsia="Arial" w:hAnsi="Arial"/>
                <w:sz w:val="14"/>
                <w:szCs w:val="14"/>
                <w:color w:val="auto"/>
              </w:rPr>
              <w:t>State</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(6,426)</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424</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391</w:t>
            </w:r>
          </w:p>
        </w:tc>
      </w:tr>
      <w:tr>
        <w:trPr>
          <w:trHeight w:val="152"/>
        </w:trPr>
        <w:tc>
          <w:tcPr>
            <w:tcW w:w="6660" w:type="dxa"/>
            <w:vAlign w:val="bottom"/>
            <w:shd w:val="clear" w:color="auto" w:fill="CCEEFF"/>
          </w:tcPr>
          <w:p>
            <w:pPr>
              <w:ind w:left="80"/>
              <w:spacing w:after="0" w:line="152" w:lineRule="exact"/>
              <w:rPr>
                <w:sz w:val="20"/>
                <w:szCs w:val="20"/>
                <w:color w:val="auto"/>
              </w:rPr>
            </w:pPr>
            <w:r>
              <w:rPr>
                <w:rFonts w:ascii="Arial" w:cs="Arial" w:eastAsia="Arial" w:hAnsi="Arial"/>
                <w:sz w:val="14"/>
                <w:szCs w:val="14"/>
                <w:color w:val="auto"/>
              </w:rPr>
              <w:t>Foreign</w:t>
            </w: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17,217</w:t>
            </w: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(2,233)</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5,648</w:t>
            </w:r>
          </w:p>
        </w:tc>
      </w:tr>
      <w:tr>
        <w:trPr>
          <w:trHeight w:val="143"/>
        </w:trPr>
        <w:tc>
          <w:tcPr>
            <w:tcW w:w="6660" w:type="dxa"/>
            <w:vAlign w:val="bottom"/>
            <w:tcBorders>
              <w:bottom w:val="single" w:sz="8" w:color="CCEEFF"/>
            </w:tcBorders>
          </w:tcPr>
          <w:p>
            <w:pPr>
              <w:ind w:left="180"/>
              <w:spacing w:after="0" w:line="143" w:lineRule="exact"/>
              <w:rPr>
                <w:sz w:val="20"/>
                <w:szCs w:val="20"/>
                <w:color w:val="auto"/>
              </w:rPr>
            </w:pPr>
            <w:r>
              <w:rPr>
                <w:rFonts w:ascii="Arial" w:cs="Arial" w:eastAsia="Arial" w:hAnsi="Arial"/>
                <w:sz w:val="14"/>
                <w:szCs w:val="14"/>
                <w:color w:val="auto"/>
              </w:rPr>
              <w:t>Total</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5,064</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(1,460)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6,278</w:t>
            </w:r>
          </w:p>
        </w:tc>
      </w:tr>
      <w:tr>
        <w:trPr>
          <w:trHeight w:val="143"/>
        </w:trPr>
        <w:tc>
          <w:tcPr>
            <w:tcW w:w="66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Deferred income tax expense (benefit)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52"/>
        </w:trPr>
        <w:tc>
          <w:tcPr>
            <w:tcW w:w="6660" w:type="dxa"/>
            <w:vAlign w:val="bottom"/>
          </w:tcPr>
          <w:p>
            <w:pPr>
              <w:ind w:left="80"/>
              <w:spacing w:after="0" w:line="152" w:lineRule="exact"/>
              <w:rPr>
                <w:sz w:val="20"/>
                <w:szCs w:val="20"/>
                <w:color w:val="auto"/>
              </w:rPr>
            </w:pPr>
            <w:r>
              <w:rPr>
                <w:rFonts w:ascii="Arial" w:cs="Arial" w:eastAsia="Arial" w:hAnsi="Arial"/>
                <w:sz w:val="14"/>
                <w:szCs w:val="14"/>
                <w:color w:val="auto"/>
              </w:rPr>
              <w:t>Federal</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(119)</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(3,263)</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17,277</w:t>
            </w:r>
          </w:p>
        </w:tc>
      </w:tr>
      <w:tr>
        <w:trPr>
          <w:trHeight w:val="152"/>
        </w:trPr>
        <w:tc>
          <w:tcPr>
            <w:tcW w:w="6660" w:type="dxa"/>
            <w:vAlign w:val="bottom"/>
            <w:shd w:val="clear" w:color="auto" w:fill="CCEEFF"/>
          </w:tcPr>
          <w:p>
            <w:pPr>
              <w:ind w:left="80"/>
              <w:spacing w:after="0" w:line="152" w:lineRule="exact"/>
              <w:rPr>
                <w:sz w:val="20"/>
                <w:szCs w:val="20"/>
                <w:color w:val="auto"/>
              </w:rPr>
            </w:pPr>
            <w:r>
              <w:rPr>
                <w:rFonts w:ascii="Arial" w:cs="Arial" w:eastAsia="Arial" w:hAnsi="Arial"/>
                <w:sz w:val="14"/>
                <w:szCs w:val="14"/>
                <w:color w:val="auto"/>
              </w:rPr>
              <w:t>State</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6,204</w:t>
            </w:r>
          </w:p>
        </w:tc>
      </w:tr>
      <w:tr>
        <w:trPr>
          <w:trHeight w:val="152"/>
        </w:trPr>
        <w:tc>
          <w:tcPr>
            <w:tcW w:w="6660" w:type="dxa"/>
            <w:vAlign w:val="bottom"/>
            <w:tcBorders>
              <w:bottom w:val="single" w:sz="8" w:color="CCEEFF"/>
            </w:tcBorders>
          </w:tcPr>
          <w:p>
            <w:pPr>
              <w:ind w:left="80"/>
              <w:spacing w:after="0" w:line="152" w:lineRule="exact"/>
              <w:rPr>
                <w:sz w:val="20"/>
                <w:szCs w:val="20"/>
                <w:color w:val="auto"/>
              </w:rPr>
            </w:pPr>
            <w:r>
              <w:rPr>
                <w:rFonts w:ascii="Arial" w:cs="Arial" w:eastAsia="Arial" w:hAnsi="Arial"/>
                <w:sz w:val="14"/>
                <w:szCs w:val="14"/>
                <w:color w:val="auto"/>
              </w:rPr>
              <w:t>Foreign</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1,031</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(239)</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(922)</w:t>
            </w:r>
          </w:p>
        </w:tc>
      </w:tr>
      <w:tr>
        <w:trPr>
          <w:trHeight w:val="143"/>
        </w:trPr>
        <w:tc>
          <w:tcPr>
            <w:tcW w:w="666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880</w:t>
            </w:r>
          </w:p>
        </w:tc>
        <w:tc>
          <w:tcPr>
            <w:tcW w:w="1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(3,507)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22,559</w:t>
            </w:r>
          </w:p>
        </w:tc>
      </w:tr>
      <w:tr>
        <w:trPr>
          <w:trHeight w:val="144"/>
        </w:trPr>
        <w:tc>
          <w:tcPr>
            <w:tcW w:w="6660" w:type="dxa"/>
            <w:vAlign w:val="bottom"/>
          </w:tcPr>
          <w:p>
            <w:pPr>
              <w:spacing w:after="0" w:line="143" w:lineRule="exact"/>
              <w:rPr>
                <w:sz w:val="20"/>
                <w:szCs w:val="20"/>
                <w:color w:val="auto"/>
              </w:rPr>
            </w:pPr>
            <w:r>
              <w:rPr>
                <w:rFonts w:ascii="Arial" w:cs="Arial" w:eastAsia="Arial" w:hAnsi="Arial"/>
                <w:sz w:val="14"/>
                <w:szCs w:val="14"/>
                <w:b w:val="1"/>
                <w:bCs w:val="1"/>
                <w:color w:val="auto"/>
              </w:rPr>
              <w:t>Total income tax expense (benefit)</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168"/>
              <w:spacing w:after="0" w:line="14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5,944</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(4,967)</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234"/>
              <w:spacing w:after="0"/>
              <w:rPr>
                <w:sz w:val="20"/>
                <w:szCs w:val="20"/>
                <w:color w:val="auto"/>
              </w:rPr>
            </w:pPr>
            <w:r>
              <w:rPr>
                <w:rFonts w:ascii="Arial" w:cs="Arial" w:eastAsia="Arial" w:hAnsi="Arial"/>
                <w:sz w:val="5"/>
                <w:szCs w:val="5"/>
                <w:b w:val="1"/>
                <w:bCs w:val="1"/>
                <w:color w:val="auto"/>
                <w:w w:val="70"/>
              </w:rPr>
              <w:t>$</w:t>
            </w: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28,837</w:t>
            </w:r>
          </w:p>
        </w:tc>
      </w:tr>
    </w:tbl>
    <w:p>
      <w:pPr>
        <w:spacing w:after="0" w:line="282"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Deferred income taxes reflect the “temporary differences” between the financial statement carrying amounts of assets and liabilities for financial reporting purposes and the amounts used for income tax purposes, adjusted by the relevant tax rate. The components of the deferred tax assets and liabilities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2"/>
                <w:szCs w:val="12"/>
                <w:b w:val="1"/>
                <w:bCs w:val="1"/>
                <w:color w:val="auto"/>
              </w:rPr>
              <w:t>December 31,</w:t>
            </w:r>
          </w:p>
        </w:tc>
        <w:tc>
          <w:tcPr>
            <w:tcW w:w="960" w:type="dxa"/>
            <w:vAlign w:val="bottom"/>
            <w:tcBorders>
              <w:bottom w:val="single" w:sz="8" w:color="auto"/>
            </w:tcBorders>
          </w:tcPr>
          <w:p>
            <w:pPr>
              <w:spacing w:after="0"/>
              <w:rPr>
                <w:sz w:val="12"/>
                <w:szCs w:val="12"/>
                <w:color w:val="auto"/>
              </w:rPr>
            </w:pPr>
          </w:p>
        </w:tc>
      </w:tr>
      <w:tr>
        <w:trPr>
          <w:trHeight w:val="143"/>
        </w:trPr>
        <w:tc>
          <w:tcPr>
            <w:tcW w:w="820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2020</w:t>
            </w:r>
          </w:p>
        </w:tc>
      </w:tr>
      <w:tr>
        <w:trPr>
          <w:trHeight w:val="173"/>
        </w:trPr>
        <w:tc>
          <w:tcPr>
            <w:tcW w:w="8200" w:type="dxa"/>
            <w:vAlign w:val="bottom"/>
          </w:tcPr>
          <w:p>
            <w:pPr>
              <w:spacing w:after="0"/>
              <w:rPr>
                <w:sz w:val="20"/>
                <w:szCs w:val="20"/>
                <w:color w:val="auto"/>
              </w:rPr>
            </w:pPr>
            <w:r>
              <w:rPr>
                <w:rFonts w:ascii="Arial" w:cs="Arial" w:eastAsia="Arial" w:hAnsi="Arial"/>
                <w:sz w:val="14"/>
                <w:szCs w:val="14"/>
                <w:color w:val="auto"/>
              </w:rPr>
              <w:t>Deferred Tax Assets: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8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Net operating loss carry-forwards</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18,917</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334"/>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21,498</w:t>
            </w:r>
          </w:p>
        </w:tc>
      </w:tr>
      <w:tr>
        <w:trPr>
          <w:trHeight w:val="184"/>
        </w:trPr>
        <w:tc>
          <w:tcPr>
            <w:tcW w:w="8200" w:type="dxa"/>
            <w:vAlign w:val="bottom"/>
          </w:tcPr>
          <w:p>
            <w:pPr>
              <w:ind w:left="80"/>
              <w:spacing w:after="0"/>
              <w:rPr>
                <w:sz w:val="20"/>
                <w:szCs w:val="20"/>
                <w:color w:val="auto"/>
              </w:rPr>
            </w:pPr>
            <w:r>
              <w:rPr>
                <w:rFonts w:ascii="Arial" w:cs="Arial" w:eastAsia="Arial" w:hAnsi="Arial"/>
                <w:sz w:val="14"/>
                <w:szCs w:val="14"/>
                <w:color w:val="auto"/>
              </w:rPr>
              <w:t>Foreign Tax Credit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3,743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3,743</w:t>
            </w:r>
          </w:p>
        </w:tc>
      </w:tr>
      <w:tr>
        <w:trPr>
          <w:trHeight w:val="184"/>
        </w:trPr>
        <w:tc>
          <w:tcPr>
            <w:tcW w:w="8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Compensation and employee benefits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3,539</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3,255</w:t>
            </w:r>
          </w:p>
        </w:tc>
      </w:tr>
      <w:tr>
        <w:trPr>
          <w:trHeight w:val="184"/>
        </w:trPr>
        <w:tc>
          <w:tcPr>
            <w:tcW w:w="8200" w:type="dxa"/>
            <w:vAlign w:val="bottom"/>
          </w:tcPr>
          <w:p>
            <w:pPr>
              <w:ind w:left="80"/>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2,642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2,552</w:t>
            </w:r>
          </w:p>
        </w:tc>
      </w:tr>
      <w:tr>
        <w:trPr>
          <w:trHeight w:val="184"/>
        </w:trPr>
        <w:tc>
          <w:tcPr>
            <w:tcW w:w="8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Accrued expenses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8,646</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9,691</w:t>
            </w:r>
          </w:p>
        </w:tc>
      </w:tr>
      <w:tr>
        <w:trPr>
          <w:trHeight w:val="184"/>
        </w:trPr>
        <w:tc>
          <w:tcPr>
            <w:tcW w:w="8200" w:type="dxa"/>
            <w:vAlign w:val="bottom"/>
          </w:tcPr>
          <w:p>
            <w:pPr>
              <w:ind w:left="80"/>
              <w:spacing w:after="0"/>
              <w:rPr>
                <w:sz w:val="20"/>
                <w:szCs w:val="20"/>
                <w:color w:val="auto"/>
              </w:rPr>
            </w:pPr>
            <w:r>
              <w:rPr>
                <w:rFonts w:ascii="Arial" w:cs="Arial" w:eastAsia="Arial" w:hAnsi="Arial"/>
                <w:sz w:val="14"/>
                <w:szCs w:val="14"/>
                <w:color w:val="auto"/>
              </w:rPr>
              <w:t>Accrued taxes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2,313</w:t>
            </w:r>
          </w:p>
        </w:tc>
      </w:tr>
      <w:tr>
        <w:trPr>
          <w:trHeight w:val="184"/>
        </w:trPr>
        <w:tc>
          <w:tcPr>
            <w:tcW w:w="8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Lease obligations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69,342</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64,859</w:t>
            </w:r>
          </w:p>
        </w:tc>
      </w:tr>
      <w:tr>
        <w:trPr>
          <w:trHeight w:val="184"/>
        </w:trPr>
        <w:tc>
          <w:tcPr>
            <w:tcW w:w="82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Land and property</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958</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4,842</w:t>
            </w:r>
          </w:p>
        </w:tc>
      </w:tr>
      <w:tr>
        <w:trPr>
          <w:trHeight w:val="164"/>
        </w:trPr>
        <w:tc>
          <w:tcPr>
            <w:tcW w:w="8200" w:type="dxa"/>
            <w:vAlign w:val="bottom"/>
            <w:shd w:val="clear" w:color="auto" w:fill="CCEEFF"/>
          </w:tcPr>
          <w:p>
            <w:pPr>
              <w:spacing w:after="0"/>
              <w:rPr>
                <w:sz w:val="20"/>
                <w:szCs w:val="20"/>
                <w:color w:val="auto"/>
              </w:rPr>
            </w:pPr>
            <w:r>
              <w:rPr>
                <w:rFonts w:ascii="Arial" w:cs="Arial" w:eastAsia="Arial" w:hAnsi="Arial"/>
                <w:sz w:val="14"/>
                <w:szCs w:val="14"/>
                <w:color w:val="auto"/>
              </w:rPr>
              <w:t>Total Deferred Tax Assets</w:t>
            </w:r>
          </w:p>
        </w:tc>
        <w:tc>
          <w:tcPr>
            <w:tcW w:w="1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107,787</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112,753</w:t>
            </w:r>
          </w:p>
        </w:tc>
      </w:tr>
      <w:tr>
        <w:trPr>
          <w:trHeight w:val="164"/>
        </w:trPr>
        <w:tc>
          <w:tcPr>
            <w:tcW w:w="820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4"/>
        </w:trPr>
        <w:tc>
          <w:tcPr>
            <w:tcW w:w="8200" w:type="dxa"/>
            <w:vAlign w:val="bottom"/>
            <w:shd w:val="clear" w:color="auto" w:fill="CCEEFF"/>
          </w:tcPr>
          <w:p>
            <w:pPr>
              <w:spacing w:after="0"/>
              <w:rPr>
                <w:sz w:val="20"/>
                <w:szCs w:val="20"/>
                <w:color w:val="auto"/>
              </w:rPr>
            </w:pPr>
            <w:r>
              <w:rPr>
                <w:rFonts w:ascii="Arial" w:cs="Arial" w:eastAsia="Arial" w:hAnsi="Arial"/>
                <w:sz w:val="14"/>
                <w:szCs w:val="14"/>
                <w:color w:val="auto"/>
              </w:rPr>
              <w:t>Lease liabilities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(63,293)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(60,886)</w:t>
            </w:r>
          </w:p>
        </w:tc>
      </w:tr>
      <w:tr>
        <w:trPr>
          <w:trHeight w:val="184"/>
        </w:trPr>
        <w:tc>
          <w:tcPr>
            <w:tcW w:w="8200" w:type="dxa"/>
            <w:vAlign w:val="bottom"/>
          </w:tcPr>
          <w:p>
            <w:pPr>
              <w:ind w:left="80"/>
              <w:spacing w:after="0"/>
              <w:rPr>
                <w:sz w:val="20"/>
                <w:szCs w:val="20"/>
                <w:color w:val="auto"/>
              </w:rPr>
            </w:pPr>
            <w:r>
              <w:rPr>
                <w:rFonts w:ascii="Arial" w:cs="Arial" w:eastAsia="Arial" w:hAnsi="Arial"/>
                <w:sz w:val="14"/>
                <w:szCs w:val="14"/>
                <w:color w:val="auto"/>
              </w:rPr>
              <w:t>Accrued taxes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8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Intangibles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r>
      <w:tr>
        <w:trPr>
          <w:trHeight w:val="184"/>
        </w:trPr>
        <w:tc>
          <w:tcPr>
            <w:tcW w:w="82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w:t>
            </w:r>
          </w:p>
        </w:tc>
      </w:tr>
      <w:tr>
        <w:trPr>
          <w:trHeight w:val="164"/>
        </w:trPr>
        <w:tc>
          <w:tcPr>
            <w:tcW w:w="8200" w:type="dxa"/>
            <w:vAlign w:val="bottom"/>
            <w:shd w:val="clear" w:color="auto" w:fill="CCEEFF"/>
          </w:tcPr>
          <w:p>
            <w:pPr>
              <w:spacing w:after="0"/>
              <w:rPr>
                <w:sz w:val="20"/>
                <w:szCs w:val="20"/>
                <w:color w:val="auto"/>
              </w:rPr>
            </w:pPr>
            <w:r>
              <w:rPr>
                <w:rFonts w:ascii="Arial" w:cs="Arial" w:eastAsia="Arial" w:hAnsi="Arial"/>
                <w:sz w:val="14"/>
                <w:szCs w:val="14"/>
                <w:color w:val="auto"/>
              </w:rPr>
              <w:t>Total Deferred Tax Liabilities</w:t>
            </w:r>
          </w:p>
        </w:tc>
        <w:tc>
          <w:tcPr>
            <w:tcW w:w="1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(64,673)</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(62,335)</w:t>
            </w:r>
          </w:p>
        </w:tc>
      </w:tr>
      <w:tr>
        <w:trPr>
          <w:trHeight w:val="164"/>
        </w:trPr>
        <w:tc>
          <w:tcPr>
            <w:tcW w:w="8200" w:type="dxa"/>
            <w:vAlign w:val="bottom"/>
          </w:tcPr>
          <w:p>
            <w:pPr>
              <w:spacing w:after="0"/>
              <w:rPr>
                <w:sz w:val="20"/>
                <w:szCs w:val="20"/>
                <w:color w:val="auto"/>
              </w:rPr>
            </w:pPr>
            <w:r>
              <w:rPr>
                <w:rFonts w:ascii="Arial" w:cs="Arial" w:eastAsia="Arial" w:hAnsi="Arial"/>
                <w:sz w:val="14"/>
                <w:szCs w:val="14"/>
                <w:color w:val="auto"/>
              </w:rPr>
              <w:t>Net deferred tax assets before valuation allowance</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43,114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50,418</w:t>
            </w:r>
          </w:p>
        </w:tc>
      </w:tr>
      <w:tr>
        <w:trPr>
          <w:trHeight w:val="184"/>
        </w:trPr>
        <w:tc>
          <w:tcPr>
            <w:tcW w:w="8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Valuation allowance</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(40,894)</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(47,056)</w:t>
            </w:r>
          </w:p>
        </w:tc>
      </w:tr>
      <w:tr>
        <w:trPr>
          <w:trHeight w:val="155"/>
        </w:trPr>
        <w:tc>
          <w:tcPr>
            <w:tcW w:w="8200" w:type="dxa"/>
            <w:vAlign w:val="bottom"/>
          </w:tcPr>
          <w:p>
            <w:pPr>
              <w:spacing w:after="0" w:line="153" w:lineRule="exact"/>
              <w:rPr>
                <w:sz w:val="20"/>
                <w:szCs w:val="20"/>
                <w:color w:val="auto"/>
              </w:rPr>
            </w:pPr>
            <w:r>
              <w:rPr>
                <w:rFonts w:ascii="Arial" w:cs="Arial" w:eastAsia="Arial" w:hAnsi="Arial"/>
                <w:sz w:val="14"/>
                <w:szCs w:val="14"/>
                <w:b w:val="1"/>
                <w:bCs w:val="1"/>
                <w:color w:val="auto"/>
              </w:rPr>
              <w:t>Net deferred tax asset</w:t>
            </w:r>
          </w:p>
        </w:tc>
        <w:tc>
          <w:tcPr>
            <w:tcW w:w="160" w:type="dxa"/>
            <w:vAlign w:val="bottom"/>
          </w:tcPr>
          <w:p>
            <w:pPr>
              <w:spacing w:after="0"/>
              <w:rPr>
                <w:sz w:val="13"/>
                <w:szCs w:val="13"/>
                <w:color w:val="auto"/>
              </w:rPr>
            </w:pPr>
          </w:p>
        </w:tc>
        <w:tc>
          <w:tcPr>
            <w:tcW w:w="320" w:type="dxa"/>
            <w:vAlign w:val="bottom"/>
            <w:tcBorders>
              <w:bottom w:val="single" w:sz="8" w:color="auto"/>
            </w:tcBorders>
          </w:tcPr>
          <w:p>
            <w:pPr>
              <w:jc w:val="right"/>
              <w:ind w:right="168"/>
              <w:spacing w:after="0" w:line="15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2,220</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34"/>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3,362</w:t>
            </w:r>
          </w:p>
        </w:tc>
      </w:tr>
    </w:tbl>
    <w:p>
      <w:pPr>
        <w:spacing w:after="0" w:line="98" w:lineRule="exact"/>
        <w:rPr>
          <w:sz w:val="20"/>
          <w:szCs w:val="20"/>
          <w:color w:val="auto"/>
        </w:rPr>
      </w:pPr>
    </w:p>
    <w:p>
      <w:pPr>
        <w:ind w:right="160"/>
        <w:spacing w:after="0" w:line="230" w:lineRule="auto"/>
        <w:rPr>
          <w:sz w:val="20"/>
          <w:szCs w:val="20"/>
          <w:color w:val="auto"/>
        </w:rPr>
      </w:pPr>
      <w:r>
        <w:rPr>
          <w:rFonts w:ascii="Arial" w:cs="Arial" w:eastAsia="Arial" w:hAnsi="Arial"/>
          <w:sz w:val="14"/>
          <w:szCs w:val="14"/>
          <w:color w:val="auto"/>
        </w:rPr>
        <w:t>We record net deferred tax assets to the extent we believe these assets will more-likely-than-not be realized. In making such determination, we considered all available positive and negative evidence, including scheduled reversals of deferred tax liabilities, projected future taxable income, tax planning strategies and recent financial performance. As of December 31, 2021, based on all available evidence, we believe the U.S. and state deferred tax assets do not support a conclusion of being more-likely-than-not to be realized. The New Zealand loss carry-forwards became more-likely-than-not to be realized. Accordingly, we recorded a decrease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22" w:right="319" w:bottom="1440" w:gutter="0" w:footer="0" w:header="0"/>
        </w:sectPr>
      </w:pPr>
    </w:p>
    <w:bookmarkStart w:id="84" w:name="page85"/>
    <w:bookmarkEnd w:id="84"/>
    <w:p>
      <w:pPr>
        <w:spacing w:after="0"/>
        <w:rPr>
          <w:sz w:val="20"/>
          <w:szCs w:val="20"/>
          <w:color w:val="auto"/>
        </w:rPr>
      </w:pPr>
      <w:r>
        <w:rPr>
          <w:rFonts w:ascii="Arial" w:cs="Arial" w:eastAsia="Arial" w:hAnsi="Arial"/>
          <w:sz w:val="13"/>
          <w:szCs w:val="13"/>
          <w:color w:val="auto"/>
        </w:rPr>
        <w:t>valuation allowance of $ 6.2 million. We reassess the valuation allowance quarterly and a tax benefit is recorded if future evidence allows for a partial or full release of the valuation allowance.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2021, we had the following carry-forwards:</w:t>
      </w:r>
    </w:p>
    <w:p>
      <w:pPr>
        <w:spacing w:after="0" w:line="67" w:lineRule="exact"/>
        <w:rPr>
          <w:sz w:val="20"/>
          <w:szCs w:val="20"/>
          <w:color w:val="auto"/>
        </w:rPr>
      </w:pPr>
    </w:p>
    <w:p>
      <w:pPr>
        <w:ind w:left="520" w:right="4840"/>
        <w:spacing w:after="0" w:line="355" w:lineRule="auto"/>
        <w:rPr>
          <w:sz w:val="20"/>
          <w:szCs w:val="20"/>
          <w:color w:val="auto"/>
        </w:rPr>
      </w:pPr>
      <w:r>
        <w:rPr>
          <w:rFonts w:ascii="Arial" w:cs="Arial" w:eastAsia="Arial" w:hAnsi="Arial"/>
          <w:sz w:val="14"/>
          <w:szCs w:val="14"/>
          <w:color w:val="auto"/>
        </w:rPr>
        <w:t>approximately $46.5 million in Federal loss carry-forwards with no expiration date; approximately $34.8 million in California loss carry-forwards expiring in 2041; approximately $25.5 million in Hawaii loss carry-forwards expiring in 2041; approximately $1.7 million in New Jersey state loss carry-forwards expiring in 2041; approximately $51.1 million in New York state loss carry-forwards substantially expiring in 2035; approximately $48.5 million in New York city loss carry-forwards substantially expiring in 2035; and,</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We expect no substantial limitations on the future use of U.S. loss carry-forwards.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The provision for income taxes is different from amounts computed by applying U.S. statutory rates to consolidated losses before taxes. The significant reason for these differences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2021</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2019</w:t>
            </w:r>
          </w:p>
        </w:tc>
      </w:tr>
      <w:tr>
        <w:trPr>
          <w:trHeight w:val="173"/>
        </w:trPr>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Expected tax provision</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8,559</w:t>
            </w:r>
          </w:p>
        </w:tc>
        <w:tc>
          <w:tcPr>
            <w:tcW w:w="48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(14,873)</w:t>
            </w:r>
          </w:p>
        </w:tc>
        <w:tc>
          <w:tcPr>
            <w:tcW w:w="1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234"/>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r>
      <w:tr>
        <w:trPr>
          <w:trHeight w:val="184"/>
        </w:trPr>
        <w:tc>
          <w:tcPr>
            <w:tcW w:w="6660" w:type="dxa"/>
            <w:vAlign w:val="bottom"/>
          </w:tcPr>
          <w:p>
            <w:pPr>
              <w:spacing w:after="0"/>
              <w:rPr>
                <w:sz w:val="20"/>
                <w:szCs w:val="20"/>
                <w:color w:val="auto"/>
              </w:rPr>
            </w:pPr>
            <w:r>
              <w:rPr>
                <w:rFonts w:ascii="Arial" w:cs="Arial" w:eastAsia="Arial" w:hAnsi="Arial"/>
                <w:sz w:val="14"/>
                <w:szCs w:val="14"/>
                <w:i w:val="1"/>
                <w:iCs w:val="1"/>
                <w:color w:val="auto"/>
              </w:rPr>
              <w:t>Increase (decrease) in tax expense resulting from:</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4"/>
        </w:trPr>
        <w:tc>
          <w:tcPr>
            <w:tcW w:w="66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tax rate differential</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6,473</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w:t>
            </w:r>
          </w:p>
        </w:tc>
      </w:tr>
      <w:tr>
        <w:trPr>
          <w:trHeight w:val="184"/>
        </w:trPr>
        <w:tc>
          <w:tcPr>
            <w:tcW w:w="6660" w:type="dxa"/>
            <w:vAlign w:val="bottom"/>
          </w:tcPr>
          <w:p>
            <w:pPr>
              <w:ind w:left="80"/>
              <w:spacing w:after="0"/>
              <w:rPr>
                <w:sz w:val="20"/>
                <w:szCs w:val="20"/>
                <w:color w:val="auto"/>
              </w:rPr>
            </w:pPr>
            <w:r>
              <w:rPr>
                <w:rFonts w:ascii="Arial" w:cs="Arial" w:eastAsia="Arial" w:hAnsi="Arial"/>
                <w:sz w:val="14"/>
                <w:szCs w:val="14"/>
                <w:color w:val="auto"/>
              </w:rPr>
              <w:t>Change in valuation allowance</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(6,339)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11,424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19,950</w:t>
            </w:r>
          </w:p>
        </w:tc>
      </w:tr>
      <w:tr>
        <w:trPr>
          <w:trHeight w:val="184"/>
        </w:trPr>
        <w:tc>
          <w:tcPr>
            <w:tcW w:w="66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State and local tax provision</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(6,458)</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6,595</w:t>
            </w:r>
          </w:p>
        </w:tc>
      </w:tr>
      <w:tr>
        <w:trPr>
          <w:trHeight w:val="184"/>
        </w:trPr>
        <w:tc>
          <w:tcPr>
            <w:tcW w:w="6660" w:type="dxa"/>
            <w:vAlign w:val="bottom"/>
          </w:tcPr>
          <w:p>
            <w:pPr>
              <w:ind w:left="80"/>
              <w:spacing w:after="0"/>
              <w:rPr>
                <w:sz w:val="20"/>
                <w:szCs w:val="20"/>
                <w:color w:val="auto"/>
              </w:rPr>
            </w:pPr>
            <w:r>
              <w:rPr>
                <w:rFonts w:ascii="Arial" w:cs="Arial" w:eastAsia="Arial" w:hAnsi="Arial"/>
                <w:sz w:val="14"/>
                <w:szCs w:val="14"/>
                <w:color w:val="auto"/>
              </w:rPr>
              <w:t>Tax rate change</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(1,397)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666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Prior year adjustment</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184"/>
        </w:trPr>
        <w:tc>
          <w:tcPr>
            <w:tcW w:w="6660" w:type="dxa"/>
            <w:vAlign w:val="bottom"/>
          </w:tcPr>
          <w:p>
            <w:pPr>
              <w:ind w:left="80"/>
              <w:spacing w:after="0"/>
              <w:rPr>
                <w:sz w:val="20"/>
                <w:szCs w:val="20"/>
                <w:color w:val="auto"/>
              </w:rPr>
            </w:pPr>
            <w:r>
              <w:rPr>
                <w:rFonts w:ascii="Arial" w:cs="Arial" w:eastAsia="Arial" w:hAnsi="Arial"/>
                <w:sz w:val="14"/>
                <w:szCs w:val="14"/>
                <w:color w:val="auto"/>
              </w:rPr>
              <w:t>Unrecognized tax benefits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(3,937)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257</w:t>
            </w:r>
          </w:p>
        </w:tc>
      </w:tr>
      <w:tr>
        <w:trPr>
          <w:trHeight w:val="184"/>
        </w:trPr>
        <w:tc>
          <w:tcPr>
            <w:tcW w:w="6660" w:type="dxa"/>
            <w:vAlign w:val="bottom"/>
            <w:shd w:val="clear" w:color="auto" w:fill="CCEEFF"/>
          </w:tcPr>
          <w:p>
            <w:pPr>
              <w:ind w:left="80"/>
              <w:spacing w:after="0"/>
              <w:rPr>
                <w:sz w:val="20"/>
                <w:szCs w:val="20"/>
                <w:color w:val="auto"/>
              </w:rPr>
            </w:pPr>
            <w:r>
              <w:rPr>
                <w:rFonts w:ascii="Arial" w:cs="Arial" w:eastAsia="Arial" w:hAnsi="Arial"/>
                <w:sz w:val="14"/>
                <w:szCs w:val="14"/>
                <w:color w:val="auto"/>
              </w:rPr>
              <w:t>GILTI</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7,858</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184"/>
        </w:trPr>
        <w:tc>
          <w:tcPr>
            <w:tcW w:w="6660" w:type="dxa"/>
            <w:vAlign w:val="bottom"/>
          </w:tcPr>
          <w:p>
            <w:pPr>
              <w:ind w:left="80"/>
              <w:spacing w:after="0"/>
              <w:rPr>
                <w:sz w:val="20"/>
                <w:szCs w:val="20"/>
                <w:color w:val="auto"/>
              </w:rPr>
            </w:pPr>
            <w:r>
              <w:rPr>
                <w:rFonts w:ascii="Arial" w:cs="Arial" w:eastAsia="Arial" w:hAnsi="Arial"/>
                <w:sz w:val="14"/>
                <w:szCs w:val="14"/>
                <w:color w:val="auto"/>
              </w:rPr>
              <w:t>Foreign Tax Credit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184"/>
        </w:trPr>
        <w:tc>
          <w:tcPr>
            <w:tcW w:w="666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r>
      <w:tr>
        <w:trPr>
          <w:trHeight w:val="155"/>
        </w:trPr>
        <w:tc>
          <w:tcPr>
            <w:tcW w:w="6660" w:type="dxa"/>
            <w:vAlign w:val="bottom"/>
          </w:tcPr>
          <w:p>
            <w:pPr>
              <w:spacing w:after="0" w:line="153" w:lineRule="exact"/>
              <w:rPr>
                <w:sz w:val="20"/>
                <w:szCs w:val="20"/>
                <w:color w:val="auto"/>
              </w:rPr>
            </w:pPr>
            <w:r>
              <w:rPr>
                <w:rFonts w:ascii="Arial" w:cs="Arial" w:eastAsia="Arial" w:hAnsi="Arial"/>
                <w:sz w:val="14"/>
                <w:szCs w:val="14"/>
                <w:b w:val="1"/>
                <w:bCs w:val="1"/>
                <w:color w:val="auto"/>
              </w:rPr>
              <w:t>Total income tax expense (benefit)</w:t>
            </w:r>
          </w:p>
        </w:tc>
        <w:tc>
          <w:tcPr>
            <w:tcW w:w="160" w:type="dxa"/>
            <w:vAlign w:val="bottom"/>
          </w:tcPr>
          <w:p>
            <w:pPr>
              <w:spacing w:after="0"/>
              <w:rPr>
                <w:sz w:val="13"/>
                <w:szCs w:val="13"/>
                <w:color w:val="auto"/>
              </w:rPr>
            </w:pPr>
          </w:p>
        </w:tc>
        <w:tc>
          <w:tcPr>
            <w:tcW w:w="320" w:type="dxa"/>
            <w:vAlign w:val="bottom"/>
            <w:tcBorders>
              <w:bottom w:val="single" w:sz="8" w:color="auto"/>
            </w:tcBorders>
          </w:tcPr>
          <w:p>
            <w:pPr>
              <w:jc w:val="right"/>
              <w:ind w:right="168"/>
              <w:spacing w:after="0" w:line="15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5,944</w:t>
            </w:r>
          </w:p>
        </w:tc>
        <w:tc>
          <w:tcPr>
            <w:tcW w:w="160" w:type="dxa"/>
            <w:vAlign w:val="bottom"/>
          </w:tcPr>
          <w:p>
            <w:pPr>
              <w:spacing w:after="0"/>
              <w:rPr>
                <w:sz w:val="13"/>
                <w:szCs w:val="13"/>
                <w:color w:val="auto"/>
              </w:rPr>
            </w:pPr>
          </w:p>
        </w:tc>
        <w:tc>
          <w:tcPr>
            <w:tcW w:w="32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(4,967)</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234"/>
              <w:spacing w:after="0"/>
              <w:rPr>
                <w:sz w:val="20"/>
                <w:szCs w:val="20"/>
                <w:color w:val="auto"/>
              </w:rPr>
            </w:pPr>
            <w:r>
              <w:rPr>
                <w:rFonts w:ascii="Arial" w:cs="Arial" w:eastAsia="Arial" w:hAnsi="Arial"/>
                <w:sz w:val="5"/>
                <w:szCs w:val="5"/>
                <w:b w:val="1"/>
                <w:bCs w:val="1"/>
                <w:color w:val="auto"/>
                <w:w w:val="70"/>
              </w:rPr>
              <w:t>$</w:t>
            </w:r>
          </w:p>
        </w:tc>
        <w:tc>
          <w:tcPr>
            <w:tcW w:w="10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28,837</w:t>
            </w:r>
          </w:p>
        </w:tc>
      </w:tr>
    </w:tbl>
    <w:p>
      <w:pPr>
        <w:spacing w:after="0" w:line="130"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The undistributed earnings of the Company's Australian subsidiaries are not indefinitely reinvested. Due to the enactment of the Tax Act, future repatriations of foreign earnings will generally not be subject to U.S. federal taxation but may incur minimal state taxes.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is a summary of the activity related to unrecognized tax benefits, excluding interest and penalties, for the years ended December 31, 2021, 2020, and 2019:</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2"/>
                <w:szCs w:val="12"/>
                <w:b w:val="1"/>
                <w:bCs w:val="1"/>
                <w:color w:val="auto"/>
              </w:rPr>
              <w:t>2021</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2"/>
                <w:szCs w:val="12"/>
                <w:b w:val="1"/>
                <w:bCs w:val="1"/>
                <w:color w:val="auto"/>
              </w:rPr>
              <w:t>2019</w:t>
            </w:r>
          </w:p>
        </w:tc>
      </w:tr>
      <w:tr>
        <w:trPr>
          <w:trHeight w:val="152"/>
        </w:trPr>
        <w:tc>
          <w:tcPr>
            <w:tcW w:w="666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Unrecognized tax benefits – gross beginning balance</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68"/>
              <w:spacing w:after="0" w:line="152"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2,086</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4,082</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4,709</w:t>
            </w:r>
          </w:p>
        </w:tc>
      </w:tr>
      <w:tr>
        <w:trPr>
          <w:trHeight w:val="152"/>
        </w:trPr>
        <w:tc>
          <w:tcPr>
            <w:tcW w:w="6660" w:type="dxa"/>
            <w:vAlign w:val="bottom"/>
          </w:tcPr>
          <w:p>
            <w:pPr>
              <w:spacing w:after="0" w:line="152" w:lineRule="exact"/>
              <w:rPr>
                <w:sz w:val="20"/>
                <w:szCs w:val="20"/>
                <w:color w:val="auto"/>
              </w:rPr>
            </w:pPr>
            <w:r>
              <w:rPr>
                <w:rFonts w:ascii="Arial" w:cs="Arial" w:eastAsia="Arial" w:hAnsi="Arial"/>
                <w:sz w:val="14"/>
                <w:szCs w:val="14"/>
                <w:color w:val="auto"/>
              </w:rPr>
              <w:t>Gross increase (decrease) - prior year tax positions</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(1,664)</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(1,996)</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(148)</w:t>
            </w:r>
          </w:p>
        </w:tc>
      </w:tr>
      <w:tr>
        <w:trPr>
          <w:trHeight w:val="152"/>
        </w:trPr>
        <w:tc>
          <w:tcPr>
            <w:tcW w:w="666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Gross increase (decrease) - current year tax positions</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11,114</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r>
      <w:tr>
        <w:trPr>
          <w:trHeight w:val="152"/>
        </w:trPr>
        <w:tc>
          <w:tcPr>
            <w:tcW w:w="6660" w:type="dxa"/>
            <w:vAlign w:val="bottom"/>
            <w:tcBorders>
              <w:bottom w:val="single" w:sz="8" w:color="CCEEFF"/>
            </w:tcBorders>
          </w:tcPr>
          <w:p>
            <w:pPr>
              <w:spacing w:after="0" w:line="152" w:lineRule="exact"/>
              <w:rPr>
                <w:sz w:val="20"/>
                <w:szCs w:val="20"/>
                <w:color w:val="auto"/>
              </w:rPr>
            </w:pPr>
            <w:r>
              <w:rPr>
                <w:rFonts w:ascii="Arial" w:cs="Arial" w:eastAsia="Arial" w:hAnsi="Arial"/>
                <w:sz w:val="14"/>
                <w:szCs w:val="14"/>
                <w:color w:val="auto"/>
              </w:rPr>
              <w:t>Settlements</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(479)</w:t>
            </w:r>
          </w:p>
        </w:tc>
      </w:tr>
      <w:tr>
        <w:trPr>
          <w:trHeight w:val="144"/>
        </w:trPr>
        <w:tc>
          <w:tcPr>
            <w:tcW w:w="666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Unrecognized tax benefits – gross ending balance</w:t>
            </w:r>
          </w:p>
        </w:tc>
        <w:tc>
          <w:tcPr>
            <w:tcW w:w="1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11,536</w:t>
            </w:r>
          </w:p>
        </w:tc>
        <w:tc>
          <w:tcPr>
            <w:tcW w:w="1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2,086</w:t>
            </w:r>
          </w:p>
        </w:tc>
        <w:tc>
          <w:tcPr>
            <w:tcW w:w="1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4,082</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2021 and 2020, if recognized, $11.5 million and $2.1 million respectively, of the unrecognized tax benefits would impact the Company’s effective tax rate.</w:t>
      </w:r>
    </w:p>
    <w:p>
      <w:pPr>
        <w:spacing w:after="0" w:line="143"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During the year ended December 31, 2021, we recorded a decrease to tax interest of $10.5 million, resulting in a total $0.4 million in interest. During the year ended December 31, 2020, we recorded an increase to tax interest of $0.7 million, resulting in a total $10.9 million in interest.</w:t>
      </w:r>
    </w:p>
    <w:p>
      <w:pPr>
        <w:spacing w:after="0" w:line="109" w:lineRule="exact"/>
        <w:rPr>
          <w:sz w:val="20"/>
          <w:szCs w:val="20"/>
          <w:color w:val="auto"/>
        </w:rPr>
      </w:pPr>
    </w:p>
    <w:p>
      <w:pPr>
        <w:ind w:right="100"/>
        <w:spacing w:after="0" w:line="242" w:lineRule="auto"/>
        <w:rPr>
          <w:sz w:val="20"/>
          <w:szCs w:val="20"/>
          <w:color w:val="auto"/>
        </w:rPr>
      </w:pPr>
      <w:r>
        <w:rPr>
          <w:rFonts w:ascii="Arial" w:cs="Arial" w:eastAsia="Arial" w:hAnsi="Arial"/>
          <w:sz w:val="14"/>
          <w:szCs w:val="14"/>
          <w:color w:val="auto"/>
        </w:rPr>
        <w:t>It is difficult to predict the timing and resolution of uncertain tax positions. Based upon the Company’s assessment of many factors, including past experience and judgments about future events, it is probable that within the next 12 months the reserve for uncertain tax positions will increase within a range of $500,000 to $1.5 million. The reasons for such change include but are not limited to tax positions expected to be taken during 2021, revaluation of current uncertain tax positions, and expiring statutes of limitations.</w:t>
      </w:r>
    </w:p>
    <w:p>
      <w:pPr>
        <w:spacing w:after="0" w:line="120" w:lineRule="exact"/>
        <w:rPr>
          <w:sz w:val="20"/>
          <w:szCs w:val="20"/>
          <w:color w:val="auto"/>
        </w:rPr>
      </w:pPr>
    </w:p>
    <w:p>
      <w:pPr>
        <w:ind w:right="400"/>
        <w:spacing w:after="0" w:line="235" w:lineRule="auto"/>
        <w:rPr>
          <w:sz w:val="20"/>
          <w:szCs w:val="20"/>
          <w:color w:val="auto"/>
        </w:rPr>
      </w:pPr>
      <w:r>
        <w:rPr>
          <w:rFonts w:ascii="Arial" w:cs="Arial" w:eastAsia="Arial" w:hAnsi="Arial"/>
          <w:sz w:val="14"/>
          <w:szCs w:val="14"/>
          <w:color w:val="auto"/>
        </w:rPr>
        <w:t>Generally, changes to our federal and most state income tax returns for the calendar year 2016 and earlier are barred by statutes of limitations. As of December 31, 2021, federal income tax returns for 2018 and after are open for examination. California worldwide</w:t>
      </w:r>
    </w:p>
    <w:p>
      <w:pPr>
        <w:jc w:val="center"/>
        <w:spacing w:after="0"/>
        <w:rPr>
          <w:sz w:val="20"/>
          <w:szCs w:val="20"/>
          <w:color w:val="auto"/>
        </w:rPr>
      </w:pPr>
      <w:r>
        <w:rPr>
          <w:rFonts w:ascii="Arial" w:cs="Arial" w:eastAsia="Arial" w:hAnsi="Arial"/>
          <w:sz w:val="14"/>
          <w:szCs w:val="14"/>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70" w:right="319" w:bottom="1440" w:gutter="0" w:footer="0" w:header="0"/>
        </w:sectPr>
      </w:pPr>
    </w:p>
    <w:bookmarkStart w:id="85" w:name="page86"/>
    <w:bookmarkEnd w:id="85"/>
    <w:p>
      <w:pPr>
        <w:ind w:right="100"/>
        <w:spacing w:after="0" w:line="258" w:lineRule="auto"/>
        <w:rPr>
          <w:sz w:val="20"/>
          <w:szCs w:val="20"/>
          <w:color w:val="auto"/>
        </w:rPr>
      </w:pPr>
      <w:r>
        <w:rPr>
          <w:rFonts w:ascii="Arial" w:cs="Arial" w:eastAsia="Arial" w:hAnsi="Arial"/>
          <w:sz w:val="14"/>
          <w:szCs w:val="14"/>
          <w:color w:val="auto"/>
        </w:rPr>
        <w:t>unitary income tax returns for 2017 and after are open for examination. Australia income tax returns for calendar years 2017 and after are open for examination. Generally, New Zealand returns for calendar years 2016 and after remain open for examination.</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11 – BORROWINGS</w:t>
      </w:r>
    </w:p>
    <w:p>
      <w:pPr>
        <w:spacing w:after="0" w:line="147"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The Company’s borrowings at December 31, 2021 and 2020, net of deferred financing costs and incorporating the impact of interest rate swaps on our effective interest rates, are summarized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4"/>
          </w:tcPr>
          <w:p>
            <w:pPr>
              <w:ind w:left="100"/>
              <w:spacing w:after="0"/>
              <w:rPr>
                <w:sz w:val="20"/>
                <w:szCs w:val="20"/>
                <w:color w:val="auto"/>
              </w:rPr>
            </w:pPr>
            <w:r>
              <w:rPr>
                <w:rFonts w:ascii="Arial" w:cs="Arial" w:eastAsia="Arial" w:hAnsi="Arial"/>
                <w:sz w:val="12"/>
                <w:szCs w:val="12"/>
                <w:b w:val="1"/>
                <w:bCs w:val="1"/>
                <w:color w:val="auto"/>
              </w:rPr>
              <w:t>As of December 31, 2021</w:t>
            </w: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restart"/>
          </w:tcPr>
          <w:p>
            <w:pPr>
              <w:jc w:val="right"/>
              <w:ind w:right="284"/>
              <w:spacing w:after="0"/>
              <w:rPr>
                <w:sz w:val="20"/>
                <w:szCs w:val="20"/>
                <w:color w:val="auto"/>
              </w:rPr>
            </w:pPr>
            <w:r>
              <w:rPr>
                <w:rFonts w:ascii="Arial" w:cs="Arial" w:eastAsia="Arial" w:hAnsi="Arial"/>
                <w:sz w:val="12"/>
                <w:szCs w:val="12"/>
                <w:b w:val="1"/>
                <w:bCs w:val="1"/>
                <w:color w:val="auto"/>
              </w:rPr>
              <w:t>Balance,</w:t>
            </w: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1"/>
              </w:rPr>
              <w:t>Stated</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87"/>
              </w:rPr>
              <w:t>Effective</w:t>
            </w:r>
          </w:p>
        </w:tc>
        <w:tc>
          <w:tcPr>
            <w:tcW w:w="0" w:type="dxa"/>
            <w:vAlign w:val="bottom"/>
          </w:tcPr>
          <w:p>
            <w:pPr>
              <w:spacing w:after="0"/>
              <w:rPr>
                <w:sz w:val="1"/>
                <w:szCs w:val="1"/>
                <w:color w:val="auto"/>
              </w:rPr>
            </w:pPr>
          </w:p>
        </w:tc>
      </w:tr>
      <w:tr>
        <w:trPr>
          <w:trHeight w:val="115"/>
        </w:trPr>
        <w:tc>
          <w:tcPr>
            <w:tcW w:w="3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ind w:left="100"/>
              <w:spacing w:after="0" w:line="115" w:lineRule="exact"/>
              <w:rPr>
                <w:sz w:val="20"/>
                <w:szCs w:val="20"/>
                <w:color w:val="auto"/>
              </w:rPr>
            </w:pPr>
            <w:r>
              <w:rPr>
                <w:rFonts w:ascii="Arial" w:cs="Arial" w:eastAsia="Arial" w:hAnsi="Arial"/>
                <w:sz w:val="12"/>
                <w:szCs w:val="12"/>
                <w:b w:val="1"/>
                <w:bCs w:val="1"/>
                <w:color w:val="auto"/>
              </w:rPr>
              <w:t>Contractual</w:t>
            </w: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gridSpan w:val="2"/>
          </w:tcPr>
          <w:p>
            <w:pPr>
              <w:ind w:left="100"/>
              <w:spacing w:after="0" w:line="115" w:lineRule="exact"/>
              <w:rPr>
                <w:sz w:val="20"/>
                <w:szCs w:val="20"/>
                <w:color w:val="auto"/>
              </w:rPr>
            </w:pPr>
            <w:r>
              <w:rPr>
                <w:rFonts w:ascii="Arial" w:cs="Arial" w:eastAsia="Arial" w:hAnsi="Arial"/>
                <w:sz w:val="12"/>
                <w:szCs w:val="12"/>
                <w:b w:val="1"/>
                <w:bCs w:val="1"/>
                <w:color w:val="auto"/>
              </w:rPr>
              <w:t>Balance,</w:t>
            </w:r>
          </w:p>
        </w:tc>
        <w:tc>
          <w:tcPr>
            <w:tcW w:w="2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tcPr>
          <w:p>
            <w:pPr>
              <w:jc w:val="center"/>
              <w:ind w:right="100"/>
              <w:spacing w:after="0" w:line="115" w:lineRule="exact"/>
              <w:rPr>
                <w:sz w:val="20"/>
                <w:szCs w:val="20"/>
                <w:color w:val="auto"/>
              </w:rPr>
            </w:pPr>
            <w:r>
              <w:rPr>
                <w:rFonts w:ascii="Arial" w:cs="Arial" w:eastAsia="Arial" w:hAnsi="Arial"/>
                <w:sz w:val="12"/>
                <w:szCs w:val="12"/>
                <w:b w:val="1"/>
                <w:bCs w:val="1"/>
                <w:color w:val="auto"/>
                <w:w w:val="87"/>
              </w:rPr>
              <w:t>Interest</w:t>
            </w:r>
          </w:p>
        </w:tc>
        <w:tc>
          <w:tcPr>
            <w:tcW w:w="114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87"/>
              </w:rPr>
              <w:t>Interest</w:t>
            </w:r>
          </w:p>
        </w:tc>
        <w:tc>
          <w:tcPr>
            <w:tcW w:w="0" w:type="dxa"/>
            <w:vAlign w:val="bottom"/>
          </w:tcPr>
          <w:p>
            <w:pPr>
              <w:spacing w:after="0"/>
              <w:rPr>
                <w:sz w:val="1"/>
                <w:szCs w:val="1"/>
                <w:color w:val="auto"/>
              </w:rPr>
            </w:pPr>
          </w:p>
        </w:tc>
      </w:tr>
      <w:tr>
        <w:trPr>
          <w:trHeight w:val="143"/>
        </w:trPr>
        <w:tc>
          <w:tcPr>
            <w:tcW w:w="352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80" w:type="dxa"/>
            <w:vAlign w:val="bottom"/>
          </w:tcPr>
          <w:p>
            <w:pPr>
              <w:spacing w:after="0"/>
              <w:rPr>
                <w:sz w:val="12"/>
                <w:szCs w:val="1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Maturity Date</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22"/>
              <w:spacing w:after="0"/>
              <w:rPr>
                <w:sz w:val="20"/>
                <w:szCs w:val="20"/>
                <w:color w:val="auto"/>
              </w:rPr>
            </w:pPr>
            <w:r>
              <w:rPr>
                <w:rFonts w:ascii="Arial" w:cs="Arial" w:eastAsia="Arial" w:hAnsi="Arial"/>
                <w:sz w:val="12"/>
                <w:szCs w:val="12"/>
                <w:b w:val="1"/>
                <w:bCs w:val="1"/>
                <w:color w:val="auto"/>
              </w:rPr>
              <w:t>Facility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2"/>
                <w:szCs w:val="12"/>
                <w:b w:val="1"/>
                <w:bCs w:val="1"/>
                <w:color w:val="auto"/>
              </w:rPr>
              <w:t>Gross</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4"/>
              <w:spacing w:after="0" w:line="141" w:lineRule="exact"/>
              <w:rPr>
                <w:sz w:val="20"/>
                <w:szCs w:val="20"/>
                <w:color w:val="auto"/>
              </w:rPr>
            </w:pPr>
            <w:r>
              <w:rPr>
                <w:rFonts w:ascii="Arial" w:cs="Arial" w:eastAsia="Arial" w:hAnsi="Arial"/>
                <w:sz w:val="16"/>
                <w:szCs w:val="16"/>
                <w:b w:val="1"/>
                <w:bCs w:val="1"/>
                <w:color w:val="auto"/>
                <w:vertAlign w:val="subscript"/>
              </w:rPr>
              <w:t>Net</w:t>
            </w:r>
            <w:r>
              <w:rPr>
                <w:rFonts w:ascii="Arial" w:cs="Arial" w:eastAsia="Arial" w:hAnsi="Arial"/>
                <w:sz w:val="8"/>
                <w:szCs w:val="8"/>
                <w:b w:val="1"/>
                <w:bCs w:val="1"/>
                <w:color w:val="auto"/>
              </w:rPr>
              <w:t>(1)</w:t>
            </w:r>
          </w:p>
        </w:tc>
        <w:tc>
          <w:tcPr>
            <w:tcW w:w="100" w:type="dxa"/>
            <w:vAlign w:val="bottom"/>
          </w:tcPr>
          <w:p>
            <w:pPr>
              <w:spacing w:after="0"/>
              <w:rPr>
                <w:sz w:val="12"/>
                <w:szCs w:val="1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Rate</w:t>
            </w:r>
          </w:p>
        </w:tc>
        <w:tc>
          <w:tcPr>
            <w:tcW w:w="100" w:type="dxa"/>
            <w:vAlign w:val="bottom"/>
          </w:tcPr>
          <w:p>
            <w:pPr>
              <w:spacing w:after="0"/>
              <w:rPr>
                <w:sz w:val="12"/>
                <w:szCs w:val="1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Rate</w:t>
            </w:r>
          </w:p>
        </w:tc>
        <w:tc>
          <w:tcPr>
            <w:tcW w:w="0" w:type="dxa"/>
            <w:vAlign w:val="bottom"/>
          </w:tcPr>
          <w:p>
            <w:pPr>
              <w:spacing w:after="0"/>
              <w:rPr>
                <w:sz w:val="1"/>
                <w:szCs w:val="1"/>
                <w:color w:val="auto"/>
              </w:rPr>
            </w:pPr>
          </w:p>
        </w:tc>
      </w:tr>
      <w:tr>
        <w:trPr>
          <w:trHeight w:val="152"/>
        </w:trPr>
        <w:tc>
          <w:tcPr>
            <w:tcW w:w="3600" w:type="dxa"/>
            <w:vAlign w:val="bottom"/>
            <w:gridSpan w:val="2"/>
          </w:tcPr>
          <w:p>
            <w:pPr>
              <w:spacing w:after="0"/>
              <w:rPr>
                <w:sz w:val="20"/>
                <w:szCs w:val="20"/>
                <w:color w:val="auto"/>
              </w:rPr>
            </w:pPr>
            <w:r>
              <w:rPr>
                <w:rFonts w:ascii="Arial" w:cs="Arial" w:eastAsia="Arial" w:hAnsi="Arial"/>
                <w:sz w:val="12"/>
                <w:szCs w:val="12"/>
                <w:color w:val="auto"/>
              </w:rPr>
              <w:t>Denominated in USD</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6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Trust Preferred Securities (US)</w:t>
            </w:r>
          </w:p>
        </w:tc>
        <w:tc>
          <w:tcPr>
            <w:tcW w:w="170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91"/>
              </w:rPr>
              <w:t>April 30, 2027</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27,913</w:t>
            </w:r>
          </w:p>
        </w:tc>
        <w:tc>
          <w:tcPr>
            <w:tcW w:w="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27,913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26,728</w:t>
            </w:r>
          </w:p>
        </w:tc>
        <w:tc>
          <w:tcPr>
            <w:tcW w:w="124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4.13%</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4.13%</w:t>
            </w:r>
          </w:p>
        </w:tc>
        <w:tc>
          <w:tcPr>
            <w:tcW w:w="0" w:type="dxa"/>
            <w:vAlign w:val="bottom"/>
          </w:tcPr>
          <w:p>
            <w:pPr>
              <w:spacing w:after="0"/>
              <w:rPr>
                <w:sz w:val="1"/>
                <w:szCs w:val="1"/>
                <w:color w:val="auto"/>
              </w:rPr>
            </w:pPr>
          </w:p>
        </w:tc>
      </w:tr>
      <w:tr>
        <w:trPr>
          <w:trHeight w:val="163"/>
        </w:trPr>
        <w:tc>
          <w:tcPr>
            <w:tcW w:w="3600" w:type="dxa"/>
            <w:vAlign w:val="bottom"/>
            <w:gridSpan w:val="2"/>
          </w:tcPr>
          <w:p>
            <w:pPr>
              <w:ind w:left="80"/>
              <w:spacing w:after="0"/>
              <w:rPr>
                <w:sz w:val="20"/>
                <w:szCs w:val="20"/>
                <w:color w:val="auto"/>
              </w:rPr>
            </w:pPr>
            <w:r>
              <w:rPr>
                <w:rFonts w:ascii="Arial" w:cs="Arial" w:eastAsia="Arial" w:hAnsi="Arial"/>
                <w:sz w:val="12"/>
                <w:szCs w:val="12"/>
                <w:color w:val="auto"/>
              </w:rPr>
              <w:t>Bank of America Credit Facility (US)</w:t>
            </w:r>
          </w:p>
        </w:tc>
        <w:tc>
          <w:tcPr>
            <w:tcW w:w="1700" w:type="dxa"/>
            <w:vAlign w:val="bottom"/>
            <w:gridSpan w:val="2"/>
          </w:tcPr>
          <w:p>
            <w:pPr>
              <w:jc w:val="center"/>
              <w:ind w:right="60"/>
              <w:spacing w:after="0"/>
              <w:rPr>
                <w:sz w:val="20"/>
                <w:szCs w:val="20"/>
                <w:color w:val="auto"/>
              </w:rPr>
            </w:pPr>
            <w:r>
              <w:rPr>
                <w:rFonts w:ascii="Arial" w:cs="Arial" w:eastAsia="Arial" w:hAnsi="Arial"/>
                <w:sz w:val="12"/>
                <w:szCs w:val="12"/>
                <w:color w:val="auto"/>
                <w:w w:val="88"/>
              </w:rPr>
              <w:t>March 6, 2023</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39,500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39,500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39,364</w:t>
            </w:r>
          </w:p>
        </w:tc>
        <w:tc>
          <w:tcPr>
            <w:tcW w:w="1240" w:type="dxa"/>
            <w:vAlign w:val="bottom"/>
            <w:gridSpan w:val="2"/>
          </w:tcPr>
          <w:p>
            <w:pPr>
              <w:jc w:val="center"/>
              <w:ind w:left="42"/>
              <w:spacing w:after="0"/>
              <w:rPr>
                <w:sz w:val="20"/>
                <w:szCs w:val="20"/>
                <w:color w:val="auto"/>
              </w:rPr>
            </w:pPr>
            <w:r>
              <w:rPr>
                <w:rFonts w:ascii="Arial" w:cs="Arial" w:eastAsia="Arial" w:hAnsi="Arial"/>
                <w:sz w:val="12"/>
                <w:szCs w:val="12"/>
                <w:color w:val="auto"/>
                <w:w w:val="88"/>
              </w:rPr>
              <w:t>5.75%</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88"/>
              </w:rPr>
              <w:t>5.75%</w:t>
            </w:r>
          </w:p>
        </w:tc>
        <w:tc>
          <w:tcPr>
            <w:tcW w:w="0" w:type="dxa"/>
            <w:vAlign w:val="bottom"/>
          </w:tcPr>
          <w:p>
            <w:pPr>
              <w:spacing w:after="0"/>
              <w:rPr>
                <w:sz w:val="1"/>
                <w:szCs w:val="1"/>
                <w:color w:val="auto"/>
              </w:rPr>
            </w:pPr>
          </w:p>
        </w:tc>
      </w:tr>
      <w:tr>
        <w:trPr>
          <w:trHeight w:val="163"/>
        </w:trPr>
        <w:tc>
          <w:tcPr>
            <w:tcW w:w="36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Cinemas 1, 2, 3 Term Loan (US)</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1"/>
              </w:rPr>
              <w:t>April 1, 2022</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24,039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24,039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23,680</w:t>
            </w:r>
          </w:p>
        </w:tc>
        <w:tc>
          <w:tcPr>
            <w:tcW w:w="124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4.25%</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4.25%</w:t>
            </w:r>
          </w:p>
        </w:tc>
        <w:tc>
          <w:tcPr>
            <w:tcW w:w="0" w:type="dxa"/>
            <w:vAlign w:val="bottom"/>
          </w:tcPr>
          <w:p>
            <w:pPr>
              <w:spacing w:after="0"/>
              <w:rPr>
                <w:sz w:val="1"/>
                <w:szCs w:val="1"/>
                <w:color w:val="auto"/>
              </w:rPr>
            </w:pPr>
          </w:p>
        </w:tc>
      </w:tr>
      <w:tr>
        <w:trPr>
          <w:trHeight w:val="163"/>
        </w:trPr>
        <w:tc>
          <w:tcPr>
            <w:tcW w:w="3600" w:type="dxa"/>
            <w:vAlign w:val="bottom"/>
            <w:gridSpan w:val="2"/>
          </w:tcPr>
          <w:p>
            <w:pPr>
              <w:ind w:left="80"/>
              <w:spacing w:after="0" w:line="163" w:lineRule="exact"/>
              <w:rPr>
                <w:sz w:val="20"/>
                <w:szCs w:val="20"/>
                <w:color w:val="auto"/>
              </w:rPr>
            </w:pPr>
            <w:r>
              <w:rPr>
                <w:rFonts w:ascii="Arial" w:cs="Arial" w:eastAsia="Arial" w:hAnsi="Arial"/>
                <w:sz w:val="11"/>
                <w:szCs w:val="11"/>
                <w:color w:val="auto"/>
              </w:rPr>
              <w:t>Minetta &amp; Orpheum Theatres Loan (US)</w:t>
            </w:r>
            <w:r>
              <w:rPr>
                <w:rFonts w:ascii="Arial" w:cs="Arial" w:eastAsia="Arial" w:hAnsi="Arial"/>
                <w:sz w:val="18"/>
                <w:szCs w:val="18"/>
                <w:color w:val="auto"/>
                <w:vertAlign w:val="superscript"/>
              </w:rPr>
              <w:t>(2)</w:t>
            </w:r>
          </w:p>
        </w:tc>
        <w:tc>
          <w:tcPr>
            <w:tcW w:w="1700" w:type="dxa"/>
            <w:vAlign w:val="bottom"/>
            <w:gridSpan w:val="2"/>
          </w:tcPr>
          <w:p>
            <w:pPr>
              <w:jc w:val="center"/>
              <w:ind w:right="80"/>
              <w:spacing w:after="0"/>
              <w:rPr>
                <w:sz w:val="20"/>
                <w:szCs w:val="20"/>
                <w:color w:val="auto"/>
              </w:rPr>
            </w:pPr>
            <w:r>
              <w:rPr>
                <w:rFonts w:ascii="Arial" w:cs="Arial" w:eastAsia="Arial" w:hAnsi="Arial"/>
                <w:sz w:val="12"/>
                <w:szCs w:val="12"/>
                <w:color w:val="auto"/>
                <w:w w:val="87"/>
              </w:rPr>
              <w:t>November 1, 2023</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8,000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7,944</w:t>
            </w:r>
          </w:p>
        </w:tc>
        <w:tc>
          <w:tcPr>
            <w:tcW w:w="1240" w:type="dxa"/>
            <w:vAlign w:val="bottom"/>
            <w:gridSpan w:val="2"/>
          </w:tcPr>
          <w:p>
            <w:pPr>
              <w:jc w:val="center"/>
              <w:ind w:left="42"/>
              <w:spacing w:after="0"/>
              <w:rPr>
                <w:sz w:val="20"/>
                <w:szCs w:val="20"/>
                <w:color w:val="auto"/>
              </w:rPr>
            </w:pPr>
            <w:r>
              <w:rPr>
                <w:rFonts w:ascii="Arial" w:cs="Arial" w:eastAsia="Arial" w:hAnsi="Arial"/>
                <w:sz w:val="12"/>
                <w:szCs w:val="12"/>
                <w:color w:val="auto"/>
                <w:w w:val="88"/>
              </w:rPr>
              <w:t>2.14%</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88"/>
              </w:rPr>
              <w:t>5.15%</w:t>
            </w:r>
          </w:p>
        </w:tc>
        <w:tc>
          <w:tcPr>
            <w:tcW w:w="0" w:type="dxa"/>
            <w:vAlign w:val="bottom"/>
          </w:tcPr>
          <w:p>
            <w:pPr>
              <w:spacing w:after="0"/>
              <w:rPr>
                <w:sz w:val="1"/>
                <w:szCs w:val="1"/>
                <w:color w:val="auto"/>
              </w:rPr>
            </w:pPr>
          </w:p>
        </w:tc>
      </w:tr>
      <w:tr>
        <w:trPr>
          <w:trHeight w:val="163"/>
        </w:trPr>
        <w:tc>
          <w:tcPr>
            <w:tcW w:w="36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U.S. Corporate Office Term Loan (US)</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5"/>
              </w:rPr>
              <w:t>January 1, 2027</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8,936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8,936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8,860</w:t>
            </w:r>
          </w:p>
        </w:tc>
        <w:tc>
          <w:tcPr>
            <w:tcW w:w="124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9"/>
              </w:rPr>
              <w:t>4.64% / 4.44%</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4.64%</w:t>
            </w:r>
          </w:p>
        </w:tc>
        <w:tc>
          <w:tcPr>
            <w:tcW w:w="0" w:type="dxa"/>
            <w:vAlign w:val="bottom"/>
          </w:tcPr>
          <w:p>
            <w:pPr>
              <w:spacing w:after="0"/>
              <w:rPr>
                <w:sz w:val="1"/>
                <w:szCs w:val="1"/>
                <w:color w:val="auto"/>
              </w:rPr>
            </w:pPr>
          </w:p>
        </w:tc>
      </w:tr>
      <w:tr>
        <w:trPr>
          <w:trHeight w:val="141"/>
        </w:trPr>
        <w:tc>
          <w:tcPr>
            <w:tcW w:w="3600" w:type="dxa"/>
            <w:vAlign w:val="bottom"/>
            <w:gridSpan w:val="2"/>
            <w:vMerge w:val="restart"/>
          </w:tcPr>
          <w:p>
            <w:pPr>
              <w:ind w:left="80"/>
              <w:spacing w:after="0"/>
              <w:rPr>
                <w:sz w:val="20"/>
                <w:szCs w:val="20"/>
                <w:color w:val="auto"/>
              </w:rPr>
            </w:pPr>
            <w:r>
              <w:rPr>
                <w:rFonts w:ascii="Arial" w:cs="Arial" w:eastAsia="Arial" w:hAnsi="Arial"/>
                <w:sz w:val="12"/>
                <w:szCs w:val="12"/>
                <w:color w:val="auto"/>
              </w:rPr>
              <w:t>Union Square Financing (US)</w:t>
            </w:r>
          </w:p>
        </w:tc>
        <w:tc>
          <w:tcPr>
            <w:tcW w:w="1700" w:type="dxa"/>
            <w:vAlign w:val="bottom"/>
            <w:gridSpan w:val="2"/>
          </w:tcPr>
          <w:p>
            <w:pPr>
              <w:jc w:val="center"/>
              <w:ind w:right="80"/>
              <w:spacing w:after="0"/>
              <w:rPr>
                <w:sz w:val="20"/>
                <w:szCs w:val="20"/>
                <w:color w:val="auto"/>
              </w:rPr>
            </w:pPr>
            <w:r>
              <w:rPr>
                <w:rFonts w:ascii="Arial" w:cs="Arial" w:eastAsia="Arial" w:hAnsi="Arial"/>
                <w:sz w:val="12"/>
                <w:szCs w:val="12"/>
                <w:color w:val="auto"/>
                <w:w w:val="87"/>
              </w:rPr>
              <w:t>May 6, 2024</w:t>
            </w:r>
          </w:p>
        </w:tc>
        <w:tc>
          <w:tcPr>
            <w:tcW w:w="1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55,000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43,000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42,002</w:t>
            </w:r>
          </w:p>
        </w:tc>
        <w:tc>
          <w:tcPr>
            <w:tcW w:w="1240" w:type="dxa"/>
            <w:vAlign w:val="bottom"/>
            <w:gridSpan w:val="2"/>
            <w:vMerge w:val="restart"/>
          </w:tcPr>
          <w:p>
            <w:pPr>
              <w:jc w:val="center"/>
              <w:ind w:left="42"/>
              <w:spacing w:after="0"/>
              <w:rPr>
                <w:sz w:val="20"/>
                <w:szCs w:val="20"/>
                <w:color w:val="auto"/>
              </w:rPr>
            </w:pPr>
            <w:r>
              <w:rPr>
                <w:rFonts w:ascii="Arial" w:cs="Arial" w:eastAsia="Arial" w:hAnsi="Arial"/>
                <w:sz w:val="12"/>
                <w:szCs w:val="12"/>
                <w:color w:val="auto"/>
                <w:w w:val="88"/>
              </w:rPr>
              <w:t>7.00%</w:t>
            </w:r>
          </w:p>
        </w:tc>
        <w:tc>
          <w:tcPr>
            <w:tcW w:w="10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2"/>
                <w:szCs w:val="12"/>
                <w:color w:val="auto"/>
                <w:w w:val="88"/>
              </w:rPr>
              <w:t>7.00%</w:t>
            </w:r>
          </w:p>
        </w:tc>
        <w:tc>
          <w:tcPr>
            <w:tcW w:w="0" w:type="dxa"/>
            <w:vAlign w:val="bottom"/>
          </w:tcPr>
          <w:p>
            <w:pPr>
              <w:spacing w:after="0"/>
              <w:rPr>
                <w:sz w:val="1"/>
                <w:szCs w:val="1"/>
                <w:color w:val="auto"/>
              </w:rPr>
            </w:pPr>
          </w:p>
        </w:tc>
      </w:tr>
      <w:tr>
        <w:trPr>
          <w:trHeight w:val="22"/>
        </w:trPr>
        <w:tc>
          <w:tcPr>
            <w:tcW w:w="3600" w:type="dxa"/>
            <w:vAlign w:val="bottom"/>
            <w:gridSpan w:val="2"/>
            <w:vMerge w:val="continu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Purchase Money Promissory Note (US)</w:t>
            </w:r>
          </w:p>
        </w:tc>
        <w:tc>
          <w:tcPr>
            <w:tcW w:w="170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84"/>
              </w:rPr>
              <w:t>September 18, 2024</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2,043</w:t>
            </w:r>
          </w:p>
        </w:tc>
        <w:tc>
          <w:tcPr>
            <w:tcW w:w="124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5.00%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5.00%</w:t>
            </w:r>
          </w:p>
        </w:tc>
        <w:tc>
          <w:tcPr>
            <w:tcW w:w="0" w:type="dxa"/>
            <w:vAlign w:val="bottom"/>
          </w:tcPr>
          <w:p>
            <w:pPr>
              <w:spacing w:after="0"/>
              <w:rPr>
                <w:sz w:val="1"/>
                <w:szCs w:val="1"/>
                <w:color w:val="auto"/>
              </w:rPr>
            </w:pPr>
          </w:p>
        </w:tc>
      </w:tr>
      <w:tr>
        <w:trPr>
          <w:trHeight w:val="163"/>
        </w:trPr>
        <w:tc>
          <w:tcPr>
            <w:tcW w:w="3600" w:type="dxa"/>
            <w:vAlign w:val="bottom"/>
            <w:gridSpan w:val="2"/>
          </w:tcPr>
          <w:p>
            <w:pPr>
              <w:spacing w:after="0" w:line="163" w:lineRule="exact"/>
              <w:rPr>
                <w:sz w:val="20"/>
                <w:szCs w:val="20"/>
                <w:color w:val="auto"/>
              </w:rPr>
            </w:pPr>
            <w:r>
              <w:rPr>
                <w:rFonts w:ascii="Arial" w:cs="Arial" w:eastAsia="Arial" w:hAnsi="Arial"/>
                <w:sz w:val="11"/>
                <w:szCs w:val="11"/>
                <w:color w:val="auto"/>
              </w:rPr>
              <w:t>Denominated in foreign currency ("FC")</w:t>
            </w:r>
            <w:r>
              <w:rPr>
                <w:rFonts w:ascii="Arial" w:cs="Arial" w:eastAsia="Arial" w:hAnsi="Arial"/>
                <w:sz w:val="18"/>
                <w:szCs w:val="18"/>
                <w:color w:val="auto"/>
                <w:vertAlign w:val="superscript"/>
              </w:rPr>
              <w:t>(3)</w:t>
            </w: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NAB Corporate Term Loan (AU)</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5"/>
              </w:rPr>
              <w:t>December 31, 2023</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74,052</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74,052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73,900</w:t>
            </w:r>
          </w:p>
        </w:tc>
        <w:tc>
          <w:tcPr>
            <w:tcW w:w="124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1.82%</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1.82%</w:t>
            </w:r>
          </w:p>
        </w:tc>
        <w:tc>
          <w:tcPr>
            <w:tcW w:w="0" w:type="dxa"/>
            <w:vAlign w:val="bottom"/>
          </w:tcPr>
          <w:p>
            <w:pPr>
              <w:spacing w:after="0"/>
              <w:rPr>
                <w:sz w:val="1"/>
                <w:szCs w:val="1"/>
                <w:color w:val="auto"/>
              </w:rPr>
            </w:pPr>
          </w:p>
        </w:tc>
      </w:tr>
      <w:tr>
        <w:trPr>
          <w:trHeight w:val="163"/>
        </w:trPr>
        <w:tc>
          <w:tcPr>
            <w:tcW w:w="3600" w:type="dxa"/>
            <w:vAlign w:val="bottom"/>
            <w:tcBorders>
              <w:bottom w:val="single" w:sz="8" w:color="CCEEFF"/>
            </w:tcBorders>
            <w:gridSpan w:val="2"/>
          </w:tcPr>
          <w:p>
            <w:pPr>
              <w:ind w:left="80"/>
              <w:spacing w:after="0"/>
              <w:rPr>
                <w:sz w:val="20"/>
                <w:szCs w:val="20"/>
                <w:color w:val="auto"/>
              </w:rPr>
            </w:pPr>
            <w:r>
              <w:rPr>
                <w:rFonts w:ascii="Arial" w:cs="Arial" w:eastAsia="Arial" w:hAnsi="Arial"/>
                <w:sz w:val="12"/>
                <w:szCs w:val="12"/>
                <w:color w:val="auto"/>
              </w:rPr>
              <w:t>Westpac Bank Corporate (NZ)</w:t>
            </w:r>
          </w:p>
        </w:tc>
        <w:tc>
          <w:tcPr>
            <w:tcW w:w="17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2"/>
                <w:szCs w:val="12"/>
                <w:color w:val="auto"/>
                <w:w w:val="85"/>
              </w:rPr>
              <w:t>December 31, 2023</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9,465</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9,465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9,465</w:t>
            </w:r>
          </w:p>
        </w:tc>
        <w:tc>
          <w:tcPr>
            <w:tcW w:w="1240" w:type="dxa"/>
            <w:vAlign w:val="bottom"/>
            <w:tcBorders>
              <w:bottom w:val="single" w:sz="8" w:color="CCEEFF"/>
            </w:tcBorders>
            <w:gridSpan w:val="2"/>
          </w:tcPr>
          <w:p>
            <w:pPr>
              <w:jc w:val="center"/>
              <w:ind w:left="42"/>
              <w:spacing w:after="0"/>
              <w:rPr>
                <w:sz w:val="20"/>
                <w:szCs w:val="20"/>
                <w:color w:val="auto"/>
              </w:rPr>
            </w:pPr>
            <w:r>
              <w:rPr>
                <w:rFonts w:ascii="Arial" w:cs="Arial" w:eastAsia="Arial" w:hAnsi="Arial"/>
                <w:sz w:val="12"/>
                <w:szCs w:val="12"/>
                <w:color w:val="auto"/>
                <w:w w:val="88"/>
              </w:rPr>
              <w:t>3.45%</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88"/>
              </w:rPr>
              <w:t>3.45%</w:t>
            </w:r>
          </w:p>
        </w:tc>
        <w:tc>
          <w:tcPr>
            <w:tcW w:w="0" w:type="dxa"/>
            <w:vAlign w:val="bottom"/>
          </w:tcPr>
          <w:p>
            <w:pPr>
              <w:spacing w:after="0"/>
              <w:rPr>
                <w:sz w:val="1"/>
                <w:szCs w:val="1"/>
                <w:color w:val="auto"/>
              </w:rPr>
            </w:pPr>
          </w:p>
        </w:tc>
      </w:tr>
      <w:tr>
        <w:trPr>
          <w:trHeight w:val="133"/>
        </w:trPr>
        <w:tc>
          <w:tcPr>
            <w:tcW w:w="3600" w:type="dxa"/>
            <w:vAlign w:val="bottom"/>
            <w:tcBorders>
              <w:bottom w:val="single" w:sz="8" w:color="CCEEFF"/>
            </w:tcBorders>
            <w:gridSpan w:val="2"/>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Total</w:t>
            </w:r>
          </w:p>
        </w:tc>
        <w:tc>
          <w:tcPr>
            <w:tcW w:w="16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b w:val="1"/>
                <w:bCs w:val="1"/>
                <w:color w:val="auto"/>
              </w:rPr>
              <w:t>248,948</w:t>
            </w: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b w:val="1"/>
                <w:bCs w:val="1"/>
                <w:color w:val="auto"/>
              </w:rPr>
              <w:t>236,948</w:t>
            </w: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b w:val="1"/>
                <w:bCs w:val="1"/>
                <w:color w:val="auto"/>
              </w:rPr>
              <w:t>233,986</w:t>
            </w:r>
          </w:p>
        </w:tc>
        <w:tc>
          <w:tcPr>
            <w:tcW w:w="10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520" w:hanging="253"/>
        <w:spacing w:after="0"/>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Net of deferred financing costs amounting to $3.0 million.</w:t>
      </w:r>
    </w:p>
    <w:p>
      <w:pPr>
        <w:ind w:left="520" w:hanging="253"/>
        <w:spacing w:after="0" w:line="207" w:lineRule="auto"/>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interest rate derivative associated with the Minetta &amp; Orpheum loan provides for an effective fixed rate of 5.15%.</w:t>
      </w:r>
    </w:p>
    <w:p>
      <w:pPr>
        <w:ind w:left="520" w:hanging="253"/>
        <w:spacing w:after="0" w:line="238" w:lineRule="auto"/>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contractual facilities and outstanding balances of the FC-denominated borrowings were translated into U.S. dollars based on exchange rates as of December 31,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4"/>
          </w:tcPr>
          <w:p>
            <w:pPr>
              <w:ind w:left="140"/>
              <w:spacing w:after="0"/>
              <w:rPr>
                <w:sz w:val="20"/>
                <w:szCs w:val="20"/>
                <w:color w:val="auto"/>
              </w:rPr>
            </w:pPr>
            <w:r>
              <w:rPr>
                <w:rFonts w:ascii="Arial" w:cs="Arial" w:eastAsia="Arial" w:hAnsi="Arial"/>
                <w:sz w:val="12"/>
                <w:szCs w:val="12"/>
                <w:b w:val="1"/>
                <w:bCs w:val="1"/>
                <w:color w:val="auto"/>
              </w:rPr>
              <w:t>As of December 31, 2020</w:t>
            </w: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283"/>
              <w:spacing w:after="0"/>
              <w:rPr>
                <w:sz w:val="20"/>
                <w:szCs w:val="20"/>
                <w:color w:val="auto"/>
              </w:rPr>
            </w:pPr>
            <w:r>
              <w:rPr>
                <w:rFonts w:ascii="Arial" w:cs="Arial" w:eastAsia="Arial" w:hAnsi="Arial"/>
                <w:sz w:val="12"/>
                <w:szCs w:val="12"/>
                <w:b w:val="1"/>
                <w:bCs w:val="1"/>
                <w:color w:val="auto"/>
              </w:rPr>
              <w:t>Balance,</w:t>
            </w: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1"/>
              </w:rPr>
              <w:t>Stated</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87"/>
              </w:rPr>
              <w:t>Effective</w:t>
            </w:r>
          </w:p>
        </w:tc>
        <w:tc>
          <w:tcPr>
            <w:tcW w:w="0" w:type="dxa"/>
            <w:vAlign w:val="bottom"/>
          </w:tcPr>
          <w:p>
            <w:pPr>
              <w:spacing w:after="0"/>
              <w:rPr>
                <w:sz w:val="1"/>
                <w:szCs w:val="1"/>
                <w:color w:val="auto"/>
              </w:rPr>
            </w:pPr>
          </w:p>
        </w:tc>
      </w:tr>
      <w:tr>
        <w:trPr>
          <w:trHeight w:val="115"/>
        </w:trPr>
        <w:tc>
          <w:tcPr>
            <w:tcW w:w="3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ind w:left="100"/>
              <w:spacing w:after="0" w:line="115" w:lineRule="exact"/>
              <w:rPr>
                <w:sz w:val="20"/>
                <w:szCs w:val="20"/>
                <w:color w:val="auto"/>
              </w:rPr>
            </w:pPr>
            <w:r>
              <w:rPr>
                <w:rFonts w:ascii="Arial" w:cs="Arial" w:eastAsia="Arial" w:hAnsi="Arial"/>
                <w:sz w:val="12"/>
                <w:szCs w:val="12"/>
                <w:b w:val="1"/>
                <w:bCs w:val="1"/>
                <w:color w:val="auto"/>
              </w:rPr>
              <w:t>Contractual</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tcPr>
          <w:p>
            <w:pPr>
              <w:ind w:left="140"/>
              <w:spacing w:after="0" w:line="115" w:lineRule="exact"/>
              <w:rPr>
                <w:sz w:val="20"/>
                <w:szCs w:val="20"/>
                <w:color w:val="auto"/>
              </w:rPr>
            </w:pPr>
            <w:r>
              <w:rPr>
                <w:rFonts w:ascii="Arial" w:cs="Arial" w:eastAsia="Arial" w:hAnsi="Arial"/>
                <w:sz w:val="12"/>
                <w:szCs w:val="12"/>
                <w:b w:val="1"/>
                <w:bCs w:val="1"/>
                <w:color w:val="auto"/>
              </w:rPr>
              <w:t>Balance,</w:t>
            </w:r>
          </w:p>
        </w:tc>
        <w:tc>
          <w:tcPr>
            <w:tcW w:w="2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tcPr>
          <w:p>
            <w:pPr>
              <w:jc w:val="center"/>
              <w:ind w:right="100"/>
              <w:spacing w:after="0" w:line="115" w:lineRule="exact"/>
              <w:rPr>
                <w:sz w:val="20"/>
                <w:szCs w:val="20"/>
                <w:color w:val="auto"/>
              </w:rPr>
            </w:pPr>
            <w:r>
              <w:rPr>
                <w:rFonts w:ascii="Arial" w:cs="Arial" w:eastAsia="Arial" w:hAnsi="Arial"/>
                <w:sz w:val="12"/>
                <w:szCs w:val="12"/>
                <w:b w:val="1"/>
                <w:bCs w:val="1"/>
                <w:color w:val="auto"/>
                <w:w w:val="87"/>
              </w:rPr>
              <w:t>Interest</w:t>
            </w:r>
          </w:p>
        </w:tc>
        <w:tc>
          <w:tcPr>
            <w:tcW w:w="114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87"/>
              </w:rPr>
              <w:t>Interest</w:t>
            </w:r>
          </w:p>
        </w:tc>
        <w:tc>
          <w:tcPr>
            <w:tcW w:w="0" w:type="dxa"/>
            <w:vAlign w:val="bottom"/>
          </w:tcPr>
          <w:p>
            <w:pPr>
              <w:spacing w:after="0"/>
              <w:rPr>
                <w:sz w:val="1"/>
                <w:szCs w:val="1"/>
                <w:color w:val="auto"/>
              </w:rPr>
            </w:pPr>
          </w:p>
        </w:tc>
      </w:tr>
      <w:tr>
        <w:trPr>
          <w:trHeight w:val="143"/>
        </w:trPr>
        <w:tc>
          <w:tcPr>
            <w:tcW w:w="352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80" w:type="dxa"/>
            <w:vAlign w:val="bottom"/>
          </w:tcPr>
          <w:p>
            <w:pPr>
              <w:spacing w:after="0"/>
              <w:rPr>
                <w:sz w:val="12"/>
                <w:szCs w:val="1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Maturity Date</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22"/>
              <w:spacing w:after="0"/>
              <w:rPr>
                <w:sz w:val="20"/>
                <w:szCs w:val="20"/>
                <w:color w:val="auto"/>
              </w:rPr>
            </w:pPr>
            <w:r>
              <w:rPr>
                <w:rFonts w:ascii="Arial" w:cs="Arial" w:eastAsia="Arial" w:hAnsi="Arial"/>
                <w:sz w:val="12"/>
                <w:szCs w:val="12"/>
                <w:b w:val="1"/>
                <w:bCs w:val="1"/>
                <w:color w:val="auto"/>
              </w:rPr>
              <w:t>Facility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Gross</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3"/>
              <w:spacing w:after="0" w:line="141" w:lineRule="exact"/>
              <w:rPr>
                <w:sz w:val="20"/>
                <w:szCs w:val="20"/>
                <w:color w:val="auto"/>
              </w:rPr>
            </w:pPr>
            <w:r>
              <w:rPr>
                <w:rFonts w:ascii="Arial" w:cs="Arial" w:eastAsia="Arial" w:hAnsi="Arial"/>
                <w:sz w:val="10"/>
                <w:szCs w:val="10"/>
                <w:b w:val="1"/>
                <w:bCs w:val="1"/>
                <w:color w:val="auto"/>
              </w:rPr>
              <w:t>Net</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Rate</w:t>
            </w:r>
          </w:p>
        </w:tc>
        <w:tc>
          <w:tcPr>
            <w:tcW w:w="100" w:type="dxa"/>
            <w:vAlign w:val="bottom"/>
          </w:tcPr>
          <w:p>
            <w:pPr>
              <w:spacing w:after="0"/>
              <w:rPr>
                <w:sz w:val="12"/>
                <w:szCs w:val="1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Rate</w:t>
            </w:r>
          </w:p>
        </w:tc>
        <w:tc>
          <w:tcPr>
            <w:tcW w:w="0" w:type="dxa"/>
            <w:vAlign w:val="bottom"/>
          </w:tcPr>
          <w:p>
            <w:pPr>
              <w:spacing w:after="0"/>
              <w:rPr>
                <w:sz w:val="1"/>
                <w:szCs w:val="1"/>
                <w:color w:val="auto"/>
              </w:rPr>
            </w:pPr>
          </w:p>
        </w:tc>
      </w:tr>
      <w:tr>
        <w:trPr>
          <w:trHeight w:val="152"/>
        </w:trPr>
        <w:tc>
          <w:tcPr>
            <w:tcW w:w="3600" w:type="dxa"/>
            <w:vAlign w:val="bottom"/>
            <w:gridSpan w:val="2"/>
          </w:tcPr>
          <w:p>
            <w:pPr>
              <w:spacing w:after="0"/>
              <w:rPr>
                <w:sz w:val="20"/>
                <w:szCs w:val="20"/>
                <w:color w:val="auto"/>
              </w:rPr>
            </w:pPr>
            <w:r>
              <w:rPr>
                <w:rFonts w:ascii="Arial" w:cs="Arial" w:eastAsia="Arial" w:hAnsi="Arial"/>
                <w:sz w:val="12"/>
                <w:szCs w:val="12"/>
                <w:color w:val="auto"/>
              </w:rPr>
              <w:t>Denominated in USD</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6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Trust Preferred Securities (US)</w:t>
            </w:r>
          </w:p>
        </w:tc>
        <w:tc>
          <w:tcPr>
            <w:tcW w:w="170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91"/>
              </w:rPr>
              <w:t>April 30, 2027</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27,913</w:t>
            </w:r>
          </w:p>
        </w:tc>
        <w:tc>
          <w:tcPr>
            <w:tcW w:w="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88"/>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26,505</w:t>
            </w:r>
          </w:p>
        </w:tc>
        <w:tc>
          <w:tcPr>
            <w:tcW w:w="124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4.27%</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4.27%</w:t>
            </w:r>
          </w:p>
        </w:tc>
        <w:tc>
          <w:tcPr>
            <w:tcW w:w="0" w:type="dxa"/>
            <w:vAlign w:val="bottom"/>
          </w:tcPr>
          <w:p>
            <w:pPr>
              <w:spacing w:after="0"/>
              <w:rPr>
                <w:sz w:val="1"/>
                <w:szCs w:val="1"/>
                <w:color w:val="auto"/>
              </w:rPr>
            </w:pPr>
          </w:p>
        </w:tc>
      </w:tr>
      <w:tr>
        <w:trPr>
          <w:trHeight w:val="163"/>
        </w:trPr>
        <w:tc>
          <w:tcPr>
            <w:tcW w:w="3600" w:type="dxa"/>
            <w:vAlign w:val="bottom"/>
            <w:gridSpan w:val="2"/>
          </w:tcPr>
          <w:p>
            <w:pPr>
              <w:ind w:left="180"/>
              <w:spacing w:after="0"/>
              <w:rPr>
                <w:sz w:val="20"/>
                <w:szCs w:val="20"/>
                <w:color w:val="auto"/>
              </w:rPr>
            </w:pPr>
            <w:r>
              <w:rPr>
                <w:rFonts w:ascii="Arial" w:cs="Arial" w:eastAsia="Arial" w:hAnsi="Arial"/>
                <w:sz w:val="12"/>
                <w:szCs w:val="12"/>
                <w:color w:val="auto"/>
              </w:rPr>
              <w:t>Bank of America Credit Facility (US)</w:t>
            </w:r>
          </w:p>
        </w:tc>
        <w:tc>
          <w:tcPr>
            <w:tcW w:w="1700" w:type="dxa"/>
            <w:vAlign w:val="bottom"/>
            <w:gridSpan w:val="2"/>
          </w:tcPr>
          <w:p>
            <w:pPr>
              <w:jc w:val="center"/>
              <w:ind w:right="60"/>
              <w:spacing w:after="0"/>
              <w:rPr>
                <w:sz w:val="20"/>
                <w:szCs w:val="20"/>
                <w:color w:val="auto"/>
              </w:rPr>
            </w:pPr>
            <w:r>
              <w:rPr>
                <w:rFonts w:ascii="Arial" w:cs="Arial" w:eastAsia="Arial" w:hAnsi="Arial"/>
                <w:sz w:val="12"/>
                <w:szCs w:val="12"/>
                <w:color w:val="auto"/>
                <w:w w:val="88"/>
              </w:rPr>
              <w:t>March 6, 2023</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55,000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51,200</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50,990</w:t>
            </w:r>
          </w:p>
        </w:tc>
        <w:tc>
          <w:tcPr>
            <w:tcW w:w="1240" w:type="dxa"/>
            <w:vAlign w:val="bottom"/>
            <w:gridSpan w:val="2"/>
          </w:tcPr>
          <w:p>
            <w:pPr>
              <w:jc w:val="center"/>
              <w:ind w:left="42"/>
              <w:spacing w:after="0"/>
              <w:rPr>
                <w:sz w:val="20"/>
                <w:szCs w:val="20"/>
                <w:color w:val="auto"/>
              </w:rPr>
            </w:pPr>
            <w:r>
              <w:rPr>
                <w:rFonts w:ascii="Arial" w:cs="Arial" w:eastAsia="Arial" w:hAnsi="Arial"/>
                <w:sz w:val="12"/>
                <w:szCs w:val="12"/>
                <w:color w:val="auto"/>
                <w:w w:val="88"/>
              </w:rPr>
              <w:t>4.00%</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88"/>
              </w:rPr>
              <w:t>4.00%</w:t>
            </w:r>
          </w:p>
        </w:tc>
        <w:tc>
          <w:tcPr>
            <w:tcW w:w="0" w:type="dxa"/>
            <w:vAlign w:val="bottom"/>
          </w:tcPr>
          <w:p>
            <w:pPr>
              <w:spacing w:after="0"/>
              <w:rPr>
                <w:sz w:val="1"/>
                <w:szCs w:val="1"/>
                <w:color w:val="auto"/>
              </w:rPr>
            </w:pPr>
          </w:p>
        </w:tc>
      </w:tr>
      <w:tr>
        <w:trPr>
          <w:trHeight w:val="163"/>
        </w:trPr>
        <w:tc>
          <w:tcPr>
            <w:tcW w:w="36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Bank of America Line of Credit (US)</w:t>
            </w:r>
          </w:p>
        </w:tc>
        <w:tc>
          <w:tcPr>
            <w:tcW w:w="170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88"/>
              </w:rPr>
              <w:t>March 6, 2023</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5,000</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w:t>
            </w:r>
          </w:p>
        </w:tc>
        <w:tc>
          <w:tcPr>
            <w:tcW w:w="124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3.15%</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3.15%</w:t>
            </w:r>
          </w:p>
        </w:tc>
        <w:tc>
          <w:tcPr>
            <w:tcW w:w="0" w:type="dxa"/>
            <w:vAlign w:val="bottom"/>
          </w:tcPr>
          <w:p>
            <w:pPr>
              <w:spacing w:after="0"/>
              <w:rPr>
                <w:sz w:val="1"/>
                <w:szCs w:val="1"/>
                <w:color w:val="auto"/>
              </w:rPr>
            </w:pPr>
          </w:p>
        </w:tc>
      </w:tr>
      <w:tr>
        <w:trPr>
          <w:trHeight w:val="163"/>
        </w:trPr>
        <w:tc>
          <w:tcPr>
            <w:tcW w:w="3600" w:type="dxa"/>
            <w:vAlign w:val="bottom"/>
            <w:gridSpan w:val="2"/>
          </w:tcPr>
          <w:p>
            <w:pPr>
              <w:ind w:left="180"/>
              <w:spacing w:after="0"/>
              <w:rPr>
                <w:sz w:val="20"/>
                <w:szCs w:val="20"/>
                <w:color w:val="auto"/>
              </w:rPr>
            </w:pPr>
            <w:r>
              <w:rPr>
                <w:rFonts w:ascii="Arial" w:cs="Arial" w:eastAsia="Arial" w:hAnsi="Arial"/>
                <w:sz w:val="12"/>
                <w:szCs w:val="12"/>
                <w:color w:val="auto"/>
              </w:rPr>
              <w:t>Cinemas 1, 2, 3 Term Loan (US)</w:t>
            </w:r>
          </w:p>
        </w:tc>
        <w:tc>
          <w:tcPr>
            <w:tcW w:w="1700" w:type="dxa"/>
            <w:vAlign w:val="bottom"/>
            <w:gridSpan w:val="2"/>
          </w:tcPr>
          <w:p>
            <w:pPr>
              <w:jc w:val="center"/>
              <w:ind w:right="80"/>
              <w:spacing w:after="0"/>
              <w:rPr>
                <w:sz w:val="20"/>
                <w:szCs w:val="20"/>
                <w:color w:val="auto"/>
              </w:rPr>
            </w:pPr>
            <w:r>
              <w:rPr>
                <w:rFonts w:ascii="Arial" w:cs="Arial" w:eastAsia="Arial" w:hAnsi="Arial"/>
                <w:sz w:val="12"/>
                <w:szCs w:val="12"/>
                <w:color w:val="auto"/>
                <w:w w:val="91"/>
              </w:rPr>
              <w:t>April 1, 2022</w:t>
            </w:r>
          </w:p>
        </w:tc>
        <w:tc>
          <w:tcPr>
            <w:tcW w:w="16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2"/>
                <w:szCs w:val="12"/>
                <w:color w:val="auto"/>
              </w:rPr>
              <w:t>24,625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24,625</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24,248</w:t>
            </w:r>
          </w:p>
        </w:tc>
        <w:tc>
          <w:tcPr>
            <w:tcW w:w="1240" w:type="dxa"/>
            <w:vAlign w:val="bottom"/>
            <w:gridSpan w:val="2"/>
          </w:tcPr>
          <w:p>
            <w:pPr>
              <w:jc w:val="center"/>
              <w:ind w:left="42"/>
              <w:spacing w:after="0"/>
              <w:rPr>
                <w:sz w:val="20"/>
                <w:szCs w:val="20"/>
                <w:color w:val="auto"/>
              </w:rPr>
            </w:pPr>
            <w:r>
              <w:rPr>
                <w:rFonts w:ascii="Arial" w:cs="Arial" w:eastAsia="Arial" w:hAnsi="Arial"/>
                <w:sz w:val="12"/>
                <w:szCs w:val="12"/>
                <w:color w:val="auto"/>
                <w:w w:val="88"/>
              </w:rPr>
              <w:t>4.25%</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88"/>
              </w:rPr>
              <w:t>4.25%</w:t>
            </w:r>
          </w:p>
        </w:tc>
        <w:tc>
          <w:tcPr>
            <w:tcW w:w="0" w:type="dxa"/>
            <w:vAlign w:val="bottom"/>
          </w:tcPr>
          <w:p>
            <w:pPr>
              <w:spacing w:after="0"/>
              <w:rPr>
                <w:sz w:val="1"/>
                <w:szCs w:val="1"/>
                <w:color w:val="auto"/>
              </w:rPr>
            </w:pPr>
          </w:p>
        </w:tc>
      </w:tr>
      <w:tr>
        <w:trPr>
          <w:trHeight w:val="163"/>
        </w:trPr>
        <w:tc>
          <w:tcPr>
            <w:tcW w:w="36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Minetta &amp; Orpheum Theatres Loan (US)(2)</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7"/>
              </w:rPr>
              <w:t>November 1, 2023</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8,000</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8,000</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7,914</w:t>
            </w:r>
          </w:p>
        </w:tc>
        <w:tc>
          <w:tcPr>
            <w:tcW w:w="124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2.20%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5.15%</w:t>
            </w:r>
          </w:p>
        </w:tc>
        <w:tc>
          <w:tcPr>
            <w:tcW w:w="0" w:type="dxa"/>
            <w:vAlign w:val="bottom"/>
          </w:tcPr>
          <w:p>
            <w:pPr>
              <w:spacing w:after="0"/>
              <w:rPr>
                <w:sz w:val="1"/>
                <w:szCs w:val="1"/>
                <w:color w:val="auto"/>
              </w:rPr>
            </w:pPr>
          </w:p>
        </w:tc>
      </w:tr>
      <w:tr>
        <w:trPr>
          <w:trHeight w:val="163"/>
        </w:trPr>
        <w:tc>
          <w:tcPr>
            <w:tcW w:w="3600" w:type="dxa"/>
            <w:vAlign w:val="bottom"/>
            <w:gridSpan w:val="2"/>
          </w:tcPr>
          <w:p>
            <w:pPr>
              <w:ind w:left="180"/>
              <w:spacing w:after="0"/>
              <w:rPr>
                <w:sz w:val="20"/>
                <w:szCs w:val="20"/>
                <w:color w:val="auto"/>
              </w:rPr>
            </w:pPr>
            <w:r>
              <w:rPr>
                <w:rFonts w:ascii="Arial" w:cs="Arial" w:eastAsia="Arial" w:hAnsi="Arial"/>
                <w:sz w:val="12"/>
                <w:szCs w:val="12"/>
                <w:color w:val="auto"/>
              </w:rPr>
              <w:t>U.S. Corporate Office Term Loan (US)</w:t>
            </w:r>
          </w:p>
        </w:tc>
        <w:tc>
          <w:tcPr>
            <w:tcW w:w="1700" w:type="dxa"/>
            <w:vAlign w:val="bottom"/>
            <w:gridSpan w:val="2"/>
          </w:tcPr>
          <w:p>
            <w:pPr>
              <w:jc w:val="center"/>
              <w:ind w:right="80"/>
              <w:spacing w:after="0"/>
              <w:rPr>
                <w:sz w:val="20"/>
                <w:szCs w:val="20"/>
                <w:color w:val="auto"/>
              </w:rPr>
            </w:pPr>
            <w:r>
              <w:rPr>
                <w:rFonts w:ascii="Arial" w:cs="Arial" w:eastAsia="Arial" w:hAnsi="Arial"/>
                <w:sz w:val="12"/>
                <w:szCs w:val="12"/>
                <w:color w:val="auto"/>
                <w:w w:val="85"/>
              </w:rPr>
              <w:t>January 1, 2027</w:t>
            </w:r>
          </w:p>
        </w:tc>
        <w:tc>
          <w:tcPr>
            <w:tcW w:w="16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2"/>
                <w:szCs w:val="12"/>
                <w:color w:val="auto"/>
              </w:rPr>
              <w:t>9,186</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9,186</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9,095</w:t>
            </w:r>
          </w:p>
        </w:tc>
        <w:tc>
          <w:tcPr>
            <w:tcW w:w="124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4.64% / 4.44%</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88"/>
              </w:rPr>
              <w:t>4.64%</w:t>
            </w:r>
          </w:p>
        </w:tc>
        <w:tc>
          <w:tcPr>
            <w:tcW w:w="0" w:type="dxa"/>
            <w:vAlign w:val="bottom"/>
          </w:tcPr>
          <w:p>
            <w:pPr>
              <w:spacing w:after="0"/>
              <w:rPr>
                <w:sz w:val="1"/>
                <w:szCs w:val="1"/>
                <w:color w:val="auto"/>
              </w:rPr>
            </w:pPr>
          </w:p>
        </w:tc>
      </w:tr>
      <w:tr>
        <w:trPr>
          <w:trHeight w:val="163"/>
        </w:trPr>
        <w:tc>
          <w:tcPr>
            <w:tcW w:w="36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Union Square Financing (US)</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8"/>
              </w:rPr>
              <w:t>March 31, 2021</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50,000</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40,623</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40,620</w:t>
            </w:r>
          </w:p>
        </w:tc>
        <w:tc>
          <w:tcPr>
            <w:tcW w:w="124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3"/>
              </w:rPr>
              <w:t>17.50%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17.50%</w:t>
            </w:r>
          </w:p>
        </w:tc>
        <w:tc>
          <w:tcPr>
            <w:tcW w:w="0" w:type="dxa"/>
            <w:vAlign w:val="bottom"/>
          </w:tcPr>
          <w:p>
            <w:pPr>
              <w:spacing w:after="0"/>
              <w:rPr>
                <w:sz w:val="1"/>
                <w:szCs w:val="1"/>
                <w:color w:val="auto"/>
              </w:rPr>
            </w:pPr>
          </w:p>
        </w:tc>
      </w:tr>
      <w:tr>
        <w:trPr>
          <w:trHeight w:val="141"/>
        </w:trPr>
        <w:tc>
          <w:tcPr>
            <w:tcW w:w="3600" w:type="dxa"/>
            <w:vAlign w:val="bottom"/>
            <w:gridSpan w:val="2"/>
            <w:vMerge w:val="restart"/>
          </w:tcPr>
          <w:p>
            <w:pPr>
              <w:ind w:left="180"/>
              <w:spacing w:after="0"/>
              <w:rPr>
                <w:sz w:val="20"/>
                <w:szCs w:val="20"/>
                <w:color w:val="auto"/>
              </w:rPr>
            </w:pPr>
            <w:r>
              <w:rPr>
                <w:rFonts w:ascii="Arial" w:cs="Arial" w:eastAsia="Arial" w:hAnsi="Arial"/>
                <w:sz w:val="12"/>
                <w:szCs w:val="12"/>
                <w:color w:val="auto"/>
              </w:rPr>
              <w:t>Purchase Money Promissory Note</w:t>
            </w:r>
          </w:p>
        </w:tc>
        <w:tc>
          <w:tcPr>
            <w:tcW w:w="1700" w:type="dxa"/>
            <w:vAlign w:val="bottom"/>
            <w:gridSpan w:val="2"/>
          </w:tcPr>
          <w:p>
            <w:pPr>
              <w:jc w:val="center"/>
              <w:ind w:right="60"/>
              <w:spacing w:after="0"/>
              <w:rPr>
                <w:sz w:val="20"/>
                <w:szCs w:val="20"/>
                <w:color w:val="auto"/>
              </w:rPr>
            </w:pPr>
            <w:r>
              <w:rPr>
                <w:rFonts w:ascii="Arial" w:cs="Arial" w:eastAsia="Arial" w:hAnsi="Arial"/>
                <w:sz w:val="12"/>
                <w:szCs w:val="12"/>
                <w:color w:val="auto"/>
                <w:w w:val="84"/>
              </w:rPr>
              <w:t>September 18, 2024</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2,883</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2,883</w:t>
            </w:r>
          </w:p>
        </w:tc>
        <w:tc>
          <w:tcPr>
            <w:tcW w:w="2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2,883</w:t>
            </w:r>
          </w:p>
        </w:tc>
        <w:tc>
          <w:tcPr>
            <w:tcW w:w="1240" w:type="dxa"/>
            <w:vAlign w:val="bottom"/>
            <w:gridSpan w:val="2"/>
            <w:vMerge w:val="restart"/>
          </w:tcPr>
          <w:p>
            <w:pPr>
              <w:jc w:val="center"/>
              <w:ind w:left="42"/>
              <w:spacing w:after="0"/>
              <w:rPr>
                <w:sz w:val="20"/>
                <w:szCs w:val="20"/>
                <w:color w:val="auto"/>
              </w:rPr>
            </w:pPr>
            <w:r>
              <w:rPr>
                <w:rFonts w:ascii="Arial" w:cs="Arial" w:eastAsia="Arial" w:hAnsi="Arial"/>
                <w:sz w:val="12"/>
                <w:szCs w:val="12"/>
                <w:color w:val="auto"/>
                <w:w w:val="88"/>
              </w:rPr>
              <w:t>5.00%</w:t>
            </w:r>
          </w:p>
        </w:tc>
        <w:tc>
          <w:tcPr>
            <w:tcW w:w="10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2"/>
                <w:szCs w:val="12"/>
                <w:color w:val="auto"/>
                <w:w w:val="88"/>
              </w:rPr>
              <w:t>5.00%</w:t>
            </w:r>
          </w:p>
        </w:tc>
        <w:tc>
          <w:tcPr>
            <w:tcW w:w="0" w:type="dxa"/>
            <w:vAlign w:val="bottom"/>
          </w:tcPr>
          <w:p>
            <w:pPr>
              <w:spacing w:after="0"/>
              <w:rPr>
                <w:sz w:val="1"/>
                <w:szCs w:val="1"/>
                <w:color w:val="auto"/>
              </w:rPr>
            </w:pPr>
          </w:p>
        </w:tc>
      </w:tr>
      <w:tr>
        <w:trPr>
          <w:trHeight w:val="22"/>
        </w:trPr>
        <w:tc>
          <w:tcPr>
            <w:tcW w:w="3600" w:type="dxa"/>
            <w:vAlign w:val="bottom"/>
            <w:gridSpan w:val="2"/>
            <w:vMerge w:val="continu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00" w:type="dxa"/>
            <w:vAlign w:val="bottom"/>
            <w:gridSpan w:val="2"/>
            <w:shd w:val="clear" w:color="auto" w:fill="CCEEFF"/>
          </w:tcPr>
          <w:p>
            <w:pPr>
              <w:spacing w:after="0" w:line="163" w:lineRule="exact"/>
              <w:rPr>
                <w:sz w:val="20"/>
                <w:szCs w:val="20"/>
                <w:color w:val="auto"/>
              </w:rPr>
            </w:pPr>
            <w:r>
              <w:rPr>
                <w:rFonts w:ascii="Arial" w:cs="Arial" w:eastAsia="Arial" w:hAnsi="Arial"/>
                <w:sz w:val="11"/>
                <w:szCs w:val="11"/>
                <w:color w:val="auto"/>
              </w:rPr>
              <w:t>Denominated in foreign currency ("FC")</w:t>
            </w:r>
            <w:r>
              <w:rPr>
                <w:rFonts w:ascii="Arial" w:cs="Arial" w:eastAsia="Arial" w:hAnsi="Arial"/>
                <w:sz w:val="18"/>
                <w:szCs w:val="18"/>
                <w:color w:val="auto"/>
                <w:vertAlign w:val="superscript"/>
              </w:rPr>
              <w:t>(3)</w:t>
            </w: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00" w:type="dxa"/>
            <w:vAlign w:val="bottom"/>
            <w:gridSpan w:val="2"/>
          </w:tcPr>
          <w:p>
            <w:pPr>
              <w:ind w:left="180"/>
              <w:spacing w:after="0"/>
              <w:rPr>
                <w:sz w:val="20"/>
                <w:szCs w:val="20"/>
                <w:color w:val="auto"/>
              </w:rPr>
            </w:pPr>
            <w:r>
              <w:rPr>
                <w:rFonts w:ascii="Arial" w:cs="Arial" w:eastAsia="Arial" w:hAnsi="Arial"/>
                <w:sz w:val="12"/>
                <w:szCs w:val="12"/>
                <w:color w:val="auto"/>
              </w:rPr>
              <w:t>NAB Corporate Term Loan (AU)</w:t>
            </w:r>
          </w:p>
        </w:tc>
        <w:tc>
          <w:tcPr>
            <w:tcW w:w="1700" w:type="dxa"/>
            <w:vAlign w:val="bottom"/>
            <w:gridSpan w:val="2"/>
          </w:tcPr>
          <w:p>
            <w:pPr>
              <w:jc w:val="center"/>
              <w:ind w:right="80"/>
              <w:spacing w:after="0"/>
              <w:rPr>
                <w:sz w:val="20"/>
                <w:szCs w:val="20"/>
                <w:color w:val="auto"/>
              </w:rPr>
            </w:pPr>
            <w:r>
              <w:rPr>
                <w:rFonts w:ascii="Arial" w:cs="Arial" w:eastAsia="Arial" w:hAnsi="Arial"/>
                <w:sz w:val="12"/>
                <w:szCs w:val="12"/>
                <w:color w:val="auto"/>
                <w:w w:val="85"/>
              </w:rPr>
              <w:t>December 31, 2023</w:t>
            </w:r>
          </w:p>
        </w:tc>
        <w:tc>
          <w:tcPr>
            <w:tcW w:w="16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2"/>
                <w:szCs w:val="12"/>
                <w:color w:val="auto"/>
              </w:rPr>
              <w:t>94,821</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92,508</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92,307</w:t>
            </w:r>
          </w:p>
        </w:tc>
        <w:tc>
          <w:tcPr>
            <w:tcW w:w="1240" w:type="dxa"/>
            <w:vAlign w:val="bottom"/>
            <w:gridSpan w:val="2"/>
          </w:tcPr>
          <w:p>
            <w:pPr>
              <w:jc w:val="center"/>
              <w:ind w:left="42"/>
              <w:spacing w:after="0"/>
              <w:rPr>
                <w:sz w:val="20"/>
                <w:szCs w:val="20"/>
                <w:color w:val="auto"/>
              </w:rPr>
            </w:pPr>
            <w:r>
              <w:rPr>
                <w:rFonts w:ascii="Arial" w:cs="Arial" w:eastAsia="Arial" w:hAnsi="Arial"/>
                <w:sz w:val="12"/>
                <w:szCs w:val="12"/>
                <w:color w:val="auto"/>
                <w:w w:val="88"/>
              </w:rPr>
              <w:t>1.81%</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88"/>
              </w:rPr>
              <w:t>1.81%</w:t>
            </w:r>
          </w:p>
        </w:tc>
        <w:tc>
          <w:tcPr>
            <w:tcW w:w="0" w:type="dxa"/>
            <w:vAlign w:val="bottom"/>
          </w:tcPr>
          <w:p>
            <w:pPr>
              <w:spacing w:after="0"/>
              <w:rPr>
                <w:sz w:val="1"/>
                <w:szCs w:val="1"/>
                <w:color w:val="auto"/>
              </w:rPr>
            </w:pPr>
          </w:p>
        </w:tc>
      </w:tr>
      <w:tr>
        <w:trPr>
          <w:trHeight w:val="163"/>
        </w:trPr>
        <w:tc>
          <w:tcPr>
            <w:tcW w:w="36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Westpac Bank Corporate (NZ)</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5"/>
              </w:rPr>
              <w:t>December 31, 2023</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23,021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23,021</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23,021</w:t>
            </w:r>
          </w:p>
        </w:tc>
        <w:tc>
          <w:tcPr>
            <w:tcW w:w="124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2.95%</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2.95%</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6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Total</w:t>
            </w: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300,449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tcPr>
          <w:p>
            <w:pPr>
              <w:jc w:val="right"/>
              <w:ind w:right="100"/>
              <w:spacing w:after="0" w:line="132" w:lineRule="exact"/>
              <w:rPr>
                <w:sz w:val="20"/>
                <w:szCs w:val="20"/>
                <w:color w:val="auto"/>
              </w:rPr>
            </w:pPr>
            <w:r>
              <w:rPr>
                <w:rFonts w:ascii="Arial" w:cs="Arial" w:eastAsia="Arial" w:hAnsi="Arial"/>
                <w:sz w:val="12"/>
                <w:szCs w:val="12"/>
                <w:b w:val="1"/>
                <w:bCs w:val="1"/>
                <w:color w:val="auto"/>
              </w:rPr>
              <w:t>284,959</w:t>
            </w:r>
          </w:p>
        </w:tc>
        <w:tc>
          <w:tcPr>
            <w:tcW w:w="200" w:type="dxa"/>
            <w:vAlign w:val="bottom"/>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282,583</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520" w:hanging="253"/>
        <w:spacing w:after="0"/>
        <w:tabs>
          <w:tab w:leader="none" w:pos="5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Net of deferred financing costs amounting to $2.2 million.</w:t>
      </w:r>
    </w:p>
    <w:p>
      <w:pPr>
        <w:ind w:left="520" w:hanging="253"/>
        <w:spacing w:after="0" w:line="207" w:lineRule="auto"/>
        <w:tabs>
          <w:tab w:leader="none" w:pos="5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interest rate derivative associated with the Minetta &amp; Orpheum loan provides for an effective fixed rate of 5.15%.</w:t>
      </w:r>
    </w:p>
    <w:p>
      <w:pPr>
        <w:ind w:left="520" w:hanging="253"/>
        <w:spacing w:after="0" w:line="238" w:lineRule="auto"/>
        <w:tabs>
          <w:tab w:leader="none" w:pos="5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contractual facilities and outstanding balances of the FC-denominated borrowings were translated into U.S. dollar based on exchange rates as of December 31, 2020.</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Our loan arrangements are presented, net of the deferred financing costs, on the face of our consolidated balance sheet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840" w:type="dxa"/>
            <w:vAlign w:val="bottom"/>
          </w:tcPr>
          <w:p>
            <w:pPr>
              <w:spacing w:after="0"/>
              <w:rPr>
                <w:sz w:val="20"/>
                <w:szCs w:val="20"/>
                <w:color w:val="auto"/>
              </w:rPr>
            </w:pPr>
            <w:r>
              <w:rPr>
                <w:rFonts w:ascii="Arial" w:cs="Arial" w:eastAsia="Arial" w:hAnsi="Arial"/>
                <w:sz w:val="12"/>
                <w:szCs w:val="12"/>
                <w:i w:val="1"/>
                <w:iCs w:val="1"/>
                <w:color w:val="auto"/>
              </w:rPr>
              <w:t>(Dollars in thousands)</w:t>
            </w:r>
          </w:p>
        </w:tc>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2"/>
                <w:szCs w:val="12"/>
                <w:b w:val="1"/>
                <w:bCs w:val="1"/>
                <w:color w:val="auto"/>
              </w:rPr>
              <w:t>December 31,</w:t>
            </w:r>
          </w:p>
        </w:tc>
        <w:tc>
          <w:tcPr>
            <w:tcW w:w="960" w:type="dxa"/>
            <w:vAlign w:val="bottom"/>
            <w:tcBorders>
              <w:bottom w:val="single" w:sz="8" w:color="auto"/>
            </w:tcBorders>
          </w:tcPr>
          <w:p>
            <w:pPr>
              <w:spacing w:after="0"/>
              <w:rPr>
                <w:sz w:val="12"/>
                <w:szCs w:val="12"/>
                <w:color w:val="auto"/>
              </w:rPr>
            </w:pPr>
          </w:p>
        </w:tc>
      </w:tr>
      <w:tr>
        <w:trPr>
          <w:trHeight w:val="143"/>
        </w:trPr>
        <w:tc>
          <w:tcPr>
            <w:tcW w:w="38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Balance Sheet Caption</w:t>
            </w:r>
          </w:p>
        </w:tc>
        <w:tc>
          <w:tcPr>
            <w:tcW w:w="43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2"/>
                <w:szCs w:val="12"/>
                <w:b w:val="1"/>
                <w:bCs w:val="1"/>
                <w:color w:val="auto"/>
              </w:rPr>
              <w:t>2020</w:t>
            </w:r>
          </w:p>
        </w:tc>
      </w:tr>
      <w:tr>
        <w:trPr>
          <w:trHeight w:val="173"/>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Debt - current portion</w:t>
            </w:r>
          </w:p>
        </w:tc>
        <w:tc>
          <w:tcPr>
            <w:tcW w:w="484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11,349</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41,459</w:t>
            </w:r>
          </w:p>
        </w:tc>
      </w:tr>
      <w:tr>
        <w:trPr>
          <w:trHeight w:val="184"/>
        </w:trPr>
        <w:tc>
          <w:tcPr>
            <w:tcW w:w="3840" w:type="dxa"/>
            <w:vAlign w:val="bottom"/>
          </w:tcPr>
          <w:p>
            <w:pPr>
              <w:spacing w:after="0"/>
              <w:rPr>
                <w:sz w:val="20"/>
                <w:szCs w:val="20"/>
                <w:color w:val="auto"/>
              </w:rPr>
            </w:pPr>
            <w:r>
              <w:rPr>
                <w:rFonts w:ascii="Arial" w:cs="Arial" w:eastAsia="Arial" w:hAnsi="Arial"/>
                <w:sz w:val="14"/>
                <w:szCs w:val="14"/>
                <w:color w:val="auto"/>
              </w:rPr>
              <w:t>Debt - long-term portion</w:t>
            </w:r>
          </w:p>
        </w:tc>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195,198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213,779</w:t>
            </w:r>
          </w:p>
        </w:tc>
      </w:tr>
      <w:tr>
        <w:trPr>
          <w:trHeight w:val="184"/>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Subordinated debt - current portion</w:t>
            </w:r>
          </w:p>
        </w:tc>
        <w:tc>
          <w:tcPr>
            <w:tcW w:w="4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711</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r>
      <w:tr>
        <w:trPr>
          <w:trHeight w:val="184"/>
        </w:trPr>
        <w:tc>
          <w:tcPr>
            <w:tcW w:w="38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Subordinated debt - long-term portion</w:t>
            </w:r>
          </w:p>
        </w:tc>
        <w:tc>
          <w:tcPr>
            <w:tcW w:w="43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26,728</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26,505</w:t>
            </w:r>
          </w:p>
        </w:tc>
      </w:tr>
      <w:tr>
        <w:trPr>
          <w:trHeight w:val="173"/>
        </w:trPr>
        <w:tc>
          <w:tcPr>
            <w:tcW w:w="3840" w:type="dxa"/>
            <w:vAlign w:val="bottom"/>
            <w:tcBorders>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Total borrowings</w:t>
            </w:r>
          </w:p>
        </w:tc>
        <w:tc>
          <w:tcPr>
            <w:tcW w:w="43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8"/>
              <w:spacing w:after="0" w:line="15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233,986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282,583</w:t>
            </w:r>
          </w:p>
        </w:tc>
      </w:tr>
      <w:tr>
        <w:trPr>
          <w:trHeight w:val="295"/>
        </w:trPr>
        <w:tc>
          <w:tcPr>
            <w:tcW w:w="3840" w:type="dxa"/>
            <w:vAlign w:val="bottom"/>
          </w:tcPr>
          <w:p>
            <w:pPr>
              <w:spacing w:after="0"/>
              <w:rPr>
                <w:sz w:val="24"/>
                <w:szCs w:val="24"/>
                <w:color w:val="auto"/>
              </w:rPr>
            </w:pPr>
          </w:p>
        </w:tc>
        <w:tc>
          <w:tcPr>
            <w:tcW w:w="4360" w:type="dxa"/>
            <w:vAlign w:val="bottom"/>
          </w:tcPr>
          <w:p>
            <w:pPr>
              <w:jc w:val="right"/>
              <w:ind w:right="2328"/>
              <w:spacing w:after="0"/>
              <w:rPr>
                <w:sz w:val="20"/>
                <w:szCs w:val="20"/>
                <w:color w:val="auto"/>
              </w:rPr>
            </w:pPr>
            <w:r>
              <w:rPr>
                <w:rFonts w:ascii="Arial" w:cs="Arial" w:eastAsia="Arial" w:hAnsi="Arial"/>
                <w:sz w:val="14"/>
                <w:szCs w:val="14"/>
                <w:color w:val="auto"/>
              </w:rPr>
              <w:t>- 86 -</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2"/>
        </w:trPr>
        <w:tc>
          <w:tcPr>
            <w:tcW w:w="3840" w:type="dxa"/>
            <w:vAlign w:val="bottom"/>
            <w:tcBorders>
              <w:bottom w:val="single" w:sz="8" w:color="9A9A9A"/>
            </w:tcBorders>
          </w:tcPr>
          <w:p>
            <w:pPr>
              <w:spacing w:after="0"/>
              <w:rPr>
                <w:sz w:val="21"/>
                <w:szCs w:val="21"/>
                <w:color w:val="auto"/>
              </w:rPr>
            </w:pPr>
          </w:p>
        </w:tc>
        <w:tc>
          <w:tcPr>
            <w:tcW w:w="436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32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420" w:type="dxa"/>
            <w:vAlign w:val="bottom"/>
            <w:tcBorders>
              <w:bottom w:val="single" w:sz="8" w:color="9A9A9A"/>
            </w:tcBorders>
          </w:tcPr>
          <w:p>
            <w:pPr>
              <w:spacing w:after="0"/>
              <w:rPr>
                <w:sz w:val="21"/>
                <w:szCs w:val="21"/>
                <w:color w:val="auto"/>
              </w:rPr>
            </w:pPr>
          </w:p>
        </w:tc>
        <w:tc>
          <w:tcPr>
            <w:tcW w:w="96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270"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auto"/>
        </w:rPr>
        <w:t>Impact of COVID-19</w:t>
      </w:r>
    </w:p>
    <w:p>
      <w:pPr>
        <w:spacing w:after="0" w:line="147" w:lineRule="exact"/>
        <w:rPr>
          <w:sz w:val="20"/>
          <w:szCs w:val="20"/>
          <w:color w:val="auto"/>
        </w:rPr>
      </w:pPr>
    </w:p>
    <w:p>
      <w:pPr>
        <w:ind w:right="80"/>
        <w:spacing w:after="0" w:line="237" w:lineRule="auto"/>
        <w:rPr>
          <w:sz w:val="20"/>
          <w:szCs w:val="20"/>
          <w:color w:val="auto"/>
        </w:rPr>
      </w:pPr>
      <w:r>
        <w:rPr>
          <w:rFonts w:ascii="Arial" w:cs="Arial" w:eastAsia="Arial" w:hAnsi="Arial"/>
          <w:sz w:val="14"/>
          <w:szCs w:val="14"/>
          <w:color w:val="auto"/>
        </w:rPr>
        <w:t>To address the impact of COVID-19 on our business, we sought and obtained certain modifications to our loan agreements with the Bank of America, National Australia Bank, and Westpac. These loan modifications included changes to some of the covenant compliance terms and waivers of certain covenant testing periods. We are currently in compliance with our loan covenants as so modified. To date it has not been necessary for us to seek modifications or waivers with respect to our other loan agreements, as we continue to be in compliance with the terms of such loan agreements without the need for any such modifications or waivers.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Debt denominated in USD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Bank of America Credit Facility</w:t>
      </w:r>
    </w:p>
    <w:p>
      <w:pPr>
        <w:spacing w:after="0" w:line="143"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On March 6, 2020, we amended our $55.0 million credit facility with Bank of America extending the maturity date to March 6, 2023. The refinanced facility carries an interest rate of 2.5% - 3.0%, depending on certain financial ratios plus a variable rate based on the loan defined “Eurodollar” interest rate.</w:t>
      </w:r>
    </w:p>
    <w:p>
      <w:pPr>
        <w:spacing w:after="0" w:line="109" w:lineRule="exact"/>
        <w:rPr>
          <w:sz w:val="20"/>
          <w:szCs w:val="20"/>
          <w:color w:val="auto"/>
        </w:rPr>
      </w:pPr>
    </w:p>
    <w:p>
      <w:pPr>
        <w:ind w:right="120"/>
        <w:spacing w:after="0" w:line="270" w:lineRule="auto"/>
        <w:rPr>
          <w:sz w:val="20"/>
          <w:szCs w:val="20"/>
          <w:color w:val="auto"/>
        </w:rPr>
      </w:pPr>
      <w:r>
        <w:rPr>
          <w:rFonts w:ascii="Arial" w:cs="Arial" w:eastAsia="Arial" w:hAnsi="Arial"/>
          <w:sz w:val="13"/>
          <w:szCs w:val="13"/>
          <w:color w:val="auto"/>
        </w:rPr>
        <w:t>On August 7, 2020, we modified certain financial covenants within this credit facility and temporarily suspended the testing of certain other covenant tests through the measurement period ending September 30, 2021. The testing of the financial covenant resumes for the measurement period ending December 31, 2021. In addition to the covenant modifications, the interest rate on borrowings under this facility was fixed at 3.0% above the “Eurodollar” rate, which itself now has a floor of 1.0%. Such a modification was not considered to be substantial under U.S. GAAP.</w:t>
      </w:r>
    </w:p>
    <w:p>
      <w:pPr>
        <w:spacing w:after="0" w:line="103"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On November 8, 2021, Bank of America replaced all of our covenants with a single liquidity test and converted the credit facility into a term loan with scheduled repayments, maturing on March 6, 2023. Such modification was not considered to be substantial under U.S. GAAP. We also repaid $2.8 million of the facility on this date.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Bank of America Line of Credit</w:t>
      </w:r>
    </w:p>
    <w:p>
      <w:pPr>
        <w:spacing w:after="0" w:line="143"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On March 6, 2020, the term of our $5.0 million line of credit was extended to March 6, 2023. On August 7, 2020, we modified the interest rate on this line of credit, wherein the LIBOR portion of the rate now had a floor of 1.0%.</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On November 8, 2021, we repaid in full and retired this line of credit.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Minetta and Orpheum Theatres Loan</w:t>
      </w:r>
    </w:p>
    <w:p>
      <w:pPr>
        <w:spacing w:after="0" w:line="143" w:lineRule="exact"/>
        <w:rPr>
          <w:sz w:val="20"/>
          <w:szCs w:val="20"/>
          <w:color w:val="auto"/>
        </w:rPr>
      </w:pPr>
    </w:p>
    <w:p>
      <w:pPr>
        <w:ind w:right="240"/>
        <w:spacing w:after="0" w:line="258" w:lineRule="auto"/>
        <w:rPr>
          <w:sz w:val="20"/>
          <w:szCs w:val="20"/>
          <w:color w:val="auto"/>
        </w:rPr>
      </w:pPr>
      <w:r>
        <w:rPr>
          <w:rFonts w:ascii="Arial" w:cs="Arial" w:eastAsia="Arial" w:hAnsi="Arial"/>
          <w:sz w:val="14"/>
          <w:szCs w:val="14"/>
          <w:color w:val="auto"/>
        </w:rPr>
        <w:t>On October 12, 2018, we refinanced our $7.5 million loan with Santander Bank, which is secured by our Minetta and Orpheum Theaters, with a loan for a five year term of $8.0 million. Such modification was not considered to be substantial under U.S. GAAP.</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Union Square Financing</w:t>
      </w:r>
    </w:p>
    <w:p>
      <w:pPr>
        <w:spacing w:after="0" w:line="143" w:lineRule="exact"/>
        <w:rPr>
          <w:sz w:val="20"/>
          <w:szCs w:val="20"/>
          <w:color w:val="auto"/>
        </w:rPr>
      </w:pPr>
    </w:p>
    <w:p>
      <w:pPr>
        <w:spacing w:after="0" w:line="232" w:lineRule="auto"/>
        <w:rPr>
          <w:sz w:val="20"/>
          <w:szCs w:val="20"/>
          <w:color w:val="auto"/>
        </w:rPr>
      </w:pPr>
      <w:r>
        <w:rPr>
          <w:rFonts w:ascii="Arial" w:cs="Arial" w:eastAsia="Arial" w:hAnsi="Arial"/>
          <w:sz w:val="14"/>
          <w:szCs w:val="14"/>
          <w:color w:val="auto"/>
        </w:rPr>
        <w:t>On December 29, 2016, we closed construction finance facilities totaling $57.5 million to fund the non-equity portion of the anticipated construction costs of the redevelopment of our property at 44 Union Square in New York City. The facilities consisted of a first mortgage component of $50.0 million and a mezzanine component of $7.5 million. On August 8, 2019, we repaid the $7.5 million mezzanine loan. On January 24, 2020, we exercised the first of our two one year extension options on the first mortgage loan, taking the maturity to December 29, 2020. On December 29, 2020, we further extended the maturity of this loan to March 31, 2021, at an interest rate of 17.5%. On May 7, 2021, we closed on a new three year $55.0 million loan facility with Emerald Creek Capital secured by our 44 Union Square property and certain limited guarantees. The facility bears a variable interest rate of one month LIBOR plus 6.9% with a floor of 7.0 % and includes provisions for a prepaid interest and property tax reserve fund. The loan contains a reserve for existing mechanic’s liens. The loan has two 12-month options to extend, but may be repaid at any time, subject to notice and a minimum interest payment equal to the positive difference between interest paid on the loan through the pre-payment date and one year’s interest. In effect, the loan may be repaid after May 7, 2022 without the payment of any premium.</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Corporate Office Term Loan</w:t>
      </w:r>
    </w:p>
    <w:p>
      <w:pPr>
        <w:spacing w:after="0" w:line="143"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On December 13, 2016, we obtained a ten year $8.4 million mortgage loan on our new Los Angeles property at a fixed annual interest rate of 4.64%. This loan provided for a second loan upon completion of certain improvements. On June 26, 2017, we obtained a further $1.5 million under this provision at a fixed annual interest rate of 4.44%.</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Cinemas 1,2,3 Term Loan and Line of Credit</w:t>
      </w:r>
    </w:p>
    <w:p>
      <w:pPr>
        <w:spacing w:after="0" w:line="143" w:lineRule="exact"/>
        <w:rPr>
          <w:sz w:val="20"/>
          <w:szCs w:val="20"/>
          <w:color w:val="auto"/>
        </w:rPr>
      </w:pPr>
    </w:p>
    <w:p>
      <w:pPr>
        <w:ind w:right="200"/>
        <w:spacing w:after="0" w:line="235" w:lineRule="auto"/>
        <w:rPr>
          <w:sz w:val="20"/>
          <w:szCs w:val="20"/>
          <w:color w:val="auto"/>
        </w:rPr>
      </w:pPr>
      <w:r>
        <w:rPr>
          <w:rFonts w:ascii="Arial" w:cs="Arial" w:eastAsia="Arial" w:hAnsi="Arial"/>
          <w:sz w:val="14"/>
          <w:szCs w:val="14"/>
          <w:color w:val="auto"/>
        </w:rPr>
        <w:t>On August 31, 2016, Sutton Hill Properties LLC (“SHP”), a 75% subsidiary of RDI, refinanced its $15.0 million Santander Bank term loan with a new lender, Valley National Bank. This new $20.0 million loan is collateralized by our Cinema 1,2,3 property and bears</w:t>
      </w:r>
    </w:p>
    <w:p>
      <w:pPr>
        <w:jc w:val="center"/>
        <w:ind w:right="-19"/>
        <w:spacing w:after="0"/>
        <w:rPr>
          <w:sz w:val="20"/>
          <w:szCs w:val="20"/>
          <w:color w:val="auto"/>
        </w:rPr>
      </w:pPr>
      <w:r>
        <w:rPr>
          <w:rFonts w:ascii="Arial" w:cs="Arial" w:eastAsia="Arial" w:hAnsi="Arial"/>
          <w:sz w:val="14"/>
          <w:szCs w:val="14"/>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18" w:right="319" w:bottom="1440" w:gutter="0" w:footer="0" w:header="0"/>
        </w:sectPr>
      </w:pPr>
    </w:p>
    <w:bookmarkStart w:id="87" w:name="page88"/>
    <w:bookmarkEnd w:id="87"/>
    <w:p>
      <w:pPr>
        <w:ind w:right="160"/>
        <w:spacing w:after="0" w:line="237" w:lineRule="auto"/>
        <w:rPr>
          <w:sz w:val="20"/>
          <w:szCs w:val="20"/>
          <w:color w:val="auto"/>
        </w:rPr>
      </w:pPr>
      <w:r>
        <w:rPr>
          <w:rFonts w:ascii="Arial" w:cs="Arial" w:eastAsia="Arial" w:hAnsi="Arial"/>
          <w:sz w:val="14"/>
          <w:szCs w:val="14"/>
          <w:color w:val="auto"/>
        </w:rPr>
        <w:t xml:space="preserve">an interest rate of 3.25% per annum, with principal installments and accruing interest paid monthly. The loan had an option to extend the maturity date for a period of 12 months to March 1, 2021. On March 13, 2020, we refinanced this loan with a new term loan of $25.0 million, an interest rate of 4.25%, and maturity date of April 1, 2022 with two six month options to extend. We executed the first extension option on March 3, 2022, taking the maturity to October 1, 2022. With the availability of the remaining loan extension, we continue to keep the loan long-term. The related party aspect of this loan is discussed at </w:t>
      </w:r>
      <w:r>
        <w:rPr>
          <w:rFonts w:ascii="Arial" w:cs="Arial" w:eastAsia="Arial" w:hAnsi="Arial"/>
          <w:sz w:val="14"/>
          <w:szCs w:val="14"/>
          <w:i w:val="1"/>
          <w:iCs w:val="1"/>
          <w:color w:val="auto"/>
        </w:rPr>
        <w:t>Note 21 – Related Parties</w:t>
      </w:r>
      <w:r>
        <w:rPr>
          <w:rFonts w:ascii="Arial" w:cs="Arial" w:eastAsia="Arial" w:hAnsi="Arial"/>
          <w:sz w:val="14"/>
          <w:szCs w:val="14"/>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Purchase Money Promissory Note</w:t>
      </w:r>
    </w:p>
    <w:p>
      <w:pPr>
        <w:spacing w:after="0" w:line="143"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On September 18, 2019, we purchased 407,000 Company shares in a privately negotiated transaction under our Share Repurchase Program for $5.5 million. Of this amount, $3.5 million was paid by the issuance of a Purchase Money Promissory Note, which bears an interest rate of 5.0% per annum, payable in equal quarterly payments of principal plus accrued interest. The Purchase Money Promissory Note matures on September 18, 2024.</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Trust Preferred Securities (“TPS”)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On February 5, 2007, we issued $51.5 million in 20-year fully subordinated notes to a trust over which we have significant influence, which in turn issued $51.5 million in securities. Of the</w:t>
      </w:r>
    </w:p>
    <w:p>
      <w:pPr>
        <w:spacing w:after="0" w:line="14"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$51.5 million, $50.0 million in TPS were issued to unrelated investors in a private placement and $1.5 million of common trust securities were issued by the trust to Reading called “Investment in Reading International Trust I” on our balance sheets. Effective May 1, 2012, the interest rate on our Trust Preferred Securities changed from a fixed rate of 9.22%, which was in effect for five years, to a variable rate of three month LIBOR plus 4.00%, which will reset each quarter through the end of the loan unless we exercise our right to re-fix the rate at the current market rate at that time. There are no principal payments due until maturity in 2027 when the notes and the trust securities are scheduled to be paid in full. We may pay off the debt after the first five years at 100% of the principal amount without any penalty. The trust is essentially a pass through, and the transaction is accounted for on our books as the issuance of fully subordinated notes. The credit facility includes a number of affirmative and negative covenants designed to monitor our ability to service the debt. The most restrictive covenant of the facility requires that we must maintain a fixed charge coverage ratio at a certain level. However, on December 31, 2008, we secured a waiver of all financial covenants with respect to our TPS for a period of nine years (through December 31, 2017), in consideration of the payment of $1.6 million, consisting of an initial payment of $1.1 million, a payment of $270,000 made in December 2011, and a payment of $270,000 in December 2014. The covenant waiver expired January 1, 2018, after which a further covenant waiver was secured on October 11, 2018 for the remaining term of the loan, in consideration of payments totaling $1.6 million, consisting of an initial payment of $1.1 million paid on October 31, 2018, and a further payment made of $270,000 in October 2021 and $225,000 payable in October 2025.</w:t>
      </w:r>
    </w:p>
    <w:p>
      <w:pPr>
        <w:spacing w:after="0" w:line="119" w:lineRule="exact"/>
        <w:rPr>
          <w:sz w:val="20"/>
          <w:szCs w:val="20"/>
          <w:color w:val="auto"/>
        </w:rPr>
      </w:pPr>
    </w:p>
    <w:p>
      <w:pPr>
        <w:ind w:right="120"/>
        <w:spacing w:after="0" w:line="235" w:lineRule="auto"/>
        <w:rPr>
          <w:sz w:val="20"/>
          <w:szCs w:val="20"/>
          <w:color w:val="auto"/>
        </w:rPr>
      </w:pPr>
      <w:r>
        <w:rPr>
          <w:rFonts w:ascii="Arial" w:cs="Arial" w:eastAsia="Arial" w:hAnsi="Arial"/>
          <w:sz w:val="14"/>
          <w:szCs w:val="14"/>
          <w:color w:val="auto"/>
        </w:rPr>
        <w:t>During the first quarter of 2009, we took advantage of the then current market illiquidity for securities such as our TPS to repurchase $22.9 million in face value of those securities through an exchange of $11.5 million worth of marketable securities purchased during the period for the express purpose of executing this exchange transaction with the third-party holder of these TPS. During the twelve months ended 2009, we amortized $106,000 of discount to interest income associated with the holding of these securities prior to their extinguishment. On April 30, 2009, we extinguished $22.9 million of these TPS, which resulted in a gain on retirement of subordinated debt (TPS) of $10.7 million net of loss on the associated write-off of deferred loan costs of $749,000 and a reduction in our Investment in Reading International Trust I from $1.5 million to $838,000.</w:t>
      </w:r>
    </w:p>
    <w:p>
      <w:pPr>
        <w:spacing w:after="0" w:line="122" w:lineRule="exact"/>
        <w:rPr>
          <w:sz w:val="20"/>
          <w:szCs w:val="20"/>
          <w:color w:val="auto"/>
        </w:rPr>
      </w:pPr>
    </w:p>
    <w:p>
      <w:pPr>
        <w:ind w:right="160"/>
        <w:spacing w:after="0" w:line="297" w:lineRule="auto"/>
        <w:rPr>
          <w:sz w:val="20"/>
          <w:szCs w:val="20"/>
          <w:color w:val="auto"/>
        </w:rPr>
      </w:pPr>
      <w:r>
        <w:rPr>
          <w:rFonts w:ascii="Arial" w:cs="Arial" w:eastAsia="Arial" w:hAnsi="Arial"/>
          <w:sz w:val="13"/>
          <w:szCs w:val="13"/>
          <w:color w:val="auto"/>
        </w:rPr>
        <w:t>During the three years ended December 31, 2021, we paid $1.8 million in 2019, $1.4 million in 2020 and $1.1 million in 2021 in preferred dividends to unrelated investors that are included in interest expense. At December 31, 2021 and 2020, we had preferred dividends payable of $193,000 and $195,000, respectively. Interest payments for this loan are required every three months.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Debt denominated in foreign currencies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Australian NAB Corporate Loan Facility</w:t>
      </w:r>
    </w:p>
    <w:p>
      <w:pPr>
        <w:spacing w:after="0" w:line="143" w:lineRule="exact"/>
        <w:rPr>
          <w:sz w:val="20"/>
          <w:szCs w:val="20"/>
          <w:color w:val="auto"/>
        </w:rPr>
      </w:pPr>
    </w:p>
    <w:p>
      <w:pPr>
        <w:ind w:right="40"/>
        <w:spacing w:after="0" w:line="235" w:lineRule="auto"/>
        <w:rPr>
          <w:sz w:val="20"/>
          <w:szCs w:val="20"/>
          <w:color w:val="auto"/>
        </w:rPr>
      </w:pPr>
      <w:r>
        <w:rPr>
          <w:rFonts w:ascii="Arial" w:cs="Arial" w:eastAsia="Arial" w:hAnsi="Arial"/>
          <w:sz w:val="14"/>
          <w:szCs w:val="14"/>
          <w:color w:val="auto"/>
        </w:rPr>
        <w:t>On March 15, 2019, we amended our Revolving Corporate Markets Loan Facility with National Australia Bank (“NAB”) converting it from a facility comprised of (i) an AU$66.5 million loan facility with an interest rate of 0.95% above the Bank Bill Swap Bid Rate (“BBSY”) and a maturity date of June 30, 2019 and (ii) a bank guarantee of AU$5.0 million at a rate of 1.90% per annum into a (i) AU$120.0 million Corporate Loan facility at rates of 0.85%-1.30% above BBSY depending on certain ratios with a due date of December 31, 2023, of which AU$80.0 million is revolving and AU$40.0 million is core and (ii) a Bank Guarantee Facility of AU$5.0 million at a rate of 1.85% per annum. Such modifications of this particular term loan were not considered to be substantial under U.S. GAAP.</w:t>
      </w:r>
    </w:p>
    <w:p>
      <w:pPr>
        <w:spacing w:after="0" w:line="122" w:lineRule="exact"/>
        <w:rPr>
          <w:sz w:val="20"/>
          <w:szCs w:val="20"/>
          <w:color w:val="auto"/>
        </w:rPr>
      </w:pPr>
    </w:p>
    <w:p>
      <w:pPr>
        <w:ind w:right="80"/>
        <w:spacing w:after="0" w:line="242" w:lineRule="auto"/>
        <w:rPr>
          <w:sz w:val="20"/>
          <w:szCs w:val="20"/>
          <w:color w:val="auto"/>
        </w:rPr>
      </w:pPr>
      <w:r>
        <w:rPr>
          <w:rFonts w:ascii="Arial" w:cs="Arial" w:eastAsia="Arial" w:hAnsi="Arial"/>
          <w:sz w:val="14"/>
          <w:szCs w:val="14"/>
          <w:color w:val="auto"/>
        </w:rPr>
        <w:t>On August 6, 2020, we modified certain covenants within this Revolving Corporate Markets Loan Facility. These modifications applied until the quarter ended June 30, 2021. In addition, for the period in which these covenant modifications applied, the interest rate on amounts borrowed under the facility was 1.75%. Such a modification was not considered to be substantial under U.S. GAAP.</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70" w:right="319" w:bottom="1440" w:gutter="0" w:footer="0" w:header="0"/>
        </w:sectPr>
      </w:pPr>
    </w:p>
    <w:bookmarkStart w:id="88" w:name="page89"/>
    <w:bookmarkEnd w:id="88"/>
    <w:p>
      <w:pPr>
        <w:ind w:right="40"/>
        <w:spacing w:after="0" w:line="235" w:lineRule="auto"/>
        <w:rPr>
          <w:sz w:val="20"/>
          <w:szCs w:val="20"/>
          <w:color w:val="auto"/>
        </w:rPr>
      </w:pPr>
      <w:r>
        <w:rPr>
          <w:rFonts w:ascii="Arial" w:cs="Arial" w:eastAsia="Arial" w:hAnsi="Arial"/>
          <w:sz w:val="14"/>
          <w:szCs w:val="14"/>
          <w:color w:val="auto"/>
        </w:rPr>
        <w:t>On December 29, 2020, we modified the core portion of our Revolving Corporate Markets Loan Facility, increasing it to AU$43.0 million. The AU$3.0 million increase was provided to fund the completion of our recently opened cinema at Jindalee, Queensland, and is repayable in semi-annual installments of AU$500,000, the first installment being April 30, 2021, until fully repaid on October 31, 2023. This amendment increases the Facility Limit to AU$123.0 million, which will be reduced back to AU$120.0 million as the Jindalee funding is repaid. We further modified certain covenants within this Revolving Corporate Markets Loan Facility with NAB. The Fixed Charge Cover Ratio testing periods were further modified through the quarter ended September 30, 2021. The Leverage Ratio was also modified through the quarter ended June 30, 2022.</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On June 9, 2021, incident to our sale of our Auburn ETC, we repaid AU$20.0 million of the revolving portion of this debt, in a permanent reduction of this facility.</w:t>
      </w:r>
    </w:p>
    <w:p>
      <w:pPr>
        <w:spacing w:after="0" w:line="143"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On November 2, 2021, NAB modified our Fixed Charge Cover Ratio and Leverage Ratio covenants, reducing the measurement requirements and in some instances removing the requirement to test certain covenants.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New Zealand Westpac Bank Corporate Credit Facility</w:t>
      </w:r>
    </w:p>
    <w:p>
      <w:pPr>
        <w:spacing w:after="0" w:line="166" w:lineRule="exact"/>
        <w:rPr>
          <w:sz w:val="20"/>
          <w:szCs w:val="20"/>
          <w:color w:val="auto"/>
        </w:rPr>
      </w:pPr>
    </w:p>
    <w:p>
      <w:pPr>
        <w:ind w:right="120"/>
        <w:spacing w:after="0" w:line="217" w:lineRule="auto"/>
        <w:rPr>
          <w:sz w:val="20"/>
          <w:szCs w:val="20"/>
          <w:color w:val="auto"/>
        </w:rPr>
      </w:pPr>
      <w:r>
        <w:rPr>
          <w:rFonts w:ascii="Arial" w:cs="Arial" w:eastAsia="Arial" w:hAnsi="Arial"/>
          <w:sz w:val="13"/>
          <w:szCs w:val="13"/>
          <w:color w:val="auto"/>
        </w:rPr>
        <w:t>On December 20, 2018, we restructured our Westpac Corporate Credit Facilities. The maturity of the 1</w:t>
      </w:r>
      <w:r>
        <w:rPr>
          <w:rFonts w:ascii="Arial" w:cs="Arial" w:eastAsia="Arial" w:hAnsi="Arial"/>
          <w:sz w:val="22"/>
          <w:szCs w:val="22"/>
          <w:color w:val="auto"/>
          <w:vertAlign w:val="superscript"/>
        </w:rPr>
        <w:t>st</w:t>
      </w:r>
      <w:r>
        <w:rPr>
          <w:rFonts w:ascii="Arial" w:cs="Arial" w:eastAsia="Arial" w:hAnsi="Arial"/>
          <w:sz w:val="13"/>
          <w:szCs w:val="13"/>
          <w:color w:val="auto"/>
        </w:rPr>
        <w:t xml:space="preserve"> tranche (general/non-construction credit line) was extended to December 31, 2023, with the available facility being reduced from NZ$35.0 million to NZ$32.0 million. The facility bears an interest rate of 1.75% above the Bank Bill Bid Rate on the drawn down balance and a 1.1%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line of credit charge on the entire facility. The 2</w:t>
      </w:r>
      <w:r>
        <w:rPr>
          <w:rFonts w:ascii="Arial" w:cs="Arial" w:eastAsia="Arial" w:hAnsi="Arial"/>
          <w:sz w:val="24"/>
          <w:szCs w:val="24"/>
          <w:color w:val="auto"/>
          <w:vertAlign w:val="superscript"/>
        </w:rPr>
        <w:t>nd</w:t>
      </w:r>
      <w:r>
        <w:rPr>
          <w:rFonts w:ascii="Arial" w:cs="Arial" w:eastAsia="Arial" w:hAnsi="Arial"/>
          <w:sz w:val="14"/>
          <w:szCs w:val="14"/>
          <w:color w:val="auto"/>
        </w:rPr>
        <w:t xml:space="preserve"> tranche (construction line) with a facility of NZ$18.0 million was removed.</w:t>
      </w:r>
    </w:p>
    <w:p>
      <w:pPr>
        <w:spacing w:after="0" w:line="51" w:lineRule="exact"/>
        <w:rPr>
          <w:sz w:val="20"/>
          <w:szCs w:val="20"/>
          <w:color w:val="auto"/>
        </w:rPr>
      </w:pPr>
    </w:p>
    <w:p>
      <w:pPr>
        <w:spacing w:after="0" w:line="252" w:lineRule="auto"/>
        <w:rPr>
          <w:sz w:val="20"/>
          <w:szCs w:val="20"/>
          <w:color w:val="auto"/>
        </w:rPr>
      </w:pPr>
      <w:r>
        <w:rPr>
          <w:rFonts w:ascii="Arial" w:cs="Arial" w:eastAsia="Arial" w:hAnsi="Arial"/>
          <w:sz w:val="13"/>
          <w:szCs w:val="13"/>
          <w:color w:val="auto"/>
        </w:rPr>
        <w:t>On June 29, 2020, Westpac pushed out the June 30, 2020, covenant testing date to July 31, 2020. On July 27, 2020, Westpac waived the requirement to test certain covenants as of July 31, 2020. This agreement also increased the interest rate and line of credit charge to 2.40% above the Bank Bill Bid Rate and 1.65% respectively. The maturity date was extended to January 1, 2024. Such modifications of this facility were not considered to be substantial under U.S. GAAP. On September 15, 2020, Westpac waived the requirement to test certain covenants as of September 30, 2020. On December 8, 2020, Westpac waived the requirement to test certain covenants as of December 31, 2020. On April 29, 2021, Westpac waived the requirement to test certain covenants as of March 31, 2021. On May 7, 2021, we repaid NZ$16.0 million of this debt, in a permanent reduction of this facility to NZ$16.0 million. On June 8, 2021, Westpac waived the requirement to test certain covenants as of June 30, 2021. On August 30, 2021, we repaid a further NZ$2.2 million of this debt, in a permanent reduction of this facility to NZ$13.8 million. On this same date, Westpac waived the requirement to test certain covenants as of September 30, 2021. On December 14, 2021, Westpac waived the requirement to test certain covenants as of December 31, 2021.</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Aggregate amount of future principal debt payments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2021, our aggregate amount of future principal debt payments is estimated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32"/>
              <w:spacing w:after="0"/>
              <w:rPr>
                <w:sz w:val="20"/>
                <w:szCs w:val="20"/>
                <w:color w:val="auto"/>
              </w:rPr>
            </w:pPr>
            <w:r>
              <w:rPr>
                <w:rFonts w:ascii="Arial" w:cs="Arial" w:eastAsia="Arial" w:hAnsi="Arial"/>
                <w:sz w:val="12"/>
                <w:szCs w:val="12"/>
                <w:b w:val="1"/>
                <w:bCs w:val="1"/>
                <w:color w:val="auto"/>
                <w:w w:val="90"/>
              </w:rPr>
              <w:t>Future</w:t>
            </w:r>
          </w:p>
        </w:tc>
      </w:tr>
      <w:tr>
        <w:trPr>
          <w:trHeight w:val="119"/>
        </w:trPr>
        <w:tc>
          <w:tcPr>
            <w:tcW w:w="9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jc w:val="center"/>
              <w:ind w:right="132"/>
              <w:spacing w:after="0" w:line="120" w:lineRule="exact"/>
              <w:rPr>
                <w:sz w:val="20"/>
                <w:szCs w:val="20"/>
                <w:color w:val="auto"/>
              </w:rPr>
            </w:pPr>
            <w:r>
              <w:rPr>
                <w:rFonts w:ascii="Arial" w:cs="Arial" w:eastAsia="Arial" w:hAnsi="Arial"/>
                <w:sz w:val="12"/>
                <w:szCs w:val="12"/>
                <w:b w:val="1"/>
                <w:bCs w:val="1"/>
                <w:color w:val="auto"/>
                <w:w w:val="90"/>
              </w:rPr>
              <w:t>Principal</w:t>
            </w:r>
          </w:p>
        </w:tc>
      </w:tr>
      <w:tr>
        <w:trPr>
          <w:trHeight w:val="138"/>
        </w:trPr>
        <w:tc>
          <w:tcPr>
            <w:tcW w:w="9740" w:type="dxa"/>
            <w:vAlign w:val="bottom"/>
            <w:tcBorders>
              <w:bottom w:val="single" w:sz="8" w:color="auto"/>
            </w:tcBorders>
          </w:tcPr>
          <w:p>
            <w:pPr>
              <w:spacing w:after="0" w:line="137" w:lineRule="exact"/>
              <w:rPr>
                <w:sz w:val="20"/>
                <w:szCs w:val="20"/>
                <w:color w:val="auto"/>
              </w:rPr>
            </w:pPr>
            <w:r>
              <w:rPr>
                <w:rFonts w:ascii="Arial" w:cs="Arial" w:eastAsia="Arial" w:hAnsi="Arial"/>
                <w:sz w:val="12"/>
                <w:szCs w:val="12"/>
                <w:i w:val="1"/>
                <w:iCs w:val="1"/>
                <w:color w:val="auto"/>
              </w:rPr>
              <w:t>(Dollars in thousands)</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132"/>
              <w:spacing w:after="0" w:line="137" w:lineRule="exact"/>
              <w:rPr>
                <w:sz w:val="20"/>
                <w:szCs w:val="20"/>
                <w:color w:val="auto"/>
              </w:rPr>
            </w:pPr>
            <w:r>
              <w:rPr>
                <w:rFonts w:ascii="Arial" w:cs="Arial" w:eastAsia="Arial" w:hAnsi="Arial"/>
                <w:sz w:val="12"/>
                <w:szCs w:val="12"/>
                <w:b w:val="1"/>
                <w:bCs w:val="1"/>
                <w:color w:val="auto"/>
                <w:w w:val="85"/>
              </w:rPr>
              <w:t>Debt Payments</w:t>
            </w:r>
          </w:p>
        </w:tc>
      </w:tr>
      <w:tr>
        <w:trPr>
          <w:trHeight w:val="152"/>
        </w:trPr>
        <w:tc>
          <w:tcPr>
            <w:tcW w:w="974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2022</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8"/>
              <w:spacing w:after="0" w:line="152"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33,487</w:t>
            </w:r>
          </w:p>
        </w:tc>
      </w:tr>
      <w:tr>
        <w:trPr>
          <w:trHeight w:val="152"/>
        </w:trPr>
        <w:tc>
          <w:tcPr>
            <w:tcW w:w="9740" w:type="dxa"/>
            <w:vAlign w:val="bottom"/>
          </w:tcPr>
          <w:p>
            <w:pPr>
              <w:spacing w:after="0" w:line="152" w:lineRule="exact"/>
              <w:rPr>
                <w:sz w:val="20"/>
                <w:szCs w:val="20"/>
                <w:color w:val="auto"/>
              </w:rPr>
            </w:pPr>
            <w:r>
              <w:rPr>
                <w:rFonts w:ascii="Arial" w:cs="Arial" w:eastAsia="Arial" w:hAnsi="Arial"/>
                <w:sz w:val="14"/>
                <w:szCs w:val="14"/>
                <w:color w:val="auto"/>
              </w:rPr>
              <w:t>2023</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line="152" w:lineRule="exact"/>
              <w:rPr>
                <w:sz w:val="20"/>
                <w:szCs w:val="20"/>
                <w:color w:val="auto"/>
              </w:rPr>
            </w:pPr>
            <w:r>
              <w:rPr>
                <w:rFonts w:ascii="Arial" w:cs="Arial" w:eastAsia="Arial" w:hAnsi="Arial"/>
                <w:sz w:val="14"/>
                <w:szCs w:val="14"/>
                <w:color w:val="auto"/>
              </w:rPr>
              <w:t>123,562</w:t>
            </w:r>
          </w:p>
        </w:tc>
      </w:tr>
      <w:tr>
        <w:trPr>
          <w:trHeight w:val="152"/>
        </w:trPr>
        <w:tc>
          <w:tcPr>
            <w:tcW w:w="974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2024</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43,873</w:t>
            </w:r>
          </w:p>
        </w:tc>
      </w:tr>
      <w:tr>
        <w:trPr>
          <w:trHeight w:val="152"/>
        </w:trPr>
        <w:tc>
          <w:tcPr>
            <w:tcW w:w="9740" w:type="dxa"/>
            <w:vAlign w:val="bottom"/>
          </w:tcPr>
          <w:p>
            <w:pPr>
              <w:spacing w:after="0" w:line="152" w:lineRule="exact"/>
              <w:rPr>
                <w:sz w:val="20"/>
                <w:szCs w:val="20"/>
                <w:color w:val="auto"/>
              </w:rPr>
            </w:pPr>
            <w:r>
              <w:rPr>
                <w:rFonts w:ascii="Arial" w:cs="Arial" w:eastAsia="Arial" w:hAnsi="Arial"/>
                <w:sz w:val="14"/>
                <w:szCs w:val="14"/>
                <w:color w:val="auto"/>
              </w:rPr>
              <w:t>2025</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line="152" w:lineRule="exact"/>
              <w:rPr>
                <w:sz w:val="20"/>
                <w:szCs w:val="20"/>
                <w:color w:val="auto"/>
              </w:rPr>
            </w:pPr>
            <w:r>
              <w:rPr>
                <w:rFonts w:ascii="Arial" w:cs="Arial" w:eastAsia="Arial" w:hAnsi="Arial"/>
                <w:sz w:val="14"/>
                <w:szCs w:val="14"/>
                <w:color w:val="auto"/>
              </w:rPr>
              <w:t>300</w:t>
            </w:r>
          </w:p>
        </w:tc>
      </w:tr>
      <w:tr>
        <w:trPr>
          <w:trHeight w:val="152"/>
        </w:trPr>
        <w:tc>
          <w:tcPr>
            <w:tcW w:w="974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2026</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313</w:t>
            </w:r>
          </w:p>
        </w:tc>
      </w:tr>
      <w:tr>
        <w:trPr>
          <w:trHeight w:val="152"/>
        </w:trPr>
        <w:tc>
          <w:tcPr>
            <w:tcW w:w="9740" w:type="dxa"/>
            <w:vAlign w:val="bottom"/>
            <w:tcBorders>
              <w:bottom w:val="single" w:sz="8" w:color="CCEEFF"/>
            </w:tcBorders>
          </w:tcPr>
          <w:p>
            <w:pPr>
              <w:spacing w:after="0" w:line="152" w:lineRule="exact"/>
              <w:rPr>
                <w:sz w:val="20"/>
                <w:szCs w:val="20"/>
                <w:color w:val="auto"/>
              </w:rPr>
            </w:pPr>
            <w:r>
              <w:rPr>
                <w:rFonts w:ascii="Arial" w:cs="Arial" w:eastAsia="Arial" w:hAnsi="Arial"/>
                <w:sz w:val="14"/>
                <w:szCs w:val="14"/>
                <w:color w:val="auto"/>
              </w:rPr>
              <w:t>Thereafter</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35,413</w:t>
            </w:r>
          </w:p>
        </w:tc>
      </w:tr>
      <w:tr>
        <w:trPr>
          <w:trHeight w:val="144"/>
        </w:trPr>
        <w:tc>
          <w:tcPr>
            <w:tcW w:w="9740" w:type="dxa"/>
            <w:vAlign w:val="bottom"/>
            <w:tcBorders>
              <w:bottom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b w:val="1"/>
                <w:bCs w:val="1"/>
                <w:color w:val="auto"/>
              </w:rPr>
              <w:t>Total future principal debt payments</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3" w:lineRule="exact"/>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236,948</w:t>
            </w:r>
          </w:p>
        </w:tc>
      </w:tr>
    </w:tbl>
    <w:p>
      <w:pPr>
        <w:spacing w:after="0" w:line="130"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The estimated amount of future principal payments in U.S. dollars is subject to change because the payments in U.S. dollars on the debt denominated in foreign currencies, which represent a significant portion of our total outstanding debt balance, will fluctuate based on the applicable foreign currency exchange rates.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22"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u w:val="single" w:color="auto"/>
          <w:color w:val="auto"/>
        </w:rPr>
        <w:t>NOTE 12 – PENSION AND OTHER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Other liabilities including pension are summarized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2"/>
                <w:szCs w:val="12"/>
                <w:b w:val="1"/>
                <w:bCs w:val="1"/>
                <w:color w:val="auto"/>
              </w:rPr>
              <w:t>December 31,</w:t>
            </w:r>
          </w:p>
        </w:tc>
        <w:tc>
          <w:tcPr>
            <w:tcW w:w="960" w:type="dxa"/>
            <w:vAlign w:val="bottom"/>
            <w:tcBorders>
              <w:bottom w:val="single" w:sz="8" w:color="auto"/>
            </w:tcBorders>
          </w:tcPr>
          <w:p>
            <w:pPr>
              <w:spacing w:after="0"/>
              <w:rPr>
                <w:sz w:val="12"/>
                <w:szCs w:val="12"/>
                <w:color w:val="auto"/>
              </w:rPr>
            </w:pPr>
          </w:p>
        </w:tc>
      </w:tr>
      <w:tr>
        <w:trPr>
          <w:trHeight w:val="143"/>
        </w:trPr>
        <w:tc>
          <w:tcPr>
            <w:tcW w:w="820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2020</w:t>
            </w:r>
          </w:p>
        </w:tc>
      </w:tr>
      <w:tr>
        <w:trPr>
          <w:trHeight w:val="173"/>
        </w:trPr>
        <w:tc>
          <w:tcPr>
            <w:tcW w:w="820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8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Liability for demolition and remediation costs</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2,783</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334"/>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2,928</w:t>
            </w:r>
          </w:p>
        </w:tc>
      </w:tr>
      <w:tr>
        <w:trPr>
          <w:trHeight w:val="206"/>
        </w:trPr>
        <w:tc>
          <w:tcPr>
            <w:tcW w:w="8200" w:type="dxa"/>
            <w:vAlign w:val="bottom"/>
          </w:tcPr>
          <w:p>
            <w:pPr>
              <w:ind w:left="180"/>
              <w:spacing w:after="0" w:line="205" w:lineRule="exact"/>
              <w:rPr>
                <w:sz w:val="20"/>
                <w:szCs w:val="20"/>
                <w:color w:val="auto"/>
              </w:rPr>
            </w:pPr>
            <w:r>
              <w:rPr>
                <w:rFonts w:ascii="Arial" w:cs="Arial" w:eastAsia="Arial" w:hAnsi="Arial"/>
                <w:sz w:val="14"/>
                <w:szCs w:val="14"/>
                <w:color w:val="auto"/>
              </w:rPr>
              <w:t>Accrued pension</w:t>
            </w:r>
            <w:r>
              <w:rPr>
                <w:rFonts w:ascii="Arial" w:cs="Arial" w:eastAsia="Arial" w:hAnsi="Arial"/>
                <w:sz w:val="23"/>
                <w:szCs w:val="23"/>
                <w:color w:val="auto"/>
                <w:vertAlign w:val="superscript"/>
              </w:rPr>
              <w:t>(1)</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684</w:t>
            </w:r>
          </w:p>
        </w:tc>
      </w:tr>
      <w:tr>
        <w:trPr>
          <w:trHeight w:val="184"/>
        </w:trPr>
        <w:tc>
          <w:tcPr>
            <w:tcW w:w="8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Security deposit payable</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r>
      <w:tr>
        <w:trPr>
          <w:trHeight w:val="184"/>
        </w:trPr>
        <w:tc>
          <w:tcPr>
            <w:tcW w:w="8200" w:type="dxa"/>
            <w:vAlign w:val="bottom"/>
          </w:tcPr>
          <w:p>
            <w:pPr>
              <w:ind w:left="180"/>
              <w:spacing w:after="0"/>
              <w:rPr>
                <w:sz w:val="20"/>
                <w:szCs w:val="20"/>
                <w:color w:val="auto"/>
              </w:rPr>
            </w:pPr>
            <w:r>
              <w:rPr>
                <w:rFonts w:ascii="Arial" w:cs="Arial" w:eastAsia="Arial" w:hAnsi="Arial"/>
                <w:sz w:val="14"/>
                <w:szCs w:val="14"/>
                <w:color w:val="auto"/>
              </w:rPr>
              <w:t>Finance lease liabilities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84"/>
        </w:trPr>
        <w:tc>
          <w:tcPr>
            <w:tcW w:w="8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55"/>
        </w:trPr>
        <w:tc>
          <w:tcPr>
            <w:tcW w:w="8200" w:type="dxa"/>
            <w:vAlign w:val="bottom"/>
            <w:tcBorders>
              <w:bottom w:val="single" w:sz="8" w:color="CCEEFF"/>
            </w:tcBorders>
          </w:tcPr>
          <w:p>
            <w:pPr>
              <w:ind w:left="180"/>
              <w:spacing w:after="0" w:line="153" w:lineRule="exact"/>
              <w:rPr>
                <w:sz w:val="20"/>
                <w:szCs w:val="20"/>
                <w:color w:val="auto"/>
              </w:rPr>
            </w:pPr>
            <w:r>
              <w:rPr>
                <w:rFonts w:ascii="Arial" w:cs="Arial" w:eastAsia="Arial" w:hAnsi="Arial"/>
                <w:sz w:val="14"/>
                <w:szCs w:val="14"/>
                <w:b w:val="1"/>
                <w:bCs w:val="1"/>
                <w:color w:val="auto"/>
              </w:rPr>
              <w:t>Other current liabilities</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68"/>
              <w:spacing w:after="0" w:line="15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3,619</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334"/>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3,826</w:t>
            </w:r>
          </w:p>
        </w:tc>
      </w:tr>
      <w:tr>
        <w:trPr>
          <w:trHeight w:val="173"/>
        </w:trPr>
        <w:tc>
          <w:tcPr>
            <w:tcW w:w="8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liabilities</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6"/>
        </w:trPr>
        <w:tc>
          <w:tcPr>
            <w:tcW w:w="8200" w:type="dxa"/>
            <w:vAlign w:val="bottom"/>
          </w:tcPr>
          <w:p>
            <w:pPr>
              <w:ind w:left="180"/>
              <w:spacing w:after="0" w:line="205" w:lineRule="exact"/>
              <w:rPr>
                <w:sz w:val="20"/>
                <w:szCs w:val="20"/>
                <w:color w:val="auto"/>
              </w:rPr>
            </w:pPr>
            <w:r>
              <w:rPr>
                <w:rFonts w:ascii="Arial" w:cs="Arial" w:eastAsia="Arial" w:hAnsi="Arial"/>
                <w:sz w:val="14"/>
                <w:szCs w:val="14"/>
                <w:color w:val="auto"/>
              </w:rPr>
              <w:t>Accrued pension</w:t>
            </w:r>
            <w:r>
              <w:rPr>
                <w:rFonts w:ascii="Arial" w:cs="Arial" w:eastAsia="Arial" w:hAnsi="Arial"/>
                <w:sz w:val="23"/>
                <w:szCs w:val="23"/>
                <w:color w:val="auto"/>
                <w:vertAlign w:val="superscript"/>
              </w:rPr>
              <w:t>(1)</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3,605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4,048</w:t>
            </w:r>
          </w:p>
        </w:tc>
      </w:tr>
      <w:tr>
        <w:trPr>
          <w:trHeight w:val="184"/>
        </w:trPr>
        <w:tc>
          <w:tcPr>
            <w:tcW w:w="8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Lease make-good provision</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7,766</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7,408</w:t>
            </w:r>
          </w:p>
        </w:tc>
      </w:tr>
      <w:tr>
        <w:trPr>
          <w:trHeight w:val="184"/>
        </w:trPr>
        <w:tc>
          <w:tcPr>
            <w:tcW w:w="8200" w:type="dxa"/>
            <w:vAlign w:val="bottom"/>
          </w:tcPr>
          <w:p>
            <w:pPr>
              <w:ind w:left="180"/>
              <w:spacing w:after="0"/>
              <w:rPr>
                <w:sz w:val="20"/>
                <w:szCs w:val="20"/>
                <w:color w:val="auto"/>
              </w:rPr>
            </w:pPr>
            <w:r>
              <w:rPr>
                <w:rFonts w:ascii="Arial" w:cs="Arial" w:eastAsia="Arial" w:hAnsi="Arial"/>
                <w:sz w:val="14"/>
                <w:szCs w:val="14"/>
                <w:color w:val="auto"/>
              </w:rPr>
              <w:t>Deferred rent liability</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3,930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2,897</w:t>
            </w:r>
          </w:p>
        </w:tc>
      </w:tr>
      <w:tr>
        <w:trPr>
          <w:trHeight w:val="184"/>
        </w:trPr>
        <w:tc>
          <w:tcPr>
            <w:tcW w:w="8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Environmental reserve</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w:t>
            </w:r>
          </w:p>
        </w:tc>
      </w:tr>
      <w:tr>
        <w:trPr>
          <w:trHeight w:val="228"/>
        </w:trPr>
        <w:tc>
          <w:tcPr>
            <w:tcW w:w="8200" w:type="dxa"/>
            <w:vAlign w:val="bottom"/>
          </w:tcPr>
          <w:p>
            <w:pPr>
              <w:ind w:left="180"/>
              <w:spacing w:after="0" w:line="227" w:lineRule="exact"/>
              <w:rPr>
                <w:sz w:val="20"/>
                <w:szCs w:val="20"/>
                <w:color w:val="auto"/>
              </w:rPr>
            </w:pPr>
            <w:r>
              <w:rPr>
                <w:rFonts w:ascii="Arial" w:cs="Arial" w:eastAsia="Arial" w:hAnsi="Arial"/>
                <w:sz w:val="14"/>
                <w:szCs w:val="14"/>
                <w:color w:val="auto"/>
              </w:rPr>
              <w:t>Lease liability</w:t>
            </w:r>
            <w:r>
              <w:rPr>
                <w:rFonts w:ascii="Arial" w:cs="Arial" w:eastAsia="Arial" w:hAnsi="Arial"/>
                <w:sz w:val="24"/>
                <w:szCs w:val="24"/>
                <w:color w:val="auto"/>
                <w:vertAlign w:val="superscript"/>
              </w:rPr>
              <w:t>(2)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5,900</w:t>
            </w:r>
          </w:p>
        </w:tc>
      </w:tr>
      <w:tr>
        <w:trPr>
          <w:trHeight w:val="184"/>
        </w:trPr>
        <w:tc>
          <w:tcPr>
            <w:tcW w:w="8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Acquired leases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84"/>
        </w:trPr>
        <w:tc>
          <w:tcPr>
            <w:tcW w:w="8200" w:type="dxa"/>
            <w:vAlign w:val="bottom"/>
          </w:tcPr>
          <w:p>
            <w:pPr>
              <w:ind w:left="180"/>
              <w:spacing w:after="0"/>
              <w:rPr>
                <w:sz w:val="20"/>
                <w:szCs w:val="20"/>
                <w:color w:val="auto"/>
              </w:rPr>
            </w:pPr>
            <w:r>
              <w:rPr>
                <w:rFonts w:ascii="Arial" w:cs="Arial" w:eastAsia="Arial" w:hAnsi="Arial"/>
                <w:sz w:val="14"/>
                <w:szCs w:val="14"/>
                <w:color w:val="auto"/>
              </w:rPr>
              <w:t>Finance lease liabilities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84"/>
        </w:trPr>
        <w:tc>
          <w:tcPr>
            <w:tcW w:w="8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55"/>
        </w:trPr>
        <w:tc>
          <w:tcPr>
            <w:tcW w:w="820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Other non-current liabilities</w:t>
            </w:r>
          </w:p>
        </w:tc>
        <w:tc>
          <w:tcPr>
            <w:tcW w:w="16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68"/>
              <w:spacing w:after="0" w:line="15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22,906</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22,017</w:t>
            </w:r>
          </w:p>
        </w:tc>
      </w:tr>
    </w:tbl>
    <w:p>
      <w:pPr>
        <w:spacing w:after="0" w:line="128" w:lineRule="exact"/>
        <w:rPr>
          <w:sz w:val="20"/>
          <w:szCs w:val="20"/>
          <w:color w:val="auto"/>
        </w:rPr>
      </w:pPr>
    </w:p>
    <w:p>
      <w:pPr>
        <w:ind w:left="520" w:hanging="253"/>
        <w:spacing w:after="0"/>
        <w:tabs>
          <w:tab w:leader="none" w:pos="5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Represents the pension liability associated with the Supplemental Executive Retirement Plan explained below.</w:t>
      </w:r>
    </w:p>
    <w:p>
      <w:pPr>
        <w:ind w:left="520" w:hanging="253"/>
        <w:spacing w:after="0" w:line="238" w:lineRule="auto"/>
        <w:tabs>
          <w:tab w:leader="none" w:pos="5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 xml:space="preserve">Represents the lease liability of the option associated with the ground lease purchase of the Village East Cinema. See </w:t>
      </w:r>
      <w:r>
        <w:rPr>
          <w:rFonts w:ascii="Arial" w:cs="Arial" w:eastAsia="Arial" w:hAnsi="Arial"/>
          <w:sz w:val="12"/>
          <w:szCs w:val="12"/>
          <w:i w:val="1"/>
          <w:iCs w:val="1"/>
          <w:color w:val="auto"/>
        </w:rPr>
        <w:t>Note 21 – Related Parties</w:t>
      </w:r>
      <w:r>
        <w:rPr>
          <w:rFonts w:ascii="Arial" w:cs="Arial" w:eastAsia="Arial" w:hAnsi="Arial"/>
          <w:sz w:val="12"/>
          <w:szCs w:val="12"/>
          <w:color w:val="auto"/>
        </w:rPr>
        <w:t xml:space="preserve">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Pension Liability – Supplemental Executive Retirement Plan</w:t>
      </w:r>
    </w:p>
    <w:p>
      <w:pPr>
        <w:spacing w:after="0" w:line="143" w:lineRule="exact"/>
        <w:rPr>
          <w:sz w:val="20"/>
          <w:szCs w:val="20"/>
          <w:color w:val="auto"/>
        </w:rPr>
      </w:pPr>
    </w:p>
    <w:p>
      <w:pPr>
        <w:ind w:right="100"/>
        <w:spacing w:after="0" w:line="257" w:lineRule="auto"/>
        <w:rPr>
          <w:sz w:val="20"/>
          <w:szCs w:val="20"/>
          <w:color w:val="auto"/>
        </w:rPr>
      </w:pPr>
      <w:r>
        <w:rPr>
          <w:rFonts w:ascii="Arial" w:cs="Arial" w:eastAsia="Arial" w:hAnsi="Arial"/>
          <w:sz w:val="13"/>
          <w:szCs w:val="13"/>
          <w:color w:val="auto"/>
        </w:rPr>
        <w:t>On August 29, 2014, the Supplemental Executive Retirement Plan (“SERP”) that was effective since March 1, 2007, was ended and replaced with a new pension annuity. As a result of the termination of the SERP program, the accrued pension liability of $7.6 million was reversed and replaced with a new pension annuity liability of $7.5 million. The valuation of the liability is based on the present value of $10.2 million discounted at 4.25% over a 15-year term, resulting in a monthly payment of $57,000 payable to the estate of Mr. James J. Cotter, Sr. The discounted value of $2.7 million (which is the difference between the estimated payout of $10.2 million and the present value of $7.5 million) will be amortized and expensed based on the 15-year term. In addition, the accumulated actuarial loss of $3.1 million recorded, as part of other comprehensive income, will also be amortized based on the 15-year term.</w:t>
      </w:r>
    </w:p>
    <w:p>
      <w:pPr>
        <w:spacing w:after="0" w:line="110"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As a result of the above, included in our other current and non-current liabilities are accrued pension costs of $4.3 million and $4.7 million as of December 31, 2021 and 2020, respectively. The benefits of our pension plans are fully vested and therefore no service costs were recognized 2021 and 2020. Our pension plans are unfunded.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The change in the SERP pension benefit obligation and the funded status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8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2"/>
                <w:szCs w:val="12"/>
                <w:b w:val="1"/>
                <w:bCs w:val="1"/>
                <w:color w:val="auto"/>
              </w:rPr>
              <w:t>December 31,</w:t>
            </w:r>
          </w:p>
        </w:tc>
        <w:tc>
          <w:tcPr>
            <w:tcW w:w="960" w:type="dxa"/>
            <w:vAlign w:val="bottom"/>
            <w:tcBorders>
              <w:bottom w:val="single" w:sz="8" w:color="auto"/>
            </w:tcBorders>
          </w:tcPr>
          <w:p>
            <w:pPr>
              <w:spacing w:after="0"/>
              <w:rPr>
                <w:sz w:val="12"/>
                <w:szCs w:val="12"/>
                <w:color w:val="auto"/>
              </w:rPr>
            </w:pPr>
          </w:p>
        </w:tc>
      </w:tr>
      <w:tr>
        <w:trPr>
          <w:trHeight w:val="143"/>
        </w:trPr>
        <w:tc>
          <w:tcPr>
            <w:tcW w:w="380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44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2"/>
                <w:szCs w:val="12"/>
                <w:b w:val="1"/>
                <w:bCs w:val="1"/>
                <w:color w:val="auto"/>
              </w:rPr>
              <w:t>2021</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2"/>
                <w:szCs w:val="12"/>
                <w:b w:val="1"/>
                <w:bCs w:val="1"/>
                <w:color w:val="auto"/>
              </w:rPr>
              <w:t>2020</w:t>
            </w:r>
          </w:p>
        </w:tc>
      </w:tr>
      <w:tr>
        <w:trPr>
          <w:trHeight w:val="173"/>
        </w:trPr>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Benefit obligation at January 1</w:t>
            </w:r>
          </w:p>
        </w:tc>
        <w:tc>
          <w:tcPr>
            <w:tcW w:w="488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4,732</w:t>
            </w:r>
          </w:p>
        </w:tc>
        <w:tc>
          <w:tcPr>
            <w:tcW w:w="58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5,153</w:t>
            </w:r>
          </w:p>
        </w:tc>
      </w:tr>
      <w:tr>
        <w:trPr>
          <w:trHeight w:val="184"/>
        </w:trPr>
        <w:tc>
          <w:tcPr>
            <w:tcW w:w="3800" w:type="dxa"/>
            <w:vAlign w:val="bottom"/>
          </w:tcPr>
          <w:p>
            <w:pPr>
              <w:spacing w:after="0"/>
              <w:rPr>
                <w:sz w:val="20"/>
                <w:szCs w:val="20"/>
                <w:color w:val="auto"/>
              </w:rPr>
            </w:pPr>
            <w:r>
              <w:rPr>
                <w:rFonts w:ascii="Arial" w:cs="Arial" w:eastAsia="Arial" w:hAnsi="Arial"/>
                <w:sz w:val="14"/>
                <w:szCs w:val="14"/>
                <w:color w:val="auto"/>
              </w:rPr>
              <w:t>Service cost</w:t>
            </w:r>
          </w:p>
        </w:tc>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4"/>
        </w:trPr>
        <w:tc>
          <w:tcPr>
            <w:tcW w:w="3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cost</w:t>
            </w:r>
          </w:p>
        </w:tc>
        <w:tc>
          <w:tcPr>
            <w:tcW w:w="4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r>
      <w:tr>
        <w:trPr>
          <w:trHeight w:val="184"/>
        </w:trPr>
        <w:tc>
          <w:tcPr>
            <w:tcW w:w="3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Payments made</w:t>
            </w:r>
          </w:p>
        </w:tc>
        <w:tc>
          <w:tcPr>
            <w:tcW w:w="44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w:t>
            </w:r>
          </w:p>
        </w:tc>
        <w:tc>
          <w:tcPr>
            <w:tcW w:w="1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w:t>
            </w:r>
          </w:p>
        </w:tc>
      </w:tr>
      <w:tr>
        <w:trPr>
          <w:trHeight w:val="173"/>
        </w:trPr>
        <w:tc>
          <w:tcPr>
            <w:tcW w:w="3800" w:type="dxa"/>
            <w:vAlign w:val="bottom"/>
            <w:tcBorders>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Benefit obligation at December 31</w:t>
            </w:r>
          </w:p>
        </w:tc>
        <w:tc>
          <w:tcPr>
            <w:tcW w:w="44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8"/>
              <w:spacing w:after="0" w:line="15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4,289</w:t>
            </w:r>
          </w:p>
        </w:tc>
        <w:tc>
          <w:tcPr>
            <w:tcW w:w="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4,732</w:t>
            </w:r>
          </w:p>
        </w:tc>
      </w:tr>
      <w:tr>
        <w:trPr>
          <w:trHeight w:val="146"/>
        </w:trPr>
        <w:tc>
          <w:tcPr>
            <w:tcW w:w="3800" w:type="dxa"/>
            <w:vAlign w:val="bottom"/>
          </w:tcPr>
          <w:p>
            <w:pPr>
              <w:spacing w:after="0" w:line="145" w:lineRule="exact"/>
              <w:rPr>
                <w:sz w:val="20"/>
                <w:szCs w:val="20"/>
                <w:color w:val="auto"/>
              </w:rPr>
            </w:pPr>
            <w:r>
              <w:rPr>
                <w:rFonts w:ascii="Arial" w:cs="Arial" w:eastAsia="Arial" w:hAnsi="Arial"/>
                <w:sz w:val="14"/>
                <w:szCs w:val="14"/>
                <w:b w:val="1"/>
                <w:bCs w:val="1"/>
                <w:color w:val="auto"/>
              </w:rPr>
              <w:t>Unfunded status at December 31</w:t>
            </w:r>
          </w:p>
        </w:tc>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168"/>
              <w:spacing w:after="0" w:line="145"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(4,289)</w:t>
            </w:r>
          </w:p>
        </w:tc>
        <w:tc>
          <w:tcPr>
            <w:tcW w:w="160" w:type="dxa"/>
            <w:vAlign w:val="bottom"/>
          </w:tcPr>
          <w:p>
            <w:pPr>
              <w:spacing w:after="0"/>
              <w:rPr>
                <w:sz w:val="12"/>
                <w:szCs w:val="12"/>
                <w:color w:val="auto"/>
              </w:rPr>
            </w:pPr>
          </w:p>
        </w:tc>
        <w:tc>
          <w:tcPr>
            <w:tcW w:w="42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(4,732)</w:t>
            </w:r>
          </w:p>
        </w:tc>
      </w:tr>
      <w:tr>
        <w:trPr>
          <w:trHeight w:val="313"/>
        </w:trPr>
        <w:tc>
          <w:tcPr>
            <w:tcW w:w="3800" w:type="dxa"/>
            <w:vAlign w:val="bottom"/>
          </w:tcPr>
          <w:p>
            <w:pPr>
              <w:spacing w:after="0"/>
              <w:rPr>
                <w:sz w:val="24"/>
                <w:szCs w:val="24"/>
                <w:color w:val="auto"/>
              </w:rPr>
            </w:pPr>
          </w:p>
        </w:tc>
        <w:tc>
          <w:tcPr>
            <w:tcW w:w="4400" w:type="dxa"/>
            <w:vAlign w:val="bottom"/>
          </w:tcPr>
          <w:p>
            <w:pPr>
              <w:jc w:val="right"/>
              <w:ind w:right="2328"/>
              <w:spacing w:after="0"/>
              <w:rPr>
                <w:sz w:val="20"/>
                <w:szCs w:val="20"/>
                <w:color w:val="auto"/>
              </w:rPr>
            </w:pPr>
            <w:r>
              <w:rPr>
                <w:rFonts w:ascii="Arial" w:cs="Arial" w:eastAsia="Arial" w:hAnsi="Arial"/>
                <w:sz w:val="14"/>
                <w:szCs w:val="14"/>
                <w:color w:val="auto"/>
              </w:rPr>
              <w:t>- 90 -</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2"/>
        </w:trPr>
        <w:tc>
          <w:tcPr>
            <w:tcW w:w="3800" w:type="dxa"/>
            <w:vAlign w:val="bottom"/>
            <w:tcBorders>
              <w:bottom w:val="single" w:sz="8" w:color="9A9A9A"/>
            </w:tcBorders>
          </w:tcPr>
          <w:p>
            <w:pPr>
              <w:spacing w:after="0"/>
              <w:rPr>
                <w:sz w:val="21"/>
                <w:szCs w:val="21"/>
                <w:color w:val="auto"/>
              </w:rPr>
            </w:pPr>
          </w:p>
        </w:tc>
        <w:tc>
          <w:tcPr>
            <w:tcW w:w="440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32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420" w:type="dxa"/>
            <w:vAlign w:val="bottom"/>
            <w:tcBorders>
              <w:bottom w:val="single" w:sz="8" w:color="9A9A9A"/>
            </w:tcBorders>
          </w:tcPr>
          <w:p>
            <w:pPr>
              <w:spacing w:after="0"/>
              <w:rPr>
                <w:sz w:val="21"/>
                <w:szCs w:val="21"/>
                <w:color w:val="auto"/>
              </w:rPr>
            </w:pPr>
          </w:p>
        </w:tc>
        <w:tc>
          <w:tcPr>
            <w:tcW w:w="96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266"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color w:val="auto"/>
        </w:rPr>
        <w:t>Amounts recognized in the balance sheet consists of:</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200" w:type="dxa"/>
            <w:vAlign w:val="bottom"/>
            <w:vMerge w:val="restart"/>
          </w:tcPr>
          <w:p>
            <w:pPr>
              <w:spacing w:after="0"/>
              <w:rPr>
                <w:sz w:val="20"/>
                <w:szCs w:val="20"/>
                <w:color w:val="auto"/>
              </w:rPr>
            </w:pPr>
            <w:r>
              <w:rPr>
                <w:rFonts w:ascii="Arial" w:cs="Arial" w:eastAsia="Arial" w:hAnsi="Arial"/>
                <w:sz w:val="12"/>
                <w:szCs w:val="12"/>
                <w:i w:val="1"/>
                <w:iCs w:val="1"/>
                <w:color w:val="auto"/>
              </w:rPr>
              <w:t>(Dollars in thousands)</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2"/>
                <w:szCs w:val="12"/>
                <w:b w:val="1"/>
                <w:bCs w:val="1"/>
                <w:color w:val="auto"/>
              </w:rPr>
              <w:t>December 31,</w:t>
            </w: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20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12"/>
              <w:spacing w:after="0" w:line="120" w:lineRule="exact"/>
              <w:rPr>
                <w:sz w:val="20"/>
                <w:szCs w:val="20"/>
                <w:color w:val="auto"/>
              </w:rPr>
            </w:pPr>
            <w:r>
              <w:rPr>
                <w:rFonts w:ascii="Arial" w:cs="Arial" w:eastAsia="Arial" w:hAnsi="Arial"/>
                <w:sz w:val="12"/>
                <w:szCs w:val="12"/>
                <w:b w:val="1"/>
                <w:bCs w:val="1"/>
                <w:color w:val="auto"/>
              </w:rPr>
              <w:t>2021</w:t>
            </w: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510"/>
              <w:spacing w:after="0" w:line="120" w:lineRule="exact"/>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2"/>
        </w:trPr>
        <w:tc>
          <w:tcPr>
            <w:tcW w:w="820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68"/>
              <w:spacing w:after="0" w:line="152"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684</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334"/>
              <w:spacing w:after="0"/>
              <w:rPr>
                <w:sz w:val="20"/>
                <w:szCs w:val="20"/>
                <w:color w:val="auto"/>
              </w:rPr>
            </w:pPr>
            <w:r>
              <w:rPr>
                <w:rFonts w:ascii="Arial" w:cs="Arial" w:eastAsia="Arial" w:hAnsi="Arial"/>
                <w:sz w:val="5"/>
                <w:szCs w:val="5"/>
                <w:color w:val="auto"/>
                <w:w w:val="70"/>
              </w:rPr>
              <w:t>$</w:t>
            </w:r>
          </w:p>
        </w:tc>
        <w:tc>
          <w:tcPr>
            <w:tcW w:w="9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52"/>
        </w:trPr>
        <w:tc>
          <w:tcPr>
            <w:tcW w:w="8200" w:type="dxa"/>
            <w:vAlign w:val="bottom"/>
            <w:tcBorders>
              <w:bottom w:val="single" w:sz="8" w:color="CCEEFF"/>
            </w:tcBorders>
          </w:tcPr>
          <w:p>
            <w:pPr>
              <w:spacing w:after="0" w:line="152" w:lineRule="exact"/>
              <w:rPr>
                <w:sz w:val="20"/>
                <w:szCs w:val="20"/>
                <w:color w:val="auto"/>
              </w:rPr>
            </w:pPr>
            <w:r>
              <w:rPr>
                <w:rFonts w:ascii="Arial" w:cs="Arial" w:eastAsia="Arial" w:hAnsi="Arial"/>
                <w:sz w:val="14"/>
                <w:szCs w:val="14"/>
                <w:color w:val="auto"/>
              </w:rPr>
              <w:t>Other liabilities - Non current</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3,605</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4,048</w:t>
            </w:r>
          </w:p>
        </w:tc>
        <w:tc>
          <w:tcPr>
            <w:tcW w:w="0" w:type="dxa"/>
            <w:vAlign w:val="bottom"/>
          </w:tcPr>
          <w:p>
            <w:pPr>
              <w:spacing w:after="0"/>
              <w:rPr>
                <w:sz w:val="1"/>
                <w:szCs w:val="1"/>
                <w:color w:val="auto"/>
              </w:rPr>
            </w:pPr>
          </w:p>
        </w:tc>
      </w:tr>
      <w:tr>
        <w:trPr>
          <w:trHeight w:val="163"/>
        </w:trPr>
        <w:tc>
          <w:tcPr>
            <w:tcW w:w="820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Total pension liability</w:t>
            </w: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8"/>
              <w:spacing w:after="0" w:line="14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4,289</w:t>
            </w:r>
          </w:p>
        </w:tc>
        <w:tc>
          <w:tcPr>
            <w:tcW w:w="1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4,732</w:t>
            </w:r>
          </w:p>
        </w:tc>
        <w:tc>
          <w:tcPr>
            <w:tcW w:w="0" w:type="dxa"/>
            <w:vAlign w:val="bottom"/>
          </w:tcPr>
          <w:p>
            <w:pPr>
              <w:spacing w:after="0"/>
              <w:rPr>
                <w:sz w:val="1"/>
                <w:szCs w:val="1"/>
                <w:color w:val="auto"/>
              </w:rPr>
            </w:pPr>
          </w:p>
        </w:tc>
      </w:tr>
      <w:tr>
        <w:trPr>
          <w:trHeight w:val="295"/>
        </w:trPr>
        <w:tc>
          <w:tcPr>
            <w:tcW w:w="8200" w:type="dxa"/>
            <w:vAlign w:val="bottom"/>
          </w:tcPr>
          <w:p>
            <w:pPr>
              <w:spacing w:after="0"/>
              <w:rPr>
                <w:sz w:val="20"/>
                <w:szCs w:val="20"/>
                <w:color w:val="auto"/>
              </w:rPr>
            </w:pPr>
            <w:r>
              <w:rPr>
                <w:rFonts w:ascii="Arial" w:cs="Arial" w:eastAsia="Arial" w:hAnsi="Arial"/>
                <w:sz w:val="14"/>
                <w:szCs w:val="14"/>
                <w:color w:val="auto"/>
              </w:rPr>
              <w:t>The components of the net periodic benefit cost and other amounts recognized in other comprehensive income are as follows:</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2"/>
                <w:szCs w:val="12"/>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820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73"/>
        </w:trPr>
        <w:tc>
          <w:tcPr>
            <w:tcW w:w="8200" w:type="dxa"/>
            <w:vAlign w:val="bottom"/>
          </w:tcPr>
          <w:p>
            <w:pPr>
              <w:spacing w:after="0"/>
              <w:rPr>
                <w:sz w:val="20"/>
                <w:szCs w:val="20"/>
                <w:color w:val="auto"/>
              </w:rPr>
            </w:pPr>
            <w:r>
              <w:rPr>
                <w:rFonts w:ascii="Arial" w:cs="Arial" w:eastAsia="Arial" w:hAnsi="Arial"/>
                <w:sz w:val="14"/>
                <w:szCs w:val="14"/>
                <w:b w:val="1"/>
                <w:bCs w:val="1"/>
                <w:color w:val="auto"/>
              </w:rPr>
              <w:t>Net periodic benefit cost</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00" w:type="dxa"/>
            <w:vAlign w:val="bottom"/>
            <w:shd w:val="clear" w:color="auto" w:fill="CCEEFF"/>
          </w:tcPr>
          <w:p>
            <w:pPr>
              <w:spacing w:after="0"/>
              <w:rPr>
                <w:sz w:val="20"/>
                <w:szCs w:val="20"/>
                <w:color w:val="auto"/>
              </w:rPr>
            </w:pPr>
            <w:r>
              <w:rPr>
                <w:rFonts w:ascii="Arial" w:cs="Arial" w:eastAsia="Arial" w:hAnsi="Arial"/>
                <w:sz w:val="14"/>
                <w:szCs w:val="14"/>
                <w:color w:val="auto"/>
              </w:rPr>
              <w:t>Interest cost</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580" w:type="dxa"/>
            <w:vAlign w:val="bottom"/>
            <w:gridSpan w:val="3"/>
            <w:shd w:val="clear" w:color="auto" w:fill="CCEEFF"/>
          </w:tcPr>
          <w:p>
            <w:pPr>
              <w:jc w:val="right"/>
              <w:ind w:right="334"/>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84"/>
        </w:trPr>
        <w:tc>
          <w:tcPr>
            <w:tcW w:w="8200" w:type="dxa"/>
            <w:vAlign w:val="bottom"/>
          </w:tcPr>
          <w:p>
            <w:pPr>
              <w:spacing w:after="0"/>
              <w:rPr>
                <w:sz w:val="20"/>
                <w:szCs w:val="20"/>
                <w:color w:val="auto"/>
              </w:rPr>
            </w:pPr>
            <w:r>
              <w:rPr>
                <w:rFonts w:ascii="Arial" w:cs="Arial" w:eastAsia="Arial" w:hAnsi="Arial"/>
                <w:sz w:val="14"/>
                <w:szCs w:val="14"/>
                <w:color w:val="auto"/>
              </w:rPr>
              <w:t>Amortization of prior service costs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20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net actuarial gain</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55"/>
        </w:trPr>
        <w:tc>
          <w:tcPr>
            <w:tcW w:w="8200" w:type="dxa"/>
            <w:vAlign w:val="bottom"/>
            <w:tcBorders>
              <w:bottom w:val="single" w:sz="8" w:color="CCEEFF"/>
            </w:tcBorders>
          </w:tcPr>
          <w:p>
            <w:pPr>
              <w:spacing w:after="0" w:line="153" w:lineRule="exact"/>
              <w:rPr>
                <w:sz w:val="20"/>
                <w:szCs w:val="20"/>
                <w:color w:val="auto"/>
              </w:rPr>
            </w:pPr>
            <w:r>
              <w:rPr>
                <w:rFonts w:ascii="Arial" w:cs="Arial" w:eastAsia="Arial" w:hAnsi="Arial"/>
                <w:sz w:val="14"/>
                <w:szCs w:val="14"/>
                <w:color w:val="auto"/>
              </w:rPr>
              <w:t>Net periodic benefit cost</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68"/>
              <w:spacing w:after="0" w:line="153"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406</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334"/>
              <w:spacing w:after="0"/>
              <w:rPr>
                <w:sz w:val="20"/>
                <w:szCs w:val="20"/>
                <w:color w:val="auto"/>
              </w:rPr>
            </w:pPr>
            <w:r>
              <w:rPr>
                <w:rFonts w:ascii="Arial" w:cs="Arial" w:eastAsia="Arial" w:hAnsi="Arial"/>
                <w:sz w:val="5"/>
                <w:szCs w:val="5"/>
                <w:color w:val="auto"/>
                <w:w w:val="70"/>
              </w:rPr>
              <w:t>$</w:t>
            </w:r>
          </w:p>
        </w:tc>
        <w:tc>
          <w:tcPr>
            <w:tcW w:w="9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73"/>
        </w:trPr>
        <w:tc>
          <w:tcPr>
            <w:tcW w:w="8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Items recognized in other comprehensive income</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00" w:type="dxa"/>
            <w:vAlign w:val="bottom"/>
          </w:tcPr>
          <w:p>
            <w:pPr>
              <w:spacing w:after="0"/>
              <w:rPr>
                <w:sz w:val="20"/>
                <w:szCs w:val="20"/>
                <w:color w:val="auto"/>
              </w:rPr>
            </w:pPr>
            <w:r>
              <w:rPr>
                <w:rFonts w:ascii="Arial" w:cs="Arial" w:eastAsia="Arial" w:hAnsi="Arial"/>
                <w:sz w:val="14"/>
                <w:szCs w:val="14"/>
                <w:color w:val="auto"/>
              </w:rPr>
              <w:t>Net loss</w:t>
            </w:r>
          </w:p>
        </w:tc>
        <w:tc>
          <w:tcPr>
            <w:tcW w:w="4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334"/>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20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net loss</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55"/>
        </w:trPr>
        <w:tc>
          <w:tcPr>
            <w:tcW w:w="8200" w:type="dxa"/>
            <w:vAlign w:val="bottom"/>
            <w:tcBorders>
              <w:bottom w:val="single" w:sz="8" w:color="CCEEFF"/>
            </w:tcBorders>
          </w:tcPr>
          <w:p>
            <w:pPr>
              <w:spacing w:after="0" w:line="153" w:lineRule="exact"/>
              <w:rPr>
                <w:sz w:val="20"/>
                <w:szCs w:val="20"/>
                <w:color w:val="auto"/>
              </w:rPr>
            </w:pPr>
            <w:r>
              <w:rPr>
                <w:rFonts w:ascii="Arial" w:cs="Arial" w:eastAsia="Arial" w:hAnsi="Arial"/>
                <w:sz w:val="14"/>
                <w:szCs w:val="14"/>
                <w:color w:val="auto"/>
              </w:rPr>
              <w:t>Total recognized in other comprehensive income</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68"/>
              <w:spacing w:after="0" w:line="153"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(166)</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334"/>
              <w:spacing w:after="0"/>
              <w:rPr>
                <w:sz w:val="20"/>
                <w:szCs w:val="20"/>
                <w:color w:val="auto"/>
              </w:rPr>
            </w:pPr>
            <w:r>
              <w:rPr>
                <w:rFonts w:ascii="Arial" w:cs="Arial" w:eastAsia="Arial" w:hAnsi="Arial"/>
                <w:sz w:val="5"/>
                <w:szCs w:val="5"/>
                <w:color w:val="auto"/>
                <w:w w:val="70"/>
              </w:rPr>
              <w:t>$</w:t>
            </w:r>
          </w:p>
        </w:tc>
        <w:tc>
          <w:tcPr>
            <w:tcW w:w="9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83"/>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recognized in net periodic benefit cost and other comprehensive income</w:t>
            </w: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240</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262</w:t>
            </w:r>
          </w:p>
        </w:tc>
        <w:tc>
          <w:tcPr>
            <w:tcW w:w="0" w:type="dxa"/>
            <w:vAlign w:val="bottom"/>
          </w:tcPr>
          <w:p>
            <w:pPr>
              <w:spacing w:after="0"/>
              <w:rPr>
                <w:sz w:val="1"/>
                <w:szCs w:val="1"/>
                <w:color w:val="auto"/>
              </w:rPr>
            </w:pPr>
          </w:p>
        </w:tc>
      </w:tr>
      <w:tr>
        <w:trPr>
          <w:trHeight w:val="295"/>
        </w:trPr>
        <w:tc>
          <w:tcPr>
            <w:tcW w:w="8200" w:type="dxa"/>
            <w:vAlign w:val="bottom"/>
          </w:tcPr>
          <w:p>
            <w:pPr>
              <w:spacing w:after="0"/>
              <w:rPr>
                <w:sz w:val="20"/>
                <w:szCs w:val="20"/>
                <w:color w:val="auto"/>
              </w:rPr>
            </w:pPr>
            <w:r>
              <w:rPr>
                <w:rFonts w:ascii="Arial" w:cs="Arial" w:eastAsia="Arial" w:hAnsi="Arial"/>
                <w:sz w:val="14"/>
                <w:szCs w:val="14"/>
                <w:color w:val="auto"/>
              </w:rPr>
              <w:t>Items not yet recognized as a component of net periodic pension cost consist of the following:</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2"/>
                <w:szCs w:val="12"/>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820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2"/>
                <w:szCs w:val="12"/>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73"/>
        </w:trPr>
        <w:tc>
          <w:tcPr>
            <w:tcW w:w="8200" w:type="dxa"/>
            <w:vAlign w:val="bottom"/>
            <w:shd w:val="clear" w:color="auto" w:fill="CCEEFF"/>
          </w:tcPr>
          <w:p>
            <w:pPr>
              <w:spacing w:after="0"/>
              <w:rPr>
                <w:sz w:val="20"/>
                <w:szCs w:val="20"/>
                <w:color w:val="auto"/>
              </w:rPr>
            </w:pPr>
            <w:r>
              <w:rPr>
                <w:rFonts w:ascii="Arial" w:cs="Arial" w:eastAsia="Arial" w:hAnsi="Arial"/>
                <w:sz w:val="14"/>
                <w:szCs w:val="14"/>
                <w:color w:val="auto"/>
              </w:rPr>
              <w:t>Unamortized actuarial loss</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1,969</w:t>
            </w:r>
          </w:p>
        </w:tc>
        <w:tc>
          <w:tcPr>
            <w:tcW w:w="580" w:type="dxa"/>
            <w:vAlign w:val="bottom"/>
            <w:gridSpan w:val="3"/>
            <w:shd w:val="clear" w:color="auto" w:fill="CCEEFF"/>
          </w:tcPr>
          <w:p>
            <w:pPr>
              <w:jc w:val="right"/>
              <w:ind w:right="334"/>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2,135</w:t>
            </w:r>
          </w:p>
        </w:tc>
        <w:tc>
          <w:tcPr>
            <w:tcW w:w="0" w:type="dxa"/>
            <w:vAlign w:val="bottom"/>
          </w:tcPr>
          <w:p>
            <w:pPr>
              <w:spacing w:after="0"/>
              <w:rPr>
                <w:sz w:val="1"/>
                <w:szCs w:val="1"/>
                <w:color w:val="auto"/>
              </w:rPr>
            </w:pPr>
          </w:p>
        </w:tc>
      </w:tr>
      <w:tr>
        <w:trPr>
          <w:trHeight w:val="155"/>
        </w:trPr>
        <w:tc>
          <w:tcPr>
            <w:tcW w:w="8200" w:type="dxa"/>
            <w:vAlign w:val="bottom"/>
          </w:tcPr>
          <w:p>
            <w:pPr>
              <w:spacing w:after="0" w:line="153" w:lineRule="exact"/>
              <w:rPr>
                <w:sz w:val="20"/>
                <w:szCs w:val="20"/>
                <w:color w:val="auto"/>
              </w:rPr>
            </w:pPr>
            <w:r>
              <w:rPr>
                <w:rFonts w:ascii="Arial" w:cs="Arial" w:eastAsia="Arial" w:hAnsi="Arial"/>
                <w:sz w:val="14"/>
                <w:szCs w:val="14"/>
                <w:b w:val="1"/>
                <w:bCs w:val="1"/>
                <w:color w:val="auto"/>
              </w:rPr>
              <w:t>Accumulated other comprehensive income</w:t>
            </w:r>
          </w:p>
        </w:tc>
        <w:tc>
          <w:tcPr>
            <w:tcW w:w="16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68"/>
              <w:spacing w:after="0" w:line="15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1,969</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2,135</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240"/>
        <w:spacing w:after="0" w:line="258" w:lineRule="auto"/>
        <w:rPr>
          <w:sz w:val="20"/>
          <w:szCs w:val="20"/>
          <w:color w:val="auto"/>
        </w:rPr>
      </w:pPr>
      <w:r>
        <w:rPr>
          <w:rFonts w:ascii="Arial" w:cs="Arial" w:eastAsia="Arial" w:hAnsi="Arial"/>
          <w:sz w:val="14"/>
          <w:szCs w:val="14"/>
          <w:color w:val="auto"/>
        </w:rPr>
        <w:t>The estimated unamortized actuarial loss for the defined benefit pension plan that will be amortized from accumulated other comprehensive income into net periodic benefit cost over the next fiscal year will be $207,000 (gross of any tax effects).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estimated future benefit payments for the next five years and thereafter as of December 31,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ind w:right="193"/>
              <w:spacing w:after="0"/>
              <w:rPr>
                <w:sz w:val="20"/>
                <w:szCs w:val="20"/>
                <w:color w:val="auto"/>
              </w:rPr>
            </w:pPr>
            <w:r>
              <w:rPr>
                <w:rFonts w:ascii="Arial" w:cs="Arial" w:eastAsia="Arial" w:hAnsi="Arial"/>
                <w:sz w:val="12"/>
                <w:szCs w:val="12"/>
                <w:b w:val="1"/>
                <w:bCs w:val="1"/>
                <w:color w:val="auto"/>
                <w:w w:val="87"/>
              </w:rPr>
              <w:t>Estimated</w:t>
            </w:r>
          </w:p>
        </w:tc>
      </w:tr>
      <w:tr>
        <w:trPr>
          <w:trHeight w:val="119"/>
        </w:trPr>
        <w:tc>
          <w:tcPr>
            <w:tcW w:w="9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jc w:val="center"/>
              <w:ind w:right="193"/>
              <w:spacing w:after="0" w:line="120" w:lineRule="exact"/>
              <w:rPr>
                <w:sz w:val="20"/>
                <w:szCs w:val="20"/>
                <w:color w:val="auto"/>
              </w:rPr>
            </w:pPr>
            <w:r>
              <w:rPr>
                <w:rFonts w:ascii="Arial" w:cs="Arial" w:eastAsia="Arial" w:hAnsi="Arial"/>
                <w:sz w:val="12"/>
                <w:szCs w:val="12"/>
                <w:b w:val="1"/>
                <w:bCs w:val="1"/>
                <w:color w:val="auto"/>
                <w:w w:val="90"/>
              </w:rPr>
              <w:t>Future</w:t>
            </w:r>
          </w:p>
        </w:tc>
      </w:tr>
      <w:tr>
        <w:trPr>
          <w:trHeight w:val="119"/>
        </w:trPr>
        <w:tc>
          <w:tcPr>
            <w:tcW w:w="9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jc w:val="center"/>
              <w:ind w:right="193"/>
              <w:spacing w:after="0" w:line="120" w:lineRule="exact"/>
              <w:rPr>
                <w:sz w:val="20"/>
                <w:szCs w:val="20"/>
                <w:color w:val="auto"/>
              </w:rPr>
            </w:pPr>
            <w:r>
              <w:rPr>
                <w:rFonts w:ascii="Arial" w:cs="Arial" w:eastAsia="Arial" w:hAnsi="Arial"/>
                <w:sz w:val="12"/>
                <w:szCs w:val="12"/>
                <w:b w:val="1"/>
                <w:bCs w:val="1"/>
                <w:color w:val="auto"/>
                <w:w w:val="81"/>
              </w:rPr>
              <w:t>Pension</w:t>
            </w:r>
          </w:p>
        </w:tc>
      </w:tr>
      <w:tr>
        <w:trPr>
          <w:trHeight w:val="138"/>
        </w:trPr>
        <w:tc>
          <w:tcPr>
            <w:tcW w:w="9740" w:type="dxa"/>
            <w:vAlign w:val="bottom"/>
            <w:tcBorders>
              <w:bottom w:val="single" w:sz="8" w:color="auto"/>
            </w:tcBorders>
          </w:tcPr>
          <w:p>
            <w:pPr>
              <w:spacing w:after="0" w:line="137" w:lineRule="exact"/>
              <w:rPr>
                <w:sz w:val="20"/>
                <w:szCs w:val="20"/>
                <w:color w:val="auto"/>
              </w:rPr>
            </w:pPr>
            <w:r>
              <w:rPr>
                <w:rFonts w:ascii="Arial" w:cs="Arial" w:eastAsia="Arial" w:hAnsi="Arial"/>
                <w:sz w:val="12"/>
                <w:szCs w:val="12"/>
                <w:i w:val="1"/>
                <w:iCs w:val="1"/>
                <w:color w:val="auto"/>
              </w:rPr>
              <w:t>(Dollars in thousands)</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173"/>
              <w:spacing w:after="0" w:line="137" w:lineRule="exact"/>
              <w:rPr>
                <w:sz w:val="20"/>
                <w:szCs w:val="20"/>
                <w:color w:val="auto"/>
              </w:rPr>
            </w:pPr>
            <w:r>
              <w:rPr>
                <w:rFonts w:ascii="Arial" w:cs="Arial" w:eastAsia="Arial" w:hAnsi="Arial"/>
                <w:sz w:val="12"/>
                <w:szCs w:val="12"/>
                <w:b w:val="1"/>
                <w:bCs w:val="1"/>
                <w:color w:val="auto"/>
                <w:w w:val="84"/>
              </w:rPr>
              <w:t>Payments</w:t>
            </w:r>
          </w:p>
        </w:tc>
      </w:tr>
      <w:tr>
        <w:trPr>
          <w:trHeight w:val="152"/>
        </w:trPr>
        <w:tc>
          <w:tcPr>
            <w:tcW w:w="974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2022</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08"/>
              <w:spacing w:after="0" w:line="152"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684</w:t>
            </w:r>
          </w:p>
        </w:tc>
      </w:tr>
      <w:tr>
        <w:trPr>
          <w:trHeight w:val="152"/>
        </w:trPr>
        <w:tc>
          <w:tcPr>
            <w:tcW w:w="9740" w:type="dxa"/>
            <w:vAlign w:val="bottom"/>
          </w:tcPr>
          <w:p>
            <w:pPr>
              <w:spacing w:after="0" w:line="152" w:lineRule="exact"/>
              <w:rPr>
                <w:sz w:val="20"/>
                <w:szCs w:val="20"/>
                <w:color w:val="auto"/>
              </w:rPr>
            </w:pPr>
            <w:r>
              <w:rPr>
                <w:rFonts w:ascii="Arial" w:cs="Arial" w:eastAsia="Arial" w:hAnsi="Arial"/>
                <w:sz w:val="14"/>
                <w:szCs w:val="14"/>
                <w:color w:val="auto"/>
              </w:rPr>
              <w:t>2023</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line="152" w:lineRule="exact"/>
              <w:rPr>
                <w:sz w:val="20"/>
                <w:szCs w:val="20"/>
                <w:color w:val="auto"/>
              </w:rPr>
            </w:pPr>
            <w:r>
              <w:rPr>
                <w:rFonts w:ascii="Arial" w:cs="Arial" w:eastAsia="Arial" w:hAnsi="Arial"/>
                <w:sz w:val="14"/>
                <w:szCs w:val="14"/>
                <w:color w:val="auto"/>
              </w:rPr>
              <w:t>684</w:t>
            </w:r>
          </w:p>
        </w:tc>
      </w:tr>
      <w:tr>
        <w:trPr>
          <w:trHeight w:val="152"/>
        </w:trPr>
        <w:tc>
          <w:tcPr>
            <w:tcW w:w="974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2024</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684</w:t>
            </w:r>
          </w:p>
        </w:tc>
      </w:tr>
      <w:tr>
        <w:trPr>
          <w:trHeight w:val="152"/>
        </w:trPr>
        <w:tc>
          <w:tcPr>
            <w:tcW w:w="9740" w:type="dxa"/>
            <w:vAlign w:val="bottom"/>
          </w:tcPr>
          <w:p>
            <w:pPr>
              <w:spacing w:after="0" w:line="152" w:lineRule="exact"/>
              <w:rPr>
                <w:sz w:val="20"/>
                <w:szCs w:val="20"/>
                <w:color w:val="auto"/>
              </w:rPr>
            </w:pPr>
            <w:r>
              <w:rPr>
                <w:rFonts w:ascii="Arial" w:cs="Arial" w:eastAsia="Arial" w:hAnsi="Arial"/>
                <w:sz w:val="14"/>
                <w:szCs w:val="14"/>
                <w:color w:val="auto"/>
              </w:rPr>
              <w:t>2025</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line="152" w:lineRule="exact"/>
              <w:rPr>
                <w:sz w:val="20"/>
                <w:szCs w:val="20"/>
                <w:color w:val="auto"/>
              </w:rPr>
            </w:pPr>
            <w:r>
              <w:rPr>
                <w:rFonts w:ascii="Arial" w:cs="Arial" w:eastAsia="Arial" w:hAnsi="Arial"/>
                <w:sz w:val="14"/>
                <w:szCs w:val="14"/>
                <w:color w:val="auto"/>
              </w:rPr>
              <w:t>684</w:t>
            </w:r>
          </w:p>
        </w:tc>
      </w:tr>
      <w:tr>
        <w:trPr>
          <w:trHeight w:val="152"/>
        </w:trPr>
        <w:tc>
          <w:tcPr>
            <w:tcW w:w="974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2026</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684</w:t>
            </w:r>
          </w:p>
        </w:tc>
      </w:tr>
      <w:tr>
        <w:trPr>
          <w:trHeight w:val="152"/>
        </w:trPr>
        <w:tc>
          <w:tcPr>
            <w:tcW w:w="9740" w:type="dxa"/>
            <w:vAlign w:val="bottom"/>
            <w:tcBorders>
              <w:bottom w:val="single" w:sz="8" w:color="CCEEFF"/>
            </w:tcBorders>
          </w:tcPr>
          <w:p>
            <w:pPr>
              <w:spacing w:after="0" w:line="152" w:lineRule="exact"/>
              <w:rPr>
                <w:sz w:val="20"/>
                <w:szCs w:val="20"/>
                <w:color w:val="auto"/>
              </w:rPr>
            </w:pPr>
            <w:r>
              <w:rPr>
                <w:rFonts w:ascii="Arial" w:cs="Arial" w:eastAsia="Arial" w:hAnsi="Arial"/>
                <w:sz w:val="14"/>
                <w:szCs w:val="14"/>
                <w:color w:val="auto"/>
              </w:rPr>
              <w:t>Thereafter</w:t>
            </w: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869</w:t>
            </w:r>
          </w:p>
        </w:tc>
      </w:tr>
      <w:tr>
        <w:trPr>
          <w:trHeight w:val="143"/>
        </w:trPr>
        <w:tc>
          <w:tcPr>
            <w:tcW w:w="974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Total pension payments</w:t>
            </w: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3" w:lineRule="exact"/>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4,289</w:t>
            </w:r>
          </w:p>
        </w:tc>
      </w:tr>
      <w:tr>
        <w:trPr>
          <w:trHeight w:val="20"/>
        </w:trPr>
        <w:tc>
          <w:tcPr>
            <w:tcW w:w="9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 Make-Good Provision</w:t>
      </w:r>
    </w:p>
    <w:p>
      <w:pPr>
        <w:spacing w:after="0" w:line="143" w:lineRule="exact"/>
        <w:rPr>
          <w:sz w:val="20"/>
          <w:szCs w:val="20"/>
          <w:color w:val="auto"/>
        </w:rPr>
      </w:pPr>
    </w:p>
    <w:p>
      <w:pPr>
        <w:ind w:right="120"/>
        <w:spacing w:after="0" w:line="242" w:lineRule="auto"/>
        <w:rPr>
          <w:sz w:val="20"/>
          <w:szCs w:val="20"/>
          <w:color w:val="auto"/>
        </w:rPr>
      </w:pPr>
      <w:r>
        <w:rPr>
          <w:rFonts w:ascii="Arial" w:cs="Arial" w:eastAsia="Arial" w:hAnsi="Arial"/>
          <w:sz w:val="14"/>
          <w:szCs w:val="14"/>
          <w:color w:val="auto"/>
        </w:rPr>
        <w:t>We recognize obligations for future leasehold restoration costs relating to properties that we use mostly on our cinema operations under operating lease arrangements. Each lease is unique to the negotiated conditions with the lessor, but in general most leases require for the removal of cinema-related assets and improvements. There are no assets specifically restricted to settle this obligation.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22"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color w:val="auto"/>
        </w:rPr>
        <w:t>A reconciliation of the beginning and ending carrying amounts of the lease make-good provision is presented in the following table: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9"/>
              </w:rPr>
              <w:t>As of and for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34"/>
              <w:spacing w:after="0"/>
              <w:rPr>
                <w:sz w:val="20"/>
                <w:szCs w:val="20"/>
                <w:color w:val="auto"/>
              </w:rPr>
            </w:pPr>
            <w:r>
              <w:rPr>
                <w:rFonts w:ascii="Arial" w:cs="Arial" w:eastAsia="Arial" w:hAnsi="Arial"/>
                <w:sz w:val="12"/>
                <w:szCs w:val="12"/>
                <w:b w:val="1"/>
                <w:bCs w:val="1"/>
                <w:color w:val="auto"/>
                <w:w w:val="89"/>
              </w:rPr>
              <w:t>As of and for</w:t>
            </w:r>
          </w:p>
        </w:tc>
      </w:tr>
      <w:tr>
        <w:trPr>
          <w:trHeight w:val="119"/>
        </w:trPr>
        <w:tc>
          <w:tcPr>
            <w:tcW w:w="8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center"/>
              <w:ind w:right="360"/>
              <w:spacing w:after="0" w:line="120" w:lineRule="exact"/>
              <w:rPr>
                <w:sz w:val="20"/>
                <w:szCs w:val="20"/>
                <w:color w:val="auto"/>
              </w:rPr>
            </w:pPr>
            <w:r>
              <w:rPr>
                <w:rFonts w:ascii="Arial" w:cs="Arial" w:eastAsia="Arial" w:hAnsi="Arial"/>
                <w:sz w:val="12"/>
                <w:szCs w:val="12"/>
                <w:b w:val="1"/>
                <w:bCs w:val="1"/>
                <w:color w:val="auto"/>
                <w:w w:val="87"/>
              </w:rPr>
              <w:t>the year ended</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jc w:val="center"/>
              <w:ind w:right="134"/>
              <w:spacing w:after="0" w:line="120" w:lineRule="exact"/>
              <w:rPr>
                <w:sz w:val="20"/>
                <w:szCs w:val="20"/>
                <w:color w:val="auto"/>
              </w:rPr>
            </w:pPr>
            <w:r>
              <w:rPr>
                <w:rFonts w:ascii="Arial" w:cs="Arial" w:eastAsia="Arial" w:hAnsi="Arial"/>
                <w:sz w:val="12"/>
                <w:szCs w:val="12"/>
                <w:b w:val="1"/>
                <w:bCs w:val="1"/>
                <w:color w:val="auto"/>
                <w:w w:val="87"/>
              </w:rPr>
              <w:t>the year ended</w:t>
            </w:r>
          </w:p>
        </w:tc>
      </w:tr>
      <w:tr>
        <w:trPr>
          <w:trHeight w:val="119"/>
        </w:trPr>
        <w:tc>
          <w:tcPr>
            <w:tcW w:w="8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center"/>
              <w:ind w:right="360"/>
              <w:spacing w:after="0" w:line="120" w:lineRule="exact"/>
              <w:rPr>
                <w:sz w:val="20"/>
                <w:szCs w:val="20"/>
                <w:color w:val="auto"/>
              </w:rPr>
            </w:pPr>
            <w:r>
              <w:rPr>
                <w:rFonts w:ascii="Arial" w:cs="Arial" w:eastAsia="Arial" w:hAnsi="Arial"/>
                <w:sz w:val="12"/>
                <w:szCs w:val="12"/>
                <w:b w:val="1"/>
                <w:bCs w:val="1"/>
                <w:color w:val="auto"/>
                <w:w w:val="84"/>
              </w:rPr>
              <w:t>December 31,</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jc w:val="center"/>
              <w:ind w:right="134"/>
              <w:spacing w:after="0" w:line="120" w:lineRule="exact"/>
              <w:rPr>
                <w:sz w:val="20"/>
                <w:szCs w:val="20"/>
                <w:color w:val="auto"/>
              </w:rPr>
            </w:pPr>
            <w:r>
              <w:rPr>
                <w:rFonts w:ascii="Arial" w:cs="Arial" w:eastAsia="Arial" w:hAnsi="Arial"/>
                <w:sz w:val="12"/>
                <w:szCs w:val="12"/>
                <w:b w:val="1"/>
                <w:bCs w:val="1"/>
                <w:color w:val="auto"/>
                <w:w w:val="84"/>
              </w:rPr>
              <w:t>December 31,</w:t>
            </w:r>
          </w:p>
        </w:tc>
      </w:tr>
      <w:tr>
        <w:trPr>
          <w:trHeight w:val="138"/>
        </w:trPr>
        <w:tc>
          <w:tcPr>
            <w:tcW w:w="8200" w:type="dxa"/>
            <w:vAlign w:val="bottom"/>
            <w:tcBorders>
              <w:bottom w:val="single" w:sz="8" w:color="auto"/>
            </w:tcBorders>
          </w:tcPr>
          <w:p>
            <w:pPr>
              <w:spacing w:after="0" w:line="137" w:lineRule="exact"/>
              <w:rPr>
                <w:sz w:val="20"/>
                <w:szCs w:val="20"/>
                <w:color w:val="auto"/>
              </w:rPr>
            </w:pPr>
            <w:r>
              <w:rPr>
                <w:rFonts w:ascii="Arial" w:cs="Arial" w:eastAsia="Arial" w:hAnsi="Arial"/>
                <w:sz w:val="12"/>
                <w:szCs w:val="12"/>
                <w:i w:val="1"/>
                <w:iCs w:val="1"/>
                <w:color w:val="auto"/>
              </w:rPr>
              <w:t>(Dollars in thousands)</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134"/>
              <w:spacing w:after="0" w:line="137" w:lineRule="exact"/>
              <w:rPr>
                <w:sz w:val="20"/>
                <w:szCs w:val="20"/>
                <w:color w:val="auto"/>
              </w:rPr>
            </w:pPr>
            <w:r>
              <w:rPr>
                <w:rFonts w:ascii="Arial" w:cs="Arial" w:eastAsia="Arial" w:hAnsi="Arial"/>
                <w:sz w:val="12"/>
                <w:szCs w:val="12"/>
                <w:b w:val="1"/>
                <w:bCs w:val="1"/>
                <w:color w:val="auto"/>
                <w:w w:val="82"/>
              </w:rPr>
              <w:t>2021</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134"/>
              <w:spacing w:after="0" w:line="137" w:lineRule="exact"/>
              <w:rPr>
                <w:sz w:val="20"/>
                <w:szCs w:val="20"/>
                <w:color w:val="auto"/>
              </w:rPr>
            </w:pPr>
            <w:r>
              <w:rPr>
                <w:rFonts w:ascii="Arial" w:cs="Arial" w:eastAsia="Arial" w:hAnsi="Arial"/>
                <w:sz w:val="12"/>
                <w:szCs w:val="12"/>
                <w:b w:val="1"/>
                <w:bCs w:val="1"/>
                <w:color w:val="auto"/>
                <w:w w:val="82"/>
              </w:rPr>
              <w:t>2020</w:t>
            </w:r>
          </w:p>
        </w:tc>
      </w:tr>
      <w:tr>
        <w:trPr>
          <w:trHeight w:val="152"/>
        </w:trPr>
        <w:tc>
          <w:tcPr>
            <w:tcW w:w="820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Lease make-good provision, at January 1</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8"/>
              <w:spacing w:after="0" w:line="152"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7,408</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114"/>
              <w:spacing w:after="0"/>
              <w:rPr>
                <w:sz w:val="20"/>
                <w:szCs w:val="20"/>
                <w:color w:val="auto"/>
              </w:rPr>
            </w:pPr>
            <w:r>
              <w:rPr>
                <w:rFonts w:ascii="Arial" w:cs="Arial" w:eastAsia="Arial" w:hAnsi="Arial"/>
                <w:sz w:val="5"/>
                <w:szCs w:val="5"/>
                <w:color w:val="auto"/>
                <w:w w:val="70"/>
              </w:rPr>
              <w:t>$</w:t>
            </w:r>
          </w:p>
        </w:tc>
        <w:tc>
          <w:tcPr>
            <w:tcW w:w="118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6,667</w:t>
            </w:r>
          </w:p>
        </w:tc>
      </w:tr>
      <w:tr>
        <w:trPr>
          <w:trHeight w:val="152"/>
        </w:trPr>
        <w:tc>
          <w:tcPr>
            <w:tcW w:w="8200" w:type="dxa"/>
            <w:vAlign w:val="bottom"/>
          </w:tcPr>
          <w:p>
            <w:pPr>
              <w:spacing w:after="0" w:line="152" w:lineRule="exact"/>
              <w:rPr>
                <w:sz w:val="20"/>
                <w:szCs w:val="20"/>
                <w:color w:val="auto"/>
              </w:rPr>
            </w:pPr>
            <w:r>
              <w:rPr>
                <w:rFonts w:ascii="Arial" w:cs="Arial" w:eastAsia="Arial" w:hAnsi="Arial"/>
                <w:sz w:val="14"/>
                <w:szCs w:val="14"/>
                <w:color w:val="auto"/>
              </w:rPr>
              <w:t>Liabilities incurred during the year</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line="152" w:lineRule="exact"/>
              <w:rPr>
                <w:sz w:val="20"/>
                <w:szCs w:val="20"/>
                <w:color w:val="auto"/>
              </w:rPr>
            </w:pPr>
            <w:r>
              <w:rPr>
                <w:rFonts w:ascii="Arial" w:cs="Arial" w:eastAsia="Arial" w:hAnsi="Arial"/>
                <w:sz w:val="14"/>
                <w:szCs w:val="14"/>
                <w:color w:val="auto"/>
              </w:rPr>
              <w:t>288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line="152" w:lineRule="exact"/>
              <w:rPr>
                <w:sz w:val="20"/>
                <w:szCs w:val="20"/>
                <w:color w:val="auto"/>
              </w:rPr>
            </w:pPr>
            <w:r>
              <w:rPr>
                <w:rFonts w:ascii="Arial" w:cs="Arial" w:eastAsia="Arial" w:hAnsi="Arial"/>
                <w:sz w:val="14"/>
                <w:szCs w:val="14"/>
                <w:color w:val="auto"/>
              </w:rPr>
              <w:t>62</w:t>
            </w:r>
          </w:p>
        </w:tc>
      </w:tr>
      <w:tr>
        <w:trPr>
          <w:trHeight w:val="152"/>
        </w:trPr>
        <w:tc>
          <w:tcPr>
            <w:tcW w:w="820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Liabilities settled during the year</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line="152"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r>
      <w:tr>
        <w:trPr>
          <w:trHeight w:val="152"/>
        </w:trPr>
        <w:tc>
          <w:tcPr>
            <w:tcW w:w="8200" w:type="dxa"/>
            <w:vAlign w:val="bottom"/>
          </w:tcPr>
          <w:p>
            <w:pPr>
              <w:spacing w:after="0" w:line="152" w:lineRule="exact"/>
              <w:rPr>
                <w:sz w:val="20"/>
                <w:szCs w:val="20"/>
                <w:color w:val="auto"/>
              </w:rPr>
            </w:pPr>
            <w:r>
              <w:rPr>
                <w:rFonts w:ascii="Arial" w:cs="Arial" w:eastAsia="Arial" w:hAnsi="Arial"/>
                <w:sz w:val="14"/>
                <w:szCs w:val="14"/>
                <w:color w:val="auto"/>
              </w:rPr>
              <w:t>Accretion expense</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line="152" w:lineRule="exact"/>
              <w:rPr>
                <w:sz w:val="20"/>
                <w:szCs w:val="20"/>
                <w:color w:val="auto"/>
              </w:rPr>
            </w:pPr>
            <w:r>
              <w:rPr>
                <w:rFonts w:ascii="Arial" w:cs="Arial" w:eastAsia="Arial" w:hAnsi="Arial"/>
                <w:sz w:val="14"/>
                <w:szCs w:val="14"/>
                <w:color w:val="auto"/>
              </w:rPr>
              <w:t>343</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line="152" w:lineRule="exact"/>
              <w:rPr>
                <w:sz w:val="20"/>
                <w:szCs w:val="20"/>
                <w:color w:val="auto"/>
              </w:rPr>
            </w:pPr>
            <w:r>
              <w:rPr>
                <w:rFonts w:ascii="Arial" w:cs="Arial" w:eastAsia="Arial" w:hAnsi="Arial"/>
                <w:sz w:val="14"/>
                <w:szCs w:val="14"/>
                <w:color w:val="auto"/>
              </w:rPr>
              <w:t>291</w:t>
            </w:r>
          </w:p>
        </w:tc>
      </w:tr>
      <w:tr>
        <w:trPr>
          <w:trHeight w:val="152"/>
        </w:trPr>
        <w:tc>
          <w:tcPr>
            <w:tcW w:w="820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Effect of changes in foreign currency</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(273)</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388</w:t>
            </w:r>
          </w:p>
        </w:tc>
      </w:tr>
      <w:tr>
        <w:trPr>
          <w:trHeight w:val="144"/>
        </w:trPr>
        <w:tc>
          <w:tcPr>
            <w:tcW w:w="8200" w:type="dxa"/>
            <w:vAlign w:val="bottom"/>
          </w:tcPr>
          <w:p>
            <w:pPr>
              <w:spacing w:after="0" w:line="143" w:lineRule="exact"/>
              <w:rPr>
                <w:sz w:val="20"/>
                <w:szCs w:val="20"/>
                <w:color w:val="auto"/>
              </w:rPr>
            </w:pPr>
            <w:r>
              <w:rPr>
                <w:rFonts w:ascii="Arial" w:cs="Arial" w:eastAsia="Arial" w:hAnsi="Arial"/>
                <w:sz w:val="14"/>
                <w:szCs w:val="14"/>
                <w:b w:val="1"/>
                <w:bCs w:val="1"/>
                <w:color w:val="auto"/>
              </w:rPr>
              <w:t>Lease make-good provision, at December 31</w:t>
            </w:r>
          </w:p>
        </w:tc>
        <w:tc>
          <w:tcPr>
            <w:tcW w:w="16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7,766</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114"/>
              <w:spacing w:after="0"/>
              <w:rPr>
                <w:sz w:val="20"/>
                <w:szCs w:val="20"/>
                <w:color w:val="auto"/>
              </w:rPr>
            </w:pPr>
            <w:r>
              <w:rPr>
                <w:rFonts w:ascii="Arial" w:cs="Arial" w:eastAsia="Arial" w:hAnsi="Arial"/>
                <w:sz w:val="5"/>
                <w:szCs w:val="5"/>
                <w:b w:val="1"/>
                <w:bCs w:val="1"/>
                <w:color w:val="auto"/>
                <w:w w:val="70"/>
              </w:rPr>
              <w:t>$</w:t>
            </w:r>
          </w:p>
        </w:tc>
        <w:tc>
          <w:tcPr>
            <w:tcW w:w="11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7,408</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13 – COMMITMENTS AND CONTINGENCIES</w:t>
      </w:r>
    </w:p>
    <w:p>
      <w:pPr>
        <w:spacing w:after="0" w:line="147" w:lineRule="exact"/>
        <w:rPr>
          <w:sz w:val="20"/>
          <w:szCs w:val="20"/>
          <w:color w:val="auto"/>
        </w:rPr>
      </w:pPr>
    </w:p>
    <w:p>
      <w:pPr>
        <w:ind w:right="160"/>
        <w:spacing w:after="0" w:line="235" w:lineRule="auto"/>
        <w:rPr>
          <w:sz w:val="20"/>
          <w:szCs w:val="20"/>
          <w:color w:val="auto"/>
        </w:rPr>
      </w:pPr>
      <w:r>
        <w:rPr>
          <w:rFonts w:ascii="Arial" w:cs="Arial" w:eastAsia="Arial" w:hAnsi="Arial"/>
          <w:sz w:val="14"/>
          <w:szCs w:val="14"/>
          <w:color w:val="auto"/>
        </w:rPr>
        <w:t>Insofar as our Company is aware, there are no claims, arbitration proceedings, or litigation proceedings that constitute material contingent liabilities of our Company. Such matters require significant judgments based on the facts known to us. These judgments are inherently uncertain and can change significantly when additional facts become known. We provide accruals for matters that have probable likelihood of occurrence and can be properly estimated as to their expected negative outcome. We do not record expected gains until the proceeds are received by us. However, we typically make no accruals for potential costs of defense, as such amounts are inherently uncertain and dependent upon the scope, extent and aggressiveness of the activities of the applicable plaintiff.</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Discussed below are certain litigation matters which, however, have been significant to our Company.</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Litigation Matters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We are currently involved in certain legal proceedings and, as required, have accrued estimates of probable and estimable losses for the resolution of these claims, including legal costs.</w:t>
      </w:r>
    </w:p>
    <w:p>
      <w:pPr>
        <w:spacing w:after="0" w:line="78" w:lineRule="exact"/>
        <w:rPr>
          <w:sz w:val="20"/>
          <w:szCs w:val="20"/>
          <w:color w:val="auto"/>
        </w:rPr>
      </w:pPr>
    </w:p>
    <w:p>
      <w:pPr>
        <w:ind w:left="520" w:right="20"/>
        <w:spacing w:after="0" w:line="242" w:lineRule="auto"/>
        <w:rPr>
          <w:sz w:val="20"/>
          <w:szCs w:val="20"/>
          <w:color w:val="auto"/>
        </w:rPr>
      </w:pPr>
      <w:r>
        <w:rPr>
          <w:rFonts w:ascii="Arial" w:cs="Arial" w:eastAsia="Arial" w:hAnsi="Arial"/>
          <w:sz w:val="14"/>
          <w:szCs w:val="14"/>
          <w:color w:val="auto"/>
        </w:rPr>
        <w:t xml:space="preserve">Where we are the </w:t>
      </w:r>
      <w:r>
        <w:rPr>
          <w:rFonts w:ascii="Arial" w:cs="Arial" w:eastAsia="Arial" w:hAnsi="Arial"/>
          <w:sz w:val="14"/>
          <w:szCs w:val="14"/>
          <w:i w:val="1"/>
          <w:iCs w:val="1"/>
          <w:u w:val="single" w:color="auto"/>
          <w:color w:val="auto"/>
        </w:rPr>
        <w:t>plaintiffs</w:t>
      </w:r>
      <w:r>
        <w:rPr>
          <w:rFonts w:ascii="Arial" w:cs="Arial" w:eastAsia="Arial" w:hAnsi="Arial"/>
          <w:sz w:val="14"/>
          <w:szCs w:val="14"/>
          <w:color w:val="auto"/>
        </w:rPr>
        <w:t>, we accrue legal fees as incurred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spacing w:after="0" w:line="34" w:lineRule="exact"/>
        <w:rPr>
          <w:sz w:val="20"/>
          <w:szCs w:val="20"/>
          <w:color w:val="auto"/>
        </w:rPr>
      </w:pPr>
    </w:p>
    <w:p>
      <w:pPr>
        <w:ind w:left="520" w:right="240"/>
        <w:spacing w:after="0" w:line="238" w:lineRule="auto"/>
        <w:rPr>
          <w:sz w:val="20"/>
          <w:szCs w:val="20"/>
          <w:color w:val="auto"/>
        </w:rPr>
      </w:pPr>
      <w:r>
        <w:rPr>
          <w:rFonts w:ascii="Arial" w:cs="Arial" w:eastAsia="Arial" w:hAnsi="Arial"/>
          <w:sz w:val="14"/>
          <w:szCs w:val="14"/>
          <w:color w:val="auto"/>
        </w:rPr>
        <w:t xml:space="preserve">Where we are the </w:t>
      </w:r>
      <w:r>
        <w:rPr>
          <w:rFonts w:ascii="Arial" w:cs="Arial" w:eastAsia="Arial" w:hAnsi="Arial"/>
          <w:sz w:val="14"/>
          <w:szCs w:val="14"/>
          <w:i w:val="1"/>
          <w:iCs w:val="1"/>
          <w:u w:val="single" w:color="auto"/>
          <w:color w:val="auto"/>
        </w:rPr>
        <w:t>defendants</w:t>
      </w:r>
      <w:r>
        <w:rPr>
          <w:rFonts w:ascii="Arial" w:cs="Arial" w:eastAsia="Arial" w:hAnsi="Arial"/>
          <w:sz w:val="14"/>
          <w:szCs w:val="14"/>
          <w:color w:val="auto"/>
        </w:rPr>
        <w:t xml:space="preserve">, we accrue for probable damages that insurance may not cover as they become known and can be reasonably estimated, as permitted under ASC 450-20 </w:t>
      </w:r>
      <w:r>
        <w:rPr>
          <w:rFonts w:ascii="Arial" w:cs="Arial" w:eastAsia="Arial" w:hAnsi="Arial"/>
          <w:sz w:val="14"/>
          <w:szCs w:val="14"/>
          <w:i w:val="1"/>
          <w:iCs w:val="1"/>
          <w:color w:val="auto"/>
        </w:rPr>
        <w:t>Loss Contingencies</w:t>
      </w:r>
      <w:r>
        <w:rPr>
          <w:rFonts w:ascii="Arial" w:cs="Arial" w:eastAsia="Arial" w:hAnsi="Arial"/>
          <w:sz w:val="14"/>
          <w:szCs w:val="14"/>
          <w:color w:val="auto"/>
        </w:rPr>
        <w:t>. In our opinion, any claims and litigation in which we are currently involved are not reasonably likely to have a material adverse effect on our business, results of</w:t>
      </w:r>
      <w:r>
        <w:rPr>
          <w:rFonts w:ascii="Arial" w:cs="Arial" w:eastAsia="Arial" w:hAnsi="Arial"/>
          <w:sz w:val="14"/>
          <w:szCs w:val="14"/>
          <w:i w:val="1"/>
          <w:iCs w:val="1"/>
          <w:color w:val="auto"/>
        </w:rPr>
        <w:t xml:space="preserve"> </w:t>
      </w:r>
      <w:r>
        <w:rPr>
          <w:rFonts w:ascii="Arial" w:cs="Arial" w:eastAsia="Arial" w:hAnsi="Arial"/>
          <w:sz w:val="14"/>
          <w:szCs w:val="14"/>
          <w:color w:val="auto"/>
        </w:rPr>
        <w:t>operations, financial position, or liquidity. It is possible, however, that future results of the operations for any particular quarterly or annual period could be materially affected by the ultimate outcome of the legal proceedings. From time to time, we are involved with claims and lawsuits arising in the ordinary course of our business that may include contractual obligations, insurance claims, tax claims, employment matters, and anti-trust issues, among other matters.</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Environmental and Asbestos Claims on Reading Legacy Operations</w:t>
      </w:r>
    </w:p>
    <w:p>
      <w:pPr>
        <w:spacing w:after="0" w:line="143" w:lineRule="exact"/>
        <w:rPr>
          <w:sz w:val="20"/>
          <w:szCs w:val="20"/>
          <w:color w:val="auto"/>
        </w:rPr>
      </w:pPr>
    </w:p>
    <w:p>
      <w:pPr>
        <w:ind w:right="80"/>
        <w:spacing w:after="0" w:line="257" w:lineRule="auto"/>
        <w:rPr>
          <w:sz w:val="20"/>
          <w:szCs w:val="20"/>
          <w:color w:val="auto"/>
        </w:rPr>
      </w:pPr>
      <w:r>
        <w:rPr>
          <w:rFonts w:ascii="Arial" w:cs="Arial" w:eastAsia="Arial" w:hAnsi="Arial"/>
          <w:sz w:val="13"/>
          <w:szCs w:val="13"/>
          <w:color w:val="auto"/>
        </w:rPr>
        <w:t>Certain of our subsidiaries were historically involved in railroad operations, coal mining, and manufacturing. Also, certain of these subsidiaries appear in the chain-of-title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environmental conditions at properties that we have acquired for development and which will need to be addressed in the future as part of the development process. These environmental conditions can increase the cost of such projects and adversely affect the value and potential for profit of such projects. We do not currently believe that our exposure under applicable environmental laws is material in amount.</w:t>
      </w:r>
    </w:p>
    <w:p>
      <w:pPr>
        <w:spacing w:after="0" w:line="110" w:lineRule="exact"/>
        <w:rPr>
          <w:sz w:val="20"/>
          <w:szCs w:val="20"/>
          <w:color w:val="auto"/>
        </w:rPr>
      </w:pPr>
    </w:p>
    <w:p>
      <w:pPr>
        <w:ind w:right="80"/>
        <w:spacing w:after="0" w:line="237" w:lineRule="auto"/>
        <w:rPr>
          <w:sz w:val="20"/>
          <w:szCs w:val="20"/>
          <w:color w:val="auto"/>
        </w:rPr>
      </w:pPr>
      <w:r>
        <w:rPr>
          <w:rFonts w:ascii="Arial" w:cs="Arial" w:eastAsia="Arial" w:hAnsi="Arial"/>
          <w:sz w:val="14"/>
          <w:szCs w:val="14"/>
          <w:color w:val="auto"/>
        </w:rPr>
        <w:t>From time to time, there are claims brought against us relating to the exposure of former employees to asbestos and/or coal dust. These are generally covered by an insurance settlement reached in September 1990 with our insurance providers. However, this insurance settlement does not cover litigation by people who were not employees of our historic railroad operations and who may claim direct or second-hand exposure to asbestos, coal dust and/or other chemicals or elements now recognized as potentially causing cancer in humans. Our known exposure to these types of claims, asserted or probable of being asserted, is not material.</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22"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i w:val="1"/>
          <w:iCs w:val="1"/>
          <w:u w:val="single" w:color="auto"/>
          <w:color w:val="auto"/>
        </w:rPr>
        <w:t>Cotter Jr. Related Litigation Matters</w:t>
      </w:r>
    </w:p>
    <w:p>
      <w:pPr>
        <w:spacing w:after="0" w:line="143" w:lineRule="exact"/>
        <w:rPr>
          <w:sz w:val="20"/>
          <w:szCs w:val="20"/>
          <w:color w:val="auto"/>
        </w:rPr>
      </w:pPr>
    </w:p>
    <w:p>
      <w:pPr>
        <w:spacing w:after="0" w:line="235" w:lineRule="auto"/>
        <w:rPr>
          <w:sz w:val="20"/>
          <w:szCs w:val="20"/>
          <w:color w:val="auto"/>
        </w:rPr>
      </w:pPr>
      <w:r>
        <w:rPr>
          <w:rFonts w:ascii="Arial" w:cs="Arial" w:eastAsia="Arial" w:hAnsi="Arial"/>
          <w:sz w:val="14"/>
          <w:szCs w:val="14"/>
          <w:color w:val="auto"/>
        </w:rPr>
        <w:t>The following table provides a list of legal matters and their current status relating to the derivative action brought against the Company and our directors by James J. Cotter, Jr. (“Cotter, Jr.”) and to Cotter, Jr.’s efforts to cause a change of control of the Company.</w:t>
      </w:r>
    </w:p>
    <w:p>
      <w:pPr>
        <w:jc w:val="center"/>
        <w:ind w:right="-39"/>
        <w:spacing w:after="0"/>
        <w:rPr>
          <w:sz w:val="20"/>
          <w:szCs w:val="20"/>
          <w:color w:val="auto"/>
        </w:rPr>
      </w:pPr>
      <w:r>
        <w:rPr>
          <w:rFonts w:ascii="Arial" w:cs="Arial" w:eastAsia="Arial" w:hAnsi="Arial"/>
          <w:sz w:val="14"/>
          <w:szCs w:val="14"/>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40"/>
          </w:cols>
          <w:pgMar w:left="300" w:top="422" w:right="35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41"/>
        </w:trPr>
        <w:tc>
          <w:tcPr>
            <w:tcW w:w="316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2"/>
                <w:szCs w:val="12"/>
                <w:b w:val="1"/>
                <w:bCs w:val="1"/>
                <w:color w:val="auto"/>
              </w:rPr>
              <w:t>Description</w:t>
            </w:r>
          </w:p>
        </w:tc>
        <w:tc>
          <w:tcPr>
            <w:tcW w:w="126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2"/>
                <w:szCs w:val="12"/>
                <w:b w:val="1"/>
                <w:bCs w:val="1"/>
                <w:color w:val="auto"/>
                <w:w w:val="90"/>
              </w:rPr>
              <w:t>Plaintiff</w:t>
            </w:r>
          </w:p>
        </w:tc>
        <w:tc>
          <w:tcPr>
            <w:tcW w:w="1680" w:type="dxa"/>
            <w:vAlign w:val="bottom"/>
            <w:tcBorders>
              <w:top w:val="single" w:sz="8" w:color="auto"/>
              <w:bottom w:val="single" w:sz="8" w:color="auto"/>
            </w:tcBorders>
          </w:tcPr>
          <w:p>
            <w:pPr>
              <w:jc w:val="center"/>
              <w:ind w:left="1"/>
              <w:spacing w:after="0"/>
              <w:rPr>
                <w:sz w:val="20"/>
                <w:szCs w:val="20"/>
                <w:color w:val="auto"/>
              </w:rPr>
            </w:pPr>
            <w:r>
              <w:rPr>
                <w:rFonts w:ascii="Arial" w:cs="Arial" w:eastAsia="Arial" w:hAnsi="Arial"/>
                <w:sz w:val="12"/>
                <w:szCs w:val="12"/>
                <w:b w:val="1"/>
                <w:bCs w:val="1"/>
                <w:color w:val="auto"/>
                <w:w w:val="90"/>
              </w:rPr>
              <w:t>Filed with</w:t>
            </w:r>
          </w:p>
        </w:tc>
        <w:tc>
          <w:tcPr>
            <w:tcW w:w="5180" w:type="dxa"/>
            <w:vAlign w:val="bottom"/>
            <w:tcBorders>
              <w:top w:val="single" w:sz="8" w:color="auto"/>
              <w:bottom w:val="single" w:sz="8" w:color="auto"/>
            </w:tcBorders>
          </w:tcPr>
          <w:p>
            <w:pPr>
              <w:ind w:left="2300"/>
              <w:spacing w:after="0"/>
              <w:rPr>
                <w:sz w:val="20"/>
                <w:szCs w:val="20"/>
                <w:color w:val="auto"/>
              </w:rPr>
            </w:pPr>
            <w:r>
              <w:rPr>
                <w:rFonts w:ascii="Arial" w:cs="Arial" w:eastAsia="Arial" w:hAnsi="Arial"/>
                <w:sz w:val="12"/>
                <w:szCs w:val="12"/>
                <w:b w:val="1"/>
                <w:bCs w:val="1"/>
                <w:color w:val="auto"/>
              </w:rPr>
              <w:t>Current Status</w:t>
            </w:r>
          </w:p>
        </w:tc>
        <w:tc>
          <w:tcPr>
            <w:tcW w:w="0" w:type="dxa"/>
            <w:vAlign w:val="bottom"/>
          </w:tcPr>
          <w:p>
            <w:pPr>
              <w:spacing w:after="0"/>
              <w:rPr>
                <w:sz w:val="1"/>
                <w:szCs w:val="1"/>
                <w:color w:val="auto"/>
              </w:rPr>
            </w:pPr>
          </w:p>
        </w:tc>
      </w:tr>
      <w:tr>
        <w:trPr>
          <w:trHeight w:val="103"/>
        </w:trPr>
        <w:tc>
          <w:tcPr>
            <w:tcW w:w="3160" w:type="dxa"/>
            <w:vAlign w:val="bottom"/>
            <w:shd w:val="clear" w:color="auto" w:fill="CCEEFF"/>
          </w:tcPr>
          <w:p>
            <w:pPr>
              <w:ind w:left="160"/>
              <w:spacing w:after="0" w:line="104" w:lineRule="exact"/>
              <w:rPr>
                <w:sz w:val="20"/>
                <w:szCs w:val="20"/>
                <w:color w:val="auto"/>
              </w:rPr>
            </w:pPr>
            <w:r>
              <w:rPr>
                <w:rFonts w:ascii="Arial" w:cs="Arial" w:eastAsia="Arial" w:hAnsi="Arial"/>
                <w:sz w:val="11"/>
                <w:szCs w:val="11"/>
                <w:color w:val="auto"/>
              </w:rPr>
              <w:t>Cotter, Jr. Derivative Litigation against all Director:</w:t>
            </w:r>
          </w:p>
        </w:tc>
        <w:tc>
          <w:tcPr>
            <w:tcW w:w="1260" w:type="dxa"/>
            <w:vAlign w:val="bottom"/>
            <w:shd w:val="clear" w:color="auto" w:fill="CCEEFF"/>
          </w:tcPr>
          <w:p>
            <w:pPr>
              <w:jc w:val="center"/>
              <w:ind w:right="59"/>
              <w:spacing w:after="0" w:line="104" w:lineRule="exact"/>
              <w:rPr>
                <w:sz w:val="20"/>
                <w:szCs w:val="20"/>
                <w:color w:val="auto"/>
              </w:rPr>
            </w:pPr>
            <w:r>
              <w:rPr>
                <w:rFonts w:ascii="Arial" w:cs="Arial" w:eastAsia="Arial" w:hAnsi="Arial"/>
                <w:sz w:val="11"/>
                <w:szCs w:val="11"/>
                <w:color w:val="auto"/>
              </w:rPr>
              <w:t>Cotter, Jr.</w:t>
            </w:r>
          </w:p>
        </w:tc>
        <w:tc>
          <w:tcPr>
            <w:tcW w:w="1680" w:type="dxa"/>
            <w:vAlign w:val="bottom"/>
            <w:shd w:val="clear" w:color="auto" w:fill="CCEEFF"/>
          </w:tcPr>
          <w:p>
            <w:pPr>
              <w:ind w:left="260"/>
              <w:spacing w:after="0" w:line="104" w:lineRule="exact"/>
              <w:rPr>
                <w:sz w:val="20"/>
                <w:szCs w:val="20"/>
                <w:color w:val="auto"/>
              </w:rPr>
            </w:pPr>
            <w:r>
              <w:rPr>
                <w:rFonts w:ascii="Arial" w:cs="Arial" w:eastAsia="Arial" w:hAnsi="Arial"/>
                <w:sz w:val="11"/>
                <w:szCs w:val="11"/>
                <w:color w:val="auto"/>
              </w:rPr>
              <w:t>Nevada District Court</w:t>
            </w:r>
          </w:p>
        </w:tc>
        <w:tc>
          <w:tcPr>
            <w:tcW w:w="5180" w:type="dxa"/>
            <w:vAlign w:val="bottom"/>
            <w:shd w:val="clear" w:color="auto" w:fill="CCEEFF"/>
          </w:tcPr>
          <w:p>
            <w:pPr>
              <w:ind w:left="160"/>
              <w:spacing w:after="0" w:line="104" w:lineRule="exact"/>
              <w:rPr>
                <w:sz w:val="20"/>
                <w:szCs w:val="20"/>
                <w:color w:val="auto"/>
              </w:rPr>
            </w:pPr>
            <w:r>
              <w:rPr>
                <w:rFonts w:ascii="Arial" w:cs="Arial" w:eastAsia="Arial" w:hAnsi="Arial"/>
                <w:sz w:val="11"/>
                <w:szCs w:val="11"/>
                <w:color w:val="auto"/>
              </w:rPr>
              <w:t>On October 1, 2020, the Nevada Supreme Court determined that the District Court had erred</w:t>
            </w:r>
          </w:p>
        </w:tc>
        <w:tc>
          <w:tcPr>
            <w:tcW w:w="0" w:type="dxa"/>
            <w:vAlign w:val="bottom"/>
          </w:tcPr>
          <w:p>
            <w:pPr>
              <w:spacing w:after="0"/>
              <w:rPr>
                <w:sz w:val="1"/>
                <w:szCs w:val="1"/>
                <w:color w:val="auto"/>
              </w:rPr>
            </w:pPr>
          </w:p>
        </w:tc>
      </w:tr>
      <w:tr>
        <w:trPr>
          <w:trHeight w:val="130"/>
        </w:trPr>
        <w:tc>
          <w:tcPr>
            <w:tcW w:w="3160" w:type="dxa"/>
            <w:vAlign w:val="bottom"/>
            <w:shd w:val="clear" w:color="auto" w:fill="CCEEFF"/>
          </w:tcPr>
          <w:p>
            <w:pPr>
              <w:ind w:left="160"/>
              <w:spacing w:after="0" w:line="130" w:lineRule="exact"/>
              <w:rPr>
                <w:sz w:val="20"/>
                <w:szCs w:val="20"/>
                <w:color w:val="auto"/>
              </w:rPr>
            </w:pPr>
            <w:r>
              <w:rPr>
                <w:rFonts w:ascii="Arial" w:cs="Arial" w:eastAsia="Arial" w:hAnsi="Arial"/>
                <w:sz w:val="13"/>
                <w:szCs w:val="13"/>
                <w:i w:val="1"/>
                <w:iCs w:val="1"/>
                <w:color w:val="auto"/>
              </w:rPr>
              <w:t>James J. Cotter, Jr., individually and derivatively on</w:t>
            </w:r>
          </w:p>
        </w:tc>
        <w:tc>
          <w:tcPr>
            <w:tcW w:w="12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5180" w:type="dxa"/>
            <w:vAlign w:val="bottom"/>
            <w:shd w:val="clear" w:color="auto" w:fill="CCEEFF"/>
          </w:tcPr>
          <w:p>
            <w:pPr>
              <w:ind w:left="160"/>
              <w:spacing w:after="0" w:line="130" w:lineRule="exact"/>
              <w:rPr>
                <w:sz w:val="20"/>
                <w:szCs w:val="20"/>
                <w:color w:val="auto"/>
              </w:rPr>
            </w:pPr>
            <w:r>
              <w:rPr>
                <w:rFonts w:ascii="Arial" w:cs="Arial" w:eastAsia="Arial" w:hAnsi="Arial"/>
                <w:sz w:val="13"/>
                <w:szCs w:val="13"/>
                <w:color w:val="auto"/>
                <w:w w:val="93"/>
              </w:rPr>
              <w:t>when it denied the defendants’ motions to dismiss the case for lack of standing on the part of</w:t>
            </w:r>
          </w:p>
        </w:tc>
        <w:tc>
          <w:tcPr>
            <w:tcW w:w="0" w:type="dxa"/>
            <w:vAlign w:val="bottom"/>
          </w:tcPr>
          <w:p>
            <w:pPr>
              <w:spacing w:after="0"/>
              <w:rPr>
                <w:sz w:val="1"/>
                <w:szCs w:val="1"/>
                <w:color w:val="auto"/>
              </w:rPr>
            </w:pPr>
          </w:p>
        </w:tc>
      </w:tr>
      <w:tr>
        <w:trPr>
          <w:trHeight w:val="130"/>
        </w:trPr>
        <w:tc>
          <w:tcPr>
            <w:tcW w:w="3160" w:type="dxa"/>
            <w:vAlign w:val="bottom"/>
            <w:shd w:val="clear" w:color="auto" w:fill="CCEEFF"/>
          </w:tcPr>
          <w:p>
            <w:pPr>
              <w:ind w:left="160"/>
              <w:spacing w:after="0" w:line="130" w:lineRule="exact"/>
              <w:rPr>
                <w:sz w:val="20"/>
                <w:szCs w:val="20"/>
                <w:color w:val="auto"/>
              </w:rPr>
            </w:pPr>
            <w:r>
              <w:rPr>
                <w:rFonts w:ascii="Arial" w:cs="Arial" w:eastAsia="Arial" w:hAnsi="Arial"/>
                <w:sz w:val="13"/>
                <w:szCs w:val="13"/>
                <w:i w:val="1"/>
                <w:iCs w:val="1"/>
                <w:color w:val="auto"/>
              </w:rPr>
              <w:t>behalf of Reading International, Inc. vs. Margaret</w:t>
            </w:r>
          </w:p>
        </w:tc>
        <w:tc>
          <w:tcPr>
            <w:tcW w:w="12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5180" w:type="dxa"/>
            <w:vAlign w:val="bottom"/>
            <w:shd w:val="clear" w:color="auto" w:fill="CCEEFF"/>
          </w:tcPr>
          <w:p>
            <w:pPr>
              <w:ind w:left="160"/>
              <w:spacing w:after="0" w:line="130" w:lineRule="exact"/>
              <w:rPr>
                <w:sz w:val="20"/>
                <w:szCs w:val="20"/>
                <w:color w:val="auto"/>
              </w:rPr>
            </w:pPr>
            <w:r>
              <w:rPr>
                <w:rFonts w:ascii="Arial" w:cs="Arial" w:eastAsia="Arial" w:hAnsi="Arial"/>
                <w:sz w:val="13"/>
                <w:szCs w:val="13"/>
                <w:color w:val="auto"/>
                <w:w w:val="93"/>
              </w:rPr>
              <w:t>Cotter, Jr., to bring such an action, vacated the District Court’s orders denying the motions to</w:t>
            </w:r>
          </w:p>
        </w:tc>
        <w:tc>
          <w:tcPr>
            <w:tcW w:w="0" w:type="dxa"/>
            <w:vAlign w:val="bottom"/>
          </w:tcPr>
          <w:p>
            <w:pPr>
              <w:spacing w:after="0"/>
              <w:rPr>
                <w:sz w:val="1"/>
                <w:szCs w:val="1"/>
                <w:color w:val="auto"/>
              </w:rPr>
            </w:pPr>
          </w:p>
        </w:tc>
      </w:tr>
      <w:tr>
        <w:trPr>
          <w:trHeight w:val="130"/>
        </w:trPr>
        <w:tc>
          <w:tcPr>
            <w:tcW w:w="3160" w:type="dxa"/>
            <w:vAlign w:val="bottom"/>
            <w:shd w:val="clear" w:color="auto" w:fill="CCEEFF"/>
          </w:tcPr>
          <w:p>
            <w:pPr>
              <w:ind w:left="160"/>
              <w:spacing w:after="0" w:line="130" w:lineRule="exact"/>
              <w:rPr>
                <w:sz w:val="20"/>
                <w:szCs w:val="20"/>
                <w:color w:val="auto"/>
              </w:rPr>
            </w:pPr>
            <w:r>
              <w:rPr>
                <w:rFonts w:ascii="Arial" w:cs="Arial" w:eastAsia="Arial" w:hAnsi="Arial"/>
                <w:sz w:val="13"/>
                <w:szCs w:val="13"/>
                <w:i w:val="1"/>
                <w:iCs w:val="1"/>
                <w:color w:val="auto"/>
              </w:rPr>
              <w:t xml:space="preserve">Cotter, et al.” </w:t>
            </w:r>
            <w:r>
              <w:rPr>
                <w:rFonts w:ascii="Arial" w:cs="Arial" w:eastAsia="Arial" w:hAnsi="Arial"/>
                <w:sz w:val="13"/>
                <w:szCs w:val="13"/>
                <w:color w:val="auto"/>
              </w:rPr>
              <w:t>Case No,: A-15-719860-V</w:t>
            </w:r>
          </w:p>
        </w:tc>
        <w:tc>
          <w:tcPr>
            <w:tcW w:w="12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5180" w:type="dxa"/>
            <w:vAlign w:val="bottom"/>
            <w:shd w:val="clear" w:color="auto" w:fill="CCEEFF"/>
          </w:tcPr>
          <w:p>
            <w:pPr>
              <w:ind w:left="160"/>
              <w:spacing w:after="0" w:line="130" w:lineRule="exact"/>
              <w:rPr>
                <w:sz w:val="20"/>
                <w:szCs w:val="20"/>
                <w:color w:val="auto"/>
              </w:rPr>
            </w:pPr>
            <w:r>
              <w:rPr>
                <w:rFonts w:ascii="Arial" w:cs="Arial" w:eastAsia="Arial" w:hAnsi="Arial"/>
                <w:sz w:val="13"/>
                <w:szCs w:val="13"/>
                <w:color w:val="auto"/>
                <w:w w:val="91"/>
              </w:rPr>
              <w:t>dismiss and remanded for entry of judgment.  The Supreme Court sustained the District Court’s</w:t>
            </w:r>
          </w:p>
        </w:tc>
        <w:tc>
          <w:tcPr>
            <w:tcW w:w="0" w:type="dxa"/>
            <w:vAlign w:val="bottom"/>
          </w:tcPr>
          <w:p>
            <w:pPr>
              <w:spacing w:after="0"/>
              <w:rPr>
                <w:sz w:val="1"/>
                <w:szCs w:val="1"/>
                <w:color w:val="auto"/>
              </w:rPr>
            </w:pPr>
          </w:p>
        </w:tc>
      </w:tr>
      <w:tr>
        <w:trPr>
          <w:trHeight w:val="130"/>
        </w:trPr>
        <w:tc>
          <w:tcPr>
            <w:tcW w:w="3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5180" w:type="dxa"/>
            <w:vAlign w:val="bottom"/>
            <w:shd w:val="clear" w:color="auto" w:fill="CCEEFF"/>
          </w:tcPr>
          <w:p>
            <w:pPr>
              <w:ind w:left="160"/>
              <w:spacing w:after="0" w:line="130" w:lineRule="exact"/>
              <w:rPr>
                <w:sz w:val="20"/>
                <w:szCs w:val="20"/>
                <w:color w:val="auto"/>
              </w:rPr>
            </w:pPr>
            <w:r>
              <w:rPr>
                <w:rFonts w:ascii="Arial" w:cs="Arial" w:eastAsia="Arial" w:hAnsi="Arial"/>
                <w:sz w:val="13"/>
                <w:szCs w:val="13"/>
                <w:color w:val="auto"/>
                <w:w w:val="93"/>
              </w:rPr>
              <w:t>award to our Company of costs in the amount of $809,000 and having received such amount,</w:t>
            </w:r>
          </w:p>
        </w:tc>
        <w:tc>
          <w:tcPr>
            <w:tcW w:w="0" w:type="dxa"/>
            <w:vAlign w:val="bottom"/>
          </w:tcPr>
          <w:p>
            <w:pPr>
              <w:spacing w:after="0"/>
              <w:rPr>
                <w:sz w:val="1"/>
                <w:szCs w:val="1"/>
                <w:color w:val="auto"/>
              </w:rPr>
            </w:pPr>
          </w:p>
        </w:tc>
      </w:tr>
      <w:tr>
        <w:trPr>
          <w:trHeight w:val="130"/>
        </w:trPr>
        <w:tc>
          <w:tcPr>
            <w:tcW w:w="3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5180" w:type="dxa"/>
            <w:vAlign w:val="bottom"/>
            <w:shd w:val="clear" w:color="auto" w:fill="CCEEFF"/>
          </w:tcPr>
          <w:p>
            <w:pPr>
              <w:ind w:left="160"/>
              <w:spacing w:after="0" w:line="130" w:lineRule="exact"/>
              <w:rPr>
                <w:sz w:val="20"/>
                <w:szCs w:val="20"/>
                <w:color w:val="auto"/>
              </w:rPr>
            </w:pPr>
            <w:r>
              <w:rPr>
                <w:rFonts w:ascii="Arial" w:cs="Arial" w:eastAsia="Arial" w:hAnsi="Arial"/>
                <w:sz w:val="13"/>
                <w:szCs w:val="13"/>
                <w:color w:val="auto"/>
                <w:w w:val="96"/>
              </w:rPr>
              <w:t>Reading authorized the District Court to enter satisfaction of judgment on January 6, 2021.</w:t>
            </w: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5180" w:type="dxa"/>
            <w:vAlign w:val="bottom"/>
            <w:shd w:val="clear" w:color="auto" w:fill="CCEEFF"/>
          </w:tcPr>
          <w:p>
            <w:pPr>
              <w:ind w:left="160"/>
              <w:spacing w:after="0" w:line="148" w:lineRule="exact"/>
              <w:rPr>
                <w:sz w:val="20"/>
                <w:szCs w:val="20"/>
                <w:color w:val="auto"/>
              </w:rPr>
            </w:pPr>
            <w:r>
              <w:rPr>
                <w:rFonts w:ascii="Arial" w:cs="Arial" w:eastAsia="Arial" w:hAnsi="Arial"/>
                <w:sz w:val="13"/>
                <w:szCs w:val="13"/>
                <w:color w:val="auto"/>
              </w:rPr>
              <w:t>This matter is now at an end.</w:t>
            </w:r>
          </w:p>
        </w:tc>
        <w:tc>
          <w:tcPr>
            <w:tcW w:w="0" w:type="dxa"/>
            <w:vAlign w:val="bottom"/>
          </w:tcPr>
          <w:p>
            <w:pPr>
              <w:spacing w:after="0"/>
              <w:rPr>
                <w:sz w:val="1"/>
                <w:szCs w:val="1"/>
                <w:color w:val="auto"/>
              </w:rPr>
            </w:pPr>
          </w:p>
        </w:tc>
      </w:tr>
      <w:tr>
        <w:trPr>
          <w:trHeight w:val="113"/>
        </w:trPr>
        <w:tc>
          <w:tcPr>
            <w:tcW w:w="3160" w:type="dxa"/>
            <w:vAlign w:val="bottom"/>
          </w:tcPr>
          <w:p>
            <w:pPr>
              <w:ind w:left="160"/>
              <w:spacing w:after="0" w:line="113" w:lineRule="exact"/>
              <w:rPr>
                <w:sz w:val="20"/>
                <w:szCs w:val="20"/>
                <w:color w:val="auto"/>
              </w:rPr>
            </w:pPr>
            <w:r>
              <w:rPr>
                <w:rFonts w:ascii="Arial" w:cs="Arial" w:eastAsia="Arial" w:hAnsi="Arial"/>
                <w:sz w:val="13"/>
                <w:szCs w:val="13"/>
                <w:color w:val="auto"/>
              </w:rPr>
              <w:t>Cotter Trust Litigation: Determination of Status of</w:t>
            </w:r>
          </w:p>
        </w:tc>
        <w:tc>
          <w:tcPr>
            <w:tcW w:w="1260" w:type="dxa"/>
            <w:vAlign w:val="bottom"/>
          </w:tcPr>
          <w:p>
            <w:pPr>
              <w:jc w:val="center"/>
              <w:ind w:right="99"/>
              <w:spacing w:after="0" w:line="113" w:lineRule="exact"/>
              <w:rPr>
                <w:sz w:val="20"/>
                <w:szCs w:val="20"/>
                <w:color w:val="auto"/>
              </w:rPr>
            </w:pPr>
            <w:r>
              <w:rPr>
                <w:rFonts w:ascii="Arial" w:cs="Arial" w:eastAsia="Arial" w:hAnsi="Arial"/>
                <w:sz w:val="13"/>
                <w:szCs w:val="13"/>
                <w:color w:val="auto"/>
                <w:w w:val="92"/>
              </w:rPr>
              <w:t>Ellen Cotter and</w:t>
            </w:r>
          </w:p>
        </w:tc>
        <w:tc>
          <w:tcPr>
            <w:tcW w:w="1680" w:type="dxa"/>
            <w:vAlign w:val="bottom"/>
          </w:tcPr>
          <w:p>
            <w:pPr>
              <w:jc w:val="center"/>
              <w:ind w:left="1"/>
              <w:spacing w:after="0" w:line="113" w:lineRule="exact"/>
              <w:rPr>
                <w:sz w:val="20"/>
                <w:szCs w:val="20"/>
                <w:color w:val="auto"/>
              </w:rPr>
            </w:pPr>
            <w:r>
              <w:rPr>
                <w:rFonts w:ascii="Arial" w:cs="Arial" w:eastAsia="Arial" w:hAnsi="Arial"/>
                <w:sz w:val="13"/>
                <w:szCs w:val="13"/>
                <w:color w:val="auto"/>
                <w:w w:val="93"/>
              </w:rPr>
              <w:t>California Superior Court</w:t>
            </w:r>
          </w:p>
        </w:tc>
        <w:tc>
          <w:tcPr>
            <w:tcW w:w="5180" w:type="dxa"/>
            <w:vAlign w:val="bottom"/>
          </w:tcPr>
          <w:p>
            <w:pPr>
              <w:ind w:left="160"/>
              <w:spacing w:after="0" w:line="113" w:lineRule="exact"/>
              <w:rPr>
                <w:sz w:val="20"/>
                <w:szCs w:val="20"/>
                <w:color w:val="auto"/>
              </w:rPr>
            </w:pPr>
            <w:r>
              <w:rPr>
                <w:rFonts w:ascii="Arial" w:cs="Arial" w:eastAsia="Arial" w:hAnsi="Arial"/>
                <w:sz w:val="13"/>
                <w:szCs w:val="13"/>
                <w:color w:val="auto"/>
                <w:w w:val="93"/>
              </w:rPr>
              <w:t>The California Superior Court has ruled that Cotter, Jr., is not a trustee of either the James J.</w:t>
            </w:r>
          </w:p>
        </w:tc>
        <w:tc>
          <w:tcPr>
            <w:tcW w:w="0" w:type="dxa"/>
            <w:vAlign w:val="bottom"/>
          </w:tcPr>
          <w:p>
            <w:pPr>
              <w:spacing w:after="0"/>
              <w:rPr>
                <w:sz w:val="1"/>
                <w:szCs w:val="1"/>
                <w:color w:val="auto"/>
              </w:rPr>
            </w:pPr>
          </w:p>
        </w:tc>
      </w:tr>
      <w:tr>
        <w:trPr>
          <w:trHeight w:val="130"/>
        </w:trPr>
        <w:tc>
          <w:tcPr>
            <w:tcW w:w="3160" w:type="dxa"/>
            <w:vAlign w:val="bottom"/>
          </w:tcPr>
          <w:p>
            <w:pPr>
              <w:ind w:left="160"/>
              <w:spacing w:after="0" w:line="130" w:lineRule="exact"/>
              <w:rPr>
                <w:sz w:val="20"/>
                <w:szCs w:val="20"/>
                <w:color w:val="auto"/>
              </w:rPr>
            </w:pPr>
            <w:r>
              <w:rPr>
                <w:rFonts w:ascii="Arial" w:cs="Arial" w:eastAsia="Arial" w:hAnsi="Arial"/>
                <w:sz w:val="13"/>
                <w:szCs w:val="13"/>
                <w:color w:val="auto"/>
                <w:w w:val="91"/>
              </w:rPr>
              <w:t xml:space="preserve">Cotter, Jr., as Trustee: </w:t>
            </w:r>
            <w:r>
              <w:rPr>
                <w:rFonts w:ascii="Arial" w:cs="Arial" w:eastAsia="Arial" w:hAnsi="Arial"/>
                <w:sz w:val="13"/>
                <w:szCs w:val="13"/>
                <w:i w:val="1"/>
                <w:iCs w:val="1"/>
                <w:color w:val="auto"/>
                <w:w w:val="91"/>
              </w:rPr>
              <w:t>In re James J. Cotter Living Trust</w:t>
            </w:r>
          </w:p>
        </w:tc>
        <w:tc>
          <w:tcPr>
            <w:tcW w:w="1260" w:type="dxa"/>
            <w:vAlign w:val="bottom"/>
          </w:tcPr>
          <w:p>
            <w:pPr>
              <w:jc w:val="center"/>
              <w:ind w:right="119"/>
              <w:spacing w:after="0" w:line="130" w:lineRule="exact"/>
              <w:rPr>
                <w:sz w:val="20"/>
                <w:szCs w:val="20"/>
                <w:color w:val="auto"/>
              </w:rPr>
            </w:pPr>
            <w:r>
              <w:rPr>
                <w:rFonts w:ascii="Arial" w:cs="Arial" w:eastAsia="Arial" w:hAnsi="Arial"/>
                <w:sz w:val="13"/>
                <w:szCs w:val="13"/>
                <w:color w:val="auto"/>
                <w:w w:val="89"/>
              </w:rPr>
              <w:t>Margaret Cotter, as</w:t>
            </w:r>
          </w:p>
        </w:tc>
        <w:tc>
          <w:tcPr>
            <w:tcW w:w="1680" w:type="dxa"/>
            <w:vAlign w:val="bottom"/>
          </w:tcPr>
          <w:p>
            <w:pPr>
              <w:spacing w:after="0"/>
              <w:rPr>
                <w:sz w:val="11"/>
                <w:szCs w:val="11"/>
                <w:color w:val="auto"/>
              </w:rPr>
            </w:pPr>
          </w:p>
        </w:tc>
        <w:tc>
          <w:tcPr>
            <w:tcW w:w="5180" w:type="dxa"/>
            <w:vAlign w:val="bottom"/>
          </w:tcPr>
          <w:p>
            <w:pPr>
              <w:ind w:left="160"/>
              <w:spacing w:after="0" w:line="130" w:lineRule="exact"/>
              <w:rPr>
                <w:sz w:val="20"/>
                <w:szCs w:val="20"/>
                <w:color w:val="auto"/>
              </w:rPr>
            </w:pPr>
            <w:r>
              <w:rPr>
                <w:rFonts w:ascii="Arial" w:cs="Arial" w:eastAsia="Arial" w:hAnsi="Arial"/>
                <w:sz w:val="13"/>
                <w:szCs w:val="13"/>
                <w:color w:val="auto"/>
                <w:w w:val="99"/>
              </w:rPr>
              <w:t>Cotter Living Trust (the “Cotter Living Trust”) or of the voting trust established under the</w:t>
            </w:r>
          </w:p>
        </w:tc>
        <w:tc>
          <w:tcPr>
            <w:tcW w:w="0" w:type="dxa"/>
            <w:vAlign w:val="bottom"/>
          </w:tcPr>
          <w:p>
            <w:pPr>
              <w:spacing w:after="0"/>
              <w:rPr>
                <w:sz w:val="1"/>
                <w:szCs w:val="1"/>
                <w:color w:val="auto"/>
              </w:rPr>
            </w:pPr>
          </w:p>
        </w:tc>
      </w:tr>
      <w:tr>
        <w:trPr>
          <w:trHeight w:val="130"/>
        </w:trPr>
        <w:tc>
          <w:tcPr>
            <w:tcW w:w="3160" w:type="dxa"/>
            <w:vAlign w:val="bottom"/>
          </w:tcPr>
          <w:p>
            <w:pPr>
              <w:ind w:left="160"/>
              <w:spacing w:after="0" w:line="130" w:lineRule="exact"/>
              <w:rPr>
                <w:sz w:val="20"/>
                <w:szCs w:val="20"/>
                <w:color w:val="auto"/>
              </w:rPr>
            </w:pPr>
            <w:r>
              <w:rPr>
                <w:rFonts w:ascii="Arial" w:cs="Arial" w:eastAsia="Arial" w:hAnsi="Arial"/>
                <w:sz w:val="13"/>
                <w:szCs w:val="13"/>
                <w:i w:val="1"/>
                <w:iCs w:val="1"/>
                <w:color w:val="auto"/>
              </w:rPr>
              <w:t xml:space="preserve">dated August 1, 2000 </w:t>
            </w:r>
            <w:r>
              <w:rPr>
                <w:rFonts w:ascii="Arial" w:cs="Arial" w:eastAsia="Arial" w:hAnsi="Arial"/>
                <w:sz w:val="13"/>
                <w:szCs w:val="13"/>
                <w:color w:val="auto"/>
              </w:rPr>
              <w:t>(Case No. BP159755)</w:t>
            </w:r>
          </w:p>
        </w:tc>
        <w:tc>
          <w:tcPr>
            <w:tcW w:w="1260" w:type="dxa"/>
            <w:vAlign w:val="bottom"/>
          </w:tcPr>
          <w:p>
            <w:pPr>
              <w:jc w:val="center"/>
              <w:ind w:right="79"/>
              <w:spacing w:after="0" w:line="130" w:lineRule="exact"/>
              <w:rPr>
                <w:sz w:val="20"/>
                <w:szCs w:val="20"/>
                <w:color w:val="auto"/>
              </w:rPr>
            </w:pPr>
            <w:r>
              <w:rPr>
                <w:rFonts w:ascii="Arial" w:cs="Arial" w:eastAsia="Arial" w:hAnsi="Arial"/>
                <w:sz w:val="13"/>
                <w:szCs w:val="13"/>
                <w:color w:val="auto"/>
                <w:w w:val="86"/>
              </w:rPr>
              <w:t>Trustees</w:t>
            </w:r>
          </w:p>
        </w:tc>
        <w:tc>
          <w:tcPr>
            <w:tcW w:w="1680" w:type="dxa"/>
            <w:vAlign w:val="bottom"/>
          </w:tcPr>
          <w:p>
            <w:pPr>
              <w:spacing w:after="0"/>
              <w:rPr>
                <w:sz w:val="11"/>
                <w:szCs w:val="11"/>
                <w:color w:val="auto"/>
              </w:rPr>
            </w:pPr>
          </w:p>
        </w:tc>
        <w:tc>
          <w:tcPr>
            <w:tcW w:w="5180" w:type="dxa"/>
            <w:vAlign w:val="bottom"/>
          </w:tcPr>
          <w:p>
            <w:pPr>
              <w:ind w:left="160"/>
              <w:spacing w:after="0" w:line="130" w:lineRule="exact"/>
              <w:rPr>
                <w:sz w:val="20"/>
                <w:szCs w:val="20"/>
                <w:color w:val="auto"/>
              </w:rPr>
            </w:pPr>
            <w:r>
              <w:rPr>
                <w:rFonts w:ascii="Arial" w:cs="Arial" w:eastAsia="Arial" w:hAnsi="Arial"/>
                <w:sz w:val="13"/>
                <w:szCs w:val="13"/>
                <w:color w:val="auto"/>
                <w:w w:val="94"/>
              </w:rPr>
              <w:t>Cotter Living Trust (the “Cotter Voting Trust”) to eventually hold the Class B Voting Common</w:t>
            </w:r>
          </w:p>
        </w:tc>
        <w:tc>
          <w:tcPr>
            <w:tcW w:w="0" w:type="dxa"/>
            <w:vAlign w:val="bottom"/>
          </w:tcPr>
          <w:p>
            <w:pPr>
              <w:spacing w:after="0"/>
              <w:rPr>
                <w:sz w:val="1"/>
                <w:szCs w:val="1"/>
                <w:color w:val="auto"/>
              </w:rPr>
            </w:pPr>
          </w:p>
        </w:tc>
      </w:tr>
      <w:tr>
        <w:trPr>
          <w:trHeight w:val="130"/>
        </w:trPr>
        <w:tc>
          <w:tcPr>
            <w:tcW w:w="3160" w:type="dxa"/>
            <w:vAlign w:val="bottom"/>
            <w:vMerge w:val="restart"/>
          </w:tcPr>
          <w:p>
            <w:pPr>
              <w:ind w:left="140"/>
              <w:spacing w:after="0"/>
              <w:rPr>
                <w:sz w:val="20"/>
                <w:szCs w:val="20"/>
                <w:color w:val="auto"/>
              </w:rPr>
            </w:pPr>
            <w:r>
              <w:rPr>
                <w:rFonts w:ascii="Arial" w:cs="Arial" w:eastAsia="Arial" w:hAnsi="Arial"/>
                <w:sz w:val="13"/>
                <w:szCs w:val="13"/>
                <w:color w:val="auto"/>
              </w:rPr>
              <w:t>Our Company is not a party to the Trust Litigation.</w:t>
            </w:r>
          </w:p>
        </w:tc>
        <w:tc>
          <w:tcPr>
            <w:tcW w:w="12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180" w:type="dxa"/>
            <w:vAlign w:val="bottom"/>
          </w:tcPr>
          <w:p>
            <w:pPr>
              <w:ind w:left="160"/>
              <w:spacing w:after="0" w:line="130" w:lineRule="exact"/>
              <w:rPr>
                <w:sz w:val="20"/>
                <w:szCs w:val="20"/>
                <w:color w:val="auto"/>
              </w:rPr>
            </w:pPr>
            <w:r>
              <w:rPr>
                <w:rFonts w:ascii="Arial" w:cs="Arial" w:eastAsia="Arial" w:hAnsi="Arial"/>
                <w:sz w:val="13"/>
                <w:szCs w:val="13"/>
                <w:color w:val="auto"/>
                <w:w w:val="93"/>
              </w:rPr>
              <w:t>Stock beneficially owned by Mr. Cotter, Sr., at the time of his passing. The California Superior</w:t>
            </w:r>
          </w:p>
        </w:tc>
        <w:tc>
          <w:tcPr>
            <w:tcW w:w="0" w:type="dxa"/>
            <w:vAlign w:val="bottom"/>
          </w:tcPr>
          <w:p>
            <w:pPr>
              <w:spacing w:after="0"/>
              <w:rPr>
                <w:sz w:val="1"/>
                <w:szCs w:val="1"/>
                <w:color w:val="auto"/>
              </w:rPr>
            </w:pPr>
          </w:p>
        </w:tc>
      </w:tr>
      <w:tr>
        <w:trPr>
          <w:trHeight w:val="130"/>
        </w:trPr>
        <w:tc>
          <w:tcPr>
            <w:tcW w:w="316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180" w:type="dxa"/>
            <w:vAlign w:val="bottom"/>
          </w:tcPr>
          <w:p>
            <w:pPr>
              <w:ind w:left="160"/>
              <w:spacing w:after="0" w:line="130" w:lineRule="exact"/>
              <w:rPr>
                <w:sz w:val="20"/>
                <w:szCs w:val="20"/>
                <w:color w:val="auto"/>
              </w:rPr>
            </w:pPr>
            <w:r>
              <w:rPr>
                <w:rFonts w:ascii="Arial" w:cs="Arial" w:eastAsia="Arial" w:hAnsi="Arial"/>
                <w:sz w:val="13"/>
                <w:szCs w:val="13"/>
                <w:color w:val="auto"/>
                <w:w w:val="96"/>
              </w:rPr>
              <w:t>Court further determined that Ellen Cotter and Margaret Cotter are the sole trustees of the</w:t>
            </w:r>
          </w:p>
        </w:tc>
        <w:tc>
          <w:tcPr>
            <w:tcW w:w="0" w:type="dxa"/>
            <w:vAlign w:val="bottom"/>
          </w:tcPr>
          <w:p>
            <w:pPr>
              <w:spacing w:after="0"/>
              <w:rPr>
                <w:sz w:val="1"/>
                <w:szCs w:val="1"/>
                <w:color w:val="auto"/>
              </w:rPr>
            </w:pPr>
          </w:p>
        </w:tc>
      </w:tr>
      <w:tr>
        <w:trPr>
          <w:trHeight w:val="130"/>
        </w:trPr>
        <w:tc>
          <w:tcPr>
            <w:tcW w:w="3160" w:type="dxa"/>
            <w:vAlign w:val="bottom"/>
          </w:tcPr>
          <w:p>
            <w:pPr>
              <w:ind w:left="160"/>
              <w:spacing w:after="0" w:line="130" w:lineRule="exact"/>
              <w:rPr>
                <w:sz w:val="20"/>
                <w:szCs w:val="20"/>
                <w:color w:val="auto"/>
              </w:rPr>
            </w:pPr>
            <w:r>
              <w:rPr>
                <w:rFonts w:ascii="Arial" w:cs="Arial" w:eastAsia="Arial" w:hAnsi="Arial"/>
                <w:sz w:val="13"/>
                <w:szCs w:val="13"/>
                <w:color w:val="auto"/>
                <w:w w:val="94"/>
              </w:rPr>
              <w:t>However, as the Cotter Voting Trust is anticipated to at</w:t>
            </w:r>
          </w:p>
        </w:tc>
        <w:tc>
          <w:tcPr>
            <w:tcW w:w="12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180" w:type="dxa"/>
            <w:vAlign w:val="bottom"/>
          </w:tcPr>
          <w:p>
            <w:pPr>
              <w:ind w:left="160"/>
              <w:spacing w:after="0" w:line="130" w:lineRule="exact"/>
              <w:rPr>
                <w:sz w:val="20"/>
                <w:szCs w:val="20"/>
                <w:color w:val="auto"/>
              </w:rPr>
            </w:pPr>
            <w:r>
              <w:rPr>
                <w:rFonts w:ascii="Arial" w:cs="Arial" w:eastAsia="Arial" w:hAnsi="Arial"/>
                <w:sz w:val="13"/>
                <w:szCs w:val="13"/>
                <w:color w:val="auto"/>
                <w:w w:val="98"/>
              </w:rPr>
              <w:t>Cotter Living Trust and that Margaret Cotter is the sole trustee of the Cotter Voting Trust.</w:t>
            </w:r>
          </w:p>
        </w:tc>
        <w:tc>
          <w:tcPr>
            <w:tcW w:w="0" w:type="dxa"/>
            <w:vAlign w:val="bottom"/>
          </w:tcPr>
          <w:p>
            <w:pPr>
              <w:spacing w:after="0"/>
              <w:rPr>
                <w:sz w:val="1"/>
                <w:szCs w:val="1"/>
                <w:color w:val="auto"/>
              </w:rPr>
            </w:pPr>
          </w:p>
        </w:tc>
      </w:tr>
      <w:tr>
        <w:trPr>
          <w:trHeight w:val="130"/>
        </w:trPr>
        <w:tc>
          <w:tcPr>
            <w:tcW w:w="3160" w:type="dxa"/>
            <w:vAlign w:val="bottom"/>
          </w:tcPr>
          <w:p>
            <w:pPr>
              <w:ind w:left="160"/>
              <w:spacing w:after="0" w:line="130" w:lineRule="exact"/>
              <w:rPr>
                <w:sz w:val="20"/>
                <w:szCs w:val="20"/>
                <w:color w:val="auto"/>
              </w:rPr>
            </w:pPr>
            <w:r>
              <w:rPr>
                <w:rFonts w:ascii="Arial" w:cs="Arial" w:eastAsia="Arial" w:hAnsi="Arial"/>
                <w:sz w:val="13"/>
                <w:szCs w:val="13"/>
                <w:color w:val="auto"/>
              </w:rPr>
              <w:t>some currently undetermined future date, to hold a</w:t>
            </w:r>
          </w:p>
        </w:tc>
        <w:tc>
          <w:tcPr>
            <w:tcW w:w="12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180" w:type="dxa"/>
            <w:vAlign w:val="bottom"/>
          </w:tcPr>
          <w:p>
            <w:pPr>
              <w:ind w:left="160"/>
              <w:spacing w:after="0" w:line="130" w:lineRule="exact"/>
              <w:rPr>
                <w:sz w:val="20"/>
                <w:szCs w:val="20"/>
                <w:color w:val="auto"/>
              </w:rPr>
            </w:pPr>
            <w:r>
              <w:rPr>
                <w:rFonts w:ascii="Arial" w:cs="Arial" w:eastAsia="Arial" w:hAnsi="Arial"/>
                <w:sz w:val="13"/>
                <w:szCs w:val="13"/>
                <w:color w:val="auto"/>
                <w:w w:val="91"/>
              </w:rPr>
              <w:t>Accordingly, Cotter, Jr., has neither dispositive power nor voting power over any of the Class B</w:t>
            </w:r>
          </w:p>
        </w:tc>
        <w:tc>
          <w:tcPr>
            <w:tcW w:w="0" w:type="dxa"/>
            <w:vAlign w:val="bottom"/>
          </w:tcPr>
          <w:p>
            <w:pPr>
              <w:spacing w:after="0"/>
              <w:rPr>
                <w:sz w:val="1"/>
                <w:szCs w:val="1"/>
                <w:color w:val="auto"/>
              </w:rPr>
            </w:pPr>
          </w:p>
        </w:tc>
      </w:tr>
      <w:tr>
        <w:trPr>
          <w:trHeight w:val="130"/>
        </w:trPr>
        <w:tc>
          <w:tcPr>
            <w:tcW w:w="3160" w:type="dxa"/>
            <w:vAlign w:val="bottom"/>
          </w:tcPr>
          <w:p>
            <w:pPr>
              <w:ind w:left="160"/>
              <w:spacing w:after="0" w:line="130" w:lineRule="exact"/>
              <w:rPr>
                <w:sz w:val="20"/>
                <w:szCs w:val="20"/>
                <w:color w:val="auto"/>
              </w:rPr>
            </w:pPr>
            <w:r>
              <w:rPr>
                <w:rFonts w:ascii="Arial" w:cs="Arial" w:eastAsia="Arial" w:hAnsi="Arial"/>
                <w:sz w:val="13"/>
                <w:szCs w:val="13"/>
                <w:color w:val="auto"/>
                <w:w w:val="99"/>
              </w:rPr>
              <w:t>majority of our Company’s voting control, we include</w:t>
            </w:r>
          </w:p>
        </w:tc>
        <w:tc>
          <w:tcPr>
            <w:tcW w:w="12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180" w:type="dxa"/>
            <w:vAlign w:val="bottom"/>
          </w:tcPr>
          <w:p>
            <w:pPr>
              <w:ind w:left="160"/>
              <w:spacing w:after="0" w:line="130" w:lineRule="exact"/>
              <w:rPr>
                <w:sz w:val="20"/>
                <w:szCs w:val="20"/>
                <w:color w:val="auto"/>
              </w:rPr>
            </w:pPr>
            <w:r>
              <w:rPr>
                <w:rFonts w:ascii="Arial" w:cs="Arial" w:eastAsia="Arial" w:hAnsi="Arial"/>
                <w:sz w:val="13"/>
                <w:szCs w:val="13"/>
                <w:color w:val="auto"/>
                <w:w w:val="94"/>
              </w:rPr>
              <w:t>Voting Common Stock currently held by the Cotter Estate or the Cotter Living Trust, or which</w:t>
            </w:r>
          </w:p>
        </w:tc>
        <w:tc>
          <w:tcPr>
            <w:tcW w:w="0" w:type="dxa"/>
            <w:vAlign w:val="bottom"/>
          </w:tcPr>
          <w:p>
            <w:pPr>
              <w:spacing w:after="0"/>
              <w:rPr>
                <w:sz w:val="1"/>
                <w:szCs w:val="1"/>
                <w:color w:val="auto"/>
              </w:rPr>
            </w:pPr>
          </w:p>
        </w:tc>
      </w:tr>
      <w:tr>
        <w:trPr>
          <w:trHeight w:val="130"/>
        </w:trPr>
        <w:tc>
          <w:tcPr>
            <w:tcW w:w="3160" w:type="dxa"/>
            <w:vAlign w:val="bottom"/>
          </w:tcPr>
          <w:p>
            <w:pPr>
              <w:ind w:left="160"/>
              <w:spacing w:after="0" w:line="130" w:lineRule="exact"/>
              <w:rPr>
                <w:sz w:val="20"/>
                <w:szCs w:val="20"/>
                <w:color w:val="auto"/>
              </w:rPr>
            </w:pPr>
            <w:r>
              <w:rPr>
                <w:rFonts w:ascii="Arial" w:cs="Arial" w:eastAsia="Arial" w:hAnsi="Arial"/>
                <w:sz w:val="13"/>
                <w:szCs w:val="13"/>
                <w:color w:val="auto"/>
                <w:w w:val="92"/>
              </w:rPr>
              <w:t>here certain information as to the status of that litigation.</w:t>
            </w:r>
          </w:p>
        </w:tc>
        <w:tc>
          <w:tcPr>
            <w:tcW w:w="12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180" w:type="dxa"/>
            <w:vAlign w:val="bottom"/>
          </w:tcPr>
          <w:p>
            <w:pPr>
              <w:ind w:left="160"/>
              <w:spacing w:after="0" w:line="130" w:lineRule="exact"/>
              <w:rPr>
                <w:sz w:val="20"/>
                <w:szCs w:val="20"/>
                <w:color w:val="auto"/>
              </w:rPr>
            </w:pPr>
            <w:r>
              <w:rPr>
                <w:rFonts w:ascii="Arial" w:cs="Arial" w:eastAsia="Arial" w:hAnsi="Arial"/>
                <w:sz w:val="13"/>
                <w:szCs w:val="13"/>
                <w:color w:val="auto"/>
                <w:w w:val="93"/>
              </w:rPr>
              <w:t>it is anticipated will be held by the Cotter Voting Trust. The time to appeal that ruling has now</w:t>
            </w:r>
          </w:p>
        </w:tc>
        <w:tc>
          <w:tcPr>
            <w:tcW w:w="0" w:type="dxa"/>
            <w:vAlign w:val="bottom"/>
          </w:tcPr>
          <w:p>
            <w:pPr>
              <w:spacing w:after="0"/>
              <w:rPr>
                <w:sz w:val="1"/>
                <w:szCs w:val="1"/>
                <w:color w:val="auto"/>
              </w:rPr>
            </w:pPr>
          </w:p>
        </w:tc>
      </w:tr>
      <w:tr>
        <w:trPr>
          <w:trHeight w:val="164"/>
        </w:trPr>
        <w:tc>
          <w:tcPr>
            <w:tcW w:w="3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180" w:type="dxa"/>
            <w:vAlign w:val="bottom"/>
          </w:tcPr>
          <w:p>
            <w:pPr>
              <w:ind w:left="160"/>
              <w:spacing w:after="0"/>
              <w:rPr>
                <w:sz w:val="20"/>
                <w:szCs w:val="20"/>
                <w:color w:val="auto"/>
              </w:rPr>
            </w:pPr>
            <w:r>
              <w:rPr>
                <w:rFonts w:ascii="Arial" w:cs="Arial" w:eastAsia="Arial" w:hAnsi="Arial"/>
                <w:sz w:val="13"/>
                <w:szCs w:val="13"/>
                <w:color w:val="auto"/>
              </w:rPr>
              <w:t>lapsed.</w:t>
            </w:r>
          </w:p>
        </w:tc>
        <w:tc>
          <w:tcPr>
            <w:tcW w:w="0" w:type="dxa"/>
            <w:vAlign w:val="bottom"/>
          </w:tcPr>
          <w:p>
            <w:pPr>
              <w:spacing w:after="0"/>
              <w:rPr>
                <w:sz w:val="1"/>
                <w:szCs w:val="1"/>
                <w:color w:val="auto"/>
              </w:rPr>
            </w:pPr>
          </w:p>
        </w:tc>
      </w:tr>
      <w:tr>
        <w:trPr>
          <w:trHeight w:val="226"/>
        </w:trPr>
        <w:tc>
          <w:tcPr>
            <w:tcW w:w="3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180" w:type="dxa"/>
            <w:vAlign w:val="bottom"/>
          </w:tcPr>
          <w:p>
            <w:pPr>
              <w:ind w:left="160"/>
              <w:spacing w:after="0"/>
              <w:rPr>
                <w:sz w:val="20"/>
                <w:szCs w:val="20"/>
                <w:color w:val="auto"/>
              </w:rPr>
            </w:pPr>
            <w:r>
              <w:rPr>
                <w:rFonts w:ascii="Arial" w:cs="Arial" w:eastAsia="Arial" w:hAnsi="Arial"/>
                <w:sz w:val="13"/>
                <w:szCs w:val="13"/>
                <w:color w:val="auto"/>
                <w:w w:val="95"/>
              </w:rPr>
              <w:t>The California Superior Court has also determined that the amendment to the Cotter Living</w:t>
            </w:r>
          </w:p>
        </w:tc>
        <w:tc>
          <w:tcPr>
            <w:tcW w:w="0" w:type="dxa"/>
            <w:vAlign w:val="bottom"/>
          </w:tcPr>
          <w:p>
            <w:pPr>
              <w:spacing w:after="0"/>
              <w:rPr>
                <w:sz w:val="1"/>
                <w:szCs w:val="1"/>
                <w:color w:val="auto"/>
              </w:rPr>
            </w:pPr>
          </w:p>
        </w:tc>
      </w:tr>
      <w:tr>
        <w:trPr>
          <w:trHeight w:val="130"/>
        </w:trPr>
        <w:tc>
          <w:tcPr>
            <w:tcW w:w="3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180" w:type="dxa"/>
            <w:vAlign w:val="bottom"/>
          </w:tcPr>
          <w:p>
            <w:pPr>
              <w:ind w:left="160"/>
              <w:spacing w:after="0" w:line="130" w:lineRule="exact"/>
              <w:rPr>
                <w:sz w:val="20"/>
                <w:szCs w:val="20"/>
                <w:color w:val="auto"/>
              </w:rPr>
            </w:pPr>
            <w:r>
              <w:rPr>
                <w:rFonts w:ascii="Arial" w:cs="Arial" w:eastAsia="Arial" w:hAnsi="Arial"/>
                <w:sz w:val="13"/>
                <w:szCs w:val="13"/>
                <w:color w:val="auto"/>
                <w:w w:val="92"/>
              </w:rPr>
              <w:t>Trust championed by Mr. Cotter, Jr., was not effective as Mr. Cotter, Sr. was not competent at</w:t>
            </w:r>
          </w:p>
        </w:tc>
        <w:tc>
          <w:tcPr>
            <w:tcW w:w="0" w:type="dxa"/>
            <w:vAlign w:val="bottom"/>
          </w:tcPr>
          <w:p>
            <w:pPr>
              <w:spacing w:after="0"/>
              <w:rPr>
                <w:sz w:val="1"/>
                <w:szCs w:val="1"/>
                <w:color w:val="auto"/>
              </w:rPr>
            </w:pPr>
          </w:p>
        </w:tc>
      </w:tr>
      <w:tr>
        <w:trPr>
          <w:trHeight w:val="130"/>
        </w:trPr>
        <w:tc>
          <w:tcPr>
            <w:tcW w:w="3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180" w:type="dxa"/>
            <w:vAlign w:val="bottom"/>
          </w:tcPr>
          <w:p>
            <w:pPr>
              <w:ind w:left="160"/>
              <w:spacing w:after="0" w:line="130" w:lineRule="exact"/>
              <w:rPr>
                <w:sz w:val="20"/>
                <w:szCs w:val="20"/>
                <w:color w:val="auto"/>
              </w:rPr>
            </w:pPr>
            <w:r>
              <w:rPr>
                <w:rFonts w:ascii="Arial" w:cs="Arial" w:eastAsia="Arial" w:hAnsi="Arial"/>
                <w:sz w:val="13"/>
                <w:szCs w:val="13"/>
                <w:color w:val="auto"/>
                <w:w w:val="95"/>
              </w:rPr>
              <w:t>the time it was purportedly executed and as it was procured by undue influence (the “Living</w:t>
            </w:r>
          </w:p>
        </w:tc>
        <w:tc>
          <w:tcPr>
            <w:tcW w:w="0" w:type="dxa"/>
            <w:vAlign w:val="bottom"/>
          </w:tcPr>
          <w:p>
            <w:pPr>
              <w:spacing w:after="0"/>
              <w:rPr>
                <w:sz w:val="1"/>
                <w:szCs w:val="1"/>
                <w:color w:val="auto"/>
              </w:rPr>
            </w:pPr>
          </w:p>
        </w:tc>
      </w:tr>
      <w:tr>
        <w:trPr>
          <w:trHeight w:val="164"/>
        </w:trPr>
        <w:tc>
          <w:tcPr>
            <w:tcW w:w="3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180" w:type="dxa"/>
            <w:vAlign w:val="bottom"/>
          </w:tcPr>
          <w:p>
            <w:pPr>
              <w:ind w:left="160"/>
              <w:spacing w:after="0"/>
              <w:rPr>
                <w:sz w:val="20"/>
                <w:szCs w:val="20"/>
                <w:color w:val="auto"/>
              </w:rPr>
            </w:pPr>
            <w:r>
              <w:rPr>
                <w:rFonts w:ascii="Arial" w:cs="Arial" w:eastAsia="Arial" w:hAnsi="Arial"/>
                <w:sz w:val="13"/>
                <w:szCs w:val="13"/>
                <w:color w:val="auto"/>
              </w:rPr>
              <w:t>Trust Ruling”).</w:t>
            </w:r>
          </w:p>
        </w:tc>
        <w:tc>
          <w:tcPr>
            <w:tcW w:w="0" w:type="dxa"/>
            <w:vAlign w:val="bottom"/>
          </w:tcPr>
          <w:p>
            <w:pPr>
              <w:spacing w:after="0"/>
              <w:rPr>
                <w:sz w:val="1"/>
                <w:szCs w:val="1"/>
                <w:color w:val="auto"/>
              </w:rPr>
            </w:pPr>
          </w:p>
        </w:tc>
      </w:tr>
      <w:tr>
        <w:trPr>
          <w:trHeight w:val="226"/>
        </w:trPr>
        <w:tc>
          <w:tcPr>
            <w:tcW w:w="3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180" w:type="dxa"/>
            <w:vAlign w:val="bottom"/>
          </w:tcPr>
          <w:p>
            <w:pPr>
              <w:ind w:left="160"/>
              <w:spacing w:after="0"/>
              <w:rPr>
                <w:sz w:val="20"/>
                <w:szCs w:val="20"/>
                <w:color w:val="auto"/>
              </w:rPr>
            </w:pPr>
            <w:r>
              <w:rPr>
                <w:rFonts w:ascii="Arial" w:cs="Arial" w:eastAsia="Arial" w:hAnsi="Arial"/>
                <w:sz w:val="13"/>
                <w:szCs w:val="13"/>
                <w:color w:val="auto"/>
              </w:rPr>
              <w:t>At December 31, 2021, the Cotter Estate held 427,808 shares of Class B Voting Stock,</w:t>
            </w:r>
          </w:p>
        </w:tc>
        <w:tc>
          <w:tcPr>
            <w:tcW w:w="0" w:type="dxa"/>
            <w:vAlign w:val="bottom"/>
          </w:tcPr>
          <w:p>
            <w:pPr>
              <w:spacing w:after="0"/>
              <w:rPr>
                <w:sz w:val="1"/>
                <w:szCs w:val="1"/>
                <w:color w:val="auto"/>
              </w:rPr>
            </w:pPr>
          </w:p>
        </w:tc>
      </w:tr>
      <w:tr>
        <w:trPr>
          <w:trHeight w:val="130"/>
        </w:trPr>
        <w:tc>
          <w:tcPr>
            <w:tcW w:w="3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180" w:type="dxa"/>
            <w:vAlign w:val="bottom"/>
          </w:tcPr>
          <w:p>
            <w:pPr>
              <w:ind w:left="160"/>
              <w:spacing w:after="0" w:line="130" w:lineRule="exact"/>
              <w:rPr>
                <w:sz w:val="20"/>
                <w:szCs w:val="20"/>
                <w:color w:val="auto"/>
              </w:rPr>
            </w:pPr>
            <w:r>
              <w:rPr>
                <w:rFonts w:ascii="Arial" w:cs="Arial" w:eastAsia="Arial" w:hAnsi="Arial"/>
                <w:sz w:val="13"/>
                <w:szCs w:val="13"/>
                <w:color w:val="auto"/>
                <w:w w:val="94"/>
              </w:rPr>
              <w:t>representing 25.5% of the voting power of such class.  The Cotter Living Trust held 696,080</w:t>
            </w:r>
          </w:p>
        </w:tc>
        <w:tc>
          <w:tcPr>
            <w:tcW w:w="0" w:type="dxa"/>
            <w:vAlign w:val="bottom"/>
          </w:tcPr>
          <w:p>
            <w:pPr>
              <w:spacing w:after="0"/>
              <w:rPr>
                <w:sz w:val="1"/>
                <w:szCs w:val="1"/>
                <w:color w:val="auto"/>
              </w:rPr>
            </w:pPr>
          </w:p>
        </w:tc>
      </w:tr>
      <w:tr>
        <w:trPr>
          <w:trHeight w:val="130"/>
        </w:trPr>
        <w:tc>
          <w:tcPr>
            <w:tcW w:w="3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180" w:type="dxa"/>
            <w:vAlign w:val="bottom"/>
          </w:tcPr>
          <w:p>
            <w:pPr>
              <w:ind w:left="160"/>
              <w:spacing w:after="0" w:line="130" w:lineRule="exact"/>
              <w:rPr>
                <w:sz w:val="20"/>
                <w:szCs w:val="20"/>
                <w:color w:val="auto"/>
              </w:rPr>
            </w:pPr>
            <w:r>
              <w:rPr>
                <w:rFonts w:ascii="Arial" w:cs="Arial" w:eastAsia="Arial" w:hAnsi="Arial"/>
                <w:sz w:val="13"/>
                <w:szCs w:val="13"/>
                <w:color w:val="auto"/>
                <w:w w:val="94"/>
              </w:rPr>
              <w:t>shares of Class B Voting Stock at such date, representing 41.4% of the voting power of such</w:t>
            </w:r>
          </w:p>
        </w:tc>
        <w:tc>
          <w:tcPr>
            <w:tcW w:w="0" w:type="dxa"/>
            <w:vAlign w:val="bottom"/>
          </w:tcPr>
          <w:p>
            <w:pPr>
              <w:spacing w:after="0"/>
              <w:rPr>
                <w:sz w:val="1"/>
                <w:szCs w:val="1"/>
                <w:color w:val="auto"/>
              </w:rPr>
            </w:pPr>
          </w:p>
        </w:tc>
      </w:tr>
      <w:tr>
        <w:trPr>
          <w:trHeight w:val="130"/>
        </w:trPr>
        <w:tc>
          <w:tcPr>
            <w:tcW w:w="3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180" w:type="dxa"/>
            <w:vAlign w:val="bottom"/>
          </w:tcPr>
          <w:p>
            <w:pPr>
              <w:ind w:left="160"/>
              <w:spacing w:after="0" w:line="130" w:lineRule="exact"/>
              <w:rPr>
                <w:sz w:val="20"/>
                <w:szCs w:val="20"/>
                <w:color w:val="auto"/>
              </w:rPr>
            </w:pPr>
            <w:r>
              <w:rPr>
                <w:rFonts w:ascii="Arial" w:cs="Arial" w:eastAsia="Arial" w:hAnsi="Arial"/>
                <w:sz w:val="13"/>
                <w:szCs w:val="13"/>
                <w:color w:val="auto"/>
                <w:w w:val="93"/>
              </w:rPr>
              <w:t>class. It is anticipated that, when funded, the Cotter Voting Trust will own 1,123,888 shares of</w:t>
            </w:r>
          </w:p>
        </w:tc>
        <w:tc>
          <w:tcPr>
            <w:tcW w:w="0" w:type="dxa"/>
            <w:vAlign w:val="bottom"/>
          </w:tcPr>
          <w:p>
            <w:pPr>
              <w:spacing w:after="0"/>
              <w:rPr>
                <w:sz w:val="1"/>
                <w:szCs w:val="1"/>
                <w:color w:val="auto"/>
              </w:rPr>
            </w:pPr>
          </w:p>
        </w:tc>
      </w:tr>
      <w:tr>
        <w:trPr>
          <w:trHeight w:val="130"/>
        </w:trPr>
        <w:tc>
          <w:tcPr>
            <w:tcW w:w="3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180" w:type="dxa"/>
            <w:vAlign w:val="bottom"/>
          </w:tcPr>
          <w:p>
            <w:pPr>
              <w:ind w:left="160"/>
              <w:spacing w:after="0" w:line="130" w:lineRule="exact"/>
              <w:rPr>
                <w:sz w:val="20"/>
                <w:szCs w:val="20"/>
                <w:color w:val="auto"/>
              </w:rPr>
            </w:pPr>
            <w:r>
              <w:rPr>
                <w:rFonts w:ascii="Arial" w:cs="Arial" w:eastAsia="Arial" w:hAnsi="Arial"/>
                <w:sz w:val="13"/>
                <w:szCs w:val="13"/>
                <w:color w:val="auto"/>
                <w:w w:val="92"/>
              </w:rPr>
              <w:t>Class B Voting Stock, representing 66.9% of the voting power of such class (the “Cotter Voting</w:t>
            </w:r>
          </w:p>
        </w:tc>
        <w:tc>
          <w:tcPr>
            <w:tcW w:w="0" w:type="dxa"/>
            <w:vAlign w:val="bottom"/>
          </w:tcPr>
          <w:p>
            <w:pPr>
              <w:spacing w:after="0"/>
              <w:rPr>
                <w:sz w:val="1"/>
                <w:szCs w:val="1"/>
                <w:color w:val="auto"/>
              </w:rPr>
            </w:pPr>
          </w:p>
        </w:tc>
      </w:tr>
      <w:tr>
        <w:trPr>
          <w:trHeight w:val="164"/>
        </w:trPr>
        <w:tc>
          <w:tcPr>
            <w:tcW w:w="3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180" w:type="dxa"/>
            <w:vAlign w:val="bottom"/>
          </w:tcPr>
          <w:p>
            <w:pPr>
              <w:ind w:left="160"/>
              <w:spacing w:after="0"/>
              <w:rPr>
                <w:sz w:val="20"/>
                <w:szCs w:val="20"/>
                <w:color w:val="auto"/>
              </w:rPr>
            </w:pPr>
            <w:r>
              <w:rPr>
                <w:rFonts w:ascii="Arial" w:cs="Arial" w:eastAsia="Arial" w:hAnsi="Arial"/>
                <w:sz w:val="13"/>
                <w:szCs w:val="13"/>
                <w:color w:val="auto"/>
              </w:rPr>
              <w:t>Stock”).</w:t>
            </w:r>
          </w:p>
        </w:tc>
        <w:tc>
          <w:tcPr>
            <w:tcW w:w="0" w:type="dxa"/>
            <w:vAlign w:val="bottom"/>
          </w:tcPr>
          <w:p>
            <w:pPr>
              <w:spacing w:after="0"/>
              <w:rPr>
                <w:sz w:val="1"/>
                <w:szCs w:val="1"/>
                <w:color w:val="auto"/>
              </w:rPr>
            </w:pPr>
          </w:p>
        </w:tc>
      </w:tr>
    </w:tbl>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23" w:right="319" w:bottom="1440" w:gutter="0" w:footer="0" w:header="0"/>
        </w:sectPr>
      </w:pPr>
    </w:p>
    <w:bookmarkStart w:id="94" w:name="page95"/>
    <w:bookmarkEnd w:id="94"/>
    <w:p>
      <w:pPr>
        <w:ind w:firstLine="6"/>
        <w:spacing w:after="0" w:line="226" w:lineRule="auto"/>
        <w:rPr>
          <w:sz w:val="20"/>
          <w:szCs w:val="20"/>
          <w:color w:val="auto"/>
        </w:rPr>
      </w:pPr>
      <w:r>
        <w:rPr>
          <w:rFonts w:ascii="Arial" w:cs="Arial" w:eastAsia="Arial" w:hAnsi="Arial"/>
          <w:sz w:val="13"/>
          <w:szCs w:val="13"/>
          <w:color w:val="auto"/>
        </w:rPr>
        <w:t xml:space="preserve">Cotter Trust Litigation: Motions re sale of: </w:t>
      </w:r>
      <w:r>
        <w:rPr>
          <w:rFonts w:ascii="Arial" w:cs="Arial" w:eastAsia="Arial" w:hAnsi="Arial"/>
          <w:sz w:val="13"/>
          <w:szCs w:val="13"/>
          <w:i w:val="1"/>
          <w:iCs w:val="1"/>
          <w:color w:val="auto"/>
        </w:rPr>
        <w:t>In re James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J. Cotter Living Trust dated August 1, 2000 </w:t>
      </w:r>
      <w:r>
        <w:rPr>
          <w:rFonts w:ascii="Arial" w:cs="Arial" w:eastAsia="Arial" w:hAnsi="Arial"/>
          <w:sz w:val="13"/>
          <w:szCs w:val="13"/>
          <w:color w:val="auto"/>
        </w:rPr>
        <w:t>(Case No.</w:t>
      </w:r>
      <w:r>
        <w:rPr>
          <w:rFonts w:ascii="Arial" w:cs="Arial" w:eastAsia="Arial" w:hAnsi="Arial"/>
          <w:sz w:val="13"/>
          <w:szCs w:val="13"/>
          <w:i w:val="1"/>
          <w:iCs w:val="1"/>
          <w:color w:val="auto"/>
        </w:rPr>
        <w:t xml:space="preserve"> </w:t>
      </w:r>
      <w:r>
        <w:rPr>
          <w:rFonts w:ascii="Arial" w:cs="Arial" w:eastAsia="Arial" w:hAnsi="Arial"/>
          <w:sz w:val="13"/>
          <w:szCs w:val="13"/>
          <w:color w:val="auto"/>
        </w:rPr>
        <w:t>BP159755)</w:t>
      </w:r>
    </w:p>
    <w:p>
      <w:pPr>
        <w:spacing w:after="0" w:line="20" w:lineRule="exact"/>
        <w:rPr>
          <w:sz w:val="20"/>
          <w:szCs w:val="20"/>
          <w:color w:val="auto"/>
        </w:rPr>
      </w:pPr>
      <w:r>
        <w:rPr>
          <w:sz w:val="20"/>
          <w:szCs w:val="20"/>
          <w:color w:val="auto"/>
        </w:rPr>
        <w:br w:type="column"/>
      </w:r>
    </w:p>
    <w:p>
      <w:pPr>
        <w:ind w:firstLine="172"/>
        <w:spacing w:after="0" w:line="271" w:lineRule="auto"/>
        <w:rPr>
          <w:sz w:val="20"/>
          <w:szCs w:val="20"/>
          <w:color w:val="auto"/>
        </w:rPr>
      </w:pPr>
      <w:r>
        <w:rPr>
          <w:rFonts w:ascii="Arial" w:cs="Arial" w:eastAsia="Arial" w:hAnsi="Arial"/>
          <w:sz w:val="12"/>
          <w:szCs w:val="12"/>
          <w:color w:val="auto"/>
        </w:rPr>
        <w:t>Cotter, Jr. and Guardian Ad Litem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California Superior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-75565</wp:posOffset>
            </wp:positionV>
            <wp:extent cx="7159625" cy="3964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3964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40"/>
        <w:spacing w:after="0" w:line="238" w:lineRule="auto"/>
        <w:rPr>
          <w:sz w:val="20"/>
          <w:szCs w:val="20"/>
          <w:color w:val="auto"/>
        </w:rPr>
      </w:pPr>
      <w:r>
        <w:rPr>
          <w:rFonts w:ascii="Arial" w:cs="Arial" w:eastAsia="Arial" w:hAnsi="Arial"/>
          <w:sz w:val="12"/>
          <w:szCs w:val="12"/>
          <w:color w:val="auto"/>
        </w:rPr>
        <w:t xml:space="preserve">In response to the </w:t>
      </w:r>
      <w:r>
        <w:rPr>
          <w:rFonts w:ascii="Arial" w:cs="Arial" w:eastAsia="Arial" w:hAnsi="Arial"/>
          <w:sz w:val="12"/>
          <w:szCs w:val="12"/>
          <w:i w:val="1"/>
          <w:iCs w:val="1"/>
          <w:color w:val="auto"/>
        </w:rPr>
        <w:t>ex parte</w:t>
      </w:r>
      <w:r>
        <w:rPr>
          <w:rFonts w:ascii="Arial" w:cs="Arial" w:eastAsia="Arial" w:hAnsi="Arial"/>
          <w:sz w:val="12"/>
          <w:szCs w:val="12"/>
          <w:color w:val="auto"/>
        </w:rPr>
        <w:t xml:space="preserve"> petition of Cotter, Jr. filed on March 23, 2016, the California Superior Court on March 23, 2018 directed that an unnamed temporary trustee </w:t>
      </w:r>
      <w:r>
        <w:rPr>
          <w:rFonts w:ascii="Arial" w:cs="Arial" w:eastAsia="Arial" w:hAnsi="Arial"/>
          <w:sz w:val="12"/>
          <w:szCs w:val="12"/>
          <w:i w:val="1"/>
          <w:iCs w:val="1"/>
          <w:color w:val="auto"/>
        </w:rPr>
        <w:t>ad litem</w:t>
      </w:r>
      <w:r>
        <w:rPr>
          <w:rFonts w:ascii="Arial" w:cs="Arial" w:eastAsia="Arial" w:hAnsi="Arial"/>
          <w:sz w:val="12"/>
          <w:szCs w:val="12"/>
          <w:color w:val="auto"/>
        </w:rPr>
        <w:t xml:space="preserve"> be appointed to solicit offers to purchase the Cotter Voting Stock. On appellate review, the California Court of Appeal reversed the California Superior Court, determined that Cotter, Jr. did not have standing to purse that </w:t>
      </w:r>
      <w:r>
        <w:rPr>
          <w:rFonts w:ascii="Arial" w:cs="Arial" w:eastAsia="Arial" w:hAnsi="Arial"/>
          <w:sz w:val="12"/>
          <w:szCs w:val="12"/>
          <w:i w:val="1"/>
          <w:iCs w:val="1"/>
          <w:color w:val="auto"/>
        </w:rPr>
        <w:t>ex parte</w:t>
      </w:r>
      <w:r>
        <w:rPr>
          <w:rFonts w:ascii="Arial" w:cs="Arial" w:eastAsia="Arial" w:hAnsi="Arial"/>
          <w:sz w:val="12"/>
          <w:szCs w:val="12"/>
          <w:color w:val="auto"/>
        </w:rPr>
        <w:t xml:space="preserve"> motion.</w:t>
      </w:r>
    </w:p>
    <w:p>
      <w:pPr>
        <w:spacing w:after="0" w:line="96" w:lineRule="exact"/>
        <w:rPr>
          <w:sz w:val="20"/>
          <w:szCs w:val="20"/>
          <w:color w:val="auto"/>
        </w:rPr>
      </w:pPr>
    </w:p>
    <w:p>
      <w:pPr>
        <w:sectPr>
          <w:pgSz w:w="11900" w:h="16838" w:orient="portrait"/>
          <w:cols w:equalWidth="0" w:num="4">
            <w:col w:w="2860" w:space="200"/>
            <w:col w:w="1020" w:space="380"/>
            <w:col w:w="1340" w:space="300"/>
            <w:col w:w="5000"/>
          </w:cols>
          <w:pgMar w:left="460" w:top="274" w:right="339" w:bottom="1440" w:gutter="0" w:footer="0" w:header="0"/>
        </w:sectPr>
      </w:pPr>
    </w:p>
    <w:p>
      <w:pPr>
        <w:ind w:left="6100"/>
        <w:spacing w:after="0"/>
        <w:rPr>
          <w:sz w:val="20"/>
          <w:szCs w:val="20"/>
          <w:color w:val="auto"/>
        </w:rPr>
      </w:pPr>
      <w:r>
        <w:rPr>
          <w:rFonts w:ascii="Arial" w:cs="Arial" w:eastAsia="Arial" w:hAnsi="Arial"/>
          <w:sz w:val="13"/>
          <w:szCs w:val="13"/>
          <w:color w:val="auto"/>
        </w:rPr>
        <w:t>However, issues as to the ongoing control of our Company are still uncertain.</w:t>
      </w:r>
    </w:p>
    <w:p>
      <w:pPr>
        <w:spacing w:after="0" w:line="111" w:lineRule="exact"/>
        <w:rPr>
          <w:sz w:val="20"/>
          <w:szCs w:val="20"/>
          <w:color w:val="auto"/>
        </w:rPr>
      </w:pPr>
    </w:p>
    <w:p>
      <w:pPr>
        <w:ind w:left="6100"/>
        <w:spacing w:after="0"/>
        <w:rPr>
          <w:sz w:val="20"/>
          <w:szCs w:val="20"/>
          <w:color w:val="auto"/>
        </w:rPr>
      </w:pPr>
      <w:r>
        <w:rPr>
          <w:rFonts w:ascii="Arial" w:cs="Arial" w:eastAsia="Arial" w:hAnsi="Arial"/>
          <w:sz w:val="11"/>
          <w:szCs w:val="11"/>
          <w:color w:val="auto"/>
        </w:rPr>
        <w:t>The Superior Court, at the request of Mr. Cotter, Jr., appointed a guardian ad litem (the “GAL”)</w:t>
      </w:r>
    </w:p>
    <w:p>
      <w:pPr>
        <w:spacing w:after="0" w:line="14" w:lineRule="exact"/>
        <w:rPr>
          <w:sz w:val="20"/>
          <w:szCs w:val="20"/>
          <w:color w:val="auto"/>
        </w:rPr>
      </w:pPr>
    </w:p>
    <w:p>
      <w:pPr>
        <w:ind w:left="6100"/>
        <w:spacing w:after="0"/>
        <w:rPr>
          <w:sz w:val="20"/>
          <w:szCs w:val="20"/>
          <w:color w:val="auto"/>
        </w:rPr>
      </w:pPr>
      <w:r>
        <w:rPr>
          <w:rFonts w:ascii="Arial" w:cs="Arial" w:eastAsia="Arial" w:hAnsi="Arial"/>
          <w:sz w:val="11"/>
          <w:szCs w:val="11"/>
          <w:color w:val="auto"/>
        </w:rPr>
        <w:t>to represent the interests of the beneficiaries of the Cotter Voting Trust.  The GAL has motions</w:t>
      </w:r>
    </w:p>
    <w:p>
      <w:pPr>
        <w:spacing w:after="0" w:line="4" w:lineRule="exact"/>
        <w:rPr>
          <w:sz w:val="20"/>
          <w:szCs w:val="20"/>
          <w:color w:val="auto"/>
        </w:rPr>
      </w:pPr>
    </w:p>
    <w:p>
      <w:pPr>
        <w:ind w:left="6100"/>
        <w:spacing w:after="0"/>
        <w:rPr>
          <w:sz w:val="20"/>
          <w:szCs w:val="20"/>
          <w:color w:val="auto"/>
        </w:rPr>
      </w:pPr>
      <w:r>
        <w:rPr>
          <w:rFonts w:ascii="Arial" w:cs="Arial" w:eastAsia="Arial" w:hAnsi="Arial"/>
          <w:sz w:val="11"/>
          <w:szCs w:val="11"/>
          <w:color w:val="auto"/>
        </w:rPr>
        <w:t>pending (i) to divide the Cotter Voting Trust into separate trusts, one for the benefit of Margaret</w:t>
      </w:r>
    </w:p>
    <w:p>
      <w:pPr>
        <w:spacing w:after="0" w:line="4" w:lineRule="exact"/>
        <w:rPr>
          <w:sz w:val="20"/>
          <w:szCs w:val="20"/>
          <w:color w:val="auto"/>
        </w:rPr>
      </w:pPr>
    </w:p>
    <w:p>
      <w:pPr>
        <w:ind w:left="6100"/>
        <w:spacing w:after="0"/>
        <w:rPr>
          <w:sz w:val="20"/>
          <w:szCs w:val="20"/>
          <w:color w:val="auto"/>
        </w:rPr>
      </w:pPr>
      <w:r>
        <w:rPr>
          <w:rFonts w:ascii="Arial" w:cs="Arial" w:eastAsia="Arial" w:hAnsi="Arial"/>
          <w:sz w:val="11"/>
          <w:szCs w:val="11"/>
          <w:color w:val="auto"/>
        </w:rPr>
        <w:t>Cotter’s children and one for the benefit of James J. Cotter, Jr.’s children, (ii) in order to achieve</w:t>
      </w:r>
    </w:p>
    <w:p>
      <w:pPr>
        <w:spacing w:after="0" w:line="4" w:lineRule="exact"/>
        <w:rPr>
          <w:sz w:val="20"/>
          <w:szCs w:val="20"/>
          <w:color w:val="auto"/>
        </w:rPr>
      </w:pPr>
    </w:p>
    <w:p>
      <w:pPr>
        <w:ind w:left="6100"/>
        <w:spacing w:after="0"/>
        <w:rPr>
          <w:sz w:val="20"/>
          <w:szCs w:val="20"/>
          <w:color w:val="auto"/>
        </w:rPr>
      </w:pPr>
      <w:r>
        <w:rPr>
          <w:rFonts w:ascii="Arial" w:cs="Arial" w:eastAsia="Arial" w:hAnsi="Arial"/>
          <w:sz w:val="11"/>
          <w:szCs w:val="11"/>
          <w:color w:val="auto"/>
        </w:rPr>
        <w:t>diversification of the assets of these trusts, to sell the Class B stock eventually to be held by the</w:t>
      </w:r>
    </w:p>
    <w:p>
      <w:pPr>
        <w:ind w:left="6100"/>
        <w:spacing w:after="0" w:line="232" w:lineRule="auto"/>
        <w:rPr>
          <w:sz w:val="20"/>
          <w:szCs w:val="20"/>
          <w:color w:val="auto"/>
        </w:rPr>
      </w:pPr>
      <w:r>
        <w:rPr>
          <w:rFonts w:ascii="Arial" w:cs="Arial" w:eastAsia="Arial" w:hAnsi="Arial"/>
          <w:sz w:val="12"/>
          <w:szCs w:val="12"/>
          <w:color w:val="auto"/>
        </w:rPr>
        <w:t>Cotter Voting Trust, and (iii) to immediately retain a valuation expert to advise him as to value</w:t>
      </w:r>
    </w:p>
    <w:p>
      <w:pPr>
        <w:ind w:left="6100"/>
        <w:spacing w:after="0" w:line="209" w:lineRule="auto"/>
        <w:rPr>
          <w:sz w:val="20"/>
          <w:szCs w:val="20"/>
          <w:color w:val="auto"/>
        </w:rPr>
      </w:pPr>
      <w:r>
        <w:rPr>
          <w:rFonts w:ascii="Arial" w:cs="Arial" w:eastAsia="Arial" w:hAnsi="Arial"/>
          <w:sz w:val="13"/>
          <w:szCs w:val="13"/>
          <w:color w:val="auto"/>
        </w:rPr>
        <w:t>of the Class B Voting Stock to be eventually held by the Cotter Voting Trust. A petition</w:t>
      </w:r>
    </w:p>
    <w:p>
      <w:pPr>
        <w:ind w:left="6100"/>
        <w:spacing w:after="0" w:line="226" w:lineRule="auto"/>
        <w:rPr>
          <w:sz w:val="20"/>
          <w:szCs w:val="20"/>
          <w:color w:val="auto"/>
        </w:rPr>
      </w:pPr>
      <w:r>
        <w:rPr>
          <w:rFonts w:ascii="Arial" w:cs="Arial" w:eastAsia="Arial" w:hAnsi="Arial"/>
          <w:sz w:val="12"/>
          <w:szCs w:val="12"/>
          <w:color w:val="auto"/>
        </w:rPr>
        <w:t>brought by Margaret Cotter and Ellen Cotter, as Co-Trustees of the Cotter Living Trust, to</w:t>
      </w:r>
    </w:p>
    <w:p>
      <w:pPr>
        <w:ind w:left="6100"/>
        <w:spacing w:after="0" w:line="226" w:lineRule="auto"/>
        <w:rPr>
          <w:sz w:val="20"/>
          <w:szCs w:val="20"/>
          <w:color w:val="auto"/>
        </w:rPr>
      </w:pPr>
      <w:r>
        <w:rPr>
          <w:rFonts w:ascii="Arial" w:cs="Arial" w:eastAsia="Arial" w:hAnsi="Arial"/>
          <w:sz w:val="12"/>
          <w:szCs w:val="12"/>
          <w:color w:val="auto"/>
        </w:rPr>
        <w:t>disqualify the GAL on the basis that he cannot simultaneously represent the interests of</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1"/>
          <w:szCs w:val="11"/>
          <w:color w:val="auto"/>
        </w:rPr>
        <w:t>Margaret Cotter and James J. Cotter, Jr’s, children as the interests of those children differ, was</w:t>
      </w:r>
    </w:p>
    <w:p>
      <w:pPr>
        <w:ind w:left="6100"/>
        <w:spacing w:after="0" w:line="232" w:lineRule="auto"/>
        <w:rPr>
          <w:sz w:val="20"/>
          <w:szCs w:val="20"/>
          <w:color w:val="auto"/>
        </w:rPr>
      </w:pPr>
      <w:r>
        <w:rPr>
          <w:rFonts w:ascii="Arial" w:cs="Arial" w:eastAsia="Arial" w:hAnsi="Arial"/>
          <w:sz w:val="12"/>
          <w:szCs w:val="12"/>
          <w:color w:val="auto"/>
        </w:rPr>
        <w:t>denied by the California Superior Court and that order is currently subject to appeal. Ellen</w:t>
      </w:r>
    </w:p>
    <w:p>
      <w:pPr>
        <w:ind w:left="6100"/>
        <w:spacing w:after="0" w:line="226" w:lineRule="auto"/>
        <w:rPr>
          <w:sz w:val="20"/>
          <w:szCs w:val="20"/>
          <w:color w:val="auto"/>
        </w:rPr>
      </w:pPr>
      <w:r>
        <w:rPr>
          <w:rFonts w:ascii="Arial" w:cs="Arial" w:eastAsia="Arial" w:hAnsi="Arial"/>
          <w:sz w:val="12"/>
          <w:szCs w:val="12"/>
          <w:color w:val="auto"/>
        </w:rPr>
        <w:t>Cotter and Margaret Cotter, as Co-Trustees of the Cotter Living Trust, have advised that they</w:t>
      </w:r>
    </w:p>
    <w:p>
      <w:pPr>
        <w:ind w:left="6100"/>
        <w:spacing w:after="0" w:line="227" w:lineRule="auto"/>
        <w:rPr>
          <w:sz w:val="20"/>
          <w:szCs w:val="20"/>
          <w:color w:val="auto"/>
        </w:rPr>
      </w:pPr>
      <w:r>
        <w:rPr>
          <w:rFonts w:ascii="Arial" w:cs="Arial" w:eastAsia="Arial" w:hAnsi="Arial"/>
          <w:sz w:val="12"/>
          <w:szCs w:val="12"/>
          <w:color w:val="auto"/>
        </w:rPr>
        <w:t>believe that it was the intention of their father that the Class B Voting Stock be held in the</w:t>
      </w:r>
    </w:p>
    <w:p>
      <w:pPr>
        <w:ind w:left="6100"/>
        <w:spacing w:after="0"/>
        <w:rPr>
          <w:sz w:val="20"/>
          <w:szCs w:val="20"/>
          <w:color w:val="auto"/>
        </w:rPr>
      </w:pPr>
      <w:r>
        <w:rPr>
          <w:rFonts w:ascii="Arial" w:cs="Arial" w:eastAsia="Arial" w:hAnsi="Arial"/>
          <w:sz w:val="11"/>
          <w:szCs w:val="11"/>
          <w:color w:val="auto"/>
        </w:rPr>
        <w:t>Cotter Voting Trust as long as possible and that they intend to oppose any splitting of the Cotter</w:t>
      </w:r>
    </w:p>
    <w:p>
      <w:pPr>
        <w:ind w:left="6100"/>
        <w:spacing w:after="0" w:line="232" w:lineRule="auto"/>
        <w:rPr>
          <w:sz w:val="20"/>
          <w:szCs w:val="20"/>
          <w:color w:val="auto"/>
        </w:rPr>
      </w:pPr>
      <w:r>
        <w:rPr>
          <w:rFonts w:ascii="Arial" w:cs="Arial" w:eastAsia="Arial" w:hAnsi="Arial"/>
          <w:sz w:val="12"/>
          <w:szCs w:val="12"/>
          <w:color w:val="auto"/>
        </w:rPr>
        <w:t>Voting Trust and/or sale of the Class B Voting Stock eventually to be held by the Cotter Voting</w:t>
      </w:r>
    </w:p>
    <w:p>
      <w:pPr>
        <w:ind w:left="6100"/>
        <w:spacing w:after="0"/>
        <w:rPr>
          <w:sz w:val="20"/>
          <w:szCs w:val="20"/>
          <w:color w:val="auto"/>
        </w:rPr>
      </w:pPr>
      <w:r>
        <w:rPr>
          <w:rFonts w:ascii="Arial" w:cs="Arial" w:eastAsia="Arial" w:hAnsi="Arial"/>
          <w:sz w:val="13"/>
          <w:szCs w:val="13"/>
          <w:color w:val="auto"/>
        </w:rPr>
        <w:t>Trust.</w:t>
      </w:r>
    </w:p>
    <w:p>
      <w:pPr>
        <w:spacing w:after="0" w:line="101" w:lineRule="exact"/>
        <w:rPr>
          <w:sz w:val="20"/>
          <w:szCs w:val="20"/>
          <w:color w:val="auto"/>
        </w:rPr>
      </w:pPr>
    </w:p>
    <w:p>
      <w:pPr>
        <w:ind w:left="6100"/>
        <w:spacing w:after="0"/>
        <w:rPr>
          <w:sz w:val="20"/>
          <w:szCs w:val="20"/>
          <w:color w:val="auto"/>
        </w:rPr>
      </w:pPr>
      <w:r>
        <w:rPr>
          <w:rFonts w:ascii="Arial" w:cs="Arial" w:eastAsia="Arial" w:hAnsi="Arial"/>
          <w:sz w:val="12"/>
          <w:szCs w:val="12"/>
          <w:color w:val="auto"/>
        </w:rPr>
        <w:t>James J. Cotter, Jr., has a pending petition to remove Ellen Cotter and Margaret Cotter as</w:t>
      </w:r>
    </w:p>
    <w:p>
      <w:pPr>
        <w:spacing w:after="0" w:line="2" w:lineRule="exact"/>
        <w:rPr>
          <w:sz w:val="20"/>
          <w:szCs w:val="20"/>
          <w:color w:val="auto"/>
        </w:rPr>
      </w:pPr>
    </w:p>
    <w:p>
      <w:pPr>
        <w:ind w:left="6100"/>
        <w:spacing w:after="0"/>
        <w:rPr>
          <w:sz w:val="20"/>
          <w:szCs w:val="20"/>
          <w:color w:val="auto"/>
        </w:rPr>
      </w:pPr>
      <w:r>
        <w:rPr>
          <w:rFonts w:ascii="Arial" w:cs="Arial" w:eastAsia="Arial" w:hAnsi="Arial"/>
          <w:sz w:val="11"/>
          <w:szCs w:val="11"/>
          <w:color w:val="auto"/>
        </w:rPr>
        <w:t>trustees of the Cotter Living Trust (a motion for which no discovery schedule, briefing schedule</w:t>
      </w:r>
    </w:p>
    <w:p>
      <w:pPr>
        <w:ind w:left="6100"/>
        <w:spacing w:after="0" w:line="232" w:lineRule="auto"/>
        <w:rPr>
          <w:sz w:val="20"/>
          <w:szCs w:val="20"/>
          <w:color w:val="auto"/>
        </w:rPr>
      </w:pPr>
      <w:r>
        <w:rPr>
          <w:rFonts w:ascii="Arial" w:cs="Arial" w:eastAsia="Arial" w:hAnsi="Arial"/>
          <w:sz w:val="12"/>
          <w:szCs w:val="12"/>
          <w:color w:val="auto"/>
        </w:rPr>
        <w:t>or hearing date has been set). Also, James J. Cotter, Jr., has historically supported the above</w:t>
      </w:r>
    </w:p>
    <w:p>
      <w:pPr>
        <w:ind w:left="6100"/>
        <w:spacing w:after="0" w:line="226" w:lineRule="auto"/>
        <w:rPr>
          <w:sz w:val="20"/>
          <w:szCs w:val="20"/>
          <w:color w:val="auto"/>
        </w:rPr>
      </w:pPr>
      <w:r>
        <w:rPr>
          <w:rFonts w:ascii="Arial" w:cs="Arial" w:eastAsia="Arial" w:hAnsi="Arial"/>
          <w:sz w:val="12"/>
          <w:szCs w:val="12"/>
          <w:color w:val="auto"/>
        </w:rPr>
        <w:t>described petition brought by the GAL to divide up the Cotter Voting Trust and sell the Class B</w:t>
      </w:r>
    </w:p>
    <w:p>
      <w:pPr>
        <w:ind w:left="6100"/>
        <w:spacing w:after="0"/>
        <w:rPr>
          <w:sz w:val="20"/>
          <w:szCs w:val="20"/>
          <w:color w:val="auto"/>
        </w:rPr>
      </w:pPr>
      <w:r>
        <w:rPr>
          <w:rFonts w:ascii="Arial" w:cs="Arial" w:eastAsia="Arial" w:hAnsi="Arial"/>
          <w:sz w:val="11"/>
          <w:szCs w:val="11"/>
          <w:color w:val="auto"/>
        </w:rPr>
        <w:t>Voting Stock to be held by the Cotter Voting Trust.  The status of these petitions is uncertain, as</w:t>
      </w:r>
    </w:p>
    <w:p>
      <w:pPr>
        <w:spacing w:after="0" w:line="4" w:lineRule="exact"/>
        <w:rPr>
          <w:sz w:val="20"/>
          <w:szCs w:val="20"/>
          <w:color w:val="auto"/>
        </w:rPr>
      </w:pPr>
    </w:p>
    <w:p>
      <w:pPr>
        <w:ind w:left="6100"/>
        <w:spacing w:after="0"/>
        <w:rPr>
          <w:sz w:val="20"/>
          <w:szCs w:val="20"/>
          <w:color w:val="auto"/>
        </w:rPr>
      </w:pPr>
      <w:r>
        <w:rPr>
          <w:rFonts w:ascii="Arial" w:cs="Arial" w:eastAsia="Arial" w:hAnsi="Arial"/>
          <w:sz w:val="13"/>
          <w:szCs w:val="13"/>
          <w:color w:val="auto"/>
        </w:rPr>
        <w:t>James J. Cotter, Jr., passed away on March 10, 2021.</w:t>
      </w:r>
    </w:p>
    <w:p>
      <w:pPr>
        <w:spacing w:after="0" w:line="101" w:lineRule="exact"/>
        <w:rPr>
          <w:sz w:val="20"/>
          <w:szCs w:val="20"/>
          <w:color w:val="auto"/>
        </w:rPr>
      </w:pPr>
    </w:p>
    <w:p>
      <w:pPr>
        <w:ind w:left="6100"/>
        <w:spacing w:after="0"/>
        <w:rPr>
          <w:sz w:val="20"/>
          <w:szCs w:val="20"/>
          <w:color w:val="auto"/>
        </w:rPr>
      </w:pPr>
      <w:r>
        <w:rPr>
          <w:rFonts w:ascii="Arial" w:cs="Arial" w:eastAsia="Arial" w:hAnsi="Arial"/>
          <w:sz w:val="12"/>
          <w:szCs w:val="12"/>
          <w:color w:val="auto"/>
        </w:rPr>
        <w:t>As a consequence of the Superior Court’s Living Trust Ruling, Ellen Cotter and Margaret</w:t>
      </w:r>
    </w:p>
    <w:p>
      <w:pPr>
        <w:ind w:left="6100"/>
        <w:spacing w:after="0" w:line="229" w:lineRule="auto"/>
        <w:rPr>
          <w:sz w:val="20"/>
          <w:szCs w:val="20"/>
          <w:color w:val="auto"/>
        </w:rPr>
      </w:pPr>
      <w:r>
        <w:rPr>
          <w:rFonts w:ascii="Arial" w:cs="Arial" w:eastAsia="Arial" w:hAnsi="Arial"/>
          <w:sz w:val="12"/>
          <w:szCs w:val="12"/>
          <w:color w:val="auto"/>
        </w:rPr>
        <w:t>Cotter, as Co-Trustees of the Cotter Living Trust, have brought a petition to enforce the no-</w:t>
      </w:r>
    </w:p>
    <w:p>
      <w:pPr>
        <w:ind w:left="6100"/>
        <w:spacing w:after="0" w:line="227" w:lineRule="auto"/>
        <w:rPr>
          <w:sz w:val="20"/>
          <w:szCs w:val="20"/>
          <w:color w:val="auto"/>
        </w:rPr>
      </w:pPr>
      <w:r>
        <w:rPr>
          <w:rFonts w:ascii="Arial" w:cs="Arial" w:eastAsia="Arial" w:hAnsi="Arial"/>
          <w:sz w:val="12"/>
          <w:szCs w:val="12"/>
          <w:color w:val="auto"/>
        </w:rPr>
        <w:t>contest clause of the Cotter Living Trust, which if successful would remove Mr. Cotter, Jr., and</w:t>
      </w:r>
    </w:p>
    <w:p>
      <w:pPr>
        <w:ind w:left="6100"/>
        <w:spacing w:after="0" w:line="226" w:lineRule="auto"/>
        <w:rPr>
          <w:sz w:val="20"/>
          <w:szCs w:val="20"/>
          <w:color w:val="auto"/>
        </w:rPr>
      </w:pPr>
      <w:r>
        <w:rPr>
          <w:rFonts w:ascii="Arial" w:cs="Arial" w:eastAsia="Arial" w:hAnsi="Arial"/>
          <w:sz w:val="12"/>
          <w:szCs w:val="12"/>
          <w:color w:val="auto"/>
        </w:rPr>
        <w:t>his descendants as beneficiaries of the Cotter Living Trust, It would also moot Mr. Cotter, Jr.’s</w:t>
      </w:r>
    </w:p>
    <w:p>
      <w:pPr>
        <w:ind w:left="6100"/>
        <w:spacing w:after="0" w:line="226" w:lineRule="auto"/>
        <w:rPr>
          <w:sz w:val="20"/>
          <w:szCs w:val="20"/>
          <w:color w:val="auto"/>
        </w:rPr>
      </w:pPr>
      <w:r>
        <w:rPr>
          <w:rFonts w:ascii="Arial" w:cs="Arial" w:eastAsia="Arial" w:hAnsi="Arial"/>
          <w:sz w:val="12"/>
          <w:szCs w:val="12"/>
          <w:color w:val="auto"/>
        </w:rPr>
        <w:t>petitions (to the extent that they survive his passing), as he would be neither a trustee nor a</w:t>
      </w:r>
    </w:p>
    <w:p>
      <w:pPr>
        <w:ind w:left="6100"/>
        <w:spacing w:after="0"/>
        <w:rPr>
          <w:sz w:val="20"/>
          <w:szCs w:val="20"/>
          <w:color w:val="auto"/>
        </w:rPr>
      </w:pPr>
      <w:r>
        <w:rPr>
          <w:rFonts w:ascii="Arial" w:cs="Arial" w:eastAsia="Arial" w:hAnsi="Arial"/>
          <w:sz w:val="13"/>
          <w:szCs w:val="13"/>
          <w:color w:val="auto"/>
        </w:rPr>
        <w:t>beneficiary of the Cotter Living Trust.</w:t>
      </w:r>
    </w:p>
    <w:p>
      <w:pPr>
        <w:spacing w:after="0" w:line="101" w:lineRule="exact"/>
        <w:rPr>
          <w:sz w:val="20"/>
          <w:szCs w:val="20"/>
          <w:color w:val="auto"/>
        </w:rPr>
      </w:pPr>
    </w:p>
    <w:p>
      <w:pPr>
        <w:ind w:left="6100"/>
        <w:spacing w:after="0"/>
        <w:rPr>
          <w:sz w:val="20"/>
          <w:szCs w:val="20"/>
          <w:color w:val="auto"/>
        </w:rPr>
      </w:pPr>
      <w:r>
        <w:rPr>
          <w:rFonts w:ascii="Arial" w:cs="Arial" w:eastAsia="Arial" w:hAnsi="Arial"/>
          <w:sz w:val="12"/>
          <w:szCs w:val="12"/>
          <w:color w:val="auto"/>
        </w:rPr>
        <w:t>Mr. Cotter, Jr. has opposed the Co-Trustees petition to enforce the no-contest clause and</w:t>
      </w:r>
    </w:p>
    <w:p>
      <w:pPr>
        <w:spacing w:after="0" w:line="2" w:lineRule="exact"/>
        <w:rPr>
          <w:sz w:val="20"/>
          <w:szCs w:val="20"/>
          <w:color w:val="auto"/>
        </w:rPr>
      </w:pPr>
    </w:p>
    <w:p>
      <w:pPr>
        <w:ind w:left="6100"/>
        <w:spacing w:after="0"/>
        <w:rPr>
          <w:sz w:val="20"/>
          <w:szCs w:val="20"/>
          <w:color w:val="auto"/>
        </w:rPr>
      </w:pPr>
      <w:r>
        <w:rPr>
          <w:rFonts w:ascii="Arial" w:cs="Arial" w:eastAsia="Arial" w:hAnsi="Arial"/>
          <w:sz w:val="11"/>
          <w:szCs w:val="11"/>
          <w:color w:val="auto"/>
        </w:rPr>
        <w:t>brought an Anti-SLAPP claim against the Co-Trustees.  That Anti-SLAPP claim was dismissed</w:t>
      </w:r>
    </w:p>
    <w:p>
      <w:pPr>
        <w:spacing w:after="0" w:line="4" w:lineRule="exact"/>
        <w:rPr>
          <w:sz w:val="20"/>
          <w:szCs w:val="20"/>
          <w:color w:val="auto"/>
        </w:rPr>
      </w:pPr>
    </w:p>
    <w:p>
      <w:pPr>
        <w:ind w:left="6100"/>
        <w:spacing w:after="0"/>
        <w:rPr>
          <w:sz w:val="20"/>
          <w:szCs w:val="20"/>
          <w:color w:val="auto"/>
        </w:rPr>
      </w:pPr>
      <w:r>
        <w:rPr>
          <w:rFonts w:ascii="Arial" w:cs="Arial" w:eastAsia="Arial" w:hAnsi="Arial"/>
          <w:sz w:val="13"/>
          <w:szCs w:val="13"/>
          <w:color w:val="auto"/>
        </w:rPr>
        <w:t>by the California Superior Court, which dismissal is now on appeal.</w:t>
      </w:r>
    </w:p>
    <w:p>
      <w:pPr>
        <w:spacing w:after="0" w:line="101" w:lineRule="exact"/>
        <w:rPr>
          <w:sz w:val="20"/>
          <w:szCs w:val="20"/>
          <w:color w:val="auto"/>
        </w:rPr>
      </w:pPr>
    </w:p>
    <w:p>
      <w:pPr>
        <w:ind w:left="6100"/>
        <w:spacing w:after="0"/>
        <w:rPr>
          <w:sz w:val="20"/>
          <w:szCs w:val="20"/>
          <w:color w:val="auto"/>
        </w:rPr>
      </w:pPr>
      <w:r>
        <w:rPr>
          <w:rFonts w:ascii="Arial" w:cs="Arial" w:eastAsia="Arial" w:hAnsi="Arial"/>
          <w:sz w:val="12"/>
          <w:szCs w:val="12"/>
          <w:color w:val="auto"/>
        </w:rPr>
        <w:t>The parties to these legal proceedings, including the GAL, have reached a Settlement in</w:t>
      </w:r>
    </w:p>
    <w:p>
      <w:pPr>
        <w:ind w:left="6100"/>
        <w:spacing w:after="0" w:line="229" w:lineRule="auto"/>
        <w:rPr>
          <w:sz w:val="20"/>
          <w:szCs w:val="20"/>
          <w:color w:val="auto"/>
        </w:rPr>
      </w:pPr>
      <w:r>
        <w:rPr>
          <w:rFonts w:ascii="Arial" w:cs="Arial" w:eastAsia="Arial" w:hAnsi="Arial"/>
          <w:sz w:val="12"/>
          <w:szCs w:val="12"/>
          <w:color w:val="auto"/>
        </w:rPr>
        <w:t>Principle, subject to Court approval, which Settlement in Principle is described above. These</w:t>
      </w:r>
    </w:p>
    <w:p>
      <w:pPr>
        <w:ind w:left="6100"/>
        <w:spacing w:after="0" w:line="227" w:lineRule="auto"/>
        <w:rPr>
          <w:sz w:val="20"/>
          <w:szCs w:val="20"/>
          <w:color w:val="auto"/>
        </w:rPr>
      </w:pPr>
      <w:r>
        <w:rPr>
          <w:rFonts w:ascii="Arial" w:cs="Arial" w:eastAsia="Arial" w:hAnsi="Arial"/>
          <w:sz w:val="12"/>
          <w:szCs w:val="12"/>
          <w:color w:val="auto"/>
        </w:rPr>
        <w:t>outstanding legal proceedings have been temporarily stayed pending a final determination on</w:t>
      </w:r>
    </w:p>
    <w:p>
      <w:pPr>
        <w:ind w:left="6100"/>
        <w:spacing w:after="0"/>
        <w:rPr>
          <w:sz w:val="20"/>
          <w:szCs w:val="20"/>
          <w:color w:val="auto"/>
        </w:rPr>
      </w:pPr>
      <w:r>
        <w:rPr>
          <w:rFonts w:ascii="Arial" w:cs="Arial" w:eastAsia="Arial" w:hAnsi="Arial"/>
          <w:sz w:val="13"/>
          <w:szCs w:val="13"/>
          <w:color w:val="auto"/>
        </w:rPr>
        <w:t>the Settlement in Principle by the Superior Court of the State of California.</w:t>
      </w:r>
    </w:p>
    <w:p>
      <w:pPr>
        <w:sectPr>
          <w:pgSz w:w="11900" w:h="16838" w:orient="portrait"/>
          <w:cols w:equalWidth="0" w:num="1">
            <w:col w:w="11100"/>
          </w:cols>
          <w:pgMar w:left="460" w:top="274" w:right="339" w:bottom="1440" w:gutter="0" w:footer="0" w:header="0"/>
          <w:type w:val="continuous"/>
        </w:sectPr>
      </w:pPr>
    </w:p>
    <w:p>
      <w:pPr>
        <w:spacing w:after="0" w:line="97"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167640</wp:posOffset>
            </wp:positionV>
            <wp:extent cx="7185025"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100"/>
          </w:cols>
          <w:pgMar w:left="460" w:top="274"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4"/>
          <w:szCs w:val="14"/>
          <w:b w:val="1"/>
          <w:bCs w:val="1"/>
          <w:i w:val="1"/>
          <w:iCs w:val="1"/>
          <w:color w:val="auto"/>
        </w:rPr>
        <w:t>California Employment Litigation</w:t>
      </w:r>
    </w:p>
    <w:p>
      <w:pPr>
        <w:spacing w:after="0" w:line="143"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Our Company is currently a defendant in certain California employment matters which include substantially overlapping wage and hour claims relating to our California cinema operations as described below. Taylor Brown, individually, and on behalf of other members of the general public similarly situated vs. Reading Cinemas et al. Superior Court of the State of California for the County of Kern, Case No. BCV-19-1000390 (“Brown v. RC,” and the “Brown Class Action Complaint”) was initially filed in December 2018, as an individual action and refiled as a putative class action in February 2019, but not served until June 24, 2019. Peter M. Wagner, Jr., an individual, vs. Consolidated Entertainment, Inc. et al., Superior Court of the State of California for the County of San Diego, Case NO. 37-2019-00030695-CU-WT-CTL (“Wagner v. CEI,” and the “Wagner Individual Complaint”) was filed as a discrimination and retaliation lawsuit in June 2019. The following month, in July 2019, a notice was served on us by separate counsel for Mr. Wagner under the California Private Attorney General Act of 2004 (Cal. Labor Code Section 2698, et seq) (the “Wagner PAGA Claim”) purportedly asserting in a representational capacity, claims under the PAGA statute, overlapping, in substantial part, the allegations set forth in the Brown Class Action Complaint. On March 6, 2020, Wagner filed a purported class action in the Superior Court of California, County of San Diego, again covering basically the same allegations as set forth in the Brown Class Action Complaint, and titled Peter M. Wagner, an individual, on behalf of himself and all others similarly situated vs. Reading International, Inc., Consolidated Entertainment, Inc. and Does 1 through 25, Case No. 37-2020-000127-CU-OE-CTL (the “Wagner Class Action” and the “Wagner Class Action Complaint”). Following mediation, the Wagner Individual Complaint was settled, and final judgment entered on February 10, 2021, at what we believe to have been its nuisance value. The remaining lawsuits seek damages, and attorneys’ fees, relating to alleged violations of California labor laws relating to meal periods, rest periods, reporting time pay, unpaid wages, timely pay upon termination and wage statements violations.</w:t>
      </w:r>
    </w:p>
    <w:p>
      <w:pPr>
        <w:spacing w:after="0" w:line="119" w:lineRule="exact"/>
        <w:rPr>
          <w:sz w:val="20"/>
          <w:szCs w:val="20"/>
          <w:color w:val="auto"/>
        </w:rPr>
      </w:pPr>
    </w:p>
    <w:p>
      <w:pPr>
        <w:spacing w:after="0" w:line="235" w:lineRule="auto"/>
        <w:rPr>
          <w:sz w:val="20"/>
          <w:szCs w:val="20"/>
          <w:color w:val="auto"/>
        </w:rPr>
      </w:pPr>
      <w:r>
        <w:rPr>
          <w:rFonts w:ascii="Arial" w:cs="Arial" w:eastAsia="Arial" w:hAnsi="Arial"/>
          <w:sz w:val="14"/>
          <w:szCs w:val="14"/>
          <w:color w:val="auto"/>
        </w:rPr>
        <w:t>On July 13, 2021, following a mediation, the parties agreed to settle the claims set forth in the remaining lawsuits (specifically, the Brown Class Action Complaint, the Wagner PAGA Claim and the Wagner Class Action Complaint) for the Company’s payment of $4.0 million (the “Settlement Amount”). The settlement is contingent upon the execution and delivery of a final settlement agreement (which is currently being negotiated) and final court approval. The Settlement Amount is to be paid in two installments, one-half within 30 days of final court approval and the balance nine-months thereafter. A court hearing on the settlement is not expected until the second quarter of this year. We have accrued the Settlement Amount in cinema segment administrative expense.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Distributors Limited v. Reading Wellington Properties Arbitration</w:t>
      </w:r>
    </w:p>
    <w:p>
      <w:pPr>
        <w:spacing w:after="0" w:line="143"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On June 18, 2021, General Distributors Limited (“GDL”), an owner and operator of supermarkets in New Zealand, filed an arbitration statement of claim (the “Statement of Claim”) in Auckland, New Zealand, against our wholly owned subsidiary, Reading Wellington Properties, Limited (“RWPL”), relating to the enforceability of an Agreement to Lease (the “ATL”) entered into between the parties in February 2013, contemplating the construction by RWPL and the lease by GDL of a supermarket in Wellington, New Zealand on property owned by RWPL. The ATL contemplated that GDL would also obtain certain rights to use parking spaces in an adjacent 9 story parking structure owned by another of our wholly owned subsidiaries, Courtenay Carpark Limited (the “Parking Garage”). However, as a result of the Kaikōura earthquake on November 14, 2016, it was necessary to demolish the Parking Garage. It has not been rebuilt and there is currently no plan to rebuild it and neither RWPL nor Courtenay Carpark Limited have any legal right to rebuild it under presently existing laws controlling land use in Wellington. Accordingly, we believe that it became impossible to deliver the specific parking rights contemplated by the ATL and, given the materiality of these parking rights to the transaction contemplated by the ATL, that the ATL has been frustrated and is of no ongoing force and effect. GDL asserts a different view and is seeking a declaration that the ATL remains binding upon the parties and for specific performance by RWPL of the ATL.</w:t>
      </w:r>
    </w:p>
    <w:p>
      <w:pPr>
        <w:spacing w:after="0" w:line="123" w:lineRule="exact"/>
        <w:rPr>
          <w:sz w:val="20"/>
          <w:szCs w:val="20"/>
          <w:color w:val="auto"/>
        </w:rPr>
      </w:pPr>
    </w:p>
    <w:p>
      <w:pPr>
        <w:jc w:val="both"/>
        <w:ind w:right="40"/>
        <w:spacing w:after="0" w:line="261" w:lineRule="auto"/>
        <w:rPr>
          <w:sz w:val="20"/>
          <w:szCs w:val="20"/>
          <w:color w:val="auto"/>
        </w:rPr>
      </w:pPr>
      <w:r>
        <w:rPr>
          <w:rFonts w:ascii="Arial" w:cs="Arial" w:eastAsia="Arial" w:hAnsi="Arial"/>
          <w:sz w:val="13"/>
          <w:szCs w:val="13"/>
          <w:color w:val="auto"/>
        </w:rPr>
        <w:t>RWPL has filed a response contesting GDL’s claims, and raising various affirmative defenses, including frustration and a failure of the parties to reach any specifically enforceable agreement as to certain fundament construction and construction cost issues. No damages are being sought by GDL, other than costs, and no reserves for this matter have been established. RWPL is a limited liability company, its only asset being the parcel of unimproved land on which the supermarket was to be built. The first round of discovery is complete, and arbitration is currently slated for the 4th quarter of this year, if settlement is not reached. Under applicable New Zealand law, the arbitrator’s findings of fact are final, but asserted errors of law may be appealed to the court.</w:t>
      </w:r>
    </w:p>
    <w:p>
      <w:pPr>
        <w:spacing w:after="0" w:line="109"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In the interim, the parties have been, and are continuing to have, “without prejudice” discussions as to possible alternatives pursuant to which a grocery store of the type contemplated by the parties could be developed and leased to GDL.</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573"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u w:val="single" w:color="auto"/>
          <w:color w:val="auto"/>
        </w:rPr>
        <w:t>NOTE 14 – NON-CONTROLLING INTERESTS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2021, the non-controlling interests in our consolidated subsidiaries are comprised of the following:</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Australia Country Cinemas Pty Ltd. – 25% non-controlling interest owned by Panorama Group International Pty.;</w:t>
      </w:r>
    </w:p>
    <w:p>
      <w:pPr>
        <w:spacing w:after="0" w:line="67" w:lineRule="exact"/>
        <w:rPr>
          <w:sz w:val="20"/>
          <w:szCs w:val="20"/>
          <w:color w:val="auto"/>
        </w:rPr>
      </w:pPr>
    </w:p>
    <w:p>
      <w:pPr>
        <w:ind w:left="520" w:right="160"/>
        <w:spacing w:after="0" w:line="274" w:lineRule="auto"/>
        <w:rPr>
          <w:sz w:val="20"/>
          <w:szCs w:val="20"/>
          <w:color w:val="auto"/>
        </w:rPr>
      </w:pPr>
      <w:r>
        <w:rPr>
          <w:rFonts w:ascii="Arial" w:cs="Arial" w:eastAsia="Arial" w:hAnsi="Arial"/>
          <w:sz w:val="14"/>
          <w:szCs w:val="14"/>
          <w:color w:val="auto"/>
        </w:rPr>
        <w:t>Shadow View Land and Farming, LLC – 50% non-controlling membership interest owned by either the estate of Mr. James J. Cotter, Sr. (the “Cotter Estate”) or the James J. Cotter Sr. Living Trust (the “Cotter Trust”); and,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Sutton Hill Properties, LLC – 25% non-controlling interest owned by Sutton Hill Capital, LLC (which in turn is 50% owned by the Cotter Estate and/or the Cotter Trust).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non-controlling interest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2"/>
                <w:szCs w:val="12"/>
                <w:b w:val="1"/>
                <w:bCs w:val="1"/>
                <w:color w:val="auto"/>
              </w:rPr>
              <w:t>December 31,</w:t>
            </w:r>
          </w:p>
        </w:tc>
        <w:tc>
          <w:tcPr>
            <w:tcW w:w="960" w:type="dxa"/>
            <w:vAlign w:val="bottom"/>
            <w:tcBorders>
              <w:bottom w:val="single" w:sz="8" w:color="auto"/>
            </w:tcBorders>
          </w:tcPr>
          <w:p>
            <w:pPr>
              <w:spacing w:after="0"/>
              <w:rPr>
                <w:sz w:val="12"/>
                <w:szCs w:val="12"/>
                <w:color w:val="auto"/>
              </w:rPr>
            </w:pPr>
          </w:p>
        </w:tc>
      </w:tr>
      <w:tr>
        <w:trPr>
          <w:trHeight w:val="132"/>
        </w:trPr>
        <w:tc>
          <w:tcPr>
            <w:tcW w:w="6660" w:type="dxa"/>
            <w:vAlign w:val="bottom"/>
            <w:tcBorders>
              <w:bottom w:val="single" w:sz="8" w:color="auto"/>
            </w:tcBorders>
          </w:tcPr>
          <w:p>
            <w:pPr>
              <w:spacing w:after="0" w:line="130" w:lineRule="exact"/>
              <w:rPr>
                <w:sz w:val="20"/>
                <w:szCs w:val="20"/>
                <w:color w:val="auto"/>
              </w:rPr>
            </w:pPr>
            <w:r>
              <w:rPr>
                <w:rFonts w:ascii="Arial" w:cs="Arial" w:eastAsia="Arial" w:hAnsi="Arial"/>
                <w:sz w:val="12"/>
                <w:szCs w:val="12"/>
                <w:i w:val="1"/>
                <w:iCs w:val="1"/>
                <w:color w:val="auto"/>
              </w:rPr>
              <w:t>(Dollars in thousands)</w:t>
            </w: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12"/>
              <w:spacing w:after="0" w:line="130" w:lineRule="exact"/>
              <w:rPr>
                <w:sz w:val="20"/>
                <w:szCs w:val="20"/>
                <w:color w:val="auto"/>
              </w:rPr>
            </w:pPr>
            <w:r>
              <w:rPr>
                <w:rFonts w:ascii="Arial" w:cs="Arial" w:eastAsia="Arial" w:hAnsi="Arial"/>
                <w:sz w:val="12"/>
                <w:szCs w:val="12"/>
                <w:b w:val="1"/>
                <w:bCs w:val="1"/>
                <w:color w:val="auto"/>
              </w:rPr>
              <w:t>2021</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11"/>
              <w:spacing w:after="0" w:line="130" w:lineRule="exact"/>
              <w:rPr>
                <w:sz w:val="20"/>
                <w:szCs w:val="20"/>
                <w:color w:val="auto"/>
              </w:rPr>
            </w:pPr>
            <w:r>
              <w:rPr>
                <w:rFonts w:ascii="Arial" w:cs="Arial" w:eastAsia="Arial" w:hAnsi="Arial"/>
                <w:sz w:val="12"/>
                <w:szCs w:val="12"/>
                <w:b w:val="1"/>
                <w:bCs w:val="1"/>
                <w:color w:val="auto"/>
              </w:rPr>
              <w:t>2020</w:t>
            </w:r>
          </w:p>
        </w:tc>
      </w:tr>
      <w:tr>
        <w:trPr>
          <w:trHeight w:val="184"/>
        </w:trPr>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Australian Country Cinemas, Pty Ltd</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580" w:type="dxa"/>
            <w:vAlign w:val="bottom"/>
            <w:gridSpan w:val="3"/>
            <w:shd w:val="clear" w:color="auto" w:fill="CCEEFF"/>
          </w:tcPr>
          <w:p>
            <w:pPr>
              <w:jc w:val="right"/>
              <w:ind w:right="334"/>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195"/>
        </w:trPr>
        <w:tc>
          <w:tcPr>
            <w:tcW w:w="6660" w:type="dxa"/>
            <w:vAlign w:val="bottom"/>
          </w:tcPr>
          <w:p>
            <w:pPr>
              <w:spacing w:after="0"/>
              <w:rPr>
                <w:sz w:val="20"/>
                <w:szCs w:val="20"/>
                <w:color w:val="auto"/>
              </w:rPr>
            </w:pPr>
            <w:r>
              <w:rPr>
                <w:rFonts w:ascii="Arial" w:cs="Arial" w:eastAsia="Arial" w:hAnsi="Arial"/>
                <w:sz w:val="14"/>
                <w:szCs w:val="14"/>
                <w:color w:val="auto"/>
              </w:rPr>
              <w:t>Shadow View Land and Farming, LLC</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2,131</w:t>
            </w:r>
          </w:p>
        </w:tc>
      </w:tr>
      <w:tr>
        <w:trPr>
          <w:trHeight w:val="195"/>
        </w:trPr>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Sutton Hill Properties, LLC</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1,324</w:t>
            </w:r>
          </w:p>
        </w:tc>
      </w:tr>
      <w:tr>
        <w:trPr>
          <w:trHeight w:val="166"/>
        </w:trPr>
        <w:tc>
          <w:tcPr>
            <w:tcW w:w="6660" w:type="dxa"/>
            <w:vAlign w:val="bottom"/>
          </w:tcPr>
          <w:p>
            <w:pPr>
              <w:spacing w:after="0"/>
              <w:rPr>
                <w:sz w:val="20"/>
                <w:szCs w:val="20"/>
                <w:color w:val="auto"/>
              </w:rPr>
            </w:pPr>
            <w:r>
              <w:rPr>
                <w:rFonts w:ascii="Arial" w:cs="Arial" w:eastAsia="Arial" w:hAnsi="Arial"/>
                <w:sz w:val="14"/>
                <w:szCs w:val="14"/>
                <w:b w:val="1"/>
                <w:bCs w:val="1"/>
                <w:color w:val="auto"/>
              </w:rPr>
              <w:t>Non-controlling interests in consolidated subsidiaries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jc w:val="right"/>
              <w:ind w:right="334"/>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3,404</w:t>
            </w:r>
          </w:p>
        </w:tc>
      </w:tr>
      <w:tr>
        <w:trPr>
          <w:trHeight w:val="313"/>
        </w:trPr>
        <w:tc>
          <w:tcPr>
            <w:tcW w:w="6660" w:type="dxa"/>
            <w:vAlign w:val="bottom"/>
          </w:tcPr>
          <w:p>
            <w:pPr>
              <w:spacing w:after="0"/>
              <w:rPr>
                <w:sz w:val="20"/>
                <w:szCs w:val="20"/>
                <w:color w:val="auto"/>
              </w:rPr>
            </w:pPr>
            <w:r>
              <w:rPr>
                <w:rFonts w:ascii="Arial" w:cs="Arial" w:eastAsia="Arial" w:hAnsi="Arial"/>
                <w:sz w:val="14"/>
                <w:szCs w:val="14"/>
                <w:color w:val="auto"/>
              </w:rPr>
              <w:t>The components of income/(loss) attributable to non-controlling interests are as follows:</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6"/>
        </w:trPr>
        <w:tc>
          <w:tcPr>
            <w:tcW w:w="66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11"/>
              <w:spacing w:after="0"/>
              <w:rPr>
                <w:sz w:val="20"/>
                <w:szCs w:val="20"/>
                <w:color w:val="auto"/>
              </w:rPr>
            </w:pPr>
            <w:r>
              <w:rPr>
                <w:rFonts w:ascii="Arial" w:cs="Arial" w:eastAsia="Arial" w:hAnsi="Arial"/>
                <w:sz w:val="12"/>
                <w:szCs w:val="12"/>
                <w:b w:val="1"/>
                <w:bCs w:val="1"/>
                <w:color w:val="auto"/>
              </w:rPr>
              <w:t>2021</w:t>
            </w: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2"/>
                <w:szCs w:val="12"/>
                <w:b w:val="1"/>
                <w:bCs w:val="1"/>
                <w:color w:val="auto"/>
              </w:rPr>
              <w:t>2019</w:t>
            </w:r>
          </w:p>
        </w:tc>
      </w:tr>
      <w:tr>
        <w:trPr>
          <w:trHeight w:val="152"/>
        </w:trPr>
        <w:tc>
          <w:tcPr>
            <w:tcW w:w="666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Australian Country Cinemas, Pty Ltd</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68"/>
              <w:spacing w:after="0" w:line="152"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111</w:t>
            </w:r>
          </w:p>
        </w:tc>
        <w:tc>
          <w:tcPr>
            <w:tcW w:w="1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(158)</w:t>
            </w:r>
          </w:p>
        </w:tc>
        <w:tc>
          <w:tcPr>
            <w:tcW w:w="180" w:type="dxa"/>
            <w:vAlign w:val="bottom"/>
            <w:gridSpan w:val="2"/>
            <w:shd w:val="clear" w:color="auto" w:fill="CCEEFF"/>
          </w:tcPr>
          <w:p>
            <w:pPr>
              <w:spacing w:after="0"/>
              <w:rPr>
                <w:sz w:val="13"/>
                <w:szCs w:val="13"/>
                <w:color w:val="auto"/>
              </w:rPr>
            </w:pPr>
          </w:p>
        </w:tc>
        <w:tc>
          <w:tcPr>
            <w:tcW w:w="400" w:type="dxa"/>
            <w:vAlign w:val="bottom"/>
            <w:shd w:val="clear" w:color="auto" w:fill="CCEEFF"/>
          </w:tcPr>
          <w:p>
            <w:pPr>
              <w:jc w:val="right"/>
              <w:ind w:right="334"/>
              <w:spacing w:after="0"/>
              <w:rPr>
                <w:sz w:val="20"/>
                <w:szCs w:val="20"/>
                <w:color w:val="auto"/>
              </w:rPr>
            </w:pPr>
            <w:r>
              <w:rPr>
                <w:rFonts w:ascii="Arial" w:cs="Arial" w:eastAsia="Arial" w:hAnsi="Arial"/>
                <w:sz w:val="5"/>
                <w:szCs w:val="5"/>
                <w:color w:val="auto"/>
                <w:w w:val="70"/>
              </w:rPr>
              <w:t>$</w:t>
            </w:r>
          </w:p>
        </w:tc>
        <w:tc>
          <w:tcPr>
            <w:tcW w:w="9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117</w:t>
            </w:r>
          </w:p>
        </w:tc>
      </w:tr>
      <w:tr>
        <w:trPr>
          <w:trHeight w:val="152"/>
        </w:trPr>
        <w:tc>
          <w:tcPr>
            <w:tcW w:w="6660" w:type="dxa"/>
            <w:vAlign w:val="bottom"/>
          </w:tcPr>
          <w:p>
            <w:pPr>
              <w:spacing w:after="0" w:line="152" w:lineRule="exact"/>
              <w:rPr>
                <w:sz w:val="20"/>
                <w:szCs w:val="20"/>
                <w:color w:val="auto"/>
              </w:rPr>
            </w:pPr>
            <w:r>
              <w:rPr>
                <w:rFonts w:ascii="Arial" w:cs="Arial" w:eastAsia="Arial" w:hAnsi="Arial"/>
                <w:sz w:val="14"/>
                <w:szCs w:val="14"/>
                <w:color w:val="auto"/>
              </w:rPr>
              <w:t>Shadow View Land and Farming, LLC</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3,163</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(69)</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line="152" w:lineRule="exact"/>
              <w:rPr>
                <w:sz w:val="20"/>
                <w:szCs w:val="20"/>
                <w:color w:val="auto"/>
              </w:rPr>
            </w:pPr>
            <w:r>
              <w:rPr>
                <w:rFonts w:ascii="Arial" w:cs="Arial" w:eastAsia="Arial" w:hAnsi="Arial"/>
                <w:sz w:val="14"/>
                <w:szCs w:val="14"/>
                <w:color w:val="auto"/>
              </w:rPr>
              <w:t>(99)</w:t>
            </w:r>
          </w:p>
        </w:tc>
      </w:tr>
      <w:tr>
        <w:trPr>
          <w:trHeight w:val="152"/>
        </w:trPr>
        <w:tc>
          <w:tcPr>
            <w:tcW w:w="666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Sutton Hill Properties, LLC</w:t>
            </w: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(381)</w:t>
            </w:r>
          </w:p>
        </w:tc>
        <w:tc>
          <w:tcPr>
            <w:tcW w:w="1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(430)</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(92)</w:t>
            </w:r>
          </w:p>
        </w:tc>
      </w:tr>
      <w:tr>
        <w:trPr>
          <w:trHeight w:val="144"/>
        </w:trPr>
        <w:tc>
          <w:tcPr>
            <w:tcW w:w="6660" w:type="dxa"/>
            <w:vAlign w:val="bottom"/>
          </w:tcPr>
          <w:p>
            <w:pPr>
              <w:spacing w:after="0" w:line="143" w:lineRule="exact"/>
              <w:rPr>
                <w:sz w:val="20"/>
                <w:szCs w:val="20"/>
                <w:color w:val="auto"/>
              </w:rPr>
            </w:pPr>
            <w:r>
              <w:rPr>
                <w:rFonts w:ascii="Arial" w:cs="Arial" w:eastAsia="Arial" w:hAnsi="Arial"/>
                <w:sz w:val="14"/>
                <w:szCs w:val="14"/>
                <w:b w:val="1"/>
                <w:bCs w:val="1"/>
                <w:color w:val="auto"/>
              </w:rPr>
              <w:t>Net income (loss) attributable to non-controlling interests in consolidated subsidiaries</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168"/>
              <w:spacing w:after="0" w:line="143"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2,893</w:t>
            </w:r>
          </w:p>
        </w:tc>
        <w:tc>
          <w:tcPr>
            <w:tcW w:w="160" w:type="dxa"/>
            <w:vAlign w:val="bottom"/>
          </w:tcPr>
          <w:p>
            <w:pPr>
              <w:spacing w:after="0"/>
              <w:rPr>
                <w:sz w:val="12"/>
                <w:szCs w:val="12"/>
                <w:color w:val="auto"/>
              </w:rPr>
            </w:pPr>
          </w:p>
        </w:tc>
        <w:tc>
          <w:tcPr>
            <w:tcW w:w="320" w:type="dxa"/>
            <w:vAlign w:val="bottom"/>
            <w:tcBorders>
              <w:bottom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(657)</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4"/>
              <w:spacing w:after="0"/>
              <w:rPr>
                <w:sz w:val="20"/>
                <w:szCs w:val="20"/>
                <w:color w:val="auto"/>
              </w:rPr>
            </w:pPr>
            <w:r>
              <w:rPr>
                <w:rFonts w:ascii="Arial" w:cs="Arial" w:eastAsia="Arial" w:hAnsi="Arial"/>
                <w:sz w:val="5"/>
                <w:szCs w:val="5"/>
                <w:b w:val="1"/>
                <w:bCs w:val="1"/>
                <w:color w:val="auto"/>
                <w:w w:val="70"/>
              </w:rPr>
              <w:t>$</w:t>
            </w:r>
          </w:p>
        </w:tc>
        <w:tc>
          <w:tcPr>
            <w:tcW w:w="9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(74)</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Shadow View Land and Farming, LLC</w:t>
      </w:r>
    </w:p>
    <w:p>
      <w:pPr>
        <w:spacing w:after="0" w:line="143"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 xml:space="preserve">On March 5, 2021, Shadow View Land and Farming, LLC, sold its only asset, being certain land holdings in Coachella, California, for $11.0 million and is currently in the process of winding up and liquidating. See </w:t>
      </w:r>
      <w:r>
        <w:rPr>
          <w:rFonts w:ascii="Arial" w:cs="Arial" w:eastAsia="Arial" w:hAnsi="Arial"/>
          <w:sz w:val="14"/>
          <w:szCs w:val="14"/>
          <w:i w:val="1"/>
          <w:iCs w:val="1"/>
          <w:color w:val="auto"/>
        </w:rPr>
        <w:t>Note 5 Real Estate Transactions.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15 – SHARE-BASED COMPENSATION AND SHARE REPURCHASE PLANS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2010 Stock Incentive Plan</w:t>
      </w:r>
    </w:p>
    <w:p>
      <w:pPr>
        <w:spacing w:after="0" w:line="143" w:lineRule="exact"/>
        <w:rPr>
          <w:sz w:val="20"/>
          <w:szCs w:val="20"/>
          <w:color w:val="auto"/>
        </w:rPr>
      </w:pPr>
    </w:p>
    <w:p>
      <w:pPr>
        <w:ind w:right="380"/>
        <w:spacing w:after="0" w:line="242" w:lineRule="auto"/>
        <w:rPr>
          <w:sz w:val="20"/>
          <w:szCs w:val="20"/>
          <w:color w:val="auto"/>
        </w:rPr>
      </w:pPr>
      <w:r>
        <w:rPr>
          <w:rFonts w:ascii="Arial" w:cs="Arial" w:eastAsia="Arial" w:hAnsi="Arial"/>
          <w:sz w:val="14"/>
          <w:szCs w:val="14"/>
          <w:color w:val="auto"/>
        </w:rPr>
        <w:t>Our 2010 Stock Incentive Plan (as amended, the “2010 Plan”) under which our Company has granted stock options and other share-based payment awards of our Common Stock to eligible employees, directors, and consultants has expired. In total, 1,505,598 shares of Class A Common Stock were issued or reserved for issuance pursuant to the previously granted options or restricted stock units under that plan.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2020 Stock Incentive Plan</w:t>
      </w:r>
    </w:p>
    <w:p>
      <w:pPr>
        <w:spacing w:after="0" w:line="143" w:lineRule="exact"/>
        <w:rPr>
          <w:sz w:val="20"/>
          <w:szCs w:val="20"/>
          <w:color w:val="auto"/>
        </w:rPr>
      </w:pPr>
    </w:p>
    <w:p>
      <w:pPr>
        <w:ind w:right="40"/>
        <w:spacing w:after="0" w:line="254" w:lineRule="auto"/>
        <w:rPr>
          <w:sz w:val="20"/>
          <w:szCs w:val="20"/>
          <w:color w:val="auto"/>
        </w:rPr>
      </w:pPr>
      <w:r>
        <w:rPr>
          <w:rFonts w:ascii="Arial" w:cs="Arial" w:eastAsia="Arial" w:hAnsi="Arial"/>
          <w:sz w:val="13"/>
          <w:szCs w:val="13"/>
          <w:color w:val="auto"/>
        </w:rPr>
        <w:t>On November 4, 2020, the Company enacted the 2020 Stock Incentive Plan, which was also approved by the Company’s stockholders on December 8, 2020 (the “2020 Plan”). Under the 2020 Plan, the Company may grant stock options and other share-based payment awards of our Class A Common Stock to eligible employees, directors and consultants. The aggregate total number of shares of Class A Common Stock authorized for issuance under the 2020 Plan at December 31, 2020 was 1,250,000, of which 735,738 remain available for future issuance, and 200,000 shares of Class B stock. In addition, if any awards that were outstanding under the 2010 Plan are subsequently forfeited or if the related shares are repurchased, a corresponding number of shares will automatically become available for issuance under the 2020 Plan, thus resulting in a potential increase in the number of shares available for issuance under the 2020 Plan. At December 31, 2021, this potential increase in the number of shares eligible for issuance under the 2020 Plan was 183,692 of Class A Common Stock.</w:t>
      </w:r>
    </w:p>
    <w:p>
      <w:pPr>
        <w:spacing w:after="0" w:line="113" w:lineRule="exact"/>
        <w:rPr>
          <w:sz w:val="20"/>
          <w:szCs w:val="20"/>
          <w:color w:val="auto"/>
        </w:rPr>
      </w:pPr>
    </w:p>
    <w:p>
      <w:pPr>
        <w:ind w:right="160"/>
        <w:spacing w:after="0" w:line="229" w:lineRule="auto"/>
        <w:rPr>
          <w:sz w:val="20"/>
          <w:szCs w:val="20"/>
          <w:color w:val="auto"/>
        </w:rPr>
      </w:pPr>
      <w:r>
        <w:rPr>
          <w:rFonts w:ascii="Arial" w:cs="Arial" w:eastAsia="Arial" w:hAnsi="Arial"/>
          <w:sz w:val="14"/>
          <w:szCs w:val="14"/>
          <w:color w:val="auto"/>
        </w:rPr>
        <w:t>Stock options are granted at exercise prices equal to the grant-date market prices and typically expire no later than five years from the grant date. In contrast to a stock option where the grantee buys our Company’s share at an exercise price determined on the grant date, a restricted stock unit (“RSU”) entitles the grantee to receive one share for every RSU based on a vesting plan, typically between one year and four years from grant. Beginning in 2020, a performance component has been added to certain of the RSUs granted to management, which vests on the third anniversary of their grant date based on the achievement of certain performance metrics. At the time the options are exercised or RSUs vest and are settled, at the discretion of management, we will issue treasury shares or make a new issuance of shares to the option or RSU holder.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18"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auto"/>
        </w:rPr>
        <w:t>Stock Options</w:t>
      </w:r>
    </w:p>
    <w:p>
      <w:pPr>
        <w:spacing w:after="0" w:line="143" w:lineRule="exact"/>
        <w:rPr>
          <w:sz w:val="20"/>
          <w:szCs w:val="20"/>
          <w:color w:val="auto"/>
        </w:rPr>
      </w:pPr>
    </w:p>
    <w:p>
      <w:pPr>
        <w:jc w:val="both"/>
        <w:ind w:right="180"/>
        <w:spacing w:after="0" w:line="237" w:lineRule="auto"/>
        <w:rPr>
          <w:sz w:val="20"/>
          <w:szCs w:val="20"/>
          <w:color w:val="auto"/>
        </w:rPr>
      </w:pPr>
      <w:r>
        <w:rPr>
          <w:rFonts w:ascii="Arial" w:cs="Arial" w:eastAsia="Arial" w:hAnsi="Arial"/>
          <w:sz w:val="14"/>
          <w:szCs w:val="14"/>
          <w:color w:val="auto"/>
        </w:rPr>
        <w:t>We have estimated the grant-date fair value of our stock options using the Black-Scholes option-valuation model, which takes into account assumptions such as the dividend yield, the risk-free interest rate, the expected stock price volatility, and the expected life of the options. We expensed the estimated grant-date fair values of options over the vesting period on a straight-line basis. Based on our historical experience, the “deemed exercise” of expiring in-the-money options and the relative market price to strike price of the options, we have not estimated any forfeitures of vested or unvested options.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No stock options were issued in the year ended December 31, 2021.</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The weighted average assumptions used in the option-valuation model for the years 2021, 2020 and 2019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240" w:type="dxa"/>
            <w:vAlign w:val="bottom"/>
          </w:tcPr>
          <w:p>
            <w:pPr>
              <w:spacing w:after="0"/>
              <w:rPr>
                <w:sz w:val="12"/>
                <w:szCs w:val="12"/>
                <w:color w:val="auto"/>
              </w:rPr>
            </w:pPr>
          </w:p>
        </w:tc>
        <w:tc>
          <w:tcPr>
            <w:tcW w:w="3460" w:type="dxa"/>
            <w:vAlign w:val="bottom"/>
            <w:gridSpan w:val="2"/>
          </w:tcPr>
          <w:p>
            <w:pPr>
              <w:jc w:val="right"/>
              <w:ind w:right="8"/>
              <w:spacing w:after="0"/>
              <w:rPr>
                <w:sz w:val="20"/>
                <w:szCs w:val="20"/>
                <w:color w:val="auto"/>
              </w:rPr>
            </w:pPr>
            <w:r>
              <w:rPr>
                <w:rFonts w:ascii="Arial" w:cs="Arial" w:eastAsia="Arial" w:hAnsi="Arial"/>
                <w:sz w:val="12"/>
                <w:szCs w:val="12"/>
                <w:b w:val="1"/>
                <w:bCs w:val="1"/>
                <w:color w:val="auto"/>
              </w:rPr>
              <w:t>2021</w:t>
            </w:r>
          </w:p>
        </w:tc>
        <w:tc>
          <w:tcPr>
            <w:tcW w:w="50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2020</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510"/>
              <w:spacing w:after="0"/>
              <w:rPr>
                <w:sz w:val="20"/>
                <w:szCs w:val="20"/>
                <w:color w:val="auto"/>
              </w:rPr>
            </w:pPr>
            <w:r>
              <w:rPr>
                <w:rFonts w:ascii="Arial" w:cs="Arial" w:eastAsia="Arial" w:hAnsi="Arial"/>
                <w:sz w:val="12"/>
                <w:szCs w:val="12"/>
                <w:b w:val="1"/>
                <w:bCs w:val="1"/>
                <w:color w:val="auto"/>
              </w:rPr>
              <w:t>2019</w:t>
            </w:r>
          </w:p>
        </w:tc>
      </w:tr>
      <w:tr>
        <w:trPr>
          <w:trHeight w:val="152"/>
        </w:trPr>
        <w:tc>
          <w:tcPr>
            <w:tcW w:w="424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4"/>
                <w:szCs w:val="14"/>
                <w:color w:val="auto"/>
              </w:rPr>
              <w:t>Stock option exercise price</w:t>
            </w:r>
          </w:p>
        </w:tc>
        <w:tc>
          <w:tcPr>
            <w:tcW w:w="25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ind w:right="728"/>
              <w:spacing w:after="0" w:line="15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ind w:right="72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4.66</w:t>
            </w:r>
          </w:p>
        </w:tc>
        <w:tc>
          <w:tcPr>
            <w:tcW w:w="1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16.12</w:t>
            </w:r>
          </w:p>
        </w:tc>
      </w:tr>
      <w:tr>
        <w:trPr>
          <w:trHeight w:val="152"/>
        </w:trPr>
        <w:tc>
          <w:tcPr>
            <w:tcW w:w="4240" w:type="dxa"/>
            <w:vAlign w:val="bottom"/>
          </w:tcPr>
          <w:p>
            <w:pPr>
              <w:spacing w:after="0" w:line="152" w:lineRule="exact"/>
              <w:rPr>
                <w:sz w:val="20"/>
                <w:szCs w:val="20"/>
                <w:color w:val="auto"/>
              </w:rPr>
            </w:pPr>
            <w:r>
              <w:rPr>
                <w:rFonts w:ascii="Arial" w:cs="Arial" w:eastAsia="Arial" w:hAnsi="Arial"/>
                <w:sz w:val="14"/>
                <w:szCs w:val="14"/>
                <w:color w:val="auto"/>
              </w:rPr>
              <w:t>Risk-free interest rate</w:t>
            </w:r>
          </w:p>
        </w:tc>
        <w:tc>
          <w:tcPr>
            <w:tcW w:w="2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jc w:val="right"/>
              <w:spacing w:after="0" w:line="152" w:lineRule="exact"/>
              <w:rPr>
                <w:sz w:val="20"/>
                <w:szCs w:val="20"/>
                <w:color w:val="auto"/>
              </w:rPr>
            </w:pPr>
            <w:r>
              <w:rPr>
                <w:rFonts w:ascii="Arial" w:cs="Arial" w:eastAsia="Arial" w:hAnsi="Arial"/>
                <w:sz w:val="14"/>
                <w:szCs w:val="14"/>
                <w:color w:val="auto"/>
              </w:rPr>
              <w:t>0.00%</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Arial" w:cs="Arial" w:eastAsia="Arial" w:hAnsi="Arial"/>
                <w:sz w:val="14"/>
                <w:szCs w:val="14"/>
                <w:color w:val="auto"/>
              </w:rPr>
              <w:t>0.25%</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2.42%</w:t>
            </w:r>
          </w:p>
        </w:tc>
      </w:tr>
      <w:tr>
        <w:trPr>
          <w:trHeight w:val="152"/>
        </w:trPr>
        <w:tc>
          <w:tcPr>
            <w:tcW w:w="424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Expected dividend yield</w:t>
            </w:r>
          </w:p>
        </w:tc>
        <w:tc>
          <w:tcPr>
            <w:tcW w:w="25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r>
      <w:tr>
        <w:trPr>
          <w:trHeight w:val="152"/>
        </w:trPr>
        <w:tc>
          <w:tcPr>
            <w:tcW w:w="4240" w:type="dxa"/>
            <w:vAlign w:val="bottom"/>
          </w:tcPr>
          <w:p>
            <w:pPr>
              <w:spacing w:after="0" w:line="152" w:lineRule="exact"/>
              <w:rPr>
                <w:sz w:val="20"/>
                <w:szCs w:val="20"/>
                <w:color w:val="auto"/>
              </w:rPr>
            </w:pPr>
            <w:r>
              <w:rPr>
                <w:rFonts w:ascii="Arial" w:cs="Arial" w:eastAsia="Arial" w:hAnsi="Arial"/>
                <w:sz w:val="14"/>
                <w:szCs w:val="14"/>
                <w:color w:val="auto"/>
              </w:rPr>
              <w:t>Expected option life in years</w:t>
            </w:r>
          </w:p>
        </w:tc>
        <w:tc>
          <w:tcPr>
            <w:tcW w:w="2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Arial" w:cs="Arial" w:eastAsia="Arial" w:hAnsi="Arial"/>
                <w:sz w:val="14"/>
                <w:szCs w:val="14"/>
                <w:color w:val="auto"/>
              </w:rPr>
              <w:t>3.75</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3.75</w:t>
            </w:r>
          </w:p>
        </w:tc>
      </w:tr>
      <w:tr>
        <w:trPr>
          <w:trHeight w:val="152"/>
        </w:trPr>
        <w:tc>
          <w:tcPr>
            <w:tcW w:w="424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Expected volatility</w:t>
            </w:r>
          </w:p>
        </w:tc>
        <w:tc>
          <w:tcPr>
            <w:tcW w:w="25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0.00%</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w w:val="96"/>
              </w:rPr>
              <w:t>51.83%</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23.32%</w:t>
            </w:r>
          </w:p>
        </w:tc>
      </w:tr>
      <w:tr>
        <w:trPr>
          <w:trHeight w:val="183"/>
        </w:trPr>
        <w:tc>
          <w:tcPr>
            <w:tcW w:w="4240" w:type="dxa"/>
            <w:vAlign w:val="bottom"/>
          </w:tcPr>
          <w:p>
            <w:pPr>
              <w:spacing w:after="0"/>
              <w:rPr>
                <w:sz w:val="20"/>
                <w:szCs w:val="20"/>
                <w:color w:val="auto"/>
              </w:rPr>
            </w:pPr>
            <w:r>
              <w:rPr>
                <w:rFonts w:ascii="Arial" w:cs="Arial" w:eastAsia="Arial" w:hAnsi="Arial"/>
                <w:sz w:val="14"/>
                <w:szCs w:val="14"/>
                <w:color w:val="auto"/>
              </w:rPr>
              <w:t>Weighted average fair value</w:t>
            </w:r>
          </w:p>
        </w:tc>
        <w:tc>
          <w:tcPr>
            <w:tcW w:w="346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1.80</w:t>
            </w:r>
          </w:p>
        </w:tc>
        <w:tc>
          <w:tcPr>
            <w:tcW w:w="4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3.50</w:t>
            </w:r>
          </w:p>
        </w:tc>
      </w:tr>
    </w:tbl>
    <w:p>
      <w:pPr>
        <w:spacing w:after="0" w:line="99" w:lineRule="exact"/>
        <w:rPr>
          <w:sz w:val="20"/>
          <w:szCs w:val="20"/>
          <w:color w:val="auto"/>
        </w:rPr>
      </w:pPr>
    </w:p>
    <w:p>
      <w:pPr>
        <w:ind w:right="120"/>
        <w:spacing w:after="0" w:line="242" w:lineRule="auto"/>
        <w:rPr>
          <w:sz w:val="20"/>
          <w:szCs w:val="20"/>
          <w:color w:val="auto"/>
        </w:rPr>
      </w:pPr>
      <w:r>
        <w:rPr>
          <w:rFonts w:ascii="Arial" w:cs="Arial" w:eastAsia="Arial" w:hAnsi="Arial"/>
          <w:sz w:val="14"/>
          <w:szCs w:val="14"/>
          <w:color w:val="auto"/>
        </w:rPr>
        <w:t>We recorded stock-based compensation expense of $402,000, $460,000, and $458,000 for 2021, 2020, and 2019, respectively. At December 31, 2021, the total unrecognized estimated compensation cost related to non-vested stock options was $248,000 which is expected to be recognized over a weighted average vesting period of 1.14 years. No cash was received from option exercises in 2021 or 2020. Cash consideration received from option exercises during 2019 totaled $906,000 .</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summary of the status of RDI’s outstanding stock options for the three years ended December 31, 2021: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3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660" w:type="dxa"/>
            <w:vAlign w:val="bottom"/>
            <w:tcBorders>
              <w:bottom w:val="single" w:sz="8" w:color="auto"/>
            </w:tcBorders>
            <w:gridSpan w:val="7"/>
          </w:tcPr>
          <w:p>
            <w:pPr>
              <w:ind w:left="760"/>
              <w:spacing w:after="0"/>
              <w:rPr>
                <w:sz w:val="20"/>
                <w:szCs w:val="20"/>
                <w:color w:val="auto"/>
              </w:rPr>
            </w:pPr>
            <w:r>
              <w:rPr>
                <w:rFonts w:ascii="Arial" w:cs="Arial" w:eastAsia="Arial" w:hAnsi="Arial"/>
                <w:sz w:val="12"/>
                <w:szCs w:val="12"/>
                <w:b w:val="1"/>
                <w:bCs w:val="1"/>
                <w:color w:val="auto"/>
              </w:rPr>
              <w:t>Outstanding Stock Options</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02"/>
        </w:trPr>
        <w:tc>
          <w:tcPr>
            <w:tcW w:w="3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jc w:val="center"/>
              <w:ind w:left="324"/>
              <w:spacing w:after="0" w:line="102" w:lineRule="exact"/>
              <w:rPr>
                <w:sz w:val="20"/>
                <w:szCs w:val="20"/>
                <w:color w:val="auto"/>
              </w:rPr>
            </w:pPr>
            <w:r>
              <w:rPr>
                <w:rFonts w:ascii="Arial" w:cs="Arial" w:eastAsia="Arial" w:hAnsi="Arial"/>
                <w:sz w:val="10"/>
                <w:szCs w:val="10"/>
                <w:b w:val="1"/>
                <w:bCs w:val="1"/>
                <w:color w:val="auto"/>
              </w:rPr>
              <w:t>Weighted Average</w:t>
            </w: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jc w:val="center"/>
              <w:ind w:right="114"/>
              <w:spacing w:after="0" w:line="102" w:lineRule="exact"/>
              <w:rPr>
                <w:sz w:val="20"/>
                <w:szCs w:val="20"/>
                <w:color w:val="auto"/>
              </w:rPr>
            </w:pPr>
            <w:r>
              <w:rPr>
                <w:rFonts w:ascii="Arial" w:cs="Arial" w:eastAsia="Arial" w:hAnsi="Arial"/>
                <w:sz w:val="10"/>
                <w:szCs w:val="10"/>
                <w:b w:val="1"/>
                <w:bCs w:val="1"/>
                <w:color w:val="auto"/>
              </w:rPr>
              <w:t>Aggregate</w:t>
            </w:r>
          </w:p>
        </w:tc>
        <w:tc>
          <w:tcPr>
            <w:tcW w:w="20" w:type="dxa"/>
            <w:vAlign w:val="bottom"/>
          </w:tcPr>
          <w:p>
            <w:pPr>
              <w:spacing w:after="0"/>
              <w:rPr>
                <w:sz w:val="8"/>
                <w:szCs w:val="8"/>
                <w:color w:val="auto"/>
              </w:rPr>
            </w:pPr>
          </w:p>
        </w:tc>
      </w:tr>
      <w:tr>
        <w:trPr>
          <w:trHeight w:val="119"/>
        </w:trPr>
        <w:tc>
          <w:tcPr>
            <w:tcW w:w="3380" w:type="dxa"/>
            <w:vAlign w:val="bottom"/>
          </w:tcPr>
          <w:p>
            <w:pPr>
              <w:spacing w:after="0"/>
              <w:rPr>
                <w:sz w:val="10"/>
                <w:szCs w:val="10"/>
                <w:color w:val="auto"/>
              </w:rPr>
            </w:pPr>
          </w:p>
        </w:tc>
        <w:tc>
          <w:tcPr>
            <w:tcW w:w="1380" w:type="dxa"/>
            <w:vAlign w:val="bottom"/>
            <w:gridSpan w:val="3"/>
          </w:tcPr>
          <w:p>
            <w:pPr>
              <w:jc w:val="center"/>
              <w:ind w:left="670"/>
              <w:spacing w:after="0" w:line="120" w:lineRule="exact"/>
              <w:rPr>
                <w:sz w:val="20"/>
                <w:szCs w:val="20"/>
                <w:color w:val="auto"/>
              </w:rPr>
            </w:pPr>
            <w:r>
              <w:rPr>
                <w:rFonts w:ascii="Arial" w:cs="Arial" w:eastAsia="Arial" w:hAnsi="Arial"/>
                <w:sz w:val="12"/>
                <w:szCs w:val="12"/>
                <w:b w:val="1"/>
                <w:bCs w:val="1"/>
                <w:color w:val="auto"/>
                <w:w w:val="86"/>
              </w:rPr>
              <w:t>Number of</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60" w:type="dxa"/>
            <w:vAlign w:val="bottom"/>
            <w:gridSpan w:val="4"/>
          </w:tcPr>
          <w:p>
            <w:pPr>
              <w:jc w:val="right"/>
              <w:ind w:right="351"/>
              <w:spacing w:after="0" w:line="120" w:lineRule="exact"/>
              <w:rPr>
                <w:sz w:val="20"/>
                <w:szCs w:val="20"/>
                <w:color w:val="auto"/>
              </w:rPr>
            </w:pPr>
            <w:r>
              <w:rPr>
                <w:rFonts w:ascii="Arial" w:cs="Arial" w:eastAsia="Arial" w:hAnsi="Arial"/>
                <w:sz w:val="12"/>
                <w:szCs w:val="12"/>
                <w:b w:val="1"/>
                <w:bCs w:val="1"/>
                <w:color w:val="auto"/>
              </w:rPr>
              <w:t>Weighted Average</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jc w:val="center"/>
              <w:ind w:left="304"/>
              <w:spacing w:after="0" w:line="120" w:lineRule="exact"/>
              <w:rPr>
                <w:sz w:val="20"/>
                <w:szCs w:val="20"/>
                <w:color w:val="auto"/>
              </w:rPr>
            </w:pPr>
            <w:r>
              <w:rPr>
                <w:rFonts w:ascii="Arial" w:cs="Arial" w:eastAsia="Arial" w:hAnsi="Arial"/>
                <w:sz w:val="12"/>
                <w:szCs w:val="12"/>
                <w:b w:val="1"/>
                <w:bCs w:val="1"/>
                <w:color w:val="auto"/>
                <w:w w:val="85"/>
              </w:rPr>
              <w:t>Remaining Years of</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w w:val="89"/>
              </w:rPr>
              <w:t>Intrinsic</w:t>
            </w:r>
          </w:p>
        </w:tc>
      </w:tr>
      <w:tr>
        <w:trPr>
          <w:trHeight w:val="138"/>
        </w:trPr>
        <w:tc>
          <w:tcPr>
            <w:tcW w:w="3380" w:type="dxa"/>
            <w:vAlign w:val="bottom"/>
          </w:tcPr>
          <w:p>
            <w:pPr>
              <w:spacing w:after="0"/>
              <w:rPr>
                <w:sz w:val="12"/>
                <w:szCs w:val="12"/>
                <w:color w:val="auto"/>
              </w:rPr>
            </w:pPr>
          </w:p>
        </w:tc>
        <w:tc>
          <w:tcPr>
            <w:tcW w:w="1380" w:type="dxa"/>
            <w:vAlign w:val="bottom"/>
            <w:gridSpan w:val="3"/>
          </w:tcPr>
          <w:p>
            <w:pPr>
              <w:jc w:val="center"/>
              <w:ind w:left="670"/>
              <w:spacing w:after="0" w:line="137" w:lineRule="exact"/>
              <w:rPr>
                <w:sz w:val="20"/>
                <w:szCs w:val="20"/>
                <w:color w:val="auto"/>
              </w:rPr>
            </w:pPr>
            <w:r>
              <w:rPr>
                <w:rFonts w:ascii="Arial" w:cs="Arial" w:eastAsia="Arial" w:hAnsi="Arial"/>
                <w:sz w:val="12"/>
                <w:szCs w:val="12"/>
                <w:b w:val="1"/>
                <w:bCs w:val="1"/>
                <w:color w:val="auto"/>
                <w:w w:val="88"/>
              </w:rPr>
              <w:t>Options</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4"/>
          </w:tcPr>
          <w:p>
            <w:pPr>
              <w:jc w:val="right"/>
              <w:ind w:right="451"/>
              <w:spacing w:after="0" w:line="137" w:lineRule="exact"/>
              <w:rPr>
                <w:sz w:val="20"/>
                <w:szCs w:val="20"/>
                <w:color w:val="auto"/>
              </w:rPr>
            </w:pPr>
            <w:r>
              <w:rPr>
                <w:rFonts w:ascii="Arial" w:cs="Arial" w:eastAsia="Arial" w:hAnsi="Arial"/>
                <w:sz w:val="12"/>
                <w:szCs w:val="12"/>
                <w:b w:val="1"/>
                <w:bCs w:val="1"/>
                <w:color w:val="auto"/>
              </w:rPr>
              <w:t>Exercise Price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center"/>
              <w:ind w:left="324"/>
              <w:spacing w:after="0" w:line="137" w:lineRule="exact"/>
              <w:rPr>
                <w:sz w:val="20"/>
                <w:szCs w:val="20"/>
                <w:color w:val="auto"/>
              </w:rPr>
            </w:pPr>
            <w:r>
              <w:rPr>
                <w:rFonts w:ascii="Arial" w:cs="Arial" w:eastAsia="Arial" w:hAnsi="Arial"/>
                <w:sz w:val="12"/>
                <w:szCs w:val="12"/>
                <w:b w:val="1"/>
                <w:bCs w:val="1"/>
                <w:color w:val="auto"/>
                <w:w w:val="89"/>
              </w:rPr>
              <w:t>Contractual Life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20"/>
              <w:spacing w:after="0" w:line="137" w:lineRule="exact"/>
              <w:rPr>
                <w:sz w:val="20"/>
                <w:szCs w:val="20"/>
                <w:color w:val="auto"/>
              </w:rPr>
            </w:pPr>
            <w:r>
              <w:rPr>
                <w:rFonts w:ascii="Arial" w:cs="Arial" w:eastAsia="Arial" w:hAnsi="Arial"/>
                <w:sz w:val="12"/>
                <w:szCs w:val="12"/>
                <w:b w:val="1"/>
                <w:bCs w:val="1"/>
                <w:color w:val="auto"/>
                <w:w w:val="87"/>
              </w:rPr>
              <w:t>Value</w:t>
            </w:r>
          </w:p>
        </w:tc>
      </w:tr>
      <w:tr>
        <w:trPr>
          <w:trHeight w:val="121"/>
        </w:trPr>
        <w:tc>
          <w:tcPr>
            <w:tcW w:w="3380" w:type="dxa"/>
            <w:vAlign w:val="bottom"/>
          </w:tcPr>
          <w:p>
            <w:pPr>
              <w:spacing w:after="0"/>
              <w:rPr>
                <w:sz w:val="10"/>
                <w:szCs w:val="10"/>
                <w:color w:val="auto"/>
              </w:rPr>
            </w:pPr>
          </w:p>
        </w:tc>
        <w:tc>
          <w:tcPr>
            <w:tcW w:w="1380" w:type="dxa"/>
            <w:vAlign w:val="bottom"/>
            <w:tcBorders>
              <w:top w:val="single" w:sz="8" w:color="auto"/>
            </w:tcBorders>
            <w:gridSpan w:val="3"/>
          </w:tcPr>
          <w:p>
            <w:pPr>
              <w:ind w:left="300"/>
              <w:spacing w:after="0" w:line="120" w:lineRule="exact"/>
              <w:rPr>
                <w:sz w:val="20"/>
                <w:szCs w:val="20"/>
                <w:color w:val="auto"/>
              </w:rPr>
            </w:pPr>
            <w:r>
              <w:rPr>
                <w:rFonts w:ascii="Arial" w:cs="Arial" w:eastAsia="Arial" w:hAnsi="Arial"/>
                <w:sz w:val="12"/>
                <w:szCs w:val="12"/>
                <w:b w:val="1"/>
                <w:bCs w:val="1"/>
                <w:color w:val="auto"/>
              </w:rPr>
              <w:t>Class A</w:t>
            </w:r>
          </w:p>
        </w:tc>
        <w:tc>
          <w:tcPr>
            <w:tcW w:w="480" w:type="dxa"/>
            <w:vAlign w:val="bottom"/>
            <w:tcBorders>
              <w:top w:val="single" w:sz="8" w:color="auto"/>
            </w:tcBorders>
          </w:tcPr>
          <w:p>
            <w:pPr>
              <w:ind w:left="60"/>
              <w:spacing w:after="0" w:line="120" w:lineRule="exact"/>
              <w:rPr>
                <w:sz w:val="20"/>
                <w:szCs w:val="20"/>
                <w:color w:val="auto"/>
              </w:rPr>
            </w:pPr>
            <w:r>
              <w:rPr>
                <w:rFonts w:ascii="Arial" w:cs="Arial" w:eastAsia="Arial" w:hAnsi="Arial"/>
                <w:sz w:val="12"/>
                <w:szCs w:val="12"/>
                <w:b w:val="1"/>
                <w:bCs w:val="1"/>
                <w:color w:val="auto"/>
                <w:w w:val="90"/>
              </w:rPr>
              <w:t>Class B</w:t>
            </w:r>
          </w:p>
        </w:tc>
        <w:tc>
          <w:tcPr>
            <w:tcW w:w="2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420"/>
              <w:spacing w:after="0" w:line="120" w:lineRule="exact"/>
              <w:rPr>
                <w:sz w:val="20"/>
                <w:szCs w:val="20"/>
                <w:color w:val="auto"/>
              </w:rPr>
            </w:pPr>
            <w:r>
              <w:rPr>
                <w:rFonts w:ascii="Arial" w:cs="Arial" w:eastAsia="Arial" w:hAnsi="Arial"/>
                <w:sz w:val="12"/>
                <w:szCs w:val="12"/>
                <w:b w:val="1"/>
                <w:bCs w:val="1"/>
                <w:color w:val="auto"/>
                <w:w w:val="99"/>
              </w:rPr>
              <w:t>Class A</w:t>
            </w: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1"/>
              <w:spacing w:after="0" w:line="120" w:lineRule="exact"/>
              <w:rPr>
                <w:sz w:val="20"/>
                <w:szCs w:val="20"/>
                <w:color w:val="auto"/>
              </w:rPr>
            </w:pPr>
            <w:r>
              <w:rPr>
                <w:rFonts w:ascii="Arial" w:cs="Arial" w:eastAsia="Arial" w:hAnsi="Arial"/>
                <w:sz w:val="12"/>
                <w:szCs w:val="12"/>
                <w:b w:val="1"/>
                <w:bCs w:val="1"/>
                <w:color w:val="auto"/>
              </w:rPr>
              <w:t>Class B</w:t>
            </w:r>
          </w:p>
        </w:tc>
        <w:tc>
          <w:tcPr>
            <w:tcW w:w="2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Borders>
              <w:top w:val="single" w:sz="8" w:color="auto"/>
            </w:tcBorders>
          </w:tcPr>
          <w:p>
            <w:pPr>
              <w:jc w:val="center"/>
              <w:ind w:left="324"/>
              <w:spacing w:after="0" w:line="120" w:lineRule="exact"/>
              <w:rPr>
                <w:sz w:val="20"/>
                <w:szCs w:val="20"/>
                <w:color w:val="auto"/>
              </w:rPr>
            </w:pPr>
            <w:r>
              <w:rPr>
                <w:rFonts w:ascii="Arial" w:cs="Arial" w:eastAsia="Arial" w:hAnsi="Arial"/>
                <w:sz w:val="12"/>
                <w:szCs w:val="12"/>
                <w:b w:val="1"/>
                <w:bCs w:val="1"/>
                <w:color w:val="auto"/>
                <w:w w:val="87"/>
              </w:rPr>
              <w:t>Class A&amp;B</w:t>
            </w:r>
          </w:p>
        </w:tc>
        <w:tc>
          <w:tcPr>
            <w:tcW w:w="3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114"/>
              <w:spacing w:after="0" w:line="120" w:lineRule="exact"/>
              <w:rPr>
                <w:sz w:val="20"/>
                <w:szCs w:val="20"/>
                <w:color w:val="auto"/>
              </w:rPr>
            </w:pPr>
            <w:r>
              <w:rPr>
                <w:rFonts w:ascii="Arial" w:cs="Arial" w:eastAsia="Arial" w:hAnsi="Arial"/>
                <w:sz w:val="12"/>
                <w:szCs w:val="12"/>
                <w:b w:val="1"/>
                <w:bCs w:val="1"/>
                <w:color w:val="auto"/>
                <w:w w:val="87"/>
              </w:rPr>
              <w:t>Class A&amp;B</w:t>
            </w:r>
          </w:p>
        </w:tc>
        <w:tc>
          <w:tcPr>
            <w:tcW w:w="20" w:type="dxa"/>
            <w:vAlign w:val="bottom"/>
          </w:tcPr>
          <w:p>
            <w:pPr>
              <w:spacing w:after="0"/>
              <w:rPr>
                <w:sz w:val="10"/>
                <w:szCs w:val="10"/>
                <w:color w:val="auto"/>
              </w:rPr>
            </w:pPr>
          </w:p>
        </w:tc>
      </w:tr>
      <w:tr>
        <w:trPr>
          <w:trHeight w:val="152"/>
        </w:trPr>
        <w:tc>
          <w:tcPr>
            <w:tcW w:w="338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Outstanding - January 1, 2019</w:t>
            </w:r>
          </w:p>
        </w:tc>
        <w:tc>
          <w:tcPr>
            <w:tcW w:w="98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586,469</w:t>
            </w: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ind w:left="60"/>
              <w:spacing w:after="0" w:line="152" w:lineRule="exact"/>
              <w:rPr>
                <w:sz w:val="20"/>
                <w:szCs w:val="20"/>
                <w:color w:val="auto"/>
              </w:rPr>
            </w:pPr>
            <w:r>
              <w:rPr>
                <w:rFonts w:ascii="Arial" w:cs="Arial" w:eastAsia="Arial" w:hAnsi="Arial"/>
                <w:sz w:val="14"/>
                <w:szCs w:val="14"/>
                <w:color w:val="auto"/>
                <w:w w:val="99"/>
              </w:rPr>
              <w:t>—</w:t>
            </w:r>
          </w:p>
        </w:tc>
        <w:tc>
          <w:tcPr>
            <w:tcW w:w="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14.01</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ind w:right="651"/>
              <w:spacing w:after="0" w:line="152"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ind w:left="60"/>
              <w:spacing w:after="0" w:line="15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2.88</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line="15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1,530,528</w:t>
            </w:r>
          </w:p>
        </w:tc>
        <w:tc>
          <w:tcPr>
            <w:tcW w:w="20" w:type="dxa"/>
            <w:vAlign w:val="bottom"/>
          </w:tcPr>
          <w:p>
            <w:pPr>
              <w:spacing w:after="0"/>
              <w:rPr>
                <w:sz w:val="13"/>
                <w:szCs w:val="13"/>
                <w:color w:val="auto"/>
              </w:rPr>
            </w:pPr>
          </w:p>
        </w:tc>
      </w:tr>
      <w:tr>
        <w:trPr>
          <w:trHeight w:val="152"/>
        </w:trPr>
        <w:tc>
          <w:tcPr>
            <w:tcW w:w="3380" w:type="dxa"/>
            <w:vAlign w:val="bottom"/>
          </w:tcPr>
          <w:p>
            <w:pPr>
              <w:ind w:left="180"/>
              <w:spacing w:after="0" w:line="152" w:lineRule="exact"/>
              <w:rPr>
                <w:sz w:val="20"/>
                <w:szCs w:val="20"/>
                <w:color w:val="auto"/>
              </w:rPr>
            </w:pPr>
            <w:r>
              <w:rPr>
                <w:rFonts w:ascii="Arial" w:cs="Arial" w:eastAsia="Arial" w:hAnsi="Arial"/>
                <w:sz w:val="14"/>
                <w:szCs w:val="14"/>
                <w:color w:val="auto"/>
              </w:rPr>
              <w:t>Granted</w:t>
            </w:r>
          </w:p>
        </w:tc>
        <w:tc>
          <w:tcPr>
            <w:tcW w:w="980" w:type="dxa"/>
            <w:vAlign w:val="bottom"/>
          </w:tcPr>
          <w:p>
            <w:pPr>
              <w:jc w:val="right"/>
              <w:spacing w:after="0" w:line="152" w:lineRule="exact"/>
              <w:rPr>
                <w:sz w:val="20"/>
                <w:szCs w:val="20"/>
                <w:color w:val="auto"/>
              </w:rPr>
            </w:pPr>
            <w:r>
              <w:rPr>
                <w:rFonts w:ascii="Arial" w:cs="Arial" w:eastAsia="Arial" w:hAnsi="Arial"/>
                <w:sz w:val="14"/>
                <w:szCs w:val="14"/>
                <w:color w:val="auto"/>
              </w:rPr>
              <w:t>219,408</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ind w:left="60"/>
              <w:spacing w:after="0" w:line="152"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line="152" w:lineRule="exact"/>
              <w:rPr>
                <w:sz w:val="20"/>
                <w:szCs w:val="20"/>
                <w:color w:val="auto"/>
              </w:rPr>
            </w:pPr>
            <w:r>
              <w:rPr>
                <w:rFonts w:ascii="Arial" w:cs="Arial" w:eastAsia="Arial" w:hAnsi="Arial"/>
                <w:sz w:val="14"/>
                <w:szCs w:val="14"/>
                <w:color w:val="auto"/>
              </w:rPr>
              <w:t>16.12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00" w:type="dxa"/>
            <w:vAlign w:val="bottom"/>
            <w:gridSpan w:val="3"/>
          </w:tcPr>
          <w:p>
            <w:pPr>
              <w:ind w:left="60"/>
              <w:spacing w:after="0" w:line="152"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3380" w:type="dxa"/>
            <w:vAlign w:val="bottom"/>
            <w:shd w:val="clear" w:color="auto" w:fill="CCEEFF"/>
          </w:tcPr>
          <w:p>
            <w:pPr>
              <w:ind w:left="180"/>
              <w:spacing w:after="0" w:line="152" w:lineRule="exact"/>
              <w:rPr>
                <w:sz w:val="20"/>
                <w:szCs w:val="20"/>
                <w:color w:val="auto"/>
              </w:rPr>
            </w:pPr>
            <w:r>
              <w:rPr>
                <w:rFonts w:ascii="Arial" w:cs="Arial" w:eastAsia="Arial" w:hAnsi="Arial"/>
                <w:sz w:val="14"/>
                <w:szCs w:val="14"/>
                <w:color w:val="auto"/>
              </w:rPr>
              <w:t>Exercised</w:t>
            </w:r>
          </w:p>
        </w:tc>
        <w:tc>
          <w:tcPr>
            <w:tcW w:w="1140" w:type="dxa"/>
            <w:vAlign w:val="bottom"/>
            <w:gridSpan w:val="2"/>
            <w:shd w:val="clear" w:color="auto" w:fill="CCEEFF"/>
          </w:tcPr>
          <w:p>
            <w:pPr>
              <w:jc w:val="right"/>
              <w:ind w:right="160"/>
              <w:spacing w:after="0" w:line="152" w:lineRule="exact"/>
              <w:rPr>
                <w:sz w:val="20"/>
                <w:szCs w:val="20"/>
                <w:color w:val="auto"/>
              </w:rPr>
            </w:pPr>
            <w:r>
              <w:rPr>
                <w:rFonts w:ascii="Arial" w:cs="Arial" w:eastAsia="Arial" w:hAnsi="Arial"/>
                <w:sz w:val="14"/>
                <w:szCs w:val="14"/>
                <w:color w:val="auto"/>
              </w:rPr>
              <w:t>(69,500)</w:t>
            </w: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ind w:left="60"/>
              <w:spacing w:after="0" w:line="152"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13.42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900" w:type="dxa"/>
            <w:vAlign w:val="bottom"/>
            <w:gridSpan w:val="3"/>
            <w:shd w:val="clear" w:color="auto" w:fill="CCEEFF"/>
          </w:tcPr>
          <w:p>
            <w:pPr>
              <w:ind w:left="60"/>
              <w:spacing w:after="0" w:line="15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185,175</w:t>
            </w:r>
          </w:p>
        </w:tc>
        <w:tc>
          <w:tcPr>
            <w:tcW w:w="20" w:type="dxa"/>
            <w:vAlign w:val="bottom"/>
          </w:tcPr>
          <w:p>
            <w:pPr>
              <w:spacing w:after="0"/>
              <w:rPr>
                <w:sz w:val="13"/>
                <w:szCs w:val="13"/>
                <w:color w:val="auto"/>
              </w:rPr>
            </w:pPr>
          </w:p>
        </w:tc>
      </w:tr>
      <w:tr>
        <w:trPr>
          <w:trHeight w:val="152"/>
        </w:trPr>
        <w:tc>
          <w:tcPr>
            <w:tcW w:w="3380" w:type="dxa"/>
            <w:vAlign w:val="bottom"/>
          </w:tcPr>
          <w:p>
            <w:pPr>
              <w:ind w:left="180"/>
              <w:spacing w:after="0" w:line="152" w:lineRule="exact"/>
              <w:rPr>
                <w:sz w:val="20"/>
                <w:szCs w:val="20"/>
                <w:color w:val="auto"/>
              </w:rPr>
            </w:pPr>
            <w:r>
              <w:rPr>
                <w:rFonts w:ascii="Arial" w:cs="Arial" w:eastAsia="Arial" w:hAnsi="Arial"/>
                <w:sz w:val="14"/>
                <w:szCs w:val="14"/>
                <w:color w:val="auto"/>
              </w:rPr>
              <w:t>Expired</w:t>
            </w:r>
          </w:p>
        </w:tc>
        <w:tc>
          <w:tcPr>
            <w:tcW w:w="1140" w:type="dxa"/>
            <w:vAlign w:val="bottom"/>
            <w:gridSpan w:val="2"/>
          </w:tcPr>
          <w:p>
            <w:pPr>
              <w:jc w:val="right"/>
              <w:ind w:right="160"/>
              <w:spacing w:after="0" w:line="152" w:lineRule="exact"/>
              <w:rPr>
                <w:sz w:val="20"/>
                <w:szCs w:val="20"/>
                <w:color w:val="auto"/>
              </w:rPr>
            </w:pPr>
            <w:r>
              <w:rPr>
                <w:rFonts w:ascii="Arial" w:cs="Arial" w:eastAsia="Arial" w:hAnsi="Arial"/>
                <w:sz w:val="14"/>
                <w:szCs w:val="14"/>
                <w:color w:val="auto"/>
              </w:rPr>
              <w:t>(25,000)</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ind w:left="60"/>
              <w:spacing w:after="0" w:line="152"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line="152" w:lineRule="exact"/>
              <w:rPr>
                <w:sz w:val="20"/>
                <w:szCs w:val="20"/>
                <w:color w:val="auto"/>
              </w:rPr>
            </w:pPr>
            <w:r>
              <w:rPr>
                <w:rFonts w:ascii="Arial" w:cs="Arial" w:eastAsia="Arial" w:hAnsi="Arial"/>
                <w:sz w:val="14"/>
                <w:szCs w:val="14"/>
                <w:color w:val="auto"/>
              </w:rPr>
              <w:t>13.42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00" w:type="dxa"/>
            <w:vAlign w:val="bottom"/>
            <w:gridSpan w:val="3"/>
          </w:tcPr>
          <w:p>
            <w:pPr>
              <w:ind w:left="60"/>
              <w:spacing w:after="0" w:line="152"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3"/>
        </w:trPr>
        <w:tc>
          <w:tcPr>
            <w:tcW w:w="338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Outstanding - December 31, 2019</w:t>
            </w:r>
          </w:p>
        </w:tc>
        <w:tc>
          <w:tcPr>
            <w:tcW w:w="9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711,377</w:t>
            </w: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ind w:left="60"/>
              <w:spacing w:after="0" w:line="143" w:lineRule="exact"/>
              <w:rPr>
                <w:sz w:val="20"/>
                <w:szCs w:val="20"/>
                <w:color w:val="auto"/>
              </w:rPr>
            </w:pPr>
            <w:r>
              <w:rPr>
                <w:rFonts w:ascii="Arial" w:cs="Arial" w:eastAsia="Arial" w:hAnsi="Arial"/>
                <w:sz w:val="14"/>
                <w:szCs w:val="14"/>
                <w:color w:val="auto"/>
                <w:w w:val="99"/>
              </w:rPr>
              <w:t>—</w:t>
            </w: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14.74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ind w:right="651"/>
              <w:spacing w:after="0" w:line="143"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ind w:left="60"/>
              <w:spacing w:after="0" w:line="143" w:lineRule="exact"/>
              <w:rPr>
                <w:sz w:val="20"/>
                <w:szCs w:val="20"/>
                <w:color w:val="auto"/>
              </w:rPr>
            </w:pPr>
            <w:r>
              <w:rPr>
                <w:rFonts w:ascii="Arial" w:cs="Arial" w:eastAsia="Arial" w:hAnsi="Arial"/>
                <w:sz w:val="14"/>
                <w:szCs w:val="14"/>
                <w:color w:val="auto"/>
              </w:rPr>
              <w:t>—</w:t>
            </w:r>
          </w:p>
        </w:tc>
        <w:tc>
          <w:tcPr>
            <w:tcW w:w="1640" w:type="dxa"/>
            <w:vAlign w:val="bottom"/>
            <w:tcBorders>
              <w:top w:val="single" w:sz="8" w:color="CCEEFF"/>
            </w:tcBorders>
            <w:gridSpan w:val="2"/>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2.79</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136,350</w:t>
            </w:r>
          </w:p>
        </w:tc>
        <w:tc>
          <w:tcPr>
            <w:tcW w:w="20" w:type="dxa"/>
            <w:vAlign w:val="bottom"/>
          </w:tcPr>
          <w:p>
            <w:pPr>
              <w:spacing w:after="0"/>
              <w:rPr>
                <w:sz w:val="12"/>
                <w:szCs w:val="12"/>
                <w:color w:val="auto"/>
              </w:rPr>
            </w:pPr>
          </w:p>
        </w:tc>
      </w:tr>
      <w:tr>
        <w:trPr>
          <w:trHeight w:val="152"/>
        </w:trPr>
        <w:tc>
          <w:tcPr>
            <w:tcW w:w="3380" w:type="dxa"/>
            <w:vAlign w:val="bottom"/>
          </w:tcPr>
          <w:p>
            <w:pPr>
              <w:ind w:left="180"/>
              <w:spacing w:after="0" w:line="152" w:lineRule="exact"/>
              <w:rPr>
                <w:sz w:val="20"/>
                <w:szCs w:val="20"/>
                <w:color w:val="auto"/>
              </w:rPr>
            </w:pPr>
            <w:r>
              <w:rPr>
                <w:rFonts w:ascii="Arial" w:cs="Arial" w:eastAsia="Arial" w:hAnsi="Arial"/>
                <w:sz w:val="14"/>
                <w:szCs w:val="14"/>
                <w:color w:val="auto"/>
              </w:rPr>
              <w:t>Granted</w:t>
            </w:r>
          </w:p>
        </w:tc>
        <w:tc>
          <w:tcPr>
            <w:tcW w:w="980" w:type="dxa"/>
            <w:vAlign w:val="bottom"/>
          </w:tcPr>
          <w:p>
            <w:pPr>
              <w:jc w:val="right"/>
              <w:spacing w:after="0" w:line="152" w:lineRule="exact"/>
              <w:rPr>
                <w:sz w:val="20"/>
                <w:szCs w:val="20"/>
                <w:color w:val="auto"/>
              </w:rPr>
            </w:pPr>
            <w:r>
              <w:rPr>
                <w:rFonts w:ascii="Arial" w:cs="Arial" w:eastAsia="Arial" w:hAnsi="Arial"/>
                <w:sz w:val="14"/>
                <w:szCs w:val="14"/>
                <w:color w:val="auto"/>
              </w:rPr>
              <w:t>38,803</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ind w:left="60"/>
              <w:spacing w:after="0" w:line="152"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line="152" w:lineRule="exact"/>
              <w:rPr>
                <w:sz w:val="20"/>
                <w:szCs w:val="20"/>
                <w:color w:val="auto"/>
              </w:rPr>
            </w:pPr>
            <w:r>
              <w:rPr>
                <w:rFonts w:ascii="Arial" w:cs="Arial" w:eastAsia="Arial" w:hAnsi="Arial"/>
                <w:sz w:val="14"/>
                <w:szCs w:val="14"/>
                <w:color w:val="auto"/>
              </w:rPr>
              <w:t>4.66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00" w:type="dxa"/>
            <w:vAlign w:val="bottom"/>
            <w:gridSpan w:val="3"/>
          </w:tcPr>
          <w:p>
            <w:pPr>
              <w:ind w:left="60"/>
              <w:spacing w:after="0" w:line="152"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3380" w:type="dxa"/>
            <w:vAlign w:val="bottom"/>
            <w:shd w:val="clear" w:color="auto" w:fill="CCEEFF"/>
          </w:tcPr>
          <w:p>
            <w:pPr>
              <w:ind w:left="180"/>
              <w:spacing w:after="0" w:line="152" w:lineRule="exact"/>
              <w:rPr>
                <w:sz w:val="20"/>
                <w:szCs w:val="20"/>
                <w:color w:val="auto"/>
              </w:rPr>
            </w:pPr>
            <w:r>
              <w:rPr>
                <w:rFonts w:ascii="Arial" w:cs="Arial" w:eastAsia="Arial" w:hAnsi="Arial"/>
                <w:sz w:val="14"/>
                <w:szCs w:val="14"/>
                <w:color w:val="auto"/>
              </w:rPr>
              <w:t>Exercised</w:t>
            </w:r>
          </w:p>
        </w:tc>
        <w:tc>
          <w:tcPr>
            <w:tcW w:w="1380" w:type="dxa"/>
            <w:vAlign w:val="bottom"/>
            <w:gridSpan w:val="3"/>
            <w:shd w:val="clear" w:color="auto" w:fill="CCEEFF"/>
          </w:tcPr>
          <w:p>
            <w:pPr>
              <w:jc w:val="right"/>
              <w:ind w:right="400"/>
              <w:spacing w:after="0" w:line="15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ind w:left="60"/>
              <w:spacing w:after="0" w:line="152"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line="15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900" w:type="dxa"/>
            <w:vAlign w:val="bottom"/>
            <w:gridSpan w:val="3"/>
            <w:shd w:val="clear" w:color="auto" w:fill="CCEEFF"/>
          </w:tcPr>
          <w:p>
            <w:pPr>
              <w:ind w:left="60"/>
              <w:spacing w:after="0" w:line="15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52"/>
        </w:trPr>
        <w:tc>
          <w:tcPr>
            <w:tcW w:w="3380" w:type="dxa"/>
            <w:vAlign w:val="bottom"/>
          </w:tcPr>
          <w:p>
            <w:pPr>
              <w:ind w:left="180"/>
              <w:spacing w:after="0" w:line="152" w:lineRule="exact"/>
              <w:rPr>
                <w:sz w:val="20"/>
                <w:szCs w:val="20"/>
                <w:color w:val="auto"/>
              </w:rPr>
            </w:pPr>
            <w:r>
              <w:rPr>
                <w:rFonts w:ascii="Arial" w:cs="Arial" w:eastAsia="Arial" w:hAnsi="Arial"/>
                <w:sz w:val="14"/>
                <w:szCs w:val="14"/>
                <w:color w:val="auto"/>
              </w:rPr>
              <w:t>Expired</w:t>
            </w:r>
          </w:p>
        </w:tc>
        <w:tc>
          <w:tcPr>
            <w:tcW w:w="1140" w:type="dxa"/>
            <w:vAlign w:val="bottom"/>
            <w:gridSpan w:val="2"/>
          </w:tcPr>
          <w:p>
            <w:pPr>
              <w:jc w:val="right"/>
              <w:ind w:right="160"/>
              <w:spacing w:after="0" w:line="152" w:lineRule="exact"/>
              <w:rPr>
                <w:sz w:val="20"/>
                <w:szCs w:val="20"/>
                <w:color w:val="auto"/>
              </w:rPr>
            </w:pPr>
            <w:r>
              <w:rPr>
                <w:rFonts w:ascii="Arial" w:cs="Arial" w:eastAsia="Arial" w:hAnsi="Arial"/>
                <w:sz w:val="14"/>
                <w:szCs w:val="14"/>
                <w:color w:val="auto"/>
              </w:rPr>
              <w:t>(36,701)</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ind w:left="60"/>
              <w:spacing w:after="0" w:line="152"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line="152" w:lineRule="exact"/>
              <w:rPr>
                <w:sz w:val="20"/>
                <w:szCs w:val="20"/>
                <w:color w:val="auto"/>
              </w:rPr>
            </w:pPr>
            <w:r>
              <w:rPr>
                <w:rFonts w:ascii="Arial" w:cs="Arial" w:eastAsia="Arial" w:hAnsi="Arial"/>
                <w:sz w:val="14"/>
                <w:szCs w:val="14"/>
                <w:color w:val="auto"/>
              </w:rPr>
              <w:t>14.74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00" w:type="dxa"/>
            <w:vAlign w:val="bottom"/>
            <w:gridSpan w:val="3"/>
          </w:tcPr>
          <w:p>
            <w:pPr>
              <w:ind w:left="60"/>
              <w:spacing w:after="0" w:line="152"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3"/>
        </w:trPr>
        <w:tc>
          <w:tcPr>
            <w:tcW w:w="338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Outstanding - December 31, 2020</w:t>
            </w:r>
          </w:p>
        </w:tc>
        <w:tc>
          <w:tcPr>
            <w:tcW w:w="9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713,479</w:t>
            </w: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ind w:left="60"/>
              <w:spacing w:after="0" w:line="143" w:lineRule="exact"/>
              <w:rPr>
                <w:sz w:val="20"/>
                <w:szCs w:val="20"/>
                <w:color w:val="auto"/>
              </w:rPr>
            </w:pPr>
            <w:r>
              <w:rPr>
                <w:rFonts w:ascii="Arial" w:cs="Arial" w:eastAsia="Arial" w:hAnsi="Arial"/>
                <w:sz w:val="14"/>
                <w:szCs w:val="14"/>
                <w:color w:val="auto"/>
                <w:w w:val="99"/>
              </w:rPr>
              <w:t>—</w:t>
            </w: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14.64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ind w:right="651"/>
              <w:spacing w:after="0" w:line="143"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ind w:left="60"/>
              <w:spacing w:after="0" w:line="143" w:lineRule="exact"/>
              <w:rPr>
                <w:sz w:val="20"/>
                <w:szCs w:val="20"/>
                <w:color w:val="auto"/>
              </w:rPr>
            </w:pPr>
            <w:r>
              <w:rPr>
                <w:rFonts w:ascii="Arial" w:cs="Arial" w:eastAsia="Arial" w:hAnsi="Arial"/>
                <w:sz w:val="14"/>
                <w:szCs w:val="14"/>
                <w:color w:val="auto"/>
              </w:rPr>
              <w:t>—</w:t>
            </w:r>
          </w:p>
        </w:tc>
        <w:tc>
          <w:tcPr>
            <w:tcW w:w="1640" w:type="dxa"/>
            <w:vAlign w:val="bottom"/>
            <w:tcBorders>
              <w:top w:val="single" w:sz="8" w:color="CCEEFF"/>
            </w:tcBorders>
            <w:gridSpan w:val="2"/>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2.18</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13,969</w:t>
            </w:r>
          </w:p>
        </w:tc>
        <w:tc>
          <w:tcPr>
            <w:tcW w:w="20" w:type="dxa"/>
            <w:vAlign w:val="bottom"/>
          </w:tcPr>
          <w:p>
            <w:pPr>
              <w:spacing w:after="0"/>
              <w:rPr>
                <w:sz w:val="12"/>
                <w:szCs w:val="12"/>
                <w:color w:val="auto"/>
              </w:rPr>
            </w:pPr>
          </w:p>
        </w:tc>
      </w:tr>
      <w:tr>
        <w:trPr>
          <w:trHeight w:val="152"/>
        </w:trPr>
        <w:tc>
          <w:tcPr>
            <w:tcW w:w="3380" w:type="dxa"/>
            <w:vAlign w:val="bottom"/>
          </w:tcPr>
          <w:p>
            <w:pPr>
              <w:ind w:left="180"/>
              <w:spacing w:after="0" w:line="152" w:lineRule="exact"/>
              <w:rPr>
                <w:sz w:val="20"/>
                <w:szCs w:val="20"/>
                <w:color w:val="auto"/>
              </w:rPr>
            </w:pPr>
            <w:r>
              <w:rPr>
                <w:rFonts w:ascii="Arial" w:cs="Arial" w:eastAsia="Arial" w:hAnsi="Arial"/>
                <w:sz w:val="14"/>
                <w:szCs w:val="14"/>
                <w:color w:val="auto"/>
              </w:rPr>
              <w:t>Granted</w:t>
            </w:r>
          </w:p>
        </w:tc>
        <w:tc>
          <w:tcPr>
            <w:tcW w:w="1380" w:type="dxa"/>
            <w:vAlign w:val="bottom"/>
            <w:gridSpan w:val="3"/>
          </w:tcPr>
          <w:p>
            <w:pPr>
              <w:jc w:val="right"/>
              <w:ind w:right="400"/>
              <w:spacing w:after="0" w:line="152"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220" w:type="dxa"/>
            <w:vAlign w:val="bottom"/>
          </w:tcPr>
          <w:p>
            <w:pPr>
              <w:ind w:left="60"/>
              <w:spacing w:after="0" w:line="152"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00" w:type="dxa"/>
            <w:vAlign w:val="bottom"/>
            <w:gridSpan w:val="3"/>
          </w:tcPr>
          <w:p>
            <w:pPr>
              <w:ind w:left="60"/>
              <w:spacing w:after="0" w:line="152"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3380" w:type="dxa"/>
            <w:vAlign w:val="bottom"/>
            <w:shd w:val="clear" w:color="auto" w:fill="CCEEFF"/>
          </w:tcPr>
          <w:p>
            <w:pPr>
              <w:ind w:left="180"/>
              <w:spacing w:after="0" w:line="152" w:lineRule="exact"/>
              <w:rPr>
                <w:sz w:val="20"/>
                <w:szCs w:val="20"/>
                <w:color w:val="auto"/>
              </w:rPr>
            </w:pPr>
            <w:r>
              <w:rPr>
                <w:rFonts w:ascii="Arial" w:cs="Arial" w:eastAsia="Arial" w:hAnsi="Arial"/>
                <w:sz w:val="14"/>
                <w:szCs w:val="14"/>
                <w:color w:val="auto"/>
              </w:rPr>
              <w:t>Exercised</w:t>
            </w:r>
          </w:p>
        </w:tc>
        <w:tc>
          <w:tcPr>
            <w:tcW w:w="1140" w:type="dxa"/>
            <w:vAlign w:val="bottom"/>
            <w:gridSpan w:val="2"/>
            <w:shd w:val="clear" w:color="auto" w:fill="CCEEFF"/>
          </w:tcPr>
          <w:p>
            <w:pPr>
              <w:jc w:val="right"/>
              <w:ind w:right="160"/>
              <w:spacing w:after="0" w:line="152" w:lineRule="exact"/>
              <w:rPr>
                <w:sz w:val="20"/>
                <w:szCs w:val="20"/>
                <w:color w:val="auto"/>
              </w:rPr>
            </w:pPr>
            <w:r>
              <w:rPr>
                <w:rFonts w:ascii="Arial" w:cs="Arial" w:eastAsia="Arial" w:hAnsi="Arial"/>
                <w:sz w:val="14"/>
                <w:szCs w:val="14"/>
                <w:color w:val="auto"/>
              </w:rPr>
              <w:t>(38,803)</w:t>
            </w: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ind w:left="60"/>
              <w:spacing w:after="0" w:line="152"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2" w:lineRule="exact"/>
              <w:rPr>
                <w:sz w:val="20"/>
                <w:szCs w:val="20"/>
                <w:color w:val="auto"/>
              </w:rPr>
            </w:pPr>
            <w:r>
              <w:rPr>
                <w:rFonts w:ascii="Arial" w:cs="Arial" w:eastAsia="Arial" w:hAnsi="Arial"/>
                <w:sz w:val="14"/>
                <w:szCs w:val="14"/>
                <w:color w:val="auto"/>
              </w:rPr>
              <w:t>4.66</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900" w:type="dxa"/>
            <w:vAlign w:val="bottom"/>
            <w:gridSpan w:val="3"/>
            <w:shd w:val="clear" w:color="auto" w:fill="CCEEFF"/>
          </w:tcPr>
          <w:p>
            <w:pPr>
              <w:ind w:left="60"/>
              <w:spacing w:after="0" w:line="15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63,831</w:t>
            </w:r>
          </w:p>
        </w:tc>
        <w:tc>
          <w:tcPr>
            <w:tcW w:w="20" w:type="dxa"/>
            <w:vAlign w:val="bottom"/>
          </w:tcPr>
          <w:p>
            <w:pPr>
              <w:spacing w:after="0"/>
              <w:rPr>
                <w:sz w:val="13"/>
                <w:szCs w:val="13"/>
                <w:color w:val="auto"/>
              </w:rPr>
            </w:pPr>
          </w:p>
        </w:tc>
      </w:tr>
      <w:tr>
        <w:trPr>
          <w:trHeight w:val="152"/>
        </w:trPr>
        <w:tc>
          <w:tcPr>
            <w:tcW w:w="3380" w:type="dxa"/>
            <w:vAlign w:val="bottom"/>
          </w:tcPr>
          <w:p>
            <w:pPr>
              <w:ind w:left="180"/>
              <w:spacing w:after="0" w:line="152" w:lineRule="exact"/>
              <w:rPr>
                <w:sz w:val="20"/>
                <w:szCs w:val="20"/>
                <w:color w:val="auto"/>
              </w:rPr>
            </w:pPr>
            <w:r>
              <w:rPr>
                <w:rFonts w:ascii="Arial" w:cs="Arial" w:eastAsia="Arial" w:hAnsi="Arial"/>
                <w:sz w:val="14"/>
                <w:szCs w:val="14"/>
                <w:color w:val="auto"/>
              </w:rPr>
              <w:t>Expired</w:t>
            </w:r>
          </w:p>
        </w:tc>
        <w:tc>
          <w:tcPr>
            <w:tcW w:w="1140" w:type="dxa"/>
            <w:vAlign w:val="bottom"/>
            <w:gridSpan w:val="2"/>
          </w:tcPr>
          <w:p>
            <w:pPr>
              <w:jc w:val="right"/>
              <w:ind w:right="160"/>
              <w:spacing w:after="0" w:line="152" w:lineRule="exact"/>
              <w:rPr>
                <w:sz w:val="20"/>
                <w:szCs w:val="20"/>
                <w:color w:val="auto"/>
              </w:rPr>
            </w:pPr>
            <w:r>
              <w:rPr>
                <w:rFonts w:ascii="Arial" w:cs="Arial" w:eastAsia="Arial" w:hAnsi="Arial"/>
                <w:sz w:val="14"/>
                <w:szCs w:val="14"/>
                <w:color w:val="auto"/>
              </w:rPr>
              <w:t>(157,332)</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ind w:left="60"/>
              <w:spacing w:after="0" w:line="152"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tcPr>
          <w:p>
            <w:pPr>
              <w:jc w:val="right"/>
              <w:ind w:right="80"/>
              <w:spacing w:after="0" w:line="152" w:lineRule="exact"/>
              <w:rPr>
                <w:sz w:val="20"/>
                <w:szCs w:val="20"/>
                <w:color w:val="auto"/>
              </w:rPr>
            </w:pPr>
            <w:r>
              <w:rPr>
                <w:rFonts w:ascii="Arial" w:cs="Arial" w:eastAsia="Arial" w:hAnsi="Arial"/>
                <w:sz w:val="14"/>
                <w:szCs w:val="14"/>
                <w:color w:val="auto"/>
              </w:rPr>
              <w:t>11.87</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00" w:type="dxa"/>
            <w:vAlign w:val="bottom"/>
            <w:gridSpan w:val="3"/>
          </w:tcPr>
          <w:p>
            <w:pPr>
              <w:ind w:left="60"/>
              <w:spacing w:after="0" w:line="152"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338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Outstanding - December 31, 2021</w:t>
            </w:r>
          </w:p>
        </w:tc>
        <w:tc>
          <w:tcPr>
            <w:tcW w:w="9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517,344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ind w:left="60"/>
              <w:spacing w:after="0" w:line="143" w:lineRule="exact"/>
              <w:rPr>
                <w:sz w:val="20"/>
                <w:szCs w:val="20"/>
                <w:color w:val="auto"/>
              </w:rPr>
            </w:pPr>
            <w:r>
              <w:rPr>
                <w:rFonts w:ascii="Arial" w:cs="Arial" w:eastAsia="Arial" w:hAnsi="Arial"/>
                <w:sz w:val="14"/>
                <w:szCs w:val="14"/>
                <w:color w:val="auto"/>
                <w:w w:val="99"/>
              </w:rPr>
              <w:t>—</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15.42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651"/>
              <w:spacing w:after="0" w:line="143"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ind w:left="120"/>
              <w:spacing w:after="0" w:line="143" w:lineRule="exact"/>
              <w:rPr>
                <w:sz w:val="20"/>
                <w:szCs w:val="20"/>
                <w:color w:val="auto"/>
              </w:rPr>
            </w:pPr>
            <w:r>
              <w:rPr>
                <w:rFonts w:ascii="Arial" w:cs="Arial" w:eastAsia="Arial" w:hAnsi="Arial"/>
                <w:sz w:val="14"/>
                <w:szCs w:val="14"/>
                <w:color w:val="auto"/>
                <w:w w:val="85"/>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80" w:type="dxa"/>
            <w:vAlign w:val="bottom"/>
            <w:tcBorders>
              <w:top w:val="single" w:sz="8" w:color="auto"/>
              <w:bottom w:val="single" w:sz="8" w:color="auto"/>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1.66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313"/>
        </w:trPr>
        <w:tc>
          <w:tcPr>
            <w:tcW w:w="3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3"/>
          </w:tcPr>
          <w:p>
            <w:pPr>
              <w:jc w:val="right"/>
              <w:ind w:right="48"/>
              <w:spacing w:after="0"/>
              <w:rPr>
                <w:sz w:val="20"/>
                <w:szCs w:val="20"/>
                <w:color w:val="auto"/>
              </w:rPr>
            </w:pPr>
            <w:r>
              <w:rPr>
                <w:rFonts w:ascii="Arial" w:cs="Arial" w:eastAsia="Arial" w:hAnsi="Arial"/>
                <w:sz w:val="14"/>
                <w:szCs w:val="14"/>
                <w:color w:val="auto"/>
                <w:w w:val="97"/>
              </w:rPr>
              <w:t>- 98 -</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2"/>
        </w:trPr>
        <w:tc>
          <w:tcPr>
            <w:tcW w:w="3380" w:type="dxa"/>
            <w:vAlign w:val="bottom"/>
            <w:tcBorders>
              <w:bottom w:val="single" w:sz="8" w:color="9A9A9A"/>
            </w:tcBorders>
          </w:tcPr>
          <w:p>
            <w:pPr>
              <w:spacing w:after="0"/>
              <w:rPr>
                <w:sz w:val="21"/>
                <w:szCs w:val="21"/>
                <w:color w:val="auto"/>
              </w:rPr>
            </w:pPr>
          </w:p>
        </w:tc>
        <w:tc>
          <w:tcPr>
            <w:tcW w:w="98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48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80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80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1480" w:type="dxa"/>
            <w:vAlign w:val="bottom"/>
            <w:tcBorders>
              <w:bottom w:val="single" w:sz="8" w:color="9A9A9A"/>
            </w:tcBorders>
          </w:tcPr>
          <w:p>
            <w:pPr>
              <w:spacing w:after="0"/>
              <w:rPr>
                <w:sz w:val="21"/>
                <w:szCs w:val="21"/>
                <w:color w:val="auto"/>
              </w:rPr>
            </w:pPr>
          </w:p>
        </w:tc>
        <w:tc>
          <w:tcPr>
            <w:tcW w:w="36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color w:val="auto"/>
        </w:rPr>
        <w:t>The following is a summary of the status of RDI’s vested and unvested stock options as of December 31, 2021, 2020 and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gridSpan w:val="6"/>
          </w:tcPr>
          <w:p>
            <w:pPr>
              <w:ind w:left="600"/>
              <w:spacing w:after="0"/>
              <w:rPr>
                <w:sz w:val="20"/>
                <w:szCs w:val="20"/>
                <w:color w:val="auto"/>
              </w:rPr>
            </w:pPr>
            <w:r>
              <w:rPr>
                <w:rFonts w:ascii="Arial" w:cs="Arial" w:eastAsia="Arial" w:hAnsi="Arial"/>
                <w:sz w:val="12"/>
                <w:szCs w:val="12"/>
                <w:b w:val="1"/>
                <w:bCs w:val="1"/>
                <w:color w:val="auto"/>
              </w:rPr>
              <w:t>Vested and Unvested Stock Options</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jc w:val="center"/>
              <w:ind w:left="324"/>
              <w:spacing w:after="0" w:line="102" w:lineRule="exact"/>
              <w:rPr>
                <w:sz w:val="20"/>
                <w:szCs w:val="20"/>
                <w:color w:val="auto"/>
              </w:rPr>
            </w:pPr>
            <w:r>
              <w:rPr>
                <w:rFonts w:ascii="Arial" w:cs="Arial" w:eastAsia="Arial" w:hAnsi="Arial"/>
                <w:sz w:val="10"/>
                <w:szCs w:val="10"/>
                <w:b w:val="1"/>
                <w:bCs w:val="1"/>
                <w:color w:val="auto"/>
              </w:rPr>
              <w:t>Weighted Average</w:t>
            </w: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jc w:val="center"/>
              <w:ind w:right="114"/>
              <w:spacing w:after="0" w:line="102" w:lineRule="exact"/>
              <w:rPr>
                <w:sz w:val="20"/>
                <w:szCs w:val="20"/>
                <w:color w:val="auto"/>
              </w:rPr>
            </w:pPr>
            <w:r>
              <w:rPr>
                <w:rFonts w:ascii="Arial" w:cs="Arial" w:eastAsia="Arial" w:hAnsi="Arial"/>
                <w:sz w:val="10"/>
                <w:szCs w:val="10"/>
                <w:b w:val="1"/>
                <w:bCs w:val="1"/>
                <w:color w:val="auto"/>
              </w:rPr>
              <w:t>Aggregate</w:t>
            </w:r>
          </w:p>
        </w:tc>
        <w:tc>
          <w:tcPr>
            <w:tcW w:w="0" w:type="dxa"/>
            <w:vAlign w:val="bottom"/>
          </w:tcPr>
          <w:p>
            <w:pPr>
              <w:spacing w:after="0"/>
              <w:rPr>
                <w:sz w:val="1"/>
                <w:szCs w:val="1"/>
                <w:color w:val="auto"/>
              </w:rPr>
            </w:pPr>
          </w:p>
        </w:tc>
      </w:tr>
      <w:tr>
        <w:trPr>
          <w:trHeight w:val="119"/>
        </w:trPr>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380" w:type="dxa"/>
            <w:vAlign w:val="bottom"/>
            <w:gridSpan w:val="3"/>
          </w:tcPr>
          <w:p>
            <w:pPr>
              <w:jc w:val="center"/>
              <w:ind w:left="673"/>
              <w:spacing w:after="0" w:line="120" w:lineRule="exact"/>
              <w:rPr>
                <w:sz w:val="20"/>
                <w:szCs w:val="20"/>
                <w:color w:val="auto"/>
              </w:rPr>
            </w:pPr>
            <w:r>
              <w:rPr>
                <w:rFonts w:ascii="Arial" w:cs="Arial" w:eastAsia="Arial" w:hAnsi="Arial"/>
                <w:sz w:val="12"/>
                <w:szCs w:val="12"/>
                <w:b w:val="1"/>
                <w:bCs w:val="1"/>
                <w:color w:val="auto"/>
                <w:w w:val="86"/>
              </w:rPr>
              <w:t>Number of</w:t>
            </w: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40" w:type="dxa"/>
            <w:vAlign w:val="bottom"/>
            <w:gridSpan w:val="3"/>
          </w:tcPr>
          <w:p>
            <w:pPr>
              <w:ind w:left="480"/>
              <w:spacing w:after="0" w:line="120" w:lineRule="exact"/>
              <w:rPr>
                <w:sz w:val="20"/>
                <w:szCs w:val="20"/>
                <w:color w:val="auto"/>
              </w:rPr>
            </w:pPr>
            <w:r>
              <w:rPr>
                <w:rFonts w:ascii="Arial" w:cs="Arial" w:eastAsia="Arial" w:hAnsi="Arial"/>
                <w:sz w:val="12"/>
                <w:szCs w:val="12"/>
                <w:b w:val="1"/>
                <w:bCs w:val="1"/>
                <w:color w:val="auto"/>
              </w:rPr>
              <w:t>Weighted Average</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jc w:val="center"/>
              <w:ind w:left="304"/>
              <w:spacing w:after="0" w:line="120" w:lineRule="exact"/>
              <w:rPr>
                <w:sz w:val="20"/>
                <w:szCs w:val="20"/>
                <w:color w:val="auto"/>
              </w:rPr>
            </w:pPr>
            <w:r>
              <w:rPr>
                <w:rFonts w:ascii="Arial" w:cs="Arial" w:eastAsia="Arial" w:hAnsi="Arial"/>
                <w:sz w:val="12"/>
                <w:szCs w:val="12"/>
                <w:b w:val="1"/>
                <w:bCs w:val="1"/>
                <w:color w:val="auto"/>
                <w:w w:val="85"/>
              </w:rPr>
              <w:t>Remaining Years of</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center"/>
              <w:ind w:right="114"/>
              <w:spacing w:after="0" w:line="120" w:lineRule="exact"/>
              <w:rPr>
                <w:sz w:val="20"/>
                <w:szCs w:val="20"/>
                <w:color w:val="auto"/>
              </w:rPr>
            </w:pPr>
            <w:r>
              <w:rPr>
                <w:rFonts w:ascii="Arial" w:cs="Arial" w:eastAsia="Arial" w:hAnsi="Arial"/>
                <w:sz w:val="12"/>
                <w:szCs w:val="12"/>
                <w:b w:val="1"/>
                <w:bCs w:val="1"/>
                <w:color w:val="auto"/>
                <w:w w:val="89"/>
              </w:rPr>
              <w:t>Intrinsic</w:t>
            </w:r>
          </w:p>
        </w:tc>
        <w:tc>
          <w:tcPr>
            <w:tcW w:w="0" w:type="dxa"/>
            <w:vAlign w:val="bottom"/>
          </w:tcPr>
          <w:p>
            <w:pPr>
              <w:spacing w:after="0"/>
              <w:rPr>
                <w:sz w:val="1"/>
                <w:szCs w:val="1"/>
                <w:color w:val="auto"/>
              </w:rPr>
            </w:pPr>
          </w:p>
        </w:tc>
      </w:tr>
      <w:tr>
        <w:trPr>
          <w:trHeight w:val="138"/>
        </w:trPr>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380" w:type="dxa"/>
            <w:vAlign w:val="bottom"/>
            <w:tcBorders>
              <w:bottom w:val="single" w:sz="8" w:color="auto"/>
            </w:tcBorders>
            <w:gridSpan w:val="3"/>
          </w:tcPr>
          <w:p>
            <w:pPr>
              <w:jc w:val="center"/>
              <w:ind w:left="673"/>
              <w:spacing w:after="0" w:line="137" w:lineRule="exact"/>
              <w:rPr>
                <w:sz w:val="20"/>
                <w:szCs w:val="20"/>
                <w:color w:val="auto"/>
              </w:rPr>
            </w:pPr>
            <w:r>
              <w:rPr>
                <w:rFonts w:ascii="Arial" w:cs="Arial" w:eastAsia="Arial" w:hAnsi="Arial"/>
                <w:sz w:val="12"/>
                <w:szCs w:val="12"/>
                <w:b w:val="1"/>
                <w:bCs w:val="1"/>
                <w:color w:val="auto"/>
                <w:w w:val="88"/>
              </w:rPr>
              <w:t>Options</w:t>
            </w:r>
          </w:p>
        </w:tc>
        <w:tc>
          <w:tcPr>
            <w:tcW w:w="4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ind w:left="580"/>
              <w:spacing w:after="0" w:line="137" w:lineRule="exact"/>
              <w:rPr>
                <w:sz w:val="20"/>
                <w:szCs w:val="20"/>
                <w:color w:val="auto"/>
              </w:rPr>
            </w:pPr>
            <w:r>
              <w:rPr>
                <w:rFonts w:ascii="Arial" w:cs="Arial" w:eastAsia="Arial" w:hAnsi="Arial"/>
                <w:sz w:val="12"/>
                <w:szCs w:val="12"/>
                <w:b w:val="1"/>
                <w:bCs w:val="1"/>
                <w:color w:val="auto"/>
              </w:rPr>
              <w:t>Exercise Price</w:t>
            </w:r>
          </w:p>
        </w:tc>
        <w:tc>
          <w:tcPr>
            <w:tcW w:w="2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ind w:left="324"/>
              <w:spacing w:after="0" w:line="137" w:lineRule="exact"/>
              <w:rPr>
                <w:sz w:val="20"/>
                <w:szCs w:val="20"/>
                <w:color w:val="auto"/>
              </w:rPr>
            </w:pPr>
            <w:r>
              <w:rPr>
                <w:rFonts w:ascii="Arial" w:cs="Arial" w:eastAsia="Arial" w:hAnsi="Arial"/>
                <w:sz w:val="12"/>
                <w:szCs w:val="12"/>
                <w:b w:val="1"/>
                <w:bCs w:val="1"/>
                <w:color w:val="auto"/>
                <w:w w:val="89"/>
              </w:rPr>
              <w:t>Contractual Life</w:t>
            </w:r>
          </w:p>
        </w:tc>
        <w:tc>
          <w:tcPr>
            <w:tcW w:w="3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34"/>
              <w:spacing w:after="0" w:line="137" w:lineRule="exact"/>
              <w:rPr>
                <w:sz w:val="20"/>
                <w:szCs w:val="20"/>
                <w:color w:val="auto"/>
              </w:rPr>
            </w:pPr>
            <w:r>
              <w:rPr>
                <w:rFonts w:ascii="Arial" w:cs="Arial" w:eastAsia="Arial" w:hAnsi="Arial"/>
                <w:sz w:val="12"/>
                <w:szCs w:val="12"/>
                <w:b w:val="1"/>
                <w:bCs w:val="1"/>
                <w:color w:val="auto"/>
                <w:w w:val="87"/>
              </w:rPr>
              <w:t>Value</w:t>
            </w:r>
          </w:p>
        </w:tc>
        <w:tc>
          <w:tcPr>
            <w:tcW w:w="0" w:type="dxa"/>
            <w:vAlign w:val="bottom"/>
          </w:tcPr>
          <w:p>
            <w:pPr>
              <w:spacing w:after="0"/>
              <w:rPr>
                <w:sz w:val="1"/>
                <w:szCs w:val="1"/>
                <w:color w:val="auto"/>
              </w:rPr>
            </w:pPr>
          </w:p>
        </w:tc>
      </w:tr>
      <w:tr>
        <w:trPr>
          <w:trHeight w:val="12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87"/>
              </w:rPr>
              <w:t>Vested</w:t>
            </w:r>
          </w:p>
        </w:tc>
        <w:tc>
          <w:tcPr>
            <w:tcW w:w="2960" w:type="dxa"/>
            <w:vAlign w:val="bottom"/>
            <w:gridSpan w:val="2"/>
            <w:vMerge w:val="restart"/>
          </w:tcPr>
          <w:p>
            <w:pPr>
              <w:spacing w:after="0"/>
              <w:rPr>
                <w:sz w:val="10"/>
                <w:szCs w:val="10"/>
                <w:color w:val="auto"/>
              </w:rPr>
            </w:pPr>
          </w:p>
        </w:tc>
        <w:tc>
          <w:tcPr>
            <w:tcW w:w="1380" w:type="dxa"/>
            <w:vAlign w:val="bottom"/>
            <w:gridSpan w:val="3"/>
          </w:tcPr>
          <w:p>
            <w:pPr>
              <w:ind w:left="300"/>
              <w:spacing w:after="0" w:line="120" w:lineRule="exact"/>
              <w:rPr>
                <w:sz w:val="20"/>
                <w:szCs w:val="20"/>
                <w:color w:val="auto"/>
              </w:rPr>
            </w:pPr>
            <w:r>
              <w:rPr>
                <w:rFonts w:ascii="Arial" w:cs="Arial" w:eastAsia="Arial" w:hAnsi="Arial"/>
                <w:sz w:val="12"/>
                <w:szCs w:val="12"/>
                <w:b w:val="1"/>
                <w:bCs w:val="1"/>
                <w:color w:val="auto"/>
              </w:rPr>
              <w:t>Class A</w:t>
            </w:r>
          </w:p>
        </w:tc>
        <w:tc>
          <w:tcPr>
            <w:tcW w:w="480" w:type="dxa"/>
            <w:vAlign w:val="bottom"/>
          </w:tcPr>
          <w:p>
            <w:pPr>
              <w:ind w:left="60"/>
              <w:spacing w:after="0" w:line="120" w:lineRule="exact"/>
              <w:rPr>
                <w:sz w:val="20"/>
                <w:szCs w:val="20"/>
                <w:color w:val="auto"/>
              </w:rPr>
            </w:pPr>
            <w:r>
              <w:rPr>
                <w:rFonts w:ascii="Arial" w:cs="Arial" w:eastAsia="Arial" w:hAnsi="Arial"/>
                <w:sz w:val="12"/>
                <w:szCs w:val="12"/>
                <w:b w:val="1"/>
                <w:bCs w:val="1"/>
                <w:color w:val="auto"/>
                <w:w w:val="90"/>
              </w:rPr>
              <w:t>Class B</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ind w:left="140"/>
              <w:spacing w:after="0" w:line="120" w:lineRule="exact"/>
              <w:rPr>
                <w:sz w:val="20"/>
                <w:szCs w:val="20"/>
                <w:color w:val="auto"/>
              </w:rPr>
            </w:pPr>
            <w:r>
              <w:rPr>
                <w:rFonts w:ascii="Arial" w:cs="Arial" w:eastAsia="Arial" w:hAnsi="Arial"/>
                <w:sz w:val="12"/>
                <w:szCs w:val="12"/>
                <w:b w:val="1"/>
                <w:bCs w:val="1"/>
                <w:color w:val="auto"/>
              </w:rPr>
              <w:t>Class A</w:t>
            </w:r>
          </w:p>
        </w:tc>
        <w:tc>
          <w:tcPr>
            <w:tcW w:w="160" w:type="dxa"/>
            <w:vAlign w:val="bottom"/>
          </w:tcPr>
          <w:p>
            <w:pPr>
              <w:spacing w:after="0"/>
              <w:rPr>
                <w:sz w:val="10"/>
                <w:szCs w:val="10"/>
                <w:color w:val="auto"/>
              </w:rPr>
            </w:pPr>
          </w:p>
        </w:tc>
        <w:tc>
          <w:tcPr>
            <w:tcW w:w="84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Class B</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jc w:val="center"/>
              <w:ind w:left="324"/>
              <w:spacing w:after="0" w:line="120" w:lineRule="exact"/>
              <w:rPr>
                <w:sz w:val="20"/>
                <w:szCs w:val="20"/>
                <w:color w:val="auto"/>
              </w:rPr>
            </w:pPr>
            <w:r>
              <w:rPr>
                <w:rFonts w:ascii="Arial" w:cs="Arial" w:eastAsia="Arial" w:hAnsi="Arial"/>
                <w:sz w:val="12"/>
                <w:szCs w:val="12"/>
                <w:b w:val="1"/>
                <w:bCs w:val="1"/>
                <w:color w:val="auto"/>
                <w:w w:val="87"/>
              </w:rPr>
              <w:t>Class A&amp;B</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center"/>
              <w:ind w:right="114"/>
              <w:spacing w:after="0" w:line="120" w:lineRule="exact"/>
              <w:rPr>
                <w:sz w:val="20"/>
                <w:szCs w:val="20"/>
                <w:color w:val="auto"/>
              </w:rPr>
            </w:pPr>
            <w:r>
              <w:rPr>
                <w:rFonts w:ascii="Arial" w:cs="Arial" w:eastAsia="Arial" w:hAnsi="Arial"/>
                <w:sz w:val="12"/>
                <w:szCs w:val="12"/>
                <w:b w:val="1"/>
                <w:bCs w:val="1"/>
                <w:color w:val="auto"/>
                <w:w w:val="87"/>
              </w:rPr>
              <w:t>Class A&amp;B</w:t>
            </w:r>
          </w:p>
        </w:tc>
        <w:tc>
          <w:tcPr>
            <w:tcW w:w="0" w:type="dxa"/>
            <w:vAlign w:val="bottom"/>
          </w:tcPr>
          <w:p>
            <w:pPr>
              <w:spacing w:after="0"/>
              <w:rPr>
                <w:sz w:val="1"/>
                <w:szCs w:val="1"/>
                <w:color w:val="auto"/>
              </w:rPr>
            </w:pPr>
          </w:p>
        </w:tc>
      </w:tr>
      <w:tr>
        <w:trPr>
          <w:trHeight w:val="137"/>
        </w:trPr>
        <w:tc>
          <w:tcPr>
            <w:tcW w:w="420" w:type="dxa"/>
            <w:vAlign w:val="bottom"/>
            <w:tcBorders>
              <w:bottom w:val="single" w:sz="8" w:color="auto"/>
            </w:tcBorders>
            <w:vMerge w:val="continue"/>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380" w:type="dxa"/>
            <w:vAlign w:val="bottom"/>
            <w:gridSpan w:val="3"/>
            <w:shd w:val="clear" w:color="auto" w:fill="CCEEFF"/>
          </w:tcPr>
          <w:p>
            <w:pPr>
              <w:spacing w:after="0" w:line="152" w:lineRule="exact"/>
              <w:rPr>
                <w:sz w:val="20"/>
                <w:szCs w:val="20"/>
                <w:color w:val="auto"/>
              </w:rPr>
            </w:pPr>
            <w:r>
              <w:rPr>
                <w:rFonts w:ascii="Arial" w:cs="Arial" w:eastAsia="Arial" w:hAnsi="Arial"/>
                <w:sz w:val="14"/>
                <w:szCs w:val="14"/>
                <w:color w:val="auto"/>
              </w:rPr>
              <w:t>December 31, 2021</w:t>
            </w:r>
          </w:p>
        </w:tc>
        <w:tc>
          <w:tcPr>
            <w:tcW w:w="98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384,189</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ind w:left="60"/>
              <w:spacing w:after="0" w:line="152"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460"/>
              <w:spacing w:after="0" w:line="152" w:lineRule="exact"/>
              <w:rPr>
                <w:sz w:val="20"/>
                <w:szCs w:val="20"/>
                <w:color w:val="auto"/>
              </w:rPr>
            </w:pPr>
            <w:r>
              <w:rPr>
                <w:rFonts w:ascii="Arial" w:cs="Arial" w:eastAsia="Arial" w:hAnsi="Arial"/>
                <w:sz w:val="14"/>
                <w:szCs w:val="14"/>
                <w:color w:val="auto"/>
              </w:rPr>
              <w:t>13.87</w:t>
            </w:r>
          </w:p>
        </w:tc>
        <w:tc>
          <w:tcPr>
            <w:tcW w:w="1000" w:type="dxa"/>
            <w:vAlign w:val="bottom"/>
            <w:gridSpan w:val="2"/>
            <w:shd w:val="clear" w:color="auto" w:fill="CCEEFF"/>
          </w:tcPr>
          <w:p>
            <w:pPr>
              <w:jc w:val="right"/>
              <w:ind w:right="702"/>
              <w:spacing w:after="0" w:line="152" w:lineRule="exact"/>
              <w:rPr>
                <w:sz w:val="20"/>
                <w:szCs w:val="20"/>
                <w:color w:val="auto"/>
              </w:rPr>
            </w:pPr>
            <w:r>
              <w:rPr>
                <w:rFonts w:ascii="Arial" w:cs="Arial" w:eastAsia="Arial" w:hAnsi="Arial"/>
                <w:sz w:val="14"/>
                <w:szCs w:val="14"/>
                <w:color w:val="auto"/>
              </w:rPr>
              <w:t>$</w:t>
            </w:r>
          </w:p>
        </w:tc>
        <w:tc>
          <w:tcPr>
            <w:tcW w:w="1860" w:type="dxa"/>
            <w:vAlign w:val="bottom"/>
            <w:gridSpan w:val="3"/>
            <w:shd w:val="clear" w:color="auto" w:fill="CCEEFF"/>
          </w:tcPr>
          <w:p>
            <w:pPr>
              <w:ind w:left="20"/>
              <w:spacing w:after="0" w:line="15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1.42</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8"/>
              <w:spacing w:after="0" w:line="152"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3380" w:type="dxa"/>
            <w:vAlign w:val="bottom"/>
            <w:gridSpan w:val="3"/>
          </w:tcPr>
          <w:p>
            <w:pPr>
              <w:spacing w:after="0" w:line="152" w:lineRule="exact"/>
              <w:rPr>
                <w:sz w:val="20"/>
                <w:szCs w:val="20"/>
                <w:color w:val="auto"/>
              </w:rPr>
            </w:pPr>
            <w:r>
              <w:rPr>
                <w:rFonts w:ascii="Arial" w:cs="Arial" w:eastAsia="Arial" w:hAnsi="Arial"/>
                <w:sz w:val="14"/>
                <w:szCs w:val="14"/>
                <w:color w:val="auto"/>
              </w:rPr>
              <w:t>December 31, 2020</w:t>
            </w:r>
          </w:p>
        </w:tc>
        <w:tc>
          <w:tcPr>
            <w:tcW w:w="980" w:type="dxa"/>
            <w:vAlign w:val="bottom"/>
          </w:tcPr>
          <w:p>
            <w:pPr>
              <w:jc w:val="right"/>
              <w:spacing w:after="0" w:line="152" w:lineRule="exact"/>
              <w:rPr>
                <w:sz w:val="20"/>
                <w:szCs w:val="20"/>
                <w:color w:val="auto"/>
              </w:rPr>
            </w:pPr>
            <w:r>
              <w:rPr>
                <w:rFonts w:ascii="Arial" w:cs="Arial" w:eastAsia="Arial" w:hAnsi="Arial"/>
                <w:sz w:val="14"/>
                <w:szCs w:val="14"/>
                <w:color w:val="auto"/>
              </w:rPr>
              <w:t>418,435</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ind w:left="60"/>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460"/>
              <w:spacing w:after="0" w:line="152" w:lineRule="exact"/>
              <w:rPr>
                <w:sz w:val="20"/>
                <w:szCs w:val="20"/>
                <w:color w:val="auto"/>
              </w:rPr>
            </w:pPr>
            <w:r>
              <w:rPr>
                <w:rFonts w:ascii="Arial" w:cs="Arial" w:eastAsia="Arial" w:hAnsi="Arial"/>
                <w:sz w:val="14"/>
                <w:szCs w:val="14"/>
                <w:color w:val="auto"/>
              </w:rPr>
              <w:t>13.87</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60" w:type="dxa"/>
            <w:vAlign w:val="bottom"/>
            <w:gridSpan w:val="3"/>
          </w:tcPr>
          <w:p>
            <w:pPr>
              <w:ind w:left="20"/>
              <w:spacing w:after="0" w:line="152"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52" w:lineRule="exact"/>
              <w:rPr>
                <w:sz w:val="20"/>
                <w:szCs w:val="20"/>
                <w:color w:val="auto"/>
              </w:rPr>
            </w:pPr>
            <w:r>
              <w:rPr>
                <w:rFonts w:ascii="Arial" w:cs="Arial" w:eastAsia="Arial" w:hAnsi="Arial"/>
                <w:sz w:val="14"/>
                <w:szCs w:val="14"/>
                <w:color w:val="auto"/>
              </w:rPr>
              <w:t>1.64</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3380" w:type="dxa"/>
            <w:vAlign w:val="bottom"/>
            <w:gridSpan w:val="3"/>
            <w:shd w:val="clear" w:color="auto" w:fill="CCEEFF"/>
          </w:tcPr>
          <w:p>
            <w:pPr>
              <w:spacing w:after="0" w:line="152" w:lineRule="exact"/>
              <w:rPr>
                <w:sz w:val="20"/>
                <w:szCs w:val="20"/>
                <w:color w:val="auto"/>
              </w:rPr>
            </w:pPr>
            <w:r>
              <w:rPr>
                <w:rFonts w:ascii="Arial" w:cs="Arial" w:eastAsia="Arial" w:hAnsi="Arial"/>
                <w:sz w:val="14"/>
                <w:szCs w:val="14"/>
                <w:color w:val="auto"/>
              </w:rPr>
              <w:t>December 31, 2019</w:t>
            </w:r>
          </w:p>
        </w:tc>
        <w:tc>
          <w:tcPr>
            <w:tcW w:w="98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273,866</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ind w:left="60"/>
              <w:spacing w:after="0" w:line="15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ind w:left="460"/>
              <w:spacing w:after="0" w:line="152" w:lineRule="exact"/>
              <w:rPr>
                <w:sz w:val="20"/>
                <w:szCs w:val="20"/>
                <w:color w:val="auto"/>
              </w:rPr>
            </w:pPr>
            <w:r>
              <w:rPr>
                <w:rFonts w:ascii="Arial" w:cs="Arial" w:eastAsia="Arial" w:hAnsi="Arial"/>
                <w:sz w:val="14"/>
                <w:szCs w:val="14"/>
                <w:color w:val="auto"/>
              </w:rPr>
              <w:t>12.59</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60" w:type="dxa"/>
            <w:vAlign w:val="bottom"/>
            <w:gridSpan w:val="3"/>
            <w:shd w:val="clear" w:color="auto" w:fill="CCEEFF"/>
          </w:tcPr>
          <w:p>
            <w:pPr>
              <w:ind w:left="20"/>
              <w:spacing w:after="0" w:line="15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1.87</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136,350</w:t>
            </w:r>
          </w:p>
        </w:tc>
        <w:tc>
          <w:tcPr>
            <w:tcW w:w="0" w:type="dxa"/>
            <w:vAlign w:val="bottom"/>
          </w:tcPr>
          <w:p>
            <w:pPr>
              <w:spacing w:after="0"/>
              <w:rPr>
                <w:sz w:val="1"/>
                <w:szCs w:val="1"/>
                <w:color w:val="auto"/>
              </w:rPr>
            </w:pPr>
          </w:p>
        </w:tc>
      </w:tr>
      <w:tr>
        <w:trPr>
          <w:trHeight w:val="132"/>
        </w:trPr>
        <w:tc>
          <w:tcPr>
            <w:tcW w:w="580" w:type="dxa"/>
            <w:vAlign w:val="bottom"/>
            <w:tcBorders>
              <w:bottom w:val="single" w:sz="8" w:color="auto"/>
            </w:tcBorders>
            <w:gridSpan w:val="2"/>
          </w:tcPr>
          <w:p>
            <w:pPr>
              <w:spacing w:after="0" w:line="130" w:lineRule="exact"/>
              <w:rPr>
                <w:sz w:val="20"/>
                <w:szCs w:val="20"/>
                <w:color w:val="auto"/>
              </w:rPr>
            </w:pPr>
            <w:r>
              <w:rPr>
                <w:rFonts w:ascii="Arial" w:cs="Arial" w:eastAsia="Arial" w:hAnsi="Arial"/>
                <w:sz w:val="14"/>
                <w:szCs w:val="14"/>
                <w:b w:val="1"/>
                <w:bCs w:val="1"/>
                <w:color w:val="auto"/>
                <w:w w:val="88"/>
              </w:rPr>
              <w:t>Unvested</w:t>
            </w:r>
          </w:p>
        </w:tc>
        <w:tc>
          <w:tcPr>
            <w:tcW w:w="2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380" w:type="dxa"/>
            <w:vAlign w:val="bottom"/>
            <w:gridSpan w:val="3"/>
            <w:shd w:val="clear" w:color="auto" w:fill="CCEEFF"/>
          </w:tcPr>
          <w:p>
            <w:pPr>
              <w:spacing w:after="0" w:line="152" w:lineRule="exact"/>
              <w:rPr>
                <w:sz w:val="20"/>
                <w:szCs w:val="20"/>
                <w:color w:val="auto"/>
              </w:rPr>
            </w:pPr>
            <w:r>
              <w:rPr>
                <w:rFonts w:ascii="Arial" w:cs="Arial" w:eastAsia="Arial" w:hAnsi="Arial"/>
                <w:sz w:val="14"/>
                <w:szCs w:val="14"/>
                <w:color w:val="auto"/>
              </w:rPr>
              <w:t>December 31, 2021</w:t>
            </w:r>
          </w:p>
        </w:tc>
        <w:tc>
          <w:tcPr>
            <w:tcW w:w="98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133,155</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ind w:left="60"/>
              <w:spacing w:after="0" w:line="152"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460"/>
              <w:spacing w:after="0" w:line="152" w:lineRule="exact"/>
              <w:rPr>
                <w:sz w:val="20"/>
                <w:szCs w:val="20"/>
                <w:color w:val="auto"/>
              </w:rPr>
            </w:pPr>
            <w:r>
              <w:rPr>
                <w:rFonts w:ascii="Arial" w:cs="Arial" w:eastAsia="Arial" w:hAnsi="Arial"/>
                <w:sz w:val="14"/>
                <w:szCs w:val="14"/>
                <w:color w:val="auto"/>
              </w:rPr>
              <w:t>15.65</w:t>
            </w:r>
          </w:p>
        </w:tc>
        <w:tc>
          <w:tcPr>
            <w:tcW w:w="1000" w:type="dxa"/>
            <w:vAlign w:val="bottom"/>
            <w:gridSpan w:val="2"/>
            <w:shd w:val="clear" w:color="auto" w:fill="CCEEFF"/>
          </w:tcPr>
          <w:p>
            <w:pPr>
              <w:jc w:val="right"/>
              <w:ind w:right="702"/>
              <w:spacing w:after="0" w:line="152" w:lineRule="exact"/>
              <w:rPr>
                <w:sz w:val="20"/>
                <w:szCs w:val="20"/>
                <w:color w:val="auto"/>
              </w:rPr>
            </w:pPr>
            <w:r>
              <w:rPr>
                <w:rFonts w:ascii="Arial" w:cs="Arial" w:eastAsia="Arial" w:hAnsi="Arial"/>
                <w:sz w:val="14"/>
                <w:szCs w:val="14"/>
                <w:color w:val="auto"/>
              </w:rPr>
              <w:t>$</w:t>
            </w:r>
          </w:p>
        </w:tc>
        <w:tc>
          <w:tcPr>
            <w:tcW w:w="1860" w:type="dxa"/>
            <w:vAlign w:val="bottom"/>
            <w:gridSpan w:val="3"/>
            <w:shd w:val="clear" w:color="auto" w:fill="CCEEFF"/>
          </w:tcPr>
          <w:p>
            <w:pPr>
              <w:ind w:left="20"/>
              <w:spacing w:after="0" w:line="15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2.29</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8"/>
              <w:spacing w:after="0" w:line="152"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3380" w:type="dxa"/>
            <w:vAlign w:val="bottom"/>
            <w:gridSpan w:val="3"/>
          </w:tcPr>
          <w:p>
            <w:pPr>
              <w:spacing w:after="0" w:line="152" w:lineRule="exact"/>
              <w:rPr>
                <w:sz w:val="20"/>
                <w:szCs w:val="20"/>
                <w:color w:val="auto"/>
              </w:rPr>
            </w:pPr>
            <w:r>
              <w:rPr>
                <w:rFonts w:ascii="Arial" w:cs="Arial" w:eastAsia="Arial" w:hAnsi="Arial"/>
                <w:sz w:val="14"/>
                <w:szCs w:val="14"/>
                <w:color w:val="auto"/>
              </w:rPr>
              <w:t>December 31, 2020</w:t>
            </w:r>
          </w:p>
        </w:tc>
        <w:tc>
          <w:tcPr>
            <w:tcW w:w="980" w:type="dxa"/>
            <w:vAlign w:val="bottom"/>
          </w:tcPr>
          <w:p>
            <w:pPr>
              <w:jc w:val="right"/>
              <w:spacing w:after="0" w:line="152" w:lineRule="exact"/>
              <w:rPr>
                <w:sz w:val="20"/>
                <w:szCs w:val="20"/>
                <w:color w:val="auto"/>
              </w:rPr>
            </w:pPr>
            <w:r>
              <w:rPr>
                <w:rFonts w:ascii="Arial" w:cs="Arial" w:eastAsia="Arial" w:hAnsi="Arial"/>
                <w:sz w:val="14"/>
                <w:szCs w:val="14"/>
                <w:color w:val="auto"/>
              </w:rPr>
              <w:t>295,044</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ind w:left="60"/>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460"/>
              <w:spacing w:after="0" w:line="152" w:lineRule="exact"/>
              <w:rPr>
                <w:sz w:val="20"/>
                <w:szCs w:val="20"/>
                <w:color w:val="auto"/>
              </w:rPr>
            </w:pPr>
            <w:r>
              <w:rPr>
                <w:rFonts w:ascii="Arial" w:cs="Arial" w:eastAsia="Arial" w:hAnsi="Arial"/>
                <w:sz w:val="14"/>
                <w:szCs w:val="14"/>
                <w:color w:val="auto"/>
              </w:rPr>
              <w:t>15.77</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60" w:type="dxa"/>
            <w:vAlign w:val="bottom"/>
            <w:gridSpan w:val="3"/>
          </w:tcPr>
          <w:p>
            <w:pPr>
              <w:ind w:left="20"/>
              <w:spacing w:after="0" w:line="152"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52" w:lineRule="exact"/>
              <w:rPr>
                <w:sz w:val="20"/>
                <w:szCs w:val="20"/>
                <w:color w:val="auto"/>
              </w:rPr>
            </w:pPr>
            <w:r>
              <w:rPr>
                <w:rFonts w:ascii="Arial" w:cs="Arial" w:eastAsia="Arial" w:hAnsi="Arial"/>
                <w:sz w:val="14"/>
                <w:szCs w:val="14"/>
                <w:color w:val="auto"/>
              </w:rPr>
              <w:t>2.47</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line="152" w:lineRule="exact"/>
              <w:rPr>
                <w:sz w:val="20"/>
                <w:szCs w:val="20"/>
                <w:color w:val="auto"/>
              </w:rPr>
            </w:pPr>
            <w:r>
              <w:rPr>
                <w:rFonts w:ascii="Arial" w:cs="Arial" w:eastAsia="Arial" w:hAnsi="Arial"/>
                <w:sz w:val="14"/>
                <w:szCs w:val="14"/>
                <w:color w:val="auto"/>
              </w:rPr>
              <w:t>13,969</w:t>
            </w:r>
          </w:p>
        </w:tc>
        <w:tc>
          <w:tcPr>
            <w:tcW w:w="0" w:type="dxa"/>
            <w:vAlign w:val="bottom"/>
          </w:tcPr>
          <w:p>
            <w:pPr>
              <w:spacing w:after="0"/>
              <w:rPr>
                <w:sz w:val="1"/>
                <w:szCs w:val="1"/>
                <w:color w:val="auto"/>
              </w:rPr>
            </w:pPr>
          </w:p>
        </w:tc>
      </w:tr>
      <w:tr>
        <w:trPr>
          <w:trHeight w:val="152"/>
        </w:trPr>
        <w:tc>
          <w:tcPr>
            <w:tcW w:w="3380" w:type="dxa"/>
            <w:vAlign w:val="bottom"/>
            <w:gridSpan w:val="3"/>
            <w:shd w:val="clear" w:color="auto" w:fill="CCEEFF"/>
          </w:tcPr>
          <w:p>
            <w:pPr>
              <w:spacing w:after="0" w:line="152" w:lineRule="exact"/>
              <w:rPr>
                <w:sz w:val="20"/>
                <w:szCs w:val="20"/>
                <w:color w:val="auto"/>
              </w:rPr>
            </w:pPr>
            <w:r>
              <w:rPr>
                <w:rFonts w:ascii="Arial" w:cs="Arial" w:eastAsia="Arial" w:hAnsi="Arial"/>
                <w:sz w:val="14"/>
                <w:szCs w:val="14"/>
                <w:color w:val="auto"/>
              </w:rPr>
              <w:t>December 31, 2019</w:t>
            </w:r>
          </w:p>
        </w:tc>
        <w:tc>
          <w:tcPr>
            <w:tcW w:w="98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437,511</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ind w:left="60"/>
              <w:spacing w:after="0" w:line="15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ind w:left="460"/>
              <w:spacing w:after="0" w:line="152" w:lineRule="exact"/>
              <w:rPr>
                <w:sz w:val="20"/>
                <w:szCs w:val="20"/>
                <w:color w:val="auto"/>
              </w:rPr>
            </w:pPr>
            <w:r>
              <w:rPr>
                <w:rFonts w:ascii="Arial" w:cs="Arial" w:eastAsia="Arial" w:hAnsi="Arial"/>
                <w:sz w:val="14"/>
                <w:szCs w:val="14"/>
                <w:color w:val="auto"/>
              </w:rPr>
              <w:t>15.78</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60" w:type="dxa"/>
            <w:vAlign w:val="bottom"/>
            <w:gridSpan w:val="3"/>
            <w:shd w:val="clear" w:color="auto" w:fill="CCEEFF"/>
          </w:tcPr>
          <w:p>
            <w:pPr>
              <w:ind w:left="20"/>
              <w:spacing w:after="0" w:line="15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3.36</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Restricted Stock Units</w:t>
      </w:r>
    </w:p>
    <w:p>
      <w:pPr>
        <w:spacing w:after="0" w:line="143"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RSU awards to management vest 25% on the anniversary of the grant date over a period of four years. Beginning in 2020, a performance component has been added to certain of the RSUs granted to management, which vest on the third anniversary of their grant date based on the achievement of certain performance metrics. On March 10, 2020, RSUs covering 287,163 shares were issued to members of executive management and other employees of our Company. Between December 14, 2020 and December 16, 2020, RSUs covering 114,803 shares were issued to members of executive management and other employees of our Company, all of which vest 100% on the anniversary of the grant date over a period of one year. Of these, we granted non-employee directors 60,084 RSUs (as well as 38,803 options) on December 16, 2020. In April 2021, RSUs covering 262,830 shares were issued to members of executive management. These RSUs have two structures, which include time vesting and performance. The majority of RSUs vest 75% evenly over a period of four years, with the remaining 25%, contingent upon the achievement of certain performance metrics, vesting in full on the third anniversary of the date of the grant. In the case of our Chief Executive Officer, RSUs vest 50% evenly over a period of four years with the remaining 50%, contingent upon the achievement of certain performance metrics, vesting in full on the third anniversary of the grant date. RSUs covering 22,888 shares were also issued to other employees of our Company. These awards vest 25% on the anniversary of the grant date over a period of four years. On August 11, 2021, RSUs covering 26,924 shares were issued to non-employee directors; RSUs covering a further 48,951 shares were issued to non-employee directors on December 8, 2021.</w:t>
      </w:r>
    </w:p>
    <w:p>
      <w:pPr>
        <w:spacing w:after="0" w:line="118"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We estimate the grant-date fair values of our RSUs using the Company’s stock price at grant-date and record such fair values as compensation expense over the vesting period on a straight-line basis. Prior to November 7, 2018, RSU awards to non-employee directors vested 100% in January of the following year in which such RSUs were granted. At the November 7, 2018 Board meeting, it was determined that it would be more appropriate for the vesting of RSUs to align with the director’s term of office. Accordingly, the RSUs granted on November 7, 2018, vested on the first to occur of (i) 5:00 pm, Los Angeles, CA time on the last business day prior to the one year anniversary of the grant date, or (ii) the date on which the recipient’s term as a director ended and the recipient or, as the case may be, the recipient’s successor was elected to the board of directors. Accordingly, the RSUs granted to directors on November 7, 2018, vested on May 7, 2019, annual meeting of stockholders. Due to the fact that our Company held our annual meeting of stockholders in May 2019, the vesting period for the RSUs issued on November 7, 2018 was shorter than anticipated. In order to adjust for this factor, the award of RSUs to directors made immediately following the 2019 Annual Meeting of Stockholders was determined using a value of $35,000 or one half of the dollar amount of the prior year’s annual grant. The RSUs issued to non-employee directors on May 7, 2019, vested on May 6, 2020. The RSUs issued to non-employee directors on August 11, 2021 vested on December 8, 2021.</w:t>
      </w:r>
    </w:p>
    <w:p>
      <w:pPr>
        <w:spacing w:after="0" w:line="123"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During the years ended December 31, 2021 and December 31, 2020, we recognized compensation expense related to RSUs of $1.8 million and $1.0 million respectively. The total unrecognized compensation expense related to these unvested RSUs was $2.9 million as of December 31, 2021.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Below is a table that shows the restricted stock units that have been issued and vested during the years ending December 31, 2021 along with the dollar value of these awards: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0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4"/>
          </w:tcPr>
          <w:p>
            <w:pPr>
              <w:ind w:left="640"/>
              <w:spacing w:after="0"/>
              <w:rPr>
                <w:sz w:val="20"/>
                <w:szCs w:val="20"/>
                <w:color w:val="auto"/>
              </w:rPr>
            </w:pPr>
            <w:r>
              <w:rPr>
                <w:rFonts w:ascii="Arial" w:cs="Arial" w:eastAsia="Arial" w:hAnsi="Arial"/>
                <w:sz w:val="12"/>
                <w:szCs w:val="12"/>
                <w:b w:val="1"/>
                <w:bCs w:val="1"/>
                <w:color w:val="auto"/>
              </w:rPr>
              <w:t>Number of RSUs</w:t>
            </w:r>
          </w:p>
        </w:tc>
        <w:tc>
          <w:tcPr>
            <w:tcW w:w="10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ind w:left="840"/>
              <w:spacing w:after="0"/>
              <w:rPr>
                <w:sz w:val="20"/>
                <w:szCs w:val="20"/>
                <w:color w:val="auto"/>
              </w:rPr>
            </w:pPr>
            <w:r>
              <w:rPr>
                <w:rFonts w:ascii="Arial" w:cs="Arial" w:eastAsia="Arial" w:hAnsi="Arial"/>
                <w:sz w:val="12"/>
                <w:szCs w:val="12"/>
                <w:b w:val="1"/>
                <w:bCs w:val="1"/>
                <w:color w:val="auto"/>
                <w:w w:val="83"/>
              </w:rPr>
              <w:t>$ value of RSUs</w:t>
            </w:r>
          </w:p>
        </w:tc>
        <w:tc>
          <w:tcPr>
            <w:tcW w:w="7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r>
      <w:tr>
        <w:trPr>
          <w:trHeight w:val="175"/>
        </w:trPr>
        <w:tc>
          <w:tcPr>
            <w:tcW w:w="2000" w:type="dxa"/>
            <w:vAlign w:val="bottom"/>
          </w:tcPr>
          <w:p>
            <w:pPr>
              <w:spacing w:after="0"/>
              <w:rPr>
                <w:sz w:val="15"/>
                <w:szCs w:val="15"/>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Granted</w:t>
            </w: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2"/>
                <w:szCs w:val="12"/>
                <w:b w:val="1"/>
                <w:bCs w:val="1"/>
                <w:color w:val="auto"/>
              </w:rPr>
              <w:t>Vesting</w:t>
            </w:r>
          </w:p>
        </w:tc>
        <w:tc>
          <w:tcPr>
            <w:tcW w:w="140" w:type="dxa"/>
            <w:vAlign w:val="bottom"/>
          </w:tcPr>
          <w:p>
            <w:pPr>
              <w:spacing w:after="0"/>
              <w:rPr>
                <w:sz w:val="15"/>
                <w:szCs w:val="15"/>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Forfeited</w:t>
            </w: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Unvested</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2"/>
                <w:szCs w:val="12"/>
                <w:b w:val="1"/>
                <w:bCs w:val="1"/>
                <w:color w:val="auto"/>
              </w:rPr>
              <w:t>Granted</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2"/>
                <w:szCs w:val="12"/>
                <w:b w:val="1"/>
                <w:bCs w:val="1"/>
                <w:color w:val="auto"/>
              </w:rPr>
              <w:t>Vesting</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w w:val="85"/>
              </w:rPr>
              <w:t>Forfeited</w:t>
            </w:r>
          </w:p>
        </w:tc>
        <w:tc>
          <w:tcPr>
            <w:tcW w:w="140" w:type="dxa"/>
            <w:vAlign w:val="bottom"/>
          </w:tcPr>
          <w:p>
            <w:pPr>
              <w:spacing w:after="0"/>
              <w:rPr>
                <w:sz w:val="15"/>
                <w:szCs w:val="15"/>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2"/>
                <w:szCs w:val="12"/>
                <w:b w:val="1"/>
                <w:bCs w:val="1"/>
                <w:color w:val="auto"/>
              </w:rPr>
              <w:t>Unvested</w:t>
            </w:r>
          </w:p>
        </w:tc>
      </w:tr>
      <w:tr>
        <w:trPr>
          <w:trHeight w:val="184"/>
        </w:trPr>
        <w:tc>
          <w:tcPr>
            <w:tcW w:w="2000" w:type="dxa"/>
            <w:vAlign w:val="bottom"/>
          </w:tcPr>
          <w:p>
            <w:pPr>
              <w:jc w:val="right"/>
              <w:ind w:right="1628"/>
              <w:spacing w:after="0"/>
              <w:rPr>
                <w:sz w:val="20"/>
                <w:szCs w:val="20"/>
                <w:color w:val="auto"/>
              </w:rPr>
            </w:pPr>
            <w:r>
              <w:rPr>
                <w:rFonts w:ascii="Arial" w:cs="Arial" w:eastAsia="Arial" w:hAnsi="Arial"/>
                <w:sz w:val="14"/>
                <w:szCs w:val="14"/>
                <w:color w:val="auto"/>
                <w:w w:val="89"/>
              </w:rPr>
              <w:t>2016</w:t>
            </w:r>
          </w:p>
        </w:tc>
        <w:tc>
          <w:tcPr>
            <w:tcW w:w="980" w:type="dxa"/>
            <w:vAlign w:val="bottom"/>
          </w:tcPr>
          <w:p>
            <w:pPr>
              <w:jc w:val="right"/>
              <w:spacing w:after="0"/>
              <w:rPr>
                <w:sz w:val="20"/>
                <w:szCs w:val="20"/>
                <w:color w:val="auto"/>
              </w:rPr>
            </w:pPr>
            <w:r>
              <w:rPr>
                <w:rFonts w:ascii="Arial" w:cs="Arial" w:eastAsia="Arial" w:hAnsi="Arial"/>
                <w:sz w:val="14"/>
                <w:szCs w:val="14"/>
                <w:color w:val="auto"/>
              </w:rPr>
              <w:t>68,153</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67,372</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781</w:t>
            </w:r>
          </w:p>
        </w:tc>
        <w:tc>
          <w:tcPr>
            <w:tcW w:w="140" w:type="dxa"/>
            <w:vAlign w:val="bottom"/>
          </w:tcPr>
          <w:p>
            <w:pPr>
              <w:spacing w:after="0"/>
              <w:rPr>
                <w:sz w:val="16"/>
                <w:szCs w:val="16"/>
                <w:color w:val="auto"/>
              </w:rPr>
            </w:pPr>
          </w:p>
        </w:tc>
        <w:tc>
          <w:tcPr>
            <w:tcW w:w="1340" w:type="dxa"/>
            <w:vAlign w:val="bottom"/>
            <w:gridSpan w:val="3"/>
          </w:tcPr>
          <w:p>
            <w:pPr>
              <w:ind w:left="800"/>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815,160</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805,759</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9,400</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2000" w:type="dxa"/>
            <w:vAlign w:val="bottom"/>
            <w:shd w:val="clear" w:color="auto" w:fill="CCEEFF"/>
          </w:tcPr>
          <w:p>
            <w:pPr>
              <w:jc w:val="right"/>
              <w:ind w:right="1628"/>
              <w:spacing w:after="0"/>
              <w:rPr>
                <w:sz w:val="20"/>
                <w:szCs w:val="20"/>
                <w:color w:val="auto"/>
              </w:rPr>
            </w:pPr>
            <w:r>
              <w:rPr>
                <w:rFonts w:ascii="Arial" w:cs="Arial" w:eastAsia="Arial" w:hAnsi="Arial"/>
                <w:sz w:val="14"/>
                <w:szCs w:val="14"/>
                <w:color w:val="auto"/>
                <w:w w:val="89"/>
              </w:rPr>
              <w:t>2017</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70,538</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70,006</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14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1,124,348</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1,115,852</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8,496</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2000" w:type="dxa"/>
            <w:vAlign w:val="bottom"/>
          </w:tcPr>
          <w:p>
            <w:pPr>
              <w:jc w:val="right"/>
              <w:ind w:right="1628"/>
              <w:spacing w:after="0"/>
              <w:rPr>
                <w:sz w:val="20"/>
                <w:szCs w:val="20"/>
                <w:color w:val="auto"/>
              </w:rPr>
            </w:pPr>
            <w:r>
              <w:rPr>
                <w:rFonts w:ascii="Arial" w:cs="Arial" w:eastAsia="Arial" w:hAnsi="Arial"/>
                <w:sz w:val="14"/>
                <w:szCs w:val="14"/>
                <w:color w:val="auto"/>
                <w:w w:val="89"/>
              </w:rPr>
              <w:t>2018</w:t>
            </w:r>
          </w:p>
        </w:tc>
        <w:tc>
          <w:tcPr>
            <w:tcW w:w="980" w:type="dxa"/>
            <w:vAlign w:val="bottom"/>
          </w:tcPr>
          <w:p>
            <w:pPr>
              <w:jc w:val="right"/>
              <w:spacing w:after="0"/>
              <w:rPr>
                <w:sz w:val="20"/>
                <w:szCs w:val="20"/>
                <w:color w:val="auto"/>
              </w:rPr>
            </w:pPr>
            <w:r>
              <w:rPr>
                <w:rFonts w:ascii="Arial" w:cs="Arial" w:eastAsia="Arial" w:hAnsi="Arial"/>
                <w:sz w:val="14"/>
                <w:szCs w:val="14"/>
                <w:color w:val="auto"/>
              </w:rPr>
              <w:t>97,600</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84,491</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2,903</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10,206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1,581,512</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1,366,610</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47,408</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167,493</w:t>
            </w:r>
          </w:p>
        </w:tc>
      </w:tr>
      <w:tr>
        <w:trPr>
          <w:trHeight w:val="184"/>
        </w:trPr>
        <w:tc>
          <w:tcPr>
            <w:tcW w:w="2000" w:type="dxa"/>
            <w:vAlign w:val="bottom"/>
            <w:shd w:val="clear" w:color="auto" w:fill="CCEEFF"/>
          </w:tcPr>
          <w:p>
            <w:pPr>
              <w:jc w:val="right"/>
              <w:ind w:right="1628"/>
              <w:spacing w:after="0"/>
              <w:rPr>
                <w:sz w:val="20"/>
                <w:szCs w:val="20"/>
                <w:color w:val="auto"/>
              </w:rPr>
            </w:pPr>
            <w:r>
              <w:rPr>
                <w:rFonts w:ascii="Arial" w:cs="Arial" w:eastAsia="Arial" w:hAnsi="Arial"/>
                <w:sz w:val="14"/>
                <w:szCs w:val="14"/>
                <w:color w:val="auto"/>
                <w:w w:val="89"/>
              </w:rPr>
              <w:t>2019</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59,258</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33,861</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3,104</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22,293</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944,070</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534,575</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50,005</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359,490</w:t>
            </w:r>
          </w:p>
        </w:tc>
      </w:tr>
      <w:tr>
        <w:trPr>
          <w:trHeight w:val="163"/>
        </w:trPr>
        <w:tc>
          <w:tcPr>
            <w:tcW w:w="2000" w:type="dxa"/>
            <w:vAlign w:val="bottom"/>
          </w:tcPr>
          <w:p>
            <w:pPr>
              <w:jc w:val="right"/>
              <w:ind w:right="1628"/>
              <w:spacing w:after="0"/>
              <w:rPr>
                <w:sz w:val="20"/>
                <w:szCs w:val="20"/>
                <w:color w:val="auto"/>
              </w:rPr>
            </w:pPr>
            <w:r>
              <w:rPr>
                <w:rFonts w:ascii="Arial" w:cs="Arial" w:eastAsia="Arial" w:hAnsi="Arial"/>
                <w:sz w:val="14"/>
                <w:szCs w:val="14"/>
                <w:color w:val="auto"/>
                <w:w w:val="89"/>
              </w:rPr>
              <w:t>2020</w:t>
            </w:r>
          </w:p>
        </w:tc>
        <w:tc>
          <w:tcPr>
            <w:tcW w:w="980" w:type="dxa"/>
            <w:vAlign w:val="bottom"/>
          </w:tcPr>
          <w:p>
            <w:pPr>
              <w:jc w:val="right"/>
              <w:spacing w:after="0"/>
              <w:rPr>
                <w:sz w:val="20"/>
                <w:szCs w:val="20"/>
                <w:color w:val="auto"/>
              </w:rPr>
            </w:pPr>
            <w:r>
              <w:rPr>
                <w:rFonts w:ascii="Arial" w:cs="Arial" w:eastAsia="Arial" w:hAnsi="Arial"/>
                <w:sz w:val="14"/>
                <w:szCs w:val="14"/>
                <w:color w:val="auto"/>
              </w:rPr>
              <w:t>401,966</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162,282</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1,755</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237,929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2,281,899</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817,792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9,172</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1,454,936</w:t>
            </w:r>
          </w:p>
        </w:tc>
      </w:tr>
      <w:tr>
        <w:trPr>
          <w:trHeight w:val="183"/>
        </w:trPr>
        <w:tc>
          <w:tcPr>
            <w:tcW w:w="2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510"/>
              <w:spacing w:after="0"/>
              <w:rPr>
                <w:sz w:val="20"/>
                <w:szCs w:val="20"/>
                <w:color w:val="auto"/>
              </w:rPr>
            </w:pPr>
            <w:r>
              <w:rPr>
                <w:rFonts w:ascii="Arial" w:cs="Arial" w:eastAsia="Arial" w:hAnsi="Arial"/>
                <w:sz w:val="14"/>
                <w:szCs w:val="14"/>
                <w:color w:val="auto"/>
              </w:rPr>
              <w:t>- 99 -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52"/>
        </w:trPr>
        <w:tc>
          <w:tcPr>
            <w:tcW w:w="2000" w:type="dxa"/>
            <w:vAlign w:val="bottom"/>
            <w:tcBorders>
              <w:bottom w:val="single" w:sz="8" w:color="9A9A9A"/>
            </w:tcBorders>
          </w:tcPr>
          <w:p>
            <w:pPr>
              <w:spacing w:after="0"/>
              <w:rPr>
                <w:sz w:val="21"/>
                <w:szCs w:val="21"/>
                <w:color w:val="auto"/>
              </w:rPr>
            </w:pPr>
          </w:p>
        </w:tc>
        <w:tc>
          <w:tcPr>
            <w:tcW w:w="98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98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112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72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422" w:right="3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4"/>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361,593</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26,924</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334,669</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2,185,222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140,005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2,045,217</w:t>
            </w:r>
          </w:p>
        </w:tc>
      </w:tr>
      <w:tr>
        <w:trPr>
          <w:trHeight w:val="155"/>
        </w:trPr>
        <w:tc>
          <w:tcPr>
            <w:tcW w:w="2000" w:type="dxa"/>
            <w:vAlign w:val="bottom"/>
          </w:tcPr>
          <w:p>
            <w:pPr>
              <w:spacing w:after="0" w:line="153" w:lineRule="exact"/>
              <w:rPr>
                <w:sz w:val="20"/>
                <w:szCs w:val="20"/>
                <w:color w:val="auto"/>
              </w:rPr>
            </w:pPr>
            <w:r>
              <w:rPr>
                <w:rFonts w:ascii="Arial" w:cs="Arial" w:eastAsia="Arial" w:hAnsi="Arial"/>
                <w:sz w:val="14"/>
                <w:szCs w:val="14"/>
                <w:color w:val="auto"/>
              </w:rPr>
              <w:t>Total</w:t>
            </w:r>
          </w:p>
        </w:tc>
        <w:tc>
          <w:tcPr>
            <w:tcW w:w="9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1,059,108</w:t>
            </w:r>
          </w:p>
        </w:tc>
        <w:tc>
          <w:tcPr>
            <w:tcW w:w="14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444,936</w:t>
            </w:r>
          </w:p>
        </w:tc>
        <w:tc>
          <w:tcPr>
            <w:tcW w:w="14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9,075</w:t>
            </w:r>
          </w:p>
        </w:tc>
        <w:tc>
          <w:tcPr>
            <w:tcW w:w="14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605,097</w:t>
            </w:r>
          </w:p>
        </w:tc>
        <w:tc>
          <w:tcPr>
            <w:tcW w:w="14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8,932,211</w:t>
            </w: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4,780,593</w:t>
            </w:r>
          </w:p>
        </w:tc>
        <w:tc>
          <w:tcPr>
            <w:tcW w:w="1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88"/>
              <w:spacing w:after="0" w:line="153"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124,481</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4,027,136</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2017 Stock Repurchase Plan</w:t>
      </w:r>
    </w:p>
    <w:p>
      <w:pPr>
        <w:spacing w:after="0" w:line="143" w:lineRule="exact"/>
        <w:rPr>
          <w:sz w:val="20"/>
          <w:szCs w:val="20"/>
          <w:color w:val="auto"/>
        </w:rPr>
      </w:pPr>
    </w:p>
    <w:p>
      <w:pPr>
        <w:ind w:right="140"/>
        <w:spacing w:after="0" w:line="242" w:lineRule="auto"/>
        <w:rPr>
          <w:sz w:val="20"/>
          <w:szCs w:val="20"/>
          <w:color w:val="auto"/>
        </w:rPr>
      </w:pPr>
      <w:r>
        <w:rPr>
          <w:rFonts w:ascii="Arial" w:cs="Arial" w:eastAsia="Arial" w:hAnsi="Arial"/>
          <w:sz w:val="14"/>
          <w:szCs w:val="14"/>
          <w:color w:val="auto"/>
        </w:rPr>
        <w:t>On March 14, 2019, the Board of Directors extended our Company’s stock repurchase program for two years, through March 2, 2021. The Board did not increase the authorized amount, which was initially fixed at $25.0 million. On March 10, 2020, the Board increased the authorized amount by $25.0 million and extended it to March 2, 2022. At the present time, the repurchase program authorization is $26.0 million.</w:t>
      </w:r>
    </w:p>
    <w:p>
      <w:pPr>
        <w:spacing w:after="0" w:line="120"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The repurchase program allows Reading to repurchase its shares in accordance with the requirements of the SEC on the open market, in block trades and in privately negotiated transactions, depending on market conditions and other factors. All purchases are subject to the availability of shares at prices that are acceptable to Reading, and accordingly, no assurances can be given as to the timing or number of shares that may ultimately be acquired pursuant to this authorization.</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Under the stock repurchase program, as of December 31, 2021, our Company had reacquired a total of 1,792,819 shares of Class A Non-Voting Common Stock for $24.0 million at an average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price of $13.39 per share (excluding transaction costs). 75,157 shares of Class A Non-Voting Common Stock were purchased during the quarter ended March 31, 2020 at an average price of</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$8.92 per share. No shares have been repurchased since. The last share repurchase made by our Company was made on March 5, 2020, at which time 25,000 shares were purchased at an average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cost per share of $7.30. This leaves $26.0 million available under the March 2, 2017 program, as extended, to March 2, 2022.</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16 – ACCUMULATED OTHER COMPREHENSIVE INCOME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changes in each component of accumulated other comprehensive income attributable to RDI:</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Unrealized</w:t>
            </w:r>
          </w:p>
        </w:tc>
        <w:tc>
          <w:tcPr>
            <w:tcW w:w="24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83"/>
              </w:rPr>
              <w:t>Accrued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7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tcPr>
          <w:p>
            <w:pPr>
              <w:jc w:val="center"/>
              <w:ind w:right="320"/>
              <w:spacing w:after="0" w:line="115" w:lineRule="exact"/>
              <w:rPr>
                <w:sz w:val="20"/>
                <w:szCs w:val="20"/>
                <w:color w:val="auto"/>
              </w:rPr>
            </w:pPr>
            <w:r>
              <w:rPr>
                <w:rFonts w:ascii="Arial" w:cs="Arial" w:eastAsia="Arial" w:hAnsi="Arial"/>
                <w:sz w:val="12"/>
                <w:szCs w:val="12"/>
                <w:b w:val="1"/>
                <w:bCs w:val="1"/>
                <w:color w:val="auto"/>
                <w:w w:val="85"/>
              </w:rPr>
              <w:t>Gain (Losses)</w:t>
            </w:r>
          </w:p>
        </w:tc>
        <w:tc>
          <w:tcPr>
            <w:tcW w:w="2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7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center"/>
              <w:ind w:right="340"/>
              <w:spacing w:after="0" w:line="120" w:lineRule="exact"/>
              <w:rPr>
                <w:sz w:val="20"/>
                <w:szCs w:val="20"/>
                <w:color w:val="auto"/>
              </w:rPr>
            </w:pPr>
            <w:r>
              <w:rPr>
                <w:rFonts w:ascii="Arial" w:cs="Arial" w:eastAsia="Arial" w:hAnsi="Arial"/>
                <w:sz w:val="12"/>
                <w:szCs w:val="12"/>
                <w:b w:val="1"/>
                <w:bCs w:val="1"/>
                <w:color w:val="auto"/>
                <w:w w:val="86"/>
              </w:rPr>
              <w:t>Foreign</w:t>
            </w:r>
          </w:p>
        </w:tc>
        <w:tc>
          <w:tcPr>
            <w:tcW w:w="180" w:type="dxa"/>
            <w:vAlign w:val="bottom"/>
          </w:tcPr>
          <w:p>
            <w:pPr>
              <w:spacing w:after="0"/>
              <w:rPr>
                <w:sz w:val="10"/>
                <w:szCs w:val="10"/>
                <w:color w:val="auto"/>
              </w:rPr>
            </w:pPr>
          </w:p>
        </w:tc>
        <w:tc>
          <w:tcPr>
            <w:tcW w:w="1160" w:type="dxa"/>
            <w:vAlign w:val="bottom"/>
            <w:gridSpan w:val="2"/>
          </w:tcPr>
          <w:p>
            <w:pPr>
              <w:jc w:val="center"/>
              <w:ind w:right="320"/>
              <w:spacing w:after="0" w:line="120" w:lineRule="exact"/>
              <w:rPr>
                <w:sz w:val="20"/>
                <w:szCs w:val="20"/>
                <w:color w:val="auto"/>
              </w:rPr>
            </w:pPr>
            <w:r>
              <w:rPr>
                <w:rFonts w:ascii="Arial" w:cs="Arial" w:eastAsia="Arial" w:hAnsi="Arial"/>
                <w:sz w:val="12"/>
                <w:szCs w:val="12"/>
                <w:b w:val="1"/>
                <w:bCs w:val="1"/>
                <w:color w:val="auto"/>
                <w:w w:val="85"/>
              </w:rPr>
              <w:t>on Available-</w:t>
            </w:r>
          </w:p>
        </w:tc>
        <w:tc>
          <w:tcPr>
            <w:tcW w:w="240" w:type="dxa"/>
            <w:vAlign w:val="bottom"/>
          </w:tcPr>
          <w:p>
            <w:pPr>
              <w:spacing w:after="0"/>
              <w:rPr>
                <w:sz w:val="10"/>
                <w:szCs w:val="10"/>
                <w:color w:val="auto"/>
              </w:rPr>
            </w:pPr>
          </w:p>
        </w:tc>
        <w:tc>
          <w:tcPr>
            <w:tcW w:w="1040" w:type="dxa"/>
            <w:vAlign w:val="bottom"/>
            <w:gridSpan w:val="2"/>
          </w:tcPr>
          <w:p>
            <w:pPr>
              <w:jc w:val="center"/>
              <w:ind w:right="320"/>
              <w:spacing w:after="0" w:line="120" w:lineRule="exact"/>
              <w:rPr>
                <w:sz w:val="20"/>
                <w:szCs w:val="20"/>
                <w:color w:val="auto"/>
              </w:rPr>
            </w:pPr>
            <w:r>
              <w:rPr>
                <w:rFonts w:ascii="Arial" w:cs="Arial" w:eastAsia="Arial" w:hAnsi="Arial"/>
                <w:sz w:val="12"/>
                <w:szCs w:val="12"/>
                <w:b w:val="1"/>
                <w:bCs w:val="1"/>
                <w:color w:val="auto"/>
                <w:w w:val="85"/>
              </w:rPr>
              <w:t>Pension</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87"/>
              </w:rPr>
              <w:t>Hedge</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7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center"/>
              <w:ind w:right="340"/>
              <w:spacing w:after="0" w:line="110" w:lineRule="exact"/>
              <w:rPr>
                <w:sz w:val="20"/>
                <w:szCs w:val="20"/>
                <w:color w:val="auto"/>
              </w:rPr>
            </w:pPr>
            <w:r>
              <w:rPr>
                <w:rFonts w:ascii="Arial" w:cs="Arial" w:eastAsia="Arial" w:hAnsi="Arial"/>
                <w:sz w:val="12"/>
                <w:szCs w:val="12"/>
                <w:b w:val="1"/>
                <w:bCs w:val="1"/>
                <w:color w:val="auto"/>
                <w:w w:val="87"/>
              </w:rPr>
              <w:t>Currency</w:t>
            </w:r>
          </w:p>
        </w:tc>
        <w:tc>
          <w:tcPr>
            <w:tcW w:w="180" w:type="dxa"/>
            <w:vAlign w:val="bottom"/>
          </w:tcPr>
          <w:p>
            <w:pPr>
              <w:spacing w:after="0"/>
              <w:rPr>
                <w:sz w:val="9"/>
                <w:szCs w:val="9"/>
                <w:color w:val="auto"/>
              </w:rPr>
            </w:pPr>
          </w:p>
        </w:tc>
        <w:tc>
          <w:tcPr>
            <w:tcW w:w="1160" w:type="dxa"/>
            <w:vAlign w:val="bottom"/>
            <w:gridSpan w:val="2"/>
          </w:tcPr>
          <w:p>
            <w:pPr>
              <w:jc w:val="center"/>
              <w:ind w:right="320"/>
              <w:spacing w:after="0" w:line="110" w:lineRule="exact"/>
              <w:rPr>
                <w:sz w:val="20"/>
                <w:szCs w:val="20"/>
                <w:color w:val="auto"/>
              </w:rPr>
            </w:pPr>
            <w:r>
              <w:rPr>
                <w:rFonts w:ascii="Arial" w:cs="Arial" w:eastAsia="Arial" w:hAnsi="Arial"/>
                <w:sz w:val="12"/>
                <w:szCs w:val="12"/>
                <w:b w:val="1"/>
                <w:bCs w:val="1"/>
                <w:color w:val="auto"/>
                <w:w w:val="89"/>
              </w:rPr>
              <w:t>for-Sale</w:t>
            </w:r>
          </w:p>
        </w:tc>
        <w:tc>
          <w:tcPr>
            <w:tcW w:w="240" w:type="dxa"/>
            <w:vAlign w:val="bottom"/>
          </w:tcPr>
          <w:p>
            <w:pPr>
              <w:spacing w:after="0"/>
              <w:rPr>
                <w:sz w:val="9"/>
                <w:szCs w:val="9"/>
                <w:color w:val="auto"/>
              </w:rPr>
            </w:pPr>
          </w:p>
        </w:tc>
        <w:tc>
          <w:tcPr>
            <w:tcW w:w="1040" w:type="dxa"/>
            <w:vAlign w:val="bottom"/>
            <w:gridSpan w:val="2"/>
          </w:tcPr>
          <w:p>
            <w:pPr>
              <w:jc w:val="center"/>
              <w:ind w:right="320"/>
              <w:spacing w:after="0" w:line="110" w:lineRule="exact"/>
              <w:rPr>
                <w:sz w:val="20"/>
                <w:szCs w:val="20"/>
                <w:color w:val="auto"/>
              </w:rPr>
            </w:pPr>
            <w:r>
              <w:rPr>
                <w:rFonts w:ascii="Arial" w:cs="Arial" w:eastAsia="Arial" w:hAnsi="Arial"/>
                <w:sz w:val="12"/>
                <w:szCs w:val="12"/>
                <w:b w:val="1"/>
                <w:bCs w:val="1"/>
                <w:color w:val="auto"/>
                <w:w w:val="84"/>
              </w:rPr>
              <w:t>Service</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84"/>
              </w:rPr>
              <w:t>Accounting</w:t>
            </w: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580" w:type="dxa"/>
            <w:vAlign w:val="bottom"/>
            <w:gridSpan w:val="2"/>
          </w:tcPr>
          <w:p>
            <w:pPr>
              <w:spacing w:after="0"/>
              <w:rPr>
                <w:sz w:val="20"/>
                <w:szCs w:val="20"/>
                <w:color w:val="auto"/>
              </w:rPr>
            </w:pPr>
            <w:r>
              <w:rPr>
                <w:rFonts w:ascii="Arial" w:cs="Arial" w:eastAsia="Arial" w:hAnsi="Arial"/>
                <w:sz w:val="12"/>
                <w:szCs w:val="12"/>
                <w:i w:val="1"/>
                <w:iCs w:val="1"/>
                <w:color w:val="auto"/>
              </w:rPr>
              <w:t>(Dollars in thousands)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340"/>
              <w:spacing w:after="0" w:line="151" w:lineRule="exact"/>
              <w:rPr>
                <w:sz w:val="20"/>
                <w:szCs w:val="20"/>
                <w:color w:val="auto"/>
              </w:rPr>
            </w:pPr>
            <w:r>
              <w:rPr>
                <w:rFonts w:ascii="Arial" w:cs="Arial" w:eastAsia="Arial" w:hAnsi="Arial"/>
                <w:sz w:val="11"/>
                <w:szCs w:val="11"/>
                <w:b w:val="1"/>
                <w:bCs w:val="1"/>
                <w:color w:val="auto"/>
                <w:w w:val="89"/>
              </w:rPr>
              <w:t>Items</w:t>
            </w:r>
            <w:r>
              <w:rPr>
                <w:rFonts w:ascii="Arial" w:cs="Arial" w:eastAsia="Arial" w:hAnsi="Arial"/>
                <w:sz w:val="17"/>
                <w:szCs w:val="17"/>
                <w:b w:val="1"/>
                <w:bCs w:val="1"/>
                <w:color w:val="auto"/>
                <w:w w:val="89"/>
                <w:vertAlign w:val="superscript"/>
              </w:rPr>
              <w:t>(1)</w:t>
            </w:r>
          </w:p>
        </w:tc>
        <w:tc>
          <w:tcPr>
            <w:tcW w:w="18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Investments</w:t>
            </w:r>
          </w:p>
        </w:tc>
        <w:tc>
          <w:tcPr>
            <w:tcW w:w="240" w:type="dxa"/>
            <w:vAlign w:val="bottom"/>
          </w:tcPr>
          <w:p>
            <w:pPr>
              <w:spacing w:after="0"/>
              <w:rPr>
                <w:sz w:val="13"/>
                <w:szCs w:val="13"/>
                <w:color w:val="auto"/>
              </w:rPr>
            </w:pPr>
          </w:p>
        </w:tc>
        <w:tc>
          <w:tcPr>
            <w:tcW w:w="1040" w:type="dxa"/>
            <w:vAlign w:val="bottom"/>
            <w:gridSpan w:val="2"/>
          </w:tcPr>
          <w:p>
            <w:pPr>
              <w:jc w:val="center"/>
              <w:ind w:right="320"/>
              <w:spacing w:after="0" w:line="151" w:lineRule="exact"/>
              <w:rPr>
                <w:sz w:val="20"/>
                <w:szCs w:val="20"/>
                <w:color w:val="auto"/>
              </w:rPr>
            </w:pPr>
            <w:r>
              <w:rPr>
                <w:rFonts w:ascii="Arial" w:cs="Arial" w:eastAsia="Arial" w:hAnsi="Arial"/>
                <w:sz w:val="11"/>
                <w:szCs w:val="11"/>
                <w:b w:val="1"/>
                <w:bCs w:val="1"/>
                <w:color w:val="auto"/>
                <w:w w:val="89"/>
              </w:rPr>
              <w:t>Costs</w:t>
            </w:r>
            <w:r>
              <w:rPr>
                <w:rFonts w:ascii="Arial" w:cs="Arial" w:eastAsia="Arial" w:hAnsi="Arial"/>
                <w:sz w:val="17"/>
                <w:szCs w:val="17"/>
                <w:b w:val="1"/>
                <w:bCs w:val="1"/>
                <w:color w:val="auto"/>
                <w:w w:val="89"/>
                <w:vertAlign w:val="superscript"/>
              </w:rPr>
              <w:t>(2)</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260"/>
              <w:spacing w:after="0" w:line="151" w:lineRule="exact"/>
              <w:rPr>
                <w:sz w:val="20"/>
                <w:szCs w:val="20"/>
                <w:color w:val="auto"/>
              </w:rPr>
            </w:pPr>
            <w:r>
              <w:rPr>
                <w:rFonts w:ascii="Arial" w:cs="Arial" w:eastAsia="Arial" w:hAnsi="Arial"/>
                <w:sz w:val="11"/>
                <w:szCs w:val="11"/>
                <w:b w:val="1"/>
                <w:bCs w:val="1"/>
                <w:color w:val="auto"/>
                <w:w w:val="88"/>
              </w:rPr>
              <w:t>Reserve</w:t>
            </w:r>
            <w:r>
              <w:rPr>
                <w:rFonts w:ascii="Arial" w:cs="Arial" w:eastAsia="Arial" w:hAnsi="Arial"/>
                <w:sz w:val="17"/>
                <w:szCs w:val="17"/>
                <w:b w:val="1"/>
                <w:bCs w:val="1"/>
                <w:color w:val="auto"/>
                <w:w w:val="88"/>
                <w:vertAlign w:val="superscript"/>
              </w:rPr>
              <w:t>(3)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ind w:left="2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2"/>
        </w:trPr>
        <w:tc>
          <w:tcPr>
            <w:tcW w:w="4580" w:type="dxa"/>
            <w:vAlign w:val="bottom"/>
            <w:tcBorders>
              <w:top w:val="single" w:sz="8" w:color="auto"/>
            </w:tcBorders>
            <w:gridSpan w:val="2"/>
            <w:shd w:val="clear" w:color="auto" w:fill="CCEEFF"/>
          </w:tcPr>
          <w:p>
            <w:pPr>
              <w:spacing w:after="0" w:line="152" w:lineRule="exact"/>
              <w:rPr>
                <w:sz w:val="20"/>
                <w:szCs w:val="20"/>
                <w:color w:val="auto"/>
              </w:rPr>
            </w:pPr>
            <w:r>
              <w:rPr>
                <w:rFonts w:ascii="Arial" w:cs="Arial" w:eastAsia="Arial" w:hAnsi="Arial"/>
                <w:sz w:val="14"/>
                <w:szCs w:val="14"/>
                <w:color w:val="auto"/>
              </w:rPr>
              <w:t>Balance at January 1, 2021</w:t>
            </w: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14,966</w:t>
            </w: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(12)</w:t>
            </w: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88"/>
              <w:spacing w:after="0" w:line="15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(2,135)</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line="15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(317)</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28"/>
              <w:spacing w:after="0" w:line="15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12,502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700" w:type="dxa"/>
            <w:vAlign w:val="bottom"/>
            <w:tcBorders>
              <w:bottom w:val="single" w:sz="8" w:color="auto"/>
            </w:tcBorders>
            <w:shd w:val="clear" w:color="auto" w:fill="CCEEFF"/>
          </w:tcPr>
          <w:p>
            <w:pPr>
              <w:spacing w:after="0" w:line="130" w:lineRule="exact"/>
              <w:rPr>
                <w:sz w:val="20"/>
                <w:szCs w:val="20"/>
                <w:color w:val="auto"/>
              </w:rPr>
            </w:pPr>
            <w:r>
              <w:rPr>
                <w:rFonts w:ascii="Arial" w:cs="Arial" w:eastAsia="Arial" w:hAnsi="Arial"/>
                <w:sz w:val="14"/>
                <w:szCs w:val="14"/>
                <w:color w:val="auto"/>
                <w:w w:val="92"/>
              </w:rPr>
              <w:t>Change related to derivatives</w:t>
            </w:r>
          </w:p>
        </w:tc>
        <w:tc>
          <w:tcPr>
            <w:tcW w:w="28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580" w:type="dxa"/>
            <w:vAlign w:val="bottom"/>
            <w:gridSpan w:val="2"/>
          </w:tcPr>
          <w:p>
            <w:pPr>
              <w:spacing w:after="0" w:line="152" w:lineRule="exact"/>
              <w:rPr>
                <w:sz w:val="20"/>
                <w:szCs w:val="20"/>
                <w:color w:val="auto"/>
              </w:rPr>
            </w:pPr>
            <w:r>
              <w:rPr>
                <w:rFonts w:ascii="Arial" w:cs="Arial" w:eastAsia="Arial" w:hAnsi="Arial"/>
                <w:sz w:val="14"/>
                <w:szCs w:val="14"/>
                <w:color w:val="auto"/>
                <w:w w:val="98"/>
              </w:rPr>
              <w:t>Total change in hedge fair value recorded in Other Comprehensive Income</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180"/>
              <w:spacing w:after="0" w:line="15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60" w:type="dxa"/>
            <w:vAlign w:val="bottom"/>
            <w:gridSpan w:val="2"/>
          </w:tcPr>
          <w:p>
            <w:pPr>
              <w:jc w:val="right"/>
              <w:ind w:right="200"/>
              <w:spacing w:after="0" w:line="15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120"/>
              <w:spacing w:after="0" w:line="15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80"/>
              <w:spacing w:after="0" w:line="152" w:lineRule="exact"/>
              <w:rPr>
                <w:sz w:val="20"/>
                <w:szCs w:val="20"/>
                <w:color w:val="auto"/>
              </w:rPr>
            </w:pPr>
            <w:r>
              <w:rPr>
                <w:rFonts w:ascii="Arial" w:cs="Arial" w:eastAsia="Arial" w:hAnsi="Arial"/>
                <w:sz w:val="14"/>
                <w:szCs w:val="14"/>
                <w:color w:val="auto"/>
              </w:rPr>
              <w:t>153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line="152" w:lineRule="exact"/>
              <w:rPr>
                <w:sz w:val="20"/>
                <w:szCs w:val="20"/>
                <w:color w:val="auto"/>
              </w:rPr>
            </w:pPr>
            <w:r>
              <w:rPr>
                <w:rFonts w:ascii="Arial" w:cs="Arial" w:eastAsia="Arial" w:hAnsi="Arial"/>
                <w:sz w:val="14"/>
                <w:szCs w:val="14"/>
                <w:color w:val="auto"/>
              </w:rPr>
              <w:t>153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58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Amounts reclassified from accumulated other comprehensive income</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line="15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00"/>
              <w:spacing w:after="0" w:line="15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187</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580" w:type="dxa"/>
            <w:vAlign w:val="bottom"/>
            <w:gridSpan w:val="2"/>
          </w:tcPr>
          <w:p>
            <w:pPr>
              <w:spacing w:after="0" w:line="143" w:lineRule="exact"/>
              <w:rPr>
                <w:sz w:val="20"/>
                <w:szCs w:val="20"/>
                <w:color w:val="auto"/>
              </w:rPr>
            </w:pPr>
            <w:r>
              <w:rPr>
                <w:rFonts w:ascii="Arial" w:cs="Arial" w:eastAsia="Arial" w:hAnsi="Arial"/>
                <w:sz w:val="14"/>
                <w:szCs w:val="14"/>
                <w:color w:val="auto"/>
              </w:rPr>
              <w:t>Net change related to derivatives</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340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0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580" w:type="dxa"/>
            <w:vAlign w:val="bottom"/>
            <w:gridSpan w:val="2"/>
          </w:tcPr>
          <w:p>
            <w:pPr>
              <w:spacing w:after="0" w:line="152" w:lineRule="exact"/>
              <w:rPr>
                <w:sz w:val="20"/>
                <w:szCs w:val="20"/>
                <w:color w:val="auto"/>
              </w:rPr>
            </w:pPr>
            <w:r>
              <w:rPr>
                <w:rFonts w:ascii="Arial" w:cs="Arial" w:eastAsia="Arial" w:hAnsi="Arial"/>
                <w:sz w:val="14"/>
                <w:szCs w:val="14"/>
                <w:color w:val="auto"/>
              </w:rPr>
              <w:t>Net current-period other comprehensive income</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(8,124)</w:t>
            </w:r>
          </w:p>
        </w:tc>
        <w:tc>
          <w:tcPr>
            <w:tcW w:w="180" w:type="dxa"/>
            <w:vAlign w:val="bottom"/>
          </w:tcPr>
          <w:p>
            <w:pPr>
              <w:spacing w:after="0"/>
              <w:rPr>
                <w:sz w:val="13"/>
                <w:szCs w:val="13"/>
                <w:color w:val="auto"/>
              </w:rPr>
            </w:pPr>
          </w:p>
        </w:tc>
        <w:tc>
          <w:tcPr>
            <w:tcW w:w="1020" w:type="dxa"/>
            <w:vAlign w:val="bottom"/>
          </w:tcPr>
          <w:p>
            <w:pPr>
              <w:jc w:val="right"/>
              <w:spacing w:after="0" w:line="152"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line="152" w:lineRule="exact"/>
              <w:rPr>
                <w:sz w:val="20"/>
                <w:szCs w:val="20"/>
                <w:color w:val="auto"/>
              </w:rPr>
            </w:pPr>
            <w:r>
              <w:rPr>
                <w:rFonts w:ascii="Arial" w:cs="Arial" w:eastAsia="Arial" w:hAnsi="Arial"/>
                <w:sz w:val="14"/>
                <w:szCs w:val="14"/>
                <w:color w:val="auto"/>
              </w:rPr>
              <w:t>166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80"/>
              <w:spacing w:after="0" w:line="152" w:lineRule="exact"/>
              <w:rPr>
                <w:sz w:val="20"/>
                <w:szCs w:val="20"/>
                <w:color w:val="auto"/>
              </w:rPr>
            </w:pPr>
            <w:r>
              <w:rPr>
                <w:rFonts w:ascii="Arial" w:cs="Arial" w:eastAsia="Arial" w:hAnsi="Arial"/>
                <w:sz w:val="14"/>
                <w:szCs w:val="14"/>
                <w:color w:val="auto"/>
              </w:rPr>
              <w:t>340</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line="152" w:lineRule="exact"/>
              <w:rPr>
                <w:sz w:val="20"/>
                <w:szCs w:val="20"/>
                <w:color w:val="auto"/>
              </w:rPr>
            </w:pPr>
            <w:r>
              <w:rPr>
                <w:rFonts w:ascii="Arial" w:cs="Arial" w:eastAsia="Arial" w:hAnsi="Arial"/>
                <w:sz w:val="14"/>
                <w:szCs w:val="14"/>
                <w:color w:val="auto"/>
              </w:rPr>
              <w:t>(7,620)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80" w:type="dxa"/>
            <w:vAlign w:val="bottom"/>
            <w:tcBorders>
              <w:top w:val="single" w:sz="8" w:color="CCEEFF"/>
              <w:bottom w:val="single" w:sz="8" w:color="CCEEFF"/>
            </w:tcBorders>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Balance at December 31, 2021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6,842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3"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(14)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88"/>
              <w:spacing w:after="0" w:line="143"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(1,969)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8"/>
              <w:spacing w:after="0" w:line="143"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23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28"/>
              <w:spacing w:after="0" w:line="143"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4,882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520" w:hanging="253"/>
        <w:spacing w:after="0"/>
        <w:tabs>
          <w:tab w:leader="none" w:pos="5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Net of income tax expense of $36,000.</w:t>
      </w:r>
    </w:p>
    <w:p>
      <w:pPr>
        <w:ind w:left="520" w:hanging="253"/>
        <w:spacing w:after="0" w:line="207" w:lineRule="auto"/>
        <w:tabs>
          <w:tab w:leader="none" w:pos="5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Net of income tax expense of $41,000.</w:t>
      </w:r>
    </w:p>
    <w:p>
      <w:pPr>
        <w:ind w:left="520" w:hanging="253"/>
        <w:spacing w:after="0" w:line="238" w:lineRule="auto"/>
        <w:tabs>
          <w:tab w:leader="none" w:pos="5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Net of income tax expense of $66,000.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u w:val="single" w:color="auto"/>
          <w:color w:val="auto"/>
        </w:rPr>
        <w:t>NOTE 17 – FAIR VALUE MEASUREMENTS</w:t>
      </w:r>
    </w:p>
    <w:p>
      <w:pPr>
        <w:spacing w:after="0" w:line="147" w:lineRule="exact"/>
        <w:rPr>
          <w:sz w:val="20"/>
          <w:szCs w:val="20"/>
          <w:color w:val="auto"/>
        </w:rPr>
      </w:pPr>
    </w:p>
    <w:p>
      <w:pPr>
        <w:ind w:right="20"/>
        <w:spacing w:after="0" w:line="235" w:lineRule="auto"/>
        <w:rPr>
          <w:sz w:val="20"/>
          <w:szCs w:val="20"/>
          <w:color w:val="auto"/>
        </w:rPr>
      </w:pPr>
      <w:r>
        <w:rPr>
          <w:rFonts w:ascii="Arial" w:cs="Arial" w:eastAsia="Arial" w:hAnsi="Arial"/>
          <w:sz w:val="14"/>
          <w:szCs w:val="14"/>
          <w:color w:val="auto"/>
        </w:rPr>
        <w:t>Fair value is defined as the price that would be received to sell an asset or paid to transfer a liability in an orderly transaction between market participants at the measurement date. If quoted prices in an active market are available, fair value is determined by reference to these prices. If quoted prices are not available, fair value is determined by valuation models that primarily use, as inputs, market-based or independently sourced parameters, including but not limited to interest rates, volatilities, and credit curves. Additionally, we may reference prices for similar instruments, quoted prices or recent transactions in less active markets. We use prices and inputs that are current as of the measurement date. Assets and liabilities that are carried at fair value (either recurring or non-recurring basis) are classified and disclosed in one of the following categories:</w:t>
      </w:r>
    </w:p>
    <w:p>
      <w:pPr>
        <w:spacing w:after="0" w:line="43" w:lineRule="exact"/>
        <w:rPr>
          <w:sz w:val="20"/>
          <w:szCs w:val="20"/>
          <w:color w:val="auto"/>
        </w:rPr>
      </w:pPr>
    </w:p>
    <w:p>
      <w:pPr>
        <w:ind w:left="520" w:right="140"/>
        <w:spacing w:after="0" w:line="253" w:lineRule="auto"/>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4"/>
          <w:szCs w:val="14"/>
          <w:color w:val="auto"/>
        </w:rPr>
        <w:t>Quoted (unadjusted) prices in active markets that are accessible at the measurement date for identical, unrestricted assets or liabilities. This consist primarily of investments in</w:t>
      </w:r>
      <w:r>
        <w:rPr>
          <w:rFonts w:ascii="Arial" w:cs="Arial" w:eastAsia="Arial" w:hAnsi="Arial"/>
          <w:sz w:val="14"/>
          <w:szCs w:val="14"/>
          <w:b w:val="1"/>
          <w:bCs w:val="1"/>
          <w:color w:val="auto"/>
        </w:rPr>
        <w:t xml:space="preserve"> </w:t>
      </w:r>
      <w:r>
        <w:rPr>
          <w:rFonts w:ascii="Arial" w:cs="Arial" w:eastAsia="Arial" w:hAnsi="Arial"/>
          <w:sz w:val="14"/>
          <w:szCs w:val="14"/>
          <w:color w:val="auto"/>
        </w:rPr>
        <w:t>marketable securities which are our investments associated with the ownership of marketable securities in U.S. and New Zealand. These investments are valued based on observable market quotes on the last trading date of the reporting period.</w:t>
      </w:r>
    </w:p>
    <w:p>
      <w:pPr>
        <w:spacing w:after="0" w:line="22" w:lineRule="exact"/>
        <w:rPr>
          <w:sz w:val="20"/>
          <w:szCs w:val="20"/>
          <w:color w:val="auto"/>
        </w:rPr>
      </w:pPr>
    </w:p>
    <w:p>
      <w:pPr>
        <w:ind w:left="520" w:right="120"/>
        <w:spacing w:after="0" w:line="269" w:lineRule="auto"/>
        <w:rPr>
          <w:sz w:val="20"/>
          <w:szCs w:val="20"/>
          <w:color w:val="auto"/>
        </w:rPr>
      </w:pPr>
      <w:r>
        <w:rPr>
          <w:rFonts w:ascii="Arial" w:cs="Arial" w:eastAsia="Arial" w:hAnsi="Arial"/>
          <w:sz w:val="13"/>
          <w:szCs w:val="13"/>
          <w:b w:val="1"/>
          <w:bCs w:val="1"/>
          <w:color w:val="auto"/>
        </w:rPr>
        <w:t xml:space="preserve">Level 2: </w:t>
      </w:r>
      <w:r>
        <w:rPr>
          <w:rFonts w:ascii="Arial" w:cs="Arial" w:eastAsia="Arial" w:hAnsi="Arial"/>
          <w:sz w:val="13"/>
          <w:szCs w:val="13"/>
          <w:color w:val="auto"/>
        </w:rPr>
        <w:t>Quoted prices in active markets for similar assets and liabilities, or inputs that are observable, either directly or indirectly, for substantially the full term of the asset or liability.</w:t>
      </w:r>
      <w:r>
        <w:rPr>
          <w:rFonts w:ascii="Arial" w:cs="Arial" w:eastAsia="Arial" w:hAnsi="Arial"/>
          <w:sz w:val="13"/>
          <w:szCs w:val="13"/>
          <w:b w:val="1"/>
          <w:bCs w:val="1"/>
          <w:color w:val="auto"/>
        </w:rPr>
        <w:t xml:space="preserve"> </w:t>
      </w:r>
      <w:r>
        <w:rPr>
          <w:rFonts w:ascii="Arial" w:cs="Arial" w:eastAsia="Arial" w:hAnsi="Arial"/>
          <w:sz w:val="13"/>
          <w:szCs w:val="13"/>
          <w:color w:val="auto"/>
        </w:rPr>
        <w:t>This category includes our derivative financial instruments which are valued based on discounted cash flow models that incorporate observable inputs such as interest rates and yield curves from the derivative counterparties. The credit valuation adjustments associated with our non-performance risk and counterparty credit risk are incorporated in the fair value estimates of our derivatives. As of December 31, 2021 and 2020, we concluded that the credit valuation adjustments were not significant to the overall valuation of our derivatives.</w:t>
      </w:r>
    </w:p>
    <w:p>
      <w:pPr>
        <w:spacing w:after="0" w:line="24" w:lineRule="exact"/>
        <w:rPr>
          <w:sz w:val="20"/>
          <w:szCs w:val="20"/>
          <w:color w:val="auto"/>
        </w:rPr>
      </w:pPr>
    </w:p>
    <w:p>
      <w:pPr>
        <w:ind w:left="520" w:right="340"/>
        <w:spacing w:after="0" w:line="280" w:lineRule="auto"/>
        <w:rPr>
          <w:sz w:val="20"/>
          <w:szCs w:val="20"/>
          <w:color w:val="auto"/>
        </w:rPr>
      </w:pPr>
      <w:r>
        <w:rPr>
          <w:rFonts w:ascii="Arial" w:cs="Arial" w:eastAsia="Arial" w:hAnsi="Arial"/>
          <w:sz w:val="14"/>
          <w:szCs w:val="14"/>
          <w:b w:val="1"/>
          <w:bCs w:val="1"/>
          <w:color w:val="auto"/>
        </w:rPr>
        <w:t xml:space="preserve">Level 3: </w:t>
      </w:r>
      <w:r>
        <w:rPr>
          <w:rFonts w:ascii="Arial" w:cs="Arial" w:eastAsia="Arial" w:hAnsi="Arial"/>
          <w:sz w:val="14"/>
          <w:szCs w:val="14"/>
          <w:color w:val="auto"/>
        </w:rPr>
        <w:t>Unobservable inputs that are supported by little or no market activity may require significant judgment in order to determine the fair value of the assets and liabilities. This</w:t>
      </w:r>
      <w:r>
        <w:rPr>
          <w:rFonts w:ascii="Arial" w:cs="Arial" w:eastAsia="Arial" w:hAnsi="Arial"/>
          <w:sz w:val="14"/>
          <w:szCs w:val="14"/>
          <w:b w:val="1"/>
          <w:bCs w:val="1"/>
          <w:color w:val="auto"/>
        </w:rPr>
        <w:t xml:space="preserve"> </w:t>
      </w:r>
      <w:r>
        <w:rPr>
          <w:rFonts w:ascii="Arial" w:cs="Arial" w:eastAsia="Arial" w:hAnsi="Arial"/>
          <w:sz w:val="14"/>
          <w:szCs w:val="14"/>
          <w:color w:val="auto"/>
        </w:rPr>
        <w:t>category includes:</w:t>
      </w:r>
    </w:p>
    <w:p>
      <w:pPr>
        <w:spacing w:after="0" w:line="19" w:lineRule="exact"/>
        <w:rPr>
          <w:sz w:val="20"/>
          <w:szCs w:val="20"/>
          <w:color w:val="auto"/>
        </w:rPr>
      </w:pPr>
    </w:p>
    <w:p>
      <w:pPr>
        <w:ind w:left="780" w:right="80" w:hanging="253"/>
        <w:spacing w:after="0" w:line="237" w:lineRule="auto"/>
        <w:tabs>
          <w:tab w:leader="none" w:pos="78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 xml:space="preserve">Debt </w:t>
      </w:r>
      <w:r>
        <w:rPr>
          <w:rFonts w:ascii="Arial" w:cs="Arial" w:eastAsia="Arial" w:hAnsi="Arial"/>
          <w:sz w:val="14"/>
          <w:szCs w:val="14"/>
          <w:color w:val="auto"/>
        </w:rPr>
        <w:t>– includes secured and unsecured notes payable, trust preferred securities and other debt instruments. The borrowings are valued based on discounted cash flow models that</w:t>
      </w:r>
      <w:r>
        <w:rPr>
          <w:rFonts w:ascii="Arial" w:cs="Arial" w:eastAsia="Arial" w:hAnsi="Arial"/>
          <w:sz w:val="14"/>
          <w:szCs w:val="14"/>
          <w:i w:val="1"/>
          <w:iCs w:val="1"/>
          <w:color w:val="auto"/>
        </w:rPr>
        <w:t xml:space="preserve"> </w:t>
      </w:r>
      <w:r>
        <w:rPr>
          <w:rFonts w:ascii="Arial" w:cs="Arial" w:eastAsia="Arial" w:hAnsi="Arial"/>
          <w:sz w:val="14"/>
          <w:szCs w:val="14"/>
          <w:color w:val="auto"/>
        </w:rPr>
        <w:t>incorporate appropriate market discount rates. We calculated the market discount rate by obtaining period-end treasury rates for fixed-rate debt, or LIBOR for variable-rate debt, for maturities that correspond to the maturities of our debt, adding appropriate credit spreads derived from information obtained from third-party financial institutions. These credit spreads take into account factors such as our credit rate, debt maturity, types of borrowings, and the loan-to-value ratios of the debt.</w:t>
      </w:r>
    </w:p>
    <w:p>
      <w:pPr>
        <w:spacing w:after="0" w:line="36" w:lineRule="exact"/>
        <w:rPr>
          <w:rFonts w:ascii="Arial" w:cs="Arial" w:eastAsia="Arial" w:hAnsi="Arial"/>
          <w:sz w:val="14"/>
          <w:szCs w:val="14"/>
          <w:color w:val="auto"/>
        </w:rPr>
      </w:pPr>
    </w:p>
    <w:p>
      <w:pPr>
        <w:ind w:left="780" w:right="280" w:hanging="253"/>
        <w:spacing w:after="0" w:line="270" w:lineRule="auto"/>
        <w:tabs>
          <w:tab w:leader="none" w:pos="78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Goodwill, Other Intangibles and Other Long-lived Assets </w:t>
      </w:r>
      <w:r>
        <w:rPr>
          <w:rFonts w:ascii="Arial" w:cs="Arial" w:eastAsia="Arial" w:hAnsi="Arial"/>
          <w:sz w:val="13"/>
          <w:szCs w:val="13"/>
          <w:color w:val="auto"/>
        </w:rPr>
        <w:t>– refer to the “</w:t>
      </w:r>
      <w:r>
        <w:rPr>
          <w:rFonts w:ascii="Arial" w:cs="Arial" w:eastAsia="Arial" w:hAnsi="Arial"/>
          <w:sz w:val="13"/>
          <w:szCs w:val="13"/>
          <w:i w:val="1"/>
          <w:iCs w:val="1"/>
          <w:color w:val="auto"/>
        </w:rPr>
        <w:t xml:space="preserve">Impairment of Long-Lived Assets” section in Note 2 – Summary of Significant Accounting Policies </w:t>
      </w:r>
      <w:r>
        <w:rPr>
          <w:rFonts w:ascii="Arial" w:cs="Arial" w:eastAsia="Arial" w:hAnsi="Arial"/>
          <w:sz w:val="13"/>
          <w:szCs w:val="13"/>
          <w:color w:val="auto"/>
        </w:rPr>
        <w:t>for a</w:t>
      </w:r>
      <w:r>
        <w:rPr>
          <w:rFonts w:ascii="Arial" w:cs="Arial" w:eastAsia="Arial" w:hAnsi="Arial"/>
          <w:sz w:val="13"/>
          <w:szCs w:val="13"/>
          <w:i w:val="1"/>
          <w:iCs w:val="1"/>
          <w:color w:val="auto"/>
        </w:rPr>
        <w:t xml:space="preserve"> </w:t>
      </w:r>
      <w:r>
        <w:rPr>
          <w:rFonts w:ascii="Arial" w:cs="Arial" w:eastAsia="Arial" w:hAnsi="Arial"/>
          <w:sz w:val="13"/>
          <w:szCs w:val="13"/>
          <w:color w:val="auto"/>
        </w:rPr>
        <w:t>description of valuation methodology used for fair value measurements of goodwill, intangible assets and long-lived assets. Given this category represents several lines in our Consolidated Balance Sheet and since the recorded values agree to fair values, we did not include this in the subsequent tables presented.</w:t>
      </w:r>
    </w:p>
    <w:p>
      <w:pPr>
        <w:spacing w:after="0" w:line="103" w:lineRule="exact"/>
        <w:rPr>
          <w:sz w:val="20"/>
          <w:szCs w:val="20"/>
          <w:color w:val="auto"/>
        </w:rPr>
      </w:pPr>
    </w:p>
    <w:p>
      <w:pPr>
        <w:ind w:right="140"/>
        <w:spacing w:after="0" w:line="242" w:lineRule="auto"/>
        <w:rPr>
          <w:sz w:val="20"/>
          <w:szCs w:val="20"/>
          <w:color w:val="auto"/>
        </w:rPr>
      </w:pPr>
      <w:r>
        <w:rPr>
          <w:rFonts w:ascii="Arial" w:cs="Arial" w:eastAsia="Arial" w:hAnsi="Arial"/>
          <w:sz w:val="14"/>
          <w:szCs w:val="14"/>
          <w:color w:val="auto"/>
        </w:rPr>
        <w:t>Also, our Level 1 financial instruments include cash and cash equivalents, receivables, and accounts payable and accrued liabilities. The carrying values of these financial instruments approximate the fair values due to their short maturities. There have been no changes in the methodologies used at December 31, 2021 and 2020. Additionally, there were no transfers of assets and liabilities between Levels 1, 2, or 3 during the three years ended December 31, 2021.</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Recurring Fair Value Measurements</w:t>
      </w:r>
    </w:p>
    <w:p>
      <w:pPr>
        <w:spacing w:after="0" w:line="143"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As of December 31, 2021 and 2020, we had derivative financial assets carried and measured at fair value on a recurring basis of $208,000 and $nil, respectively. As of December 31, 2021 and 2020, we had derivative financial liabilities carried and measured at fair value on a recurring basis of $181,000 and $430,000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Nonrecurring Fair Value Measurements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provide information about financial assets and liabilities not carried at fair value on a nonrecurring basis in our 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9"/>
              </w:rPr>
              <w:t>Carrying</w:t>
            </w: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7"/>
          </w:tcPr>
          <w:p>
            <w:pPr>
              <w:ind w:left="20"/>
              <w:spacing w:after="0"/>
              <w:rPr>
                <w:sz w:val="20"/>
                <w:szCs w:val="20"/>
                <w:color w:val="auto"/>
              </w:rPr>
            </w:pPr>
            <w:r>
              <w:rPr>
                <w:rFonts w:ascii="Arial" w:cs="Arial" w:eastAsia="Arial" w:hAnsi="Arial"/>
                <w:sz w:val="12"/>
                <w:szCs w:val="12"/>
                <w:b w:val="1"/>
                <w:bCs w:val="1"/>
                <w:color w:val="auto"/>
                <w:w w:val="88"/>
              </w:rPr>
              <w:t>Fair Value Measurements at December 31, 2021</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r>
      <w:tr>
        <w:trPr>
          <w:trHeight w:val="143"/>
        </w:trPr>
        <w:tc>
          <w:tcPr>
            <w:tcW w:w="2420" w:type="dxa"/>
            <w:vAlign w:val="bottom"/>
          </w:tcPr>
          <w:p>
            <w:pPr>
              <w:spacing w:after="0"/>
              <w:rPr>
                <w:sz w:val="20"/>
                <w:szCs w:val="20"/>
                <w:color w:val="auto"/>
              </w:rPr>
            </w:pPr>
            <w:r>
              <w:rPr>
                <w:rFonts w:ascii="Arial" w:cs="Arial" w:eastAsia="Arial" w:hAnsi="Arial"/>
                <w:sz w:val="12"/>
                <w:szCs w:val="12"/>
                <w:i w:val="1"/>
                <w:iCs w:val="1"/>
                <w:color w:val="auto"/>
              </w:rPr>
              <w:t>(Dollars in thousands)</w:t>
            </w:r>
          </w:p>
        </w:tc>
        <w:tc>
          <w:tcPr>
            <w:tcW w:w="2740" w:type="dxa"/>
            <w:vAlign w:val="bottom"/>
            <w:gridSpan w:val="2"/>
          </w:tcPr>
          <w:p>
            <w:pPr>
              <w:ind w:left="160"/>
              <w:spacing w:after="0"/>
              <w:rPr>
                <w:sz w:val="20"/>
                <w:szCs w:val="20"/>
                <w:color w:val="auto"/>
              </w:rPr>
            </w:pPr>
            <w:r>
              <w:rPr>
                <w:rFonts w:ascii="Arial" w:cs="Arial" w:eastAsia="Arial" w:hAnsi="Arial"/>
                <w:sz w:val="12"/>
                <w:szCs w:val="12"/>
                <w:b w:val="1"/>
                <w:bCs w:val="1"/>
                <w:color w:val="auto"/>
              </w:rPr>
              <w:t>Balance Sheet Location</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380"/>
              <w:spacing w:after="0" w:line="141"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6"/>
                <w:szCs w:val="16"/>
                <w:b w:val="1"/>
                <w:bCs w:val="1"/>
                <w:color w:val="auto"/>
                <w:vertAlign w:val="superscript"/>
              </w:rPr>
              <w:t>(1)</w:t>
            </w:r>
          </w:p>
        </w:tc>
        <w:tc>
          <w:tcPr>
            <w:tcW w:w="180" w:type="dxa"/>
            <w:vAlign w:val="bottom"/>
          </w:tcPr>
          <w:p>
            <w:pPr>
              <w:spacing w:after="0"/>
              <w:rPr>
                <w:sz w:val="12"/>
                <w:szCs w:val="12"/>
                <w:color w:val="auto"/>
              </w:rPr>
            </w:pP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Level 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Level 2</w:t>
            </w:r>
          </w:p>
        </w:tc>
        <w:tc>
          <w:tcPr>
            <w:tcW w:w="180" w:type="dxa"/>
            <w:vAlign w:val="bottom"/>
          </w:tcPr>
          <w:p>
            <w:pPr>
              <w:spacing w:after="0"/>
              <w:rPr>
                <w:sz w:val="12"/>
                <w:szCs w:val="12"/>
                <w:color w:val="auto"/>
              </w:rPr>
            </w:pP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Level 3</w:t>
            </w:r>
          </w:p>
        </w:tc>
        <w:tc>
          <w:tcPr>
            <w:tcW w:w="200" w:type="dxa"/>
            <w:vAlign w:val="bottom"/>
          </w:tcPr>
          <w:p>
            <w:pPr>
              <w:spacing w:after="0"/>
              <w:rPr>
                <w:sz w:val="12"/>
                <w:szCs w:val="12"/>
                <w:color w:val="auto"/>
              </w:rPr>
            </w:pPr>
          </w:p>
        </w:tc>
        <w:tc>
          <w:tcPr>
            <w:tcW w:w="780" w:type="dxa"/>
            <w:vAlign w:val="bottom"/>
          </w:tcPr>
          <w:p>
            <w:pPr>
              <w:jc w:val="right"/>
              <w:ind w:right="302"/>
              <w:spacing w:after="0"/>
              <w:rPr>
                <w:sz w:val="20"/>
                <w:szCs w:val="20"/>
                <w:color w:val="auto"/>
              </w:rPr>
            </w:pPr>
            <w:r>
              <w:rPr>
                <w:rFonts w:ascii="Arial" w:cs="Arial" w:eastAsia="Arial" w:hAnsi="Arial"/>
                <w:sz w:val="12"/>
                <w:szCs w:val="12"/>
                <w:b w:val="1"/>
                <w:bCs w:val="1"/>
                <w:color w:val="auto"/>
              </w:rPr>
              <w:t>Total</w:t>
            </w:r>
          </w:p>
        </w:tc>
      </w:tr>
      <w:tr>
        <w:trPr>
          <w:trHeight w:val="119"/>
        </w:trPr>
        <w:tc>
          <w:tcPr>
            <w:tcW w:w="242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b w:val="1"/>
                <w:bCs w:val="1"/>
                <w:color w:val="auto"/>
              </w:rPr>
              <w:t>Financial liabilities</w:t>
            </w:r>
          </w:p>
        </w:tc>
        <w:tc>
          <w:tcPr>
            <w:tcW w:w="160" w:type="dxa"/>
            <w:vAlign w:val="bottom"/>
          </w:tcPr>
          <w:p>
            <w:pPr>
              <w:spacing w:after="0"/>
              <w:rPr>
                <w:sz w:val="10"/>
                <w:szCs w:val="10"/>
                <w:color w:val="auto"/>
              </w:rPr>
            </w:pPr>
          </w:p>
        </w:tc>
        <w:tc>
          <w:tcPr>
            <w:tcW w:w="25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r>
      <w:tr>
        <w:trPr>
          <w:trHeight w:val="119"/>
        </w:trPr>
        <w:tc>
          <w:tcPr>
            <w:tcW w:w="2420" w:type="dxa"/>
            <w:vAlign w:val="bottom"/>
            <w:shd w:val="clear" w:color="auto" w:fill="CCEEFF"/>
          </w:tcPr>
          <w:p>
            <w:pPr>
              <w:ind w:left="100"/>
              <w:spacing w:after="0" w:line="120" w:lineRule="exact"/>
              <w:rPr>
                <w:sz w:val="20"/>
                <w:szCs w:val="20"/>
                <w:color w:val="auto"/>
              </w:rPr>
            </w:pPr>
            <w:r>
              <w:rPr>
                <w:rFonts w:ascii="Arial" w:cs="Arial" w:eastAsia="Arial" w:hAnsi="Arial"/>
                <w:sz w:val="12"/>
                <w:szCs w:val="12"/>
                <w:color w:val="auto"/>
              </w:rPr>
              <w:t>Notes payable</w:t>
            </w:r>
          </w:p>
        </w:tc>
        <w:tc>
          <w:tcPr>
            <w:tcW w:w="2740" w:type="dxa"/>
            <w:vAlign w:val="bottom"/>
            <w:gridSpan w:val="2"/>
            <w:shd w:val="clear" w:color="auto" w:fill="CCEEFF"/>
          </w:tcPr>
          <w:p>
            <w:pPr>
              <w:ind w:left="160"/>
              <w:spacing w:after="0" w:line="120" w:lineRule="exact"/>
              <w:rPr>
                <w:sz w:val="20"/>
                <w:szCs w:val="20"/>
                <w:color w:val="auto"/>
              </w:rPr>
            </w:pPr>
            <w:r>
              <w:rPr>
                <w:rFonts w:ascii="Arial" w:cs="Arial" w:eastAsia="Arial" w:hAnsi="Arial"/>
                <w:sz w:val="12"/>
                <w:szCs w:val="12"/>
                <w:color w:val="auto"/>
              </w:rPr>
              <w:t>Debt - current and long-term portion</w:t>
            </w:r>
          </w:p>
        </w:tc>
        <w:tc>
          <w:tcPr>
            <w:tcW w:w="740" w:type="dxa"/>
            <w:vAlign w:val="bottom"/>
            <w:gridSpan w:val="3"/>
            <w:shd w:val="clear" w:color="auto" w:fill="CCEEFF"/>
          </w:tcPr>
          <w:p>
            <w:pPr>
              <w:jc w:val="right"/>
              <w:ind w:right="108"/>
              <w:spacing w:after="0" w:line="120"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2"/>
                <w:szCs w:val="12"/>
                <w:color w:val="auto"/>
              </w:rPr>
              <w:t>209,035</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ind w:left="680"/>
              <w:spacing w:after="0" w:line="120" w:lineRule="exact"/>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ind w:right="88"/>
              <w:spacing w:after="0" w:line="120"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ind w:left="680"/>
              <w:spacing w:after="0" w:line="120"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2"/>
                <w:szCs w:val="12"/>
                <w:color w:val="auto"/>
              </w:rPr>
              <w:t>207,817</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207,817</w:t>
            </w:r>
          </w:p>
        </w:tc>
      </w:tr>
      <w:tr>
        <w:trPr>
          <w:trHeight w:val="119"/>
        </w:trPr>
        <w:tc>
          <w:tcPr>
            <w:tcW w:w="2420" w:type="dxa"/>
            <w:vAlign w:val="bottom"/>
          </w:tcPr>
          <w:p>
            <w:pPr>
              <w:ind w:left="100"/>
              <w:spacing w:after="0" w:line="120" w:lineRule="exact"/>
              <w:rPr>
                <w:sz w:val="20"/>
                <w:szCs w:val="20"/>
                <w:color w:val="auto"/>
              </w:rPr>
            </w:pPr>
            <w:r>
              <w:rPr>
                <w:rFonts w:ascii="Arial" w:cs="Arial" w:eastAsia="Arial" w:hAnsi="Arial"/>
                <w:sz w:val="12"/>
                <w:szCs w:val="12"/>
                <w:color w:val="auto"/>
              </w:rPr>
              <w:t>Subordinated debt</w:t>
            </w:r>
          </w:p>
        </w:tc>
        <w:tc>
          <w:tcPr>
            <w:tcW w:w="2740" w:type="dxa"/>
            <w:vAlign w:val="bottom"/>
            <w:gridSpan w:val="2"/>
          </w:tcPr>
          <w:p>
            <w:pPr>
              <w:ind w:left="160"/>
              <w:spacing w:after="0" w:line="120" w:lineRule="exact"/>
              <w:rPr>
                <w:sz w:val="20"/>
                <w:szCs w:val="20"/>
                <w:color w:val="auto"/>
              </w:rPr>
            </w:pPr>
            <w:r>
              <w:rPr>
                <w:rFonts w:ascii="Arial" w:cs="Arial" w:eastAsia="Arial" w:hAnsi="Arial"/>
                <w:sz w:val="12"/>
                <w:szCs w:val="12"/>
                <w:color w:val="auto"/>
                <w:w w:val="97"/>
              </w:rPr>
              <w:t>Subordinated debt - current and long-term portion</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tcPr>
          <w:p>
            <w:pPr>
              <w:jc w:val="right"/>
              <w:ind w:right="160"/>
              <w:spacing w:after="0" w:line="120" w:lineRule="exact"/>
              <w:rPr>
                <w:sz w:val="20"/>
                <w:szCs w:val="20"/>
                <w:color w:val="auto"/>
              </w:rPr>
            </w:pPr>
            <w:r>
              <w:rPr>
                <w:rFonts w:ascii="Arial" w:cs="Arial" w:eastAsia="Arial" w:hAnsi="Arial"/>
                <w:sz w:val="12"/>
                <w:szCs w:val="12"/>
                <w:color w:val="auto"/>
              </w:rPr>
              <w:t>27,913</w:t>
            </w:r>
          </w:p>
        </w:tc>
        <w:tc>
          <w:tcPr>
            <w:tcW w:w="180" w:type="dxa"/>
            <w:vAlign w:val="bottom"/>
          </w:tcPr>
          <w:p>
            <w:pPr>
              <w:spacing w:after="0"/>
              <w:rPr>
                <w:sz w:val="10"/>
                <w:szCs w:val="10"/>
                <w:color w:val="auto"/>
              </w:rPr>
            </w:pPr>
          </w:p>
        </w:tc>
        <w:tc>
          <w:tcPr>
            <w:tcW w:w="840" w:type="dxa"/>
            <w:vAlign w:val="bottom"/>
            <w:gridSpan w:val="2"/>
          </w:tcPr>
          <w:p>
            <w:pPr>
              <w:ind w:left="680"/>
              <w:spacing w:after="0" w:line="120"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ind w:left="680"/>
              <w:spacing w:after="0" w:line="120"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160"/>
              <w:spacing w:after="0" w:line="120" w:lineRule="exact"/>
              <w:rPr>
                <w:sz w:val="20"/>
                <w:szCs w:val="20"/>
                <w:color w:val="auto"/>
              </w:rPr>
            </w:pPr>
            <w:r>
              <w:rPr>
                <w:rFonts w:ascii="Arial" w:cs="Arial" w:eastAsia="Arial" w:hAnsi="Arial"/>
                <w:sz w:val="12"/>
                <w:szCs w:val="12"/>
                <w:color w:val="auto"/>
              </w:rPr>
              <w:t>20,494</w:t>
            </w:r>
          </w:p>
        </w:tc>
        <w:tc>
          <w:tcPr>
            <w:tcW w:w="20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Arial" w:cs="Arial" w:eastAsia="Arial" w:hAnsi="Arial"/>
                <w:sz w:val="12"/>
                <w:szCs w:val="12"/>
                <w:color w:val="auto"/>
              </w:rPr>
              <w:t>20,494</w:t>
            </w:r>
          </w:p>
        </w:tc>
      </w:tr>
      <w:tr>
        <w:trPr>
          <w:trHeight w:val="112"/>
        </w:trPr>
        <w:tc>
          <w:tcPr>
            <w:tcW w:w="2420" w:type="dxa"/>
            <w:vAlign w:val="bottom"/>
            <w:tcBorders>
              <w:top w:val="single" w:sz="8" w:color="CCEEFF"/>
              <w:bottom w:val="single" w:sz="8" w:color="CCEEFF"/>
            </w:tcBorders>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Total</w:t>
            </w: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2580" w:type="dxa"/>
            <w:vAlign w:val="bottom"/>
            <w:tcBorders>
              <w:top w:val="single" w:sz="8" w:color="CCEEFF"/>
              <w:bottom w:val="single" w:sz="8" w:color="CCEEFF"/>
            </w:tcBorders>
            <w:shd w:val="clear" w:color="auto" w:fill="CCEEFF"/>
          </w:tcPr>
          <w:p>
            <w:pPr>
              <w:spacing w:after="0"/>
              <w:rPr>
                <w:sz w:val="9"/>
                <w:szCs w:val="9"/>
                <w:color w:val="auto"/>
              </w:rPr>
            </w:pPr>
          </w:p>
        </w:tc>
        <w:tc>
          <w:tcPr>
            <w:tcW w:w="360" w:type="dxa"/>
            <w:vAlign w:val="bottom"/>
            <w:tcBorders>
              <w:top w:val="single" w:sz="8" w:color="CCEEFF"/>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220" w:type="dxa"/>
            <w:vAlign w:val="bottom"/>
            <w:tcBorders>
              <w:top w:val="single" w:sz="8" w:color="auto"/>
              <w:bottom w:val="single" w:sz="8" w:color="auto"/>
            </w:tcBorders>
            <w:shd w:val="clear" w:color="auto" w:fill="CCEEFF"/>
          </w:tcPr>
          <w:p>
            <w:pPr>
              <w:jc w:val="right"/>
              <w:ind w:right="108"/>
              <w:spacing w:after="0" w:line="110" w:lineRule="exact"/>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2"/>
                <w:szCs w:val="12"/>
                <w:b w:val="1"/>
                <w:bCs w:val="1"/>
                <w:color w:val="auto"/>
              </w:rPr>
              <w:t>236,948</w:t>
            </w: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jc w:val="right"/>
              <w:ind w:right="68"/>
              <w:spacing w:after="0" w:line="110"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ind w:left="680"/>
              <w:spacing w:after="0" w:line="110" w:lineRule="exact"/>
              <w:rPr>
                <w:sz w:val="20"/>
                <w:szCs w:val="20"/>
                <w:color w:val="auto"/>
              </w:rPr>
            </w:pPr>
            <w:r>
              <w:rPr>
                <w:rFonts w:ascii="Arial" w:cs="Arial" w:eastAsia="Arial" w:hAnsi="Arial"/>
                <w:sz w:val="12"/>
                <w:szCs w:val="12"/>
                <w:b w:val="1"/>
                <w:bCs w:val="1"/>
                <w:color w:val="auto"/>
                <w:w w:val="82"/>
              </w:rPr>
              <w:t>—</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200" w:type="dxa"/>
            <w:vAlign w:val="bottom"/>
            <w:tcBorders>
              <w:top w:val="single" w:sz="8" w:color="auto"/>
              <w:bottom w:val="single" w:sz="8" w:color="auto"/>
            </w:tcBorders>
            <w:shd w:val="clear" w:color="auto" w:fill="CCEEFF"/>
          </w:tcPr>
          <w:p>
            <w:pPr>
              <w:jc w:val="right"/>
              <w:ind w:right="88"/>
              <w:spacing w:after="0" w:line="110"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ind w:left="680"/>
              <w:spacing w:after="0" w:line="110" w:lineRule="exact"/>
              <w:rPr>
                <w:sz w:val="20"/>
                <w:szCs w:val="20"/>
                <w:color w:val="auto"/>
              </w:rPr>
            </w:pPr>
            <w:r>
              <w:rPr>
                <w:rFonts w:ascii="Arial" w:cs="Arial" w:eastAsia="Arial" w:hAnsi="Arial"/>
                <w:sz w:val="12"/>
                <w:szCs w:val="12"/>
                <w:b w:val="1"/>
                <w:bCs w:val="1"/>
                <w:color w:val="auto"/>
                <w:w w:val="82"/>
              </w:rPr>
              <w:t>—</w:t>
            </w: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jc w:val="right"/>
              <w:ind w:right="68"/>
              <w:spacing w:after="0" w:line="110" w:lineRule="exact"/>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2"/>
                <w:szCs w:val="12"/>
                <w:b w:val="1"/>
                <w:bCs w:val="1"/>
                <w:color w:val="auto"/>
              </w:rPr>
              <w:t>228,311</w:t>
            </w: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200" w:type="dxa"/>
            <w:vAlign w:val="bottom"/>
            <w:tcBorders>
              <w:top w:val="single" w:sz="8" w:color="auto"/>
              <w:bottom w:val="single" w:sz="8" w:color="auto"/>
            </w:tcBorders>
            <w:shd w:val="clear" w:color="auto" w:fill="CCEEFF"/>
          </w:tcPr>
          <w:p>
            <w:pPr>
              <w:jc w:val="right"/>
              <w:ind w:right="88"/>
              <w:spacing w:after="0" w:line="110" w:lineRule="exact"/>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2"/>
                <w:szCs w:val="12"/>
                <w:b w:val="1"/>
                <w:bCs w:val="1"/>
                <w:color w:val="auto"/>
              </w:rPr>
              <w:t>228,311</w:t>
            </w:r>
          </w:p>
        </w:tc>
      </w:tr>
      <w:tr>
        <w:trPr>
          <w:trHeight w:val="313"/>
        </w:trPr>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40" w:type="dxa"/>
            <w:vAlign w:val="bottom"/>
            <w:gridSpan w:val="3"/>
          </w:tcPr>
          <w:p>
            <w:pPr>
              <w:jc w:val="right"/>
              <w:ind w:right="8"/>
              <w:spacing w:after="0"/>
              <w:rPr>
                <w:sz w:val="20"/>
                <w:szCs w:val="20"/>
                <w:color w:val="auto"/>
              </w:rPr>
            </w:pPr>
            <w:r>
              <w:rPr>
                <w:rFonts w:ascii="Arial" w:cs="Arial" w:eastAsia="Arial" w:hAnsi="Arial"/>
                <w:sz w:val="14"/>
                <w:szCs w:val="14"/>
                <w:color w:val="auto"/>
              </w:rPr>
              <w:t>- 101 -</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2"/>
        </w:trPr>
        <w:tc>
          <w:tcPr>
            <w:tcW w:w="242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2580" w:type="dxa"/>
            <w:vAlign w:val="bottom"/>
            <w:tcBorders>
              <w:bottom w:val="single" w:sz="8" w:color="9A9A9A"/>
            </w:tcBorders>
          </w:tcPr>
          <w:p>
            <w:pPr>
              <w:spacing w:after="0"/>
              <w:rPr>
                <w:sz w:val="21"/>
                <w:szCs w:val="21"/>
                <w:color w:val="auto"/>
              </w:rPr>
            </w:pPr>
          </w:p>
        </w:tc>
        <w:tc>
          <w:tcPr>
            <w:tcW w:w="36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78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180" w:type="dxa"/>
            <w:vAlign w:val="bottom"/>
            <w:tcBorders>
              <w:bottom w:val="single" w:sz="8" w:color="9A9A9A"/>
            </w:tcBorders>
          </w:tcPr>
          <w:p>
            <w:pPr>
              <w:spacing w:after="0"/>
              <w:rPr>
                <w:sz w:val="21"/>
                <w:szCs w:val="21"/>
                <w:color w:val="auto"/>
              </w:rPr>
            </w:pPr>
          </w:p>
        </w:tc>
        <w:tc>
          <w:tcPr>
            <w:tcW w:w="80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80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180" w:type="dxa"/>
            <w:vAlign w:val="bottom"/>
            <w:tcBorders>
              <w:bottom w:val="single" w:sz="8" w:color="9A9A9A"/>
            </w:tcBorders>
          </w:tcPr>
          <w:p>
            <w:pPr>
              <w:spacing w:after="0"/>
              <w:rPr>
                <w:sz w:val="21"/>
                <w:szCs w:val="21"/>
                <w:color w:val="auto"/>
              </w:rPr>
            </w:pPr>
          </w:p>
        </w:tc>
        <w:tc>
          <w:tcPr>
            <w:tcW w:w="82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78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266" w:right="3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40"/>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9"/>
              </w:rPr>
              <w:t>Carrying</w:t>
            </w: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7"/>
          </w:tcPr>
          <w:p>
            <w:pPr>
              <w:ind w:left="20"/>
              <w:spacing w:after="0"/>
              <w:rPr>
                <w:sz w:val="20"/>
                <w:szCs w:val="20"/>
                <w:color w:val="auto"/>
              </w:rPr>
            </w:pPr>
            <w:r>
              <w:rPr>
                <w:rFonts w:ascii="Arial" w:cs="Arial" w:eastAsia="Arial" w:hAnsi="Arial"/>
                <w:sz w:val="12"/>
                <w:szCs w:val="12"/>
                <w:b w:val="1"/>
                <w:bCs w:val="1"/>
                <w:color w:val="auto"/>
                <w:w w:val="88"/>
              </w:rPr>
              <w:t>Fair Value Measurements at December 31, 2020</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r>
      <w:tr>
        <w:trPr>
          <w:trHeight w:val="143"/>
        </w:trPr>
        <w:tc>
          <w:tcPr>
            <w:tcW w:w="2420" w:type="dxa"/>
            <w:vAlign w:val="bottom"/>
          </w:tcPr>
          <w:p>
            <w:pPr>
              <w:spacing w:after="0"/>
              <w:rPr>
                <w:sz w:val="20"/>
                <w:szCs w:val="20"/>
                <w:color w:val="auto"/>
              </w:rPr>
            </w:pPr>
            <w:r>
              <w:rPr>
                <w:rFonts w:ascii="Arial" w:cs="Arial" w:eastAsia="Arial" w:hAnsi="Arial"/>
                <w:sz w:val="12"/>
                <w:szCs w:val="12"/>
                <w:i w:val="1"/>
                <w:iCs w:val="1"/>
                <w:color w:val="auto"/>
              </w:rPr>
              <w:t>(Dollars in thousands)</w:t>
            </w:r>
          </w:p>
        </w:tc>
        <w:tc>
          <w:tcPr>
            <w:tcW w:w="3260" w:type="dxa"/>
            <w:vAlign w:val="bottom"/>
            <w:gridSpan w:val="3"/>
          </w:tcPr>
          <w:p>
            <w:pPr>
              <w:ind w:left="160"/>
              <w:spacing w:after="0"/>
              <w:rPr>
                <w:sz w:val="20"/>
                <w:szCs w:val="20"/>
                <w:color w:val="auto"/>
              </w:rPr>
            </w:pPr>
            <w:r>
              <w:rPr>
                <w:rFonts w:ascii="Arial" w:cs="Arial" w:eastAsia="Arial" w:hAnsi="Arial"/>
                <w:sz w:val="12"/>
                <w:szCs w:val="12"/>
                <w:b w:val="1"/>
                <w:bCs w:val="1"/>
                <w:color w:val="auto"/>
              </w:rPr>
              <w:t>Balance Sheet Location</w:t>
            </w:r>
          </w:p>
        </w:tc>
        <w:tc>
          <w:tcPr>
            <w:tcW w:w="160" w:type="dxa"/>
            <w:vAlign w:val="bottom"/>
          </w:tcPr>
          <w:p>
            <w:pPr>
              <w:spacing w:after="0"/>
              <w:rPr>
                <w:sz w:val="12"/>
                <w:szCs w:val="12"/>
                <w:color w:val="auto"/>
              </w:rPr>
            </w:pPr>
          </w:p>
        </w:tc>
        <w:tc>
          <w:tcPr>
            <w:tcW w:w="1000" w:type="dxa"/>
            <w:vAlign w:val="bottom"/>
            <w:gridSpan w:val="2"/>
          </w:tcPr>
          <w:p>
            <w:pPr>
              <w:jc w:val="center"/>
              <w:ind w:right="320"/>
              <w:spacing w:after="0" w:line="141"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6"/>
                <w:szCs w:val="16"/>
                <w:b w:val="1"/>
                <w:bCs w:val="1"/>
                <w:color w:val="auto"/>
                <w:vertAlign w:val="superscript"/>
              </w:rPr>
              <w:t>(1)</w:t>
            </w:r>
          </w:p>
        </w:tc>
        <w:tc>
          <w:tcPr>
            <w:tcW w:w="180" w:type="dxa"/>
            <w:vAlign w:val="bottom"/>
          </w:tcPr>
          <w:p>
            <w:pPr>
              <w:spacing w:after="0"/>
              <w:rPr>
                <w:sz w:val="12"/>
                <w:szCs w:val="12"/>
                <w:color w:val="auto"/>
              </w:rPr>
            </w:pP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Level 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Level 2</w:t>
            </w:r>
          </w:p>
        </w:tc>
        <w:tc>
          <w:tcPr>
            <w:tcW w:w="180" w:type="dxa"/>
            <w:vAlign w:val="bottom"/>
          </w:tcPr>
          <w:p>
            <w:pPr>
              <w:spacing w:after="0"/>
              <w:rPr>
                <w:sz w:val="12"/>
                <w:szCs w:val="12"/>
                <w:color w:val="auto"/>
              </w:rPr>
            </w:pP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Level 3</w:t>
            </w:r>
          </w:p>
        </w:tc>
        <w:tc>
          <w:tcPr>
            <w:tcW w:w="200" w:type="dxa"/>
            <w:vAlign w:val="bottom"/>
          </w:tcPr>
          <w:p>
            <w:pPr>
              <w:spacing w:after="0"/>
              <w:rPr>
                <w:sz w:val="12"/>
                <w:szCs w:val="12"/>
                <w:color w:val="auto"/>
              </w:rPr>
            </w:pPr>
          </w:p>
        </w:tc>
        <w:tc>
          <w:tcPr>
            <w:tcW w:w="780" w:type="dxa"/>
            <w:vAlign w:val="bottom"/>
          </w:tcPr>
          <w:p>
            <w:pPr>
              <w:jc w:val="right"/>
              <w:ind w:right="302"/>
              <w:spacing w:after="0"/>
              <w:rPr>
                <w:sz w:val="20"/>
                <w:szCs w:val="20"/>
                <w:color w:val="auto"/>
              </w:rPr>
            </w:pPr>
            <w:r>
              <w:rPr>
                <w:rFonts w:ascii="Arial" w:cs="Arial" w:eastAsia="Arial" w:hAnsi="Arial"/>
                <w:sz w:val="12"/>
                <w:szCs w:val="12"/>
                <w:b w:val="1"/>
                <w:bCs w:val="1"/>
                <w:color w:val="auto"/>
              </w:rPr>
              <w:t>Total</w:t>
            </w:r>
          </w:p>
        </w:tc>
      </w:tr>
      <w:tr>
        <w:trPr>
          <w:trHeight w:val="119"/>
        </w:trPr>
        <w:tc>
          <w:tcPr>
            <w:tcW w:w="242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b w:val="1"/>
                <w:bCs w:val="1"/>
                <w:color w:val="auto"/>
              </w:rPr>
              <w:t>Financial liabilities</w:t>
            </w:r>
          </w:p>
        </w:tc>
        <w:tc>
          <w:tcPr>
            <w:tcW w:w="160" w:type="dxa"/>
            <w:vAlign w:val="bottom"/>
          </w:tcPr>
          <w:p>
            <w:pPr>
              <w:spacing w:after="0"/>
              <w:rPr>
                <w:sz w:val="10"/>
                <w:szCs w:val="10"/>
                <w:color w:val="auto"/>
              </w:rPr>
            </w:pPr>
          </w:p>
        </w:tc>
        <w:tc>
          <w:tcPr>
            <w:tcW w:w="29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r>
      <w:tr>
        <w:trPr>
          <w:trHeight w:val="119"/>
        </w:trPr>
        <w:tc>
          <w:tcPr>
            <w:tcW w:w="2420" w:type="dxa"/>
            <w:vAlign w:val="bottom"/>
            <w:shd w:val="clear" w:color="auto" w:fill="CCEEFF"/>
          </w:tcPr>
          <w:p>
            <w:pPr>
              <w:ind w:left="100"/>
              <w:spacing w:after="0" w:line="120" w:lineRule="exact"/>
              <w:rPr>
                <w:sz w:val="20"/>
                <w:szCs w:val="20"/>
                <w:color w:val="auto"/>
              </w:rPr>
            </w:pPr>
            <w:r>
              <w:rPr>
                <w:rFonts w:ascii="Arial" w:cs="Arial" w:eastAsia="Arial" w:hAnsi="Arial"/>
                <w:sz w:val="12"/>
                <w:szCs w:val="12"/>
                <w:color w:val="auto"/>
              </w:rPr>
              <w:t>Notes payable</w:t>
            </w:r>
          </w:p>
        </w:tc>
        <w:tc>
          <w:tcPr>
            <w:tcW w:w="3260" w:type="dxa"/>
            <w:vAlign w:val="bottom"/>
            <w:gridSpan w:val="3"/>
            <w:shd w:val="clear" w:color="auto" w:fill="CCEEFF"/>
          </w:tcPr>
          <w:p>
            <w:pPr>
              <w:ind w:left="160"/>
              <w:spacing w:after="0" w:line="120" w:lineRule="exact"/>
              <w:rPr>
                <w:sz w:val="20"/>
                <w:szCs w:val="20"/>
                <w:color w:val="auto"/>
              </w:rPr>
            </w:pPr>
            <w:r>
              <w:rPr>
                <w:rFonts w:ascii="Arial" w:cs="Arial" w:eastAsia="Arial" w:hAnsi="Arial"/>
                <w:sz w:val="12"/>
                <w:szCs w:val="12"/>
                <w:color w:val="auto"/>
              </w:rPr>
              <w:t>Debt - current and long-term portion</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2"/>
                <w:szCs w:val="12"/>
                <w:color w:val="auto"/>
              </w:rPr>
              <w:t>257,046</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ind w:left="680"/>
              <w:spacing w:after="0" w:line="120" w:lineRule="exact"/>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ind w:right="88"/>
              <w:spacing w:after="0" w:line="120"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ind w:left="680"/>
              <w:spacing w:after="0" w:line="120"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2"/>
                <w:szCs w:val="12"/>
                <w:color w:val="auto"/>
              </w:rPr>
              <w:t>258,525</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258,525</w:t>
            </w:r>
          </w:p>
        </w:tc>
      </w:tr>
      <w:tr>
        <w:trPr>
          <w:trHeight w:val="119"/>
        </w:trPr>
        <w:tc>
          <w:tcPr>
            <w:tcW w:w="2420" w:type="dxa"/>
            <w:vAlign w:val="bottom"/>
          </w:tcPr>
          <w:p>
            <w:pPr>
              <w:ind w:left="100"/>
              <w:spacing w:after="0" w:line="120" w:lineRule="exact"/>
              <w:rPr>
                <w:sz w:val="20"/>
                <w:szCs w:val="20"/>
                <w:color w:val="auto"/>
              </w:rPr>
            </w:pPr>
            <w:r>
              <w:rPr>
                <w:rFonts w:ascii="Arial" w:cs="Arial" w:eastAsia="Arial" w:hAnsi="Arial"/>
                <w:sz w:val="12"/>
                <w:szCs w:val="12"/>
                <w:color w:val="auto"/>
              </w:rPr>
              <w:t>Subordinated debt</w:t>
            </w:r>
          </w:p>
        </w:tc>
        <w:tc>
          <w:tcPr>
            <w:tcW w:w="3260" w:type="dxa"/>
            <w:vAlign w:val="bottom"/>
            <w:gridSpan w:val="3"/>
          </w:tcPr>
          <w:p>
            <w:pPr>
              <w:ind w:left="160"/>
              <w:spacing w:after="0" w:line="120" w:lineRule="exact"/>
              <w:rPr>
                <w:sz w:val="20"/>
                <w:szCs w:val="20"/>
                <w:color w:val="auto"/>
              </w:rPr>
            </w:pPr>
            <w:r>
              <w:rPr>
                <w:rFonts w:ascii="Arial" w:cs="Arial" w:eastAsia="Arial" w:hAnsi="Arial"/>
                <w:sz w:val="12"/>
                <w:szCs w:val="12"/>
                <w:color w:val="auto"/>
              </w:rPr>
              <w:t>Subordinated debt</w:t>
            </w:r>
          </w:p>
        </w:tc>
        <w:tc>
          <w:tcPr>
            <w:tcW w:w="160" w:type="dxa"/>
            <w:vAlign w:val="bottom"/>
          </w:tcPr>
          <w:p>
            <w:pPr>
              <w:spacing w:after="0"/>
              <w:rPr>
                <w:sz w:val="10"/>
                <w:szCs w:val="10"/>
                <w:color w:val="auto"/>
              </w:rPr>
            </w:pPr>
          </w:p>
        </w:tc>
        <w:tc>
          <w:tcPr>
            <w:tcW w:w="1000" w:type="dxa"/>
            <w:vAlign w:val="bottom"/>
            <w:gridSpan w:val="2"/>
          </w:tcPr>
          <w:p>
            <w:pPr>
              <w:jc w:val="right"/>
              <w:ind w:right="160"/>
              <w:spacing w:after="0" w:line="120" w:lineRule="exact"/>
              <w:rPr>
                <w:sz w:val="20"/>
                <w:szCs w:val="20"/>
                <w:color w:val="auto"/>
              </w:rPr>
            </w:pPr>
            <w:r>
              <w:rPr>
                <w:rFonts w:ascii="Arial" w:cs="Arial" w:eastAsia="Arial" w:hAnsi="Arial"/>
                <w:sz w:val="12"/>
                <w:szCs w:val="12"/>
                <w:color w:val="auto"/>
              </w:rPr>
              <w:t>27,913</w:t>
            </w:r>
          </w:p>
        </w:tc>
        <w:tc>
          <w:tcPr>
            <w:tcW w:w="180" w:type="dxa"/>
            <w:vAlign w:val="bottom"/>
          </w:tcPr>
          <w:p>
            <w:pPr>
              <w:spacing w:after="0"/>
              <w:rPr>
                <w:sz w:val="10"/>
                <w:szCs w:val="10"/>
                <w:color w:val="auto"/>
              </w:rPr>
            </w:pPr>
          </w:p>
        </w:tc>
        <w:tc>
          <w:tcPr>
            <w:tcW w:w="840" w:type="dxa"/>
            <w:vAlign w:val="bottom"/>
            <w:gridSpan w:val="2"/>
          </w:tcPr>
          <w:p>
            <w:pPr>
              <w:ind w:left="680"/>
              <w:spacing w:after="0" w:line="120"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ind w:left="680"/>
              <w:spacing w:after="0" w:line="120"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160"/>
              <w:spacing w:after="0" w:line="120" w:lineRule="exact"/>
              <w:rPr>
                <w:sz w:val="20"/>
                <w:szCs w:val="20"/>
                <w:color w:val="auto"/>
              </w:rPr>
            </w:pPr>
            <w:r>
              <w:rPr>
                <w:rFonts w:ascii="Arial" w:cs="Arial" w:eastAsia="Arial" w:hAnsi="Arial"/>
                <w:sz w:val="12"/>
                <w:szCs w:val="12"/>
                <w:color w:val="auto"/>
              </w:rPr>
              <w:t>20,423</w:t>
            </w:r>
          </w:p>
        </w:tc>
        <w:tc>
          <w:tcPr>
            <w:tcW w:w="20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Arial" w:cs="Arial" w:eastAsia="Arial" w:hAnsi="Arial"/>
                <w:sz w:val="12"/>
                <w:szCs w:val="12"/>
                <w:color w:val="auto"/>
              </w:rPr>
              <w:t>20,423</w:t>
            </w:r>
          </w:p>
        </w:tc>
      </w:tr>
      <w:tr>
        <w:trPr>
          <w:trHeight w:val="112"/>
        </w:trPr>
        <w:tc>
          <w:tcPr>
            <w:tcW w:w="2420" w:type="dxa"/>
            <w:vAlign w:val="bottom"/>
            <w:tcBorders>
              <w:top w:val="single" w:sz="8" w:color="CCEEFF"/>
              <w:bottom w:val="single" w:sz="8" w:color="CCEEFF"/>
            </w:tcBorders>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Total</w:t>
            </w: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2940" w:type="dxa"/>
            <w:vAlign w:val="bottom"/>
            <w:tcBorders>
              <w:top w:val="single" w:sz="8" w:color="CCEEFF"/>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jc w:val="right"/>
              <w:ind w:right="48"/>
              <w:spacing w:after="0" w:line="110" w:lineRule="exact"/>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2"/>
                <w:szCs w:val="12"/>
                <w:b w:val="1"/>
                <w:bCs w:val="1"/>
                <w:color w:val="auto"/>
              </w:rPr>
              <w:t>284,959</w:t>
            </w: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jc w:val="right"/>
              <w:ind w:right="68"/>
              <w:spacing w:after="0" w:line="110"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ind w:left="680"/>
              <w:spacing w:after="0" w:line="110" w:lineRule="exact"/>
              <w:rPr>
                <w:sz w:val="20"/>
                <w:szCs w:val="20"/>
                <w:color w:val="auto"/>
              </w:rPr>
            </w:pPr>
            <w:r>
              <w:rPr>
                <w:rFonts w:ascii="Arial" w:cs="Arial" w:eastAsia="Arial" w:hAnsi="Arial"/>
                <w:sz w:val="12"/>
                <w:szCs w:val="12"/>
                <w:b w:val="1"/>
                <w:bCs w:val="1"/>
                <w:color w:val="auto"/>
                <w:w w:val="82"/>
              </w:rPr>
              <w:t>—</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200" w:type="dxa"/>
            <w:vAlign w:val="bottom"/>
            <w:tcBorders>
              <w:top w:val="single" w:sz="8" w:color="auto"/>
              <w:bottom w:val="single" w:sz="8" w:color="auto"/>
            </w:tcBorders>
            <w:shd w:val="clear" w:color="auto" w:fill="CCEEFF"/>
          </w:tcPr>
          <w:p>
            <w:pPr>
              <w:jc w:val="right"/>
              <w:ind w:right="88"/>
              <w:spacing w:after="0" w:line="110"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ind w:left="680"/>
              <w:spacing w:after="0" w:line="110" w:lineRule="exact"/>
              <w:rPr>
                <w:sz w:val="20"/>
                <w:szCs w:val="20"/>
                <w:color w:val="auto"/>
              </w:rPr>
            </w:pPr>
            <w:r>
              <w:rPr>
                <w:rFonts w:ascii="Arial" w:cs="Arial" w:eastAsia="Arial" w:hAnsi="Arial"/>
                <w:sz w:val="12"/>
                <w:szCs w:val="12"/>
                <w:b w:val="1"/>
                <w:bCs w:val="1"/>
                <w:color w:val="auto"/>
                <w:w w:val="82"/>
              </w:rPr>
              <w:t>—</w:t>
            </w: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jc w:val="right"/>
              <w:ind w:right="68"/>
              <w:spacing w:after="0" w:line="110" w:lineRule="exact"/>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2"/>
                <w:szCs w:val="12"/>
                <w:b w:val="1"/>
                <w:bCs w:val="1"/>
                <w:color w:val="auto"/>
              </w:rPr>
              <w:t>278,948</w:t>
            </w: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200" w:type="dxa"/>
            <w:vAlign w:val="bottom"/>
            <w:tcBorders>
              <w:top w:val="single" w:sz="8" w:color="auto"/>
              <w:bottom w:val="single" w:sz="8" w:color="auto"/>
            </w:tcBorders>
            <w:shd w:val="clear" w:color="auto" w:fill="CCEEFF"/>
          </w:tcPr>
          <w:p>
            <w:pPr>
              <w:jc w:val="right"/>
              <w:ind w:right="88"/>
              <w:spacing w:after="0" w:line="110" w:lineRule="exact"/>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2"/>
                <w:szCs w:val="12"/>
                <w:b w:val="1"/>
                <w:bCs w:val="1"/>
                <w:color w:val="auto"/>
              </w:rPr>
              <w:t>278,948</w:t>
            </w:r>
          </w:p>
        </w:tc>
      </w:tr>
    </w:tbl>
    <w:p>
      <w:pPr>
        <w:spacing w:after="0" w:line="136" w:lineRule="exact"/>
        <w:rPr>
          <w:sz w:val="20"/>
          <w:szCs w:val="20"/>
          <w:color w:val="auto"/>
        </w:rPr>
      </w:pPr>
    </w:p>
    <w:p>
      <w:pPr>
        <w:ind w:left="520" w:hanging="253"/>
        <w:spacing w:after="0"/>
        <w:tabs>
          <w:tab w:leader="none" w:pos="5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These balances are presented gross of deferred financing costs.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18 – HEDGE ACCOUNTING</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2021 and 2020, the Company held interest rate derivatives in the total notional amount of $63.0 million and $8.0,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The derivatives are recorded on the balance sheet at fair value and are included in the following line items:</w:t>
      </w:r>
    </w:p>
    <w:p>
      <w:pPr>
        <w:spacing w:after="0" w:line="162" w:lineRule="exact"/>
        <w:rPr>
          <w:sz w:val="20"/>
          <w:szCs w:val="20"/>
          <w:color w:val="auto"/>
        </w:rPr>
      </w:pPr>
    </w:p>
    <w:p>
      <w:pPr>
        <w:jc w:val="center"/>
        <w:ind w:left="3040"/>
        <w:spacing w:after="0"/>
        <w:rPr>
          <w:sz w:val="20"/>
          <w:szCs w:val="20"/>
          <w:color w:val="auto"/>
        </w:rPr>
      </w:pPr>
      <w:r>
        <w:rPr>
          <w:rFonts w:ascii="Arial" w:cs="Arial" w:eastAsia="Arial" w:hAnsi="Arial"/>
          <w:sz w:val="12"/>
          <w:szCs w:val="12"/>
          <w:b w:val="1"/>
          <w:bCs w:val="1"/>
          <w:color w:val="auto"/>
        </w:rPr>
        <w:t>Asset Derivatives</w:t>
      </w:r>
    </w:p>
    <w:p>
      <w:pPr>
        <w:jc w:val="center"/>
        <w:ind w:left="3040"/>
        <w:spacing w:after="0" w:line="216" w:lineRule="auto"/>
        <w:rPr>
          <w:sz w:val="20"/>
          <w:szCs w:val="20"/>
          <w:color w:val="auto"/>
        </w:rPr>
      </w:pPr>
      <w:r>
        <w:rPr>
          <w:rFonts w:ascii="Arial" w:cs="Arial" w:eastAsia="Arial" w:hAnsi="Arial"/>
          <w:sz w:val="12"/>
          <w:szCs w:val="12"/>
          <w:b w:val="1"/>
          <w:bCs w:val="1"/>
          <w:color w:val="auto"/>
        </w:rPr>
        <w:t>December 31,</w:t>
      </w:r>
    </w:p>
    <w:tbl>
      <w:tblPr>
        <w:tblLayout w:type="fixed"/>
        <w:tblInd w:w="0" w:type="dxa"/>
        <w:tblCellMar>
          <w:top w:w="0" w:type="dxa"/>
          <w:left w:w="0" w:type="dxa"/>
          <w:bottom w:w="0" w:type="dxa"/>
          <w:right w:w="0" w:type="dxa"/>
        </w:tblCellMar>
      </w:tblPr>
      <w:tr>
        <w:trPr>
          <w:trHeight w:val="123"/>
        </w:trPr>
        <w:tc>
          <w:tcPr>
            <w:tcW w:w="2900" w:type="dxa"/>
            <w:vAlign w:val="bottom"/>
            <w:vMerge w:val="restart"/>
          </w:tcPr>
          <w:p>
            <w:pPr>
              <w:spacing w:after="0"/>
              <w:rPr>
                <w:sz w:val="20"/>
                <w:szCs w:val="20"/>
                <w:color w:val="auto"/>
              </w:rPr>
            </w:pPr>
            <w:r>
              <w:rPr>
                <w:rFonts w:ascii="Arial" w:cs="Arial" w:eastAsia="Arial" w:hAnsi="Arial"/>
                <w:sz w:val="12"/>
                <w:szCs w:val="12"/>
                <w:i w:val="1"/>
                <w:iCs w:val="1"/>
                <w:color w:val="auto"/>
              </w:rPr>
              <w:t>(Dollars in thousands)</w:t>
            </w:r>
          </w:p>
        </w:tc>
        <w:tc>
          <w:tcPr>
            <w:tcW w:w="160" w:type="dxa"/>
            <w:vAlign w:val="bottom"/>
          </w:tcPr>
          <w:p>
            <w:pPr>
              <w:spacing w:after="0"/>
              <w:rPr>
                <w:sz w:val="10"/>
                <w:szCs w:val="10"/>
                <w:color w:val="auto"/>
              </w:rPr>
            </w:pPr>
          </w:p>
        </w:tc>
        <w:tc>
          <w:tcPr>
            <w:tcW w:w="2880" w:type="dxa"/>
            <w:vAlign w:val="bottom"/>
            <w:tcBorders>
              <w:top w:val="single" w:sz="8" w:color="auto"/>
            </w:tcBorders>
          </w:tcPr>
          <w:p>
            <w:pPr>
              <w:jc w:val="right"/>
              <w:ind w:right="702"/>
              <w:spacing w:after="0" w:line="121"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980" w:type="dxa"/>
            <w:vAlign w:val="bottom"/>
            <w:tcBorders>
              <w:top w:val="single" w:sz="8" w:color="auto"/>
            </w:tcBorders>
            <w:gridSpan w:val="2"/>
          </w:tcPr>
          <w:p>
            <w:pPr>
              <w:jc w:val="right"/>
              <w:ind w:right="702"/>
              <w:spacing w:after="0" w:line="121"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060" w:type="dxa"/>
            <w:vAlign w:val="bottom"/>
            <w:tcBorders>
              <w:top w:val="single" w:sz="8" w:color="auto"/>
            </w:tcBorders>
            <w:gridSpan w:val="2"/>
          </w:tcPr>
          <w:p>
            <w:pPr>
              <w:spacing w:after="0" w:line="120" w:lineRule="exact"/>
              <w:rPr>
                <w:sz w:val="20"/>
                <w:szCs w:val="20"/>
                <w:color w:val="auto"/>
              </w:rPr>
            </w:pPr>
            <w:r>
              <w:rPr>
                <w:rFonts w:ascii="Arial" w:cs="Arial" w:eastAsia="Arial" w:hAnsi="Arial"/>
                <w:sz w:val="12"/>
                <w:szCs w:val="12"/>
                <w:b w:val="1"/>
                <w:bCs w:val="1"/>
                <w:color w:val="auto"/>
              </w:rPr>
              <w:t>Balance sheet location</w:t>
            </w:r>
          </w:p>
        </w:tc>
        <w:tc>
          <w:tcPr>
            <w:tcW w:w="74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Fair value</w:t>
            </w:r>
          </w:p>
        </w:tc>
        <w:tc>
          <w:tcPr>
            <w:tcW w:w="2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60" w:type="dxa"/>
            <w:vAlign w:val="bottom"/>
            <w:tcBorders>
              <w:top w:val="single" w:sz="8" w:color="auto"/>
            </w:tcBorders>
            <w:gridSpan w:val="2"/>
          </w:tcPr>
          <w:p>
            <w:pPr>
              <w:spacing w:after="0" w:line="120" w:lineRule="exact"/>
              <w:rPr>
                <w:sz w:val="20"/>
                <w:szCs w:val="20"/>
                <w:color w:val="auto"/>
              </w:rPr>
            </w:pPr>
            <w:r>
              <w:rPr>
                <w:rFonts w:ascii="Arial" w:cs="Arial" w:eastAsia="Arial" w:hAnsi="Arial"/>
                <w:sz w:val="12"/>
                <w:szCs w:val="12"/>
                <w:b w:val="1"/>
                <w:bCs w:val="1"/>
                <w:color w:val="auto"/>
              </w:rPr>
              <w:t>Balance sheet location</w:t>
            </w: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83"/>
              <w:spacing w:after="0" w:line="120" w:lineRule="exact"/>
              <w:rPr>
                <w:sz w:val="20"/>
                <w:szCs w:val="20"/>
                <w:color w:val="auto"/>
              </w:rPr>
            </w:pPr>
            <w:r>
              <w:rPr>
                <w:rFonts w:ascii="Arial" w:cs="Arial" w:eastAsia="Arial" w:hAnsi="Arial"/>
                <w:sz w:val="12"/>
                <w:szCs w:val="12"/>
                <w:b w:val="1"/>
                <w:bCs w:val="1"/>
                <w:color w:val="auto"/>
              </w:rPr>
              <w:t>Fair value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900" w:type="dxa"/>
            <w:vAlign w:val="bottom"/>
            <w:tcBorders>
              <w:top w:val="single" w:sz="8" w:color="auto"/>
            </w:tcBorders>
            <w:shd w:val="clear" w:color="auto" w:fill="CCEEFF"/>
          </w:tcPr>
          <w:p>
            <w:pPr>
              <w:spacing w:after="0" w:line="120" w:lineRule="exact"/>
              <w:rPr>
                <w:sz w:val="20"/>
                <w:szCs w:val="20"/>
                <w:color w:val="auto"/>
              </w:rPr>
            </w:pPr>
            <w:r>
              <w:rPr>
                <w:rFonts w:ascii="Arial" w:cs="Arial" w:eastAsia="Arial" w:hAnsi="Arial"/>
                <w:sz w:val="12"/>
                <w:szCs w:val="12"/>
                <w:color w:val="auto"/>
              </w:rPr>
              <w:t>Interest rate contracts</w:t>
            </w:r>
          </w:p>
        </w:tc>
        <w:tc>
          <w:tcPr>
            <w:tcW w:w="160" w:type="dxa"/>
            <w:vAlign w:val="bottom"/>
            <w:tcBorders>
              <w:top w:val="single" w:sz="8" w:color="CCEEFF"/>
            </w:tcBorders>
            <w:shd w:val="clear" w:color="auto" w:fill="CCEEFF"/>
          </w:tcPr>
          <w:p>
            <w:pPr>
              <w:spacing w:after="0"/>
              <w:rPr>
                <w:sz w:val="10"/>
                <w:szCs w:val="10"/>
                <w:color w:val="auto"/>
              </w:rPr>
            </w:pPr>
          </w:p>
        </w:tc>
        <w:tc>
          <w:tcPr>
            <w:tcW w:w="2880" w:type="dxa"/>
            <w:vAlign w:val="bottom"/>
            <w:tcBorders>
              <w:top w:val="single" w:sz="8" w:color="auto"/>
            </w:tcBorders>
            <w:shd w:val="clear" w:color="auto" w:fill="CCEEFF"/>
          </w:tcPr>
          <w:p>
            <w:pPr>
              <w:ind w:left="620"/>
              <w:spacing w:after="0" w:line="120" w:lineRule="exact"/>
              <w:rPr>
                <w:sz w:val="20"/>
                <w:szCs w:val="20"/>
                <w:color w:val="auto"/>
              </w:rPr>
            </w:pPr>
            <w:r>
              <w:rPr>
                <w:rFonts w:ascii="Arial" w:cs="Arial" w:eastAsia="Arial" w:hAnsi="Arial"/>
                <w:sz w:val="12"/>
                <w:szCs w:val="12"/>
                <w:color w:val="auto"/>
                <w:w w:val="88"/>
              </w:rPr>
              <w:t>Derivative financial instruments - current portion</w:t>
            </w:r>
          </w:p>
        </w:tc>
        <w:tc>
          <w:tcPr>
            <w:tcW w:w="1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ind w:right="663"/>
              <w:spacing w:after="0"/>
              <w:rPr>
                <w:sz w:val="20"/>
                <w:szCs w:val="20"/>
                <w:color w:val="auto"/>
              </w:rPr>
            </w:pPr>
            <w:r>
              <w:rPr>
                <w:rFonts w:ascii="Arial" w:cs="Arial" w:eastAsia="Arial" w:hAnsi="Arial"/>
                <w:sz w:val="5"/>
                <w:szCs w:val="5"/>
                <w:color w:val="auto"/>
                <w:w w:val="70"/>
              </w:rPr>
              <w:t>$</w:t>
            </w:r>
          </w:p>
        </w:tc>
        <w:tc>
          <w:tcPr>
            <w:tcW w:w="2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96</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90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Derivative financial instruments - current portion</w:t>
            </w: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90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3060" w:type="dxa"/>
            <w:vAlign w:val="bottom"/>
            <w:tcBorders>
              <w:bottom w:val="single" w:sz="8" w:color="auto"/>
            </w:tcBorders>
            <w:gridSpan w:val="2"/>
          </w:tcPr>
          <w:p>
            <w:pPr>
              <w:ind w:left="400"/>
              <w:spacing w:after="0" w:line="120" w:lineRule="exact"/>
              <w:rPr>
                <w:sz w:val="20"/>
                <w:szCs w:val="20"/>
                <w:color w:val="auto"/>
              </w:rPr>
            </w:pPr>
            <w:r>
              <w:rPr>
                <w:rFonts w:ascii="Arial" w:cs="Arial" w:eastAsia="Arial" w:hAnsi="Arial"/>
                <w:sz w:val="12"/>
                <w:szCs w:val="12"/>
                <w:color w:val="auto"/>
                <w:w w:val="94"/>
              </w:rPr>
              <w:t>Derivative financial instruments - non-current portion</w:t>
            </w: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w w:val="79"/>
              </w:rPr>
              <w:t>112</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060" w:type="dxa"/>
            <w:vAlign w:val="bottom"/>
            <w:tcBorders>
              <w:bottom w:val="single" w:sz="8" w:color="auto"/>
            </w:tcBorders>
            <w:gridSpan w:val="2"/>
          </w:tcPr>
          <w:p>
            <w:pPr>
              <w:jc w:val="right"/>
              <w:ind w:right="160"/>
              <w:spacing w:after="0" w:line="120" w:lineRule="exact"/>
              <w:rPr>
                <w:sz w:val="20"/>
                <w:szCs w:val="20"/>
                <w:color w:val="auto"/>
              </w:rPr>
            </w:pPr>
            <w:r>
              <w:rPr>
                <w:rFonts w:ascii="Arial" w:cs="Arial" w:eastAsia="Arial" w:hAnsi="Arial"/>
                <w:sz w:val="12"/>
                <w:szCs w:val="12"/>
                <w:color w:val="auto"/>
              </w:rPr>
              <w:t>Derivative financial instruments - non-current portion</w:t>
            </w: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900" w:type="dxa"/>
            <w:vAlign w:val="bottom"/>
            <w:tcBorders>
              <w:bottom w:val="single" w:sz="8" w:color="CCEEFF"/>
            </w:tcBorders>
            <w:shd w:val="clear" w:color="auto" w:fill="CCEEFF"/>
          </w:tcPr>
          <w:p>
            <w:pPr>
              <w:spacing w:after="0" w:line="110" w:lineRule="exact"/>
              <w:rPr>
                <w:sz w:val="20"/>
                <w:szCs w:val="20"/>
                <w:color w:val="auto"/>
              </w:rPr>
            </w:pPr>
            <w:r>
              <w:rPr>
                <w:rFonts w:ascii="Arial" w:cs="Arial" w:eastAsia="Arial" w:hAnsi="Arial"/>
                <w:sz w:val="12"/>
                <w:szCs w:val="12"/>
                <w:b w:val="1"/>
                <w:bCs w:val="1"/>
                <w:color w:val="auto"/>
                <w:w w:val="95"/>
              </w:rPr>
              <w:t>Total derivatives designated as hedging instruments</w:t>
            </w:r>
          </w:p>
        </w:tc>
        <w:tc>
          <w:tcPr>
            <w:tcW w:w="160" w:type="dxa"/>
            <w:vAlign w:val="bottom"/>
            <w:tcBorders>
              <w:bottom w:val="single" w:sz="8" w:color="CCEEFF"/>
            </w:tcBorders>
            <w:shd w:val="clear" w:color="auto" w:fill="CCEEFF"/>
          </w:tcPr>
          <w:p>
            <w:pPr>
              <w:spacing w:after="0"/>
              <w:rPr>
                <w:sz w:val="11"/>
                <w:szCs w:val="11"/>
                <w:color w:val="auto"/>
              </w:rPr>
            </w:pPr>
          </w:p>
        </w:tc>
        <w:tc>
          <w:tcPr>
            <w:tcW w:w="288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663"/>
              <w:spacing w:after="0"/>
              <w:rPr>
                <w:sz w:val="20"/>
                <w:szCs w:val="20"/>
                <w:color w:val="auto"/>
              </w:rPr>
            </w:pPr>
            <w:r>
              <w:rPr>
                <w:rFonts w:ascii="Arial" w:cs="Arial" w:eastAsia="Arial" w:hAnsi="Arial"/>
                <w:sz w:val="5"/>
                <w:szCs w:val="5"/>
                <w:b w:val="1"/>
                <w:bCs w:val="1"/>
                <w:color w:val="auto"/>
                <w:w w:val="70"/>
              </w:rPr>
              <w:t>$</w:t>
            </w:r>
          </w:p>
        </w:tc>
        <w:tc>
          <w:tcPr>
            <w:tcW w:w="22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2"/>
                <w:szCs w:val="12"/>
                <w:b w:val="1"/>
                <w:bCs w:val="1"/>
                <w:color w:val="auto"/>
                <w:w w:val="99"/>
              </w:rPr>
              <w:t>208</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90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8"/>
              <w:spacing w:after="0" w:line="110" w:lineRule="exact"/>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900" w:type="dxa"/>
            <w:vAlign w:val="bottom"/>
          </w:tcPr>
          <w:p>
            <w:pPr>
              <w:spacing w:after="0" w:line="101" w:lineRule="exact"/>
              <w:rPr>
                <w:sz w:val="20"/>
                <w:szCs w:val="20"/>
                <w:color w:val="auto"/>
              </w:rPr>
            </w:pPr>
            <w:r>
              <w:rPr>
                <w:rFonts w:ascii="Arial" w:cs="Arial" w:eastAsia="Arial" w:hAnsi="Arial"/>
                <w:sz w:val="10"/>
                <w:szCs w:val="10"/>
                <w:b w:val="1"/>
                <w:bCs w:val="1"/>
                <w:color w:val="auto"/>
              </w:rPr>
              <w:t>Total derivatives</w:t>
            </w:r>
          </w:p>
        </w:tc>
        <w:tc>
          <w:tcPr>
            <w:tcW w:w="160" w:type="dxa"/>
            <w:vAlign w:val="bottom"/>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663"/>
              <w:spacing w:after="0"/>
              <w:rPr>
                <w:sz w:val="20"/>
                <w:szCs w:val="20"/>
                <w:color w:val="auto"/>
              </w:rPr>
            </w:pPr>
            <w:r>
              <w:rPr>
                <w:rFonts w:ascii="Arial" w:cs="Arial" w:eastAsia="Arial" w:hAnsi="Arial"/>
                <w:sz w:val="5"/>
                <w:szCs w:val="5"/>
                <w:b w:val="1"/>
                <w:bCs w:val="1"/>
                <w:color w:val="auto"/>
                <w:w w:val="70"/>
              </w:rPr>
              <w:t>$</w:t>
            </w:r>
          </w:p>
        </w:tc>
        <w:tc>
          <w:tcPr>
            <w:tcW w:w="22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0"/>
                <w:szCs w:val="10"/>
                <w:b w:val="1"/>
                <w:bCs w:val="1"/>
                <w:color w:val="auto"/>
              </w:rPr>
              <w:t>208</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jc w:val="right"/>
              <w:ind w:right="28"/>
              <w:spacing w:after="0" w:line="101" w:lineRule="exact"/>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80" w:type="dxa"/>
            <w:vAlign w:val="bottom"/>
            <w:gridSpan w:val="6"/>
          </w:tcPr>
          <w:p>
            <w:pPr>
              <w:jc w:val="center"/>
              <w:ind w:right="2080"/>
              <w:spacing w:after="0"/>
              <w:rPr>
                <w:sz w:val="20"/>
                <w:szCs w:val="20"/>
                <w:color w:val="auto"/>
              </w:rPr>
            </w:pPr>
            <w:r>
              <w:rPr>
                <w:rFonts w:ascii="Arial" w:cs="Arial" w:eastAsia="Arial" w:hAnsi="Arial"/>
                <w:sz w:val="12"/>
                <w:szCs w:val="12"/>
                <w:b w:val="1"/>
                <w:bCs w:val="1"/>
                <w:color w:val="auto"/>
                <w:w w:val="90"/>
              </w:rPr>
              <w:t>Liability Derivatives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180" w:type="dxa"/>
            <w:vAlign w:val="bottom"/>
            <w:tcBorders>
              <w:bottom w:val="single" w:sz="8" w:color="auto"/>
            </w:tcBorders>
            <w:gridSpan w:val="6"/>
          </w:tcPr>
          <w:p>
            <w:pPr>
              <w:jc w:val="center"/>
              <w:ind w:right="2080"/>
              <w:spacing w:after="0" w:line="137" w:lineRule="exact"/>
              <w:rPr>
                <w:sz w:val="20"/>
                <w:szCs w:val="20"/>
                <w:color w:val="auto"/>
              </w:rPr>
            </w:pPr>
            <w:r>
              <w:rPr>
                <w:rFonts w:ascii="Arial" w:cs="Arial" w:eastAsia="Arial" w:hAnsi="Arial"/>
                <w:sz w:val="12"/>
                <w:szCs w:val="12"/>
                <w:b w:val="1"/>
                <w:bCs w:val="1"/>
                <w:color w:val="auto"/>
                <w:w w:val="84"/>
              </w:rPr>
              <w:t>December 31,</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00" w:type="dxa"/>
            <w:vAlign w:val="bottom"/>
            <w:vMerge w:val="restart"/>
          </w:tcPr>
          <w:p>
            <w:pPr>
              <w:spacing w:after="0"/>
              <w:rPr>
                <w:sz w:val="20"/>
                <w:szCs w:val="20"/>
                <w:color w:val="auto"/>
              </w:rPr>
            </w:pPr>
            <w:r>
              <w:rPr>
                <w:rFonts w:ascii="Arial" w:cs="Arial" w:eastAsia="Arial" w:hAnsi="Arial"/>
                <w:sz w:val="12"/>
                <w:szCs w:val="12"/>
                <w:i w:val="1"/>
                <w:iCs w:val="1"/>
                <w:color w:val="auto"/>
              </w:rPr>
              <w:t>(Dollars in thousands)</w:t>
            </w:r>
          </w:p>
        </w:tc>
        <w:tc>
          <w:tcPr>
            <w:tcW w:w="160" w:type="dxa"/>
            <w:vAlign w:val="bottom"/>
          </w:tcPr>
          <w:p>
            <w:pPr>
              <w:spacing w:after="0"/>
              <w:rPr>
                <w:sz w:val="10"/>
                <w:szCs w:val="10"/>
                <w:color w:val="auto"/>
              </w:rPr>
            </w:pPr>
          </w:p>
        </w:tc>
        <w:tc>
          <w:tcPr>
            <w:tcW w:w="2880" w:type="dxa"/>
            <w:vAlign w:val="bottom"/>
          </w:tcPr>
          <w:p>
            <w:pPr>
              <w:jc w:val="right"/>
              <w:ind w:right="702"/>
              <w:spacing w:after="0" w:line="120" w:lineRule="exact"/>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80" w:type="dxa"/>
            <w:vAlign w:val="bottom"/>
            <w:gridSpan w:val="2"/>
          </w:tcPr>
          <w:p>
            <w:pPr>
              <w:jc w:val="right"/>
              <w:ind w:right="702"/>
              <w:spacing w:after="0" w:line="120" w:lineRule="exact"/>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060" w:type="dxa"/>
            <w:vAlign w:val="bottom"/>
            <w:tcBorders>
              <w:top w:val="single" w:sz="8" w:color="auto"/>
            </w:tcBorders>
            <w:gridSpan w:val="2"/>
          </w:tcPr>
          <w:p>
            <w:pPr>
              <w:spacing w:after="0" w:line="120" w:lineRule="exact"/>
              <w:rPr>
                <w:sz w:val="20"/>
                <w:szCs w:val="20"/>
                <w:color w:val="auto"/>
              </w:rPr>
            </w:pPr>
            <w:r>
              <w:rPr>
                <w:rFonts w:ascii="Arial" w:cs="Arial" w:eastAsia="Arial" w:hAnsi="Arial"/>
                <w:sz w:val="12"/>
                <w:szCs w:val="12"/>
                <w:b w:val="1"/>
                <w:bCs w:val="1"/>
                <w:color w:val="auto"/>
              </w:rPr>
              <w:t>Balance sheet location</w:t>
            </w:r>
          </w:p>
        </w:tc>
        <w:tc>
          <w:tcPr>
            <w:tcW w:w="74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Fair value</w:t>
            </w:r>
          </w:p>
        </w:tc>
        <w:tc>
          <w:tcPr>
            <w:tcW w:w="2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60" w:type="dxa"/>
            <w:vAlign w:val="bottom"/>
            <w:tcBorders>
              <w:top w:val="single" w:sz="8" w:color="auto"/>
            </w:tcBorders>
            <w:gridSpan w:val="2"/>
          </w:tcPr>
          <w:p>
            <w:pPr>
              <w:spacing w:after="0" w:line="120" w:lineRule="exact"/>
              <w:rPr>
                <w:sz w:val="20"/>
                <w:szCs w:val="20"/>
                <w:color w:val="auto"/>
              </w:rPr>
            </w:pPr>
            <w:r>
              <w:rPr>
                <w:rFonts w:ascii="Arial" w:cs="Arial" w:eastAsia="Arial" w:hAnsi="Arial"/>
                <w:sz w:val="12"/>
                <w:szCs w:val="12"/>
                <w:b w:val="1"/>
                <w:bCs w:val="1"/>
                <w:color w:val="auto"/>
              </w:rPr>
              <w:t>Balance sheet location</w:t>
            </w: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83"/>
              <w:spacing w:after="0" w:line="120" w:lineRule="exact"/>
              <w:rPr>
                <w:sz w:val="20"/>
                <w:szCs w:val="20"/>
                <w:color w:val="auto"/>
              </w:rPr>
            </w:pPr>
            <w:r>
              <w:rPr>
                <w:rFonts w:ascii="Arial" w:cs="Arial" w:eastAsia="Arial" w:hAnsi="Arial"/>
                <w:sz w:val="12"/>
                <w:szCs w:val="12"/>
                <w:b w:val="1"/>
                <w:bCs w:val="1"/>
                <w:color w:val="auto"/>
              </w:rPr>
              <w:t>Fair value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900" w:type="dxa"/>
            <w:vAlign w:val="bottom"/>
            <w:tcBorders>
              <w:top w:val="single" w:sz="8" w:color="auto"/>
            </w:tcBorders>
            <w:shd w:val="clear" w:color="auto" w:fill="CCEEFF"/>
          </w:tcPr>
          <w:p>
            <w:pPr>
              <w:spacing w:after="0" w:line="120" w:lineRule="exact"/>
              <w:rPr>
                <w:sz w:val="20"/>
                <w:szCs w:val="20"/>
                <w:color w:val="auto"/>
              </w:rPr>
            </w:pPr>
            <w:r>
              <w:rPr>
                <w:rFonts w:ascii="Arial" w:cs="Arial" w:eastAsia="Arial" w:hAnsi="Arial"/>
                <w:sz w:val="12"/>
                <w:szCs w:val="12"/>
                <w:color w:val="auto"/>
              </w:rPr>
              <w:t>Interest rate contracts</w:t>
            </w:r>
          </w:p>
        </w:tc>
        <w:tc>
          <w:tcPr>
            <w:tcW w:w="160" w:type="dxa"/>
            <w:vAlign w:val="bottom"/>
            <w:tcBorders>
              <w:top w:val="single" w:sz="8" w:color="CCEEFF"/>
            </w:tcBorders>
            <w:shd w:val="clear" w:color="auto" w:fill="CCEEFF"/>
          </w:tcPr>
          <w:p>
            <w:pPr>
              <w:spacing w:after="0"/>
              <w:rPr>
                <w:sz w:val="10"/>
                <w:szCs w:val="10"/>
                <w:color w:val="auto"/>
              </w:rPr>
            </w:pPr>
          </w:p>
        </w:tc>
        <w:tc>
          <w:tcPr>
            <w:tcW w:w="2880" w:type="dxa"/>
            <w:vAlign w:val="bottom"/>
            <w:tcBorders>
              <w:top w:val="single" w:sz="8" w:color="auto"/>
            </w:tcBorders>
            <w:shd w:val="clear" w:color="auto" w:fill="CCEEFF"/>
          </w:tcPr>
          <w:p>
            <w:pPr>
              <w:spacing w:after="0" w:line="120" w:lineRule="exact"/>
              <w:rPr>
                <w:sz w:val="20"/>
                <w:szCs w:val="20"/>
                <w:color w:val="auto"/>
              </w:rPr>
            </w:pPr>
            <w:r>
              <w:rPr>
                <w:rFonts w:ascii="Arial" w:cs="Arial" w:eastAsia="Arial" w:hAnsi="Arial"/>
                <w:sz w:val="12"/>
                <w:szCs w:val="12"/>
                <w:color w:val="auto"/>
              </w:rPr>
              <w:t>Derivative financial instruments - current portion</w:t>
            </w:r>
          </w:p>
        </w:tc>
        <w:tc>
          <w:tcPr>
            <w:tcW w:w="1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ind w:right="663"/>
              <w:spacing w:after="0"/>
              <w:rPr>
                <w:sz w:val="20"/>
                <w:szCs w:val="20"/>
                <w:color w:val="auto"/>
              </w:rPr>
            </w:pPr>
            <w:r>
              <w:rPr>
                <w:rFonts w:ascii="Arial" w:cs="Arial" w:eastAsia="Arial" w:hAnsi="Arial"/>
                <w:sz w:val="5"/>
                <w:szCs w:val="5"/>
                <w:color w:val="auto"/>
                <w:w w:val="70"/>
              </w:rPr>
              <w:t>$</w:t>
            </w:r>
          </w:p>
        </w:tc>
        <w:tc>
          <w:tcPr>
            <w:tcW w:w="2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79"/>
              </w:rPr>
              <w:t>181</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900" w:type="dxa"/>
            <w:vAlign w:val="bottom"/>
            <w:tcBorders>
              <w:top w:val="single" w:sz="8" w:color="auto"/>
            </w:tcBorders>
            <w:shd w:val="clear" w:color="auto" w:fill="CCEEFF"/>
          </w:tcPr>
          <w:p>
            <w:pPr>
              <w:spacing w:after="0" w:line="120" w:lineRule="exact"/>
              <w:rPr>
                <w:sz w:val="20"/>
                <w:szCs w:val="20"/>
                <w:color w:val="auto"/>
              </w:rPr>
            </w:pPr>
            <w:r>
              <w:rPr>
                <w:rFonts w:ascii="Arial" w:cs="Arial" w:eastAsia="Arial" w:hAnsi="Arial"/>
                <w:sz w:val="12"/>
                <w:szCs w:val="12"/>
                <w:color w:val="auto"/>
              </w:rPr>
              <w:t>Derivative financial instruments - current portion</w:t>
            </w: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900" w:type="dxa"/>
            <w:vAlign w:val="bottom"/>
          </w:tcPr>
          <w:p>
            <w:pPr>
              <w:spacing w:after="0"/>
              <w:rPr>
                <w:sz w:val="10"/>
                <w:szCs w:val="10"/>
                <w:color w:val="auto"/>
              </w:rPr>
            </w:pPr>
          </w:p>
        </w:tc>
        <w:tc>
          <w:tcPr>
            <w:tcW w:w="3220" w:type="dxa"/>
            <w:vAlign w:val="bottom"/>
            <w:gridSpan w:val="3"/>
          </w:tcPr>
          <w:p>
            <w:pPr>
              <w:ind w:left="160"/>
              <w:spacing w:after="0" w:line="120" w:lineRule="exact"/>
              <w:rPr>
                <w:sz w:val="20"/>
                <w:szCs w:val="20"/>
                <w:color w:val="auto"/>
              </w:rPr>
            </w:pPr>
            <w:r>
              <w:rPr>
                <w:rFonts w:ascii="Arial" w:cs="Arial" w:eastAsia="Arial" w:hAnsi="Arial"/>
                <w:sz w:val="12"/>
                <w:szCs w:val="12"/>
                <w:color w:val="auto"/>
              </w:rPr>
              <w:t>Derivative financial instruments - non-current portion</w:t>
            </w:r>
          </w:p>
        </w:tc>
        <w:tc>
          <w:tcPr>
            <w:tcW w:w="740" w:type="dxa"/>
            <w:vAlign w:val="bottom"/>
          </w:tcPr>
          <w:p>
            <w:pPr>
              <w:spacing w:after="0"/>
              <w:rPr>
                <w:sz w:val="10"/>
                <w:szCs w:val="10"/>
                <w:color w:val="auto"/>
              </w:rPr>
            </w:pPr>
          </w:p>
        </w:tc>
        <w:tc>
          <w:tcPr>
            <w:tcW w:w="3440" w:type="dxa"/>
            <w:vAlign w:val="bottom"/>
            <w:gridSpan w:val="5"/>
          </w:tcPr>
          <w:p>
            <w:pPr>
              <w:ind w:left="100"/>
              <w:spacing w:after="0" w:line="120" w:lineRule="exact"/>
              <w:rPr>
                <w:sz w:val="20"/>
                <w:szCs w:val="20"/>
                <w:color w:val="auto"/>
              </w:rPr>
            </w:pPr>
            <w:r>
              <w:rPr>
                <w:rFonts w:ascii="Arial" w:cs="Arial" w:eastAsia="Arial" w:hAnsi="Arial"/>
                <w:sz w:val="12"/>
                <w:szCs w:val="12"/>
                <w:color w:val="auto"/>
              </w:rPr>
              <w:t>—   Derivative financial instruments - non-current portion</w:t>
            </w:r>
          </w:p>
        </w:tc>
        <w:tc>
          <w:tcPr>
            <w:tcW w:w="140" w:type="dxa"/>
            <w:vAlign w:val="bottom"/>
          </w:tcPr>
          <w:p>
            <w:pPr>
              <w:spacing w:after="0"/>
              <w:rPr>
                <w:sz w:val="10"/>
                <w:szCs w:val="10"/>
                <w:color w:val="auto"/>
              </w:rPr>
            </w:pPr>
          </w:p>
        </w:tc>
        <w:tc>
          <w:tcPr>
            <w:tcW w:w="840" w:type="dxa"/>
            <w:vAlign w:val="bottom"/>
          </w:tcPr>
          <w:p>
            <w:pPr>
              <w:jc w:val="right"/>
              <w:spacing w:after="0" w:line="120" w:lineRule="exact"/>
              <w:rPr>
                <w:sz w:val="20"/>
                <w:szCs w:val="20"/>
                <w:color w:val="auto"/>
              </w:rPr>
            </w:pPr>
            <w:r>
              <w:rPr>
                <w:rFonts w:ascii="Arial" w:cs="Arial" w:eastAsia="Arial" w:hAnsi="Arial"/>
                <w:sz w:val="12"/>
                <w:szCs w:val="12"/>
                <w:color w:val="auto"/>
              </w:rPr>
              <w:t>212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900" w:type="dxa"/>
            <w:vAlign w:val="bottom"/>
            <w:tcBorders>
              <w:top w:val="single" w:sz="8" w:color="CCEEFF"/>
              <w:bottom w:val="single" w:sz="8" w:color="CCEEFF"/>
            </w:tcBorders>
            <w:shd w:val="clear" w:color="auto" w:fill="CCEEFF"/>
          </w:tcPr>
          <w:p>
            <w:pPr>
              <w:spacing w:after="0" w:line="110" w:lineRule="exact"/>
              <w:rPr>
                <w:sz w:val="20"/>
                <w:szCs w:val="20"/>
                <w:color w:val="auto"/>
              </w:rPr>
            </w:pPr>
            <w:r>
              <w:rPr>
                <w:rFonts w:ascii="Arial" w:cs="Arial" w:eastAsia="Arial" w:hAnsi="Arial"/>
                <w:sz w:val="12"/>
                <w:szCs w:val="12"/>
                <w:b w:val="1"/>
                <w:bCs w:val="1"/>
                <w:color w:val="auto"/>
                <w:w w:val="95"/>
              </w:rPr>
              <w:t>Total derivatives designated as hedging instruments</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88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ind w:right="663"/>
              <w:spacing w:after="0"/>
              <w:rPr>
                <w:sz w:val="20"/>
                <w:szCs w:val="20"/>
                <w:color w:val="auto"/>
              </w:rPr>
            </w:pPr>
            <w:r>
              <w:rPr>
                <w:rFonts w:ascii="Arial" w:cs="Arial" w:eastAsia="Arial" w:hAnsi="Arial"/>
                <w:sz w:val="5"/>
                <w:szCs w:val="5"/>
                <w:b w:val="1"/>
                <w:bCs w:val="1"/>
                <w:color w:val="auto"/>
                <w:w w:val="70"/>
              </w:rPr>
              <w:t>$</w:t>
            </w:r>
          </w:p>
        </w:tc>
        <w:tc>
          <w:tcPr>
            <w:tcW w:w="22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2"/>
                <w:szCs w:val="12"/>
                <w:b w:val="1"/>
                <w:bCs w:val="1"/>
                <w:color w:val="auto"/>
                <w:w w:val="79"/>
              </w:rPr>
              <w:t>181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90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8"/>
              <w:spacing w:after="0" w:line="110" w:lineRule="exact"/>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2"/>
                <w:szCs w:val="12"/>
                <w:b w:val="1"/>
                <w:bCs w:val="1"/>
                <w:color w:val="auto"/>
              </w:rPr>
              <w:t>430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900" w:type="dxa"/>
            <w:vAlign w:val="bottom"/>
          </w:tcPr>
          <w:p>
            <w:pPr>
              <w:spacing w:after="0" w:line="101" w:lineRule="exact"/>
              <w:rPr>
                <w:sz w:val="20"/>
                <w:szCs w:val="20"/>
                <w:color w:val="auto"/>
              </w:rPr>
            </w:pPr>
            <w:r>
              <w:rPr>
                <w:rFonts w:ascii="Arial" w:cs="Arial" w:eastAsia="Arial" w:hAnsi="Arial"/>
                <w:sz w:val="10"/>
                <w:szCs w:val="10"/>
                <w:b w:val="1"/>
                <w:bCs w:val="1"/>
                <w:color w:val="auto"/>
              </w:rPr>
              <w:t>Total derivatives</w:t>
            </w:r>
          </w:p>
        </w:tc>
        <w:tc>
          <w:tcPr>
            <w:tcW w:w="160" w:type="dxa"/>
            <w:vAlign w:val="bottom"/>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663"/>
              <w:spacing w:after="0"/>
              <w:rPr>
                <w:sz w:val="20"/>
                <w:szCs w:val="20"/>
                <w:color w:val="auto"/>
              </w:rPr>
            </w:pPr>
            <w:r>
              <w:rPr>
                <w:rFonts w:ascii="Arial" w:cs="Arial" w:eastAsia="Arial" w:hAnsi="Arial"/>
                <w:sz w:val="5"/>
                <w:szCs w:val="5"/>
                <w:b w:val="1"/>
                <w:bCs w:val="1"/>
                <w:color w:val="auto"/>
                <w:w w:val="70"/>
              </w:rPr>
              <w:t>$</w:t>
            </w:r>
          </w:p>
        </w:tc>
        <w:tc>
          <w:tcPr>
            <w:tcW w:w="22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0"/>
                <w:szCs w:val="10"/>
                <w:b w:val="1"/>
                <w:bCs w:val="1"/>
                <w:color w:val="auto"/>
                <w:w w:val="95"/>
              </w:rPr>
              <w:t>181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jc w:val="right"/>
              <w:ind w:right="28"/>
              <w:spacing w:after="0" w:line="101" w:lineRule="exact"/>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0"/>
                <w:szCs w:val="10"/>
                <w:b w:val="1"/>
                <w:bCs w:val="1"/>
                <w:color w:val="auto"/>
              </w:rPr>
              <w:t>430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The changes in fair value are recorded in Other Comprehensive Income and released into interest expense in the same period(s) in which the hedged transactions affect earnings. In 2021 and 2020, the derivative instruments affected Comprehensive Income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200" w:type="dxa"/>
            <w:vAlign w:val="bottom"/>
            <w:tcBorders>
              <w:bottom w:val="single" w:sz="8" w:color="auto"/>
            </w:tcBorders>
            <w:gridSpan w:val="2"/>
          </w:tcPr>
          <w:p>
            <w:pPr>
              <w:spacing w:after="0"/>
              <w:rPr>
                <w:sz w:val="20"/>
                <w:szCs w:val="20"/>
                <w:color w:val="auto"/>
              </w:rPr>
            </w:pPr>
            <w:r>
              <w:rPr>
                <w:rFonts w:ascii="Arial" w:cs="Arial" w:eastAsia="Arial" w:hAnsi="Arial"/>
                <w:sz w:val="12"/>
                <w:szCs w:val="12"/>
                <w:i w:val="1"/>
                <w:iCs w:val="1"/>
                <w:color w:val="auto"/>
              </w:rPr>
              <w:t>(Dollars in thousands)</w:t>
            </w: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5"/>
          </w:tcPr>
          <w:p>
            <w:pPr>
              <w:ind w:left="20"/>
              <w:spacing w:after="0"/>
              <w:rPr>
                <w:sz w:val="20"/>
                <w:szCs w:val="20"/>
                <w:color w:val="auto"/>
              </w:rPr>
            </w:pPr>
            <w:r>
              <w:rPr>
                <w:rFonts w:ascii="Arial" w:cs="Arial" w:eastAsia="Arial" w:hAnsi="Arial"/>
                <w:sz w:val="12"/>
                <w:szCs w:val="12"/>
                <w:b w:val="1"/>
                <w:bCs w:val="1"/>
                <w:color w:val="auto"/>
                <w:w w:val="85"/>
              </w:rPr>
              <w:t>Location of Loss Recognized in Income on Derivatives</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60" w:type="dxa"/>
            <w:vAlign w:val="bottom"/>
            <w:tcBorders>
              <w:bottom w:val="single" w:sz="8" w:color="auto"/>
            </w:tcBorders>
            <w:gridSpan w:val="11"/>
          </w:tcPr>
          <w:p>
            <w:pPr>
              <w:ind w:left="20"/>
              <w:spacing w:after="0"/>
              <w:rPr>
                <w:sz w:val="20"/>
                <w:szCs w:val="20"/>
                <w:color w:val="auto"/>
              </w:rPr>
            </w:pPr>
            <w:r>
              <w:rPr>
                <w:rFonts w:ascii="Arial" w:cs="Arial" w:eastAsia="Arial" w:hAnsi="Arial"/>
                <w:sz w:val="12"/>
                <w:szCs w:val="12"/>
                <w:b w:val="1"/>
                <w:bCs w:val="1"/>
                <w:color w:val="auto"/>
                <w:w w:val="85"/>
              </w:rPr>
              <w:t>Amount of Loss Recognized in Income on Derivatives</w:t>
            </w:r>
          </w:p>
        </w:tc>
        <w:tc>
          <w:tcPr>
            <w:tcW w:w="0" w:type="dxa"/>
            <w:vAlign w:val="bottom"/>
          </w:tcPr>
          <w:p>
            <w:pPr>
              <w:spacing w:after="0"/>
              <w:rPr>
                <w:sz w:val="1"/>
                <w:szCs w:val="1"/>
                <w:color w:val="auto"/>
              </w:rPr>
            </w:pPr>
          </w:p>
        </w:tc>
      </w:tr>
      <w:tr>
        <w:trPr>
          <w:trHeight w:val="121"/>
        </w:trPr>
        <w:tc>
          <w:tcPr>
            <w:tcW w:w="208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5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0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5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left="22"/>
              <w:spacing w:after="0" w:line="120" w:lineRule="exact"/>
              <w:rPr>
                <w:sz w:val="20"/>
                <w:szCs w:val="20"/>
                <w:color w:val="auto"/>
              </w:rPr>
            </w:pPr>
            <w:r>
              <w:rPr>
                <w:rFonts w:ascii="Arial" w:cs="Arial" w:eastAsia="Arial" w:hAnsi="Arial"/>
                <w:sz w:val="12"/>
                <w:szCs w:val="12"/>
                <w:b w:val="1"/>
                <w:bCs w:val="1"/>
                <w:color w:val="auto"/>
                <w:w w:val="82"/>
              </w:rPr>
              <w:t>2021</w:t>
            </w: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gridSpan w:val="2"/>
          </w:tcPr>
          <w:p>
            <w:pPr>
              <w:jc w:val="right"/>
              <w:ind w:right="197"/>
              <w:spacing w:after="0" w:line="120" w:lineRule="exact"/>
              <w:rPr>
                <w:sz w:val="20"/>
                <w:szCs w:val="20"/>
                <w:color w:val="auto"/>
              </w:rPr>
            </w:pPr>
            <w:r>
              <w:rPr>
                <w:rFonts w:ascii="Arial" w:cs="Arial" w:eastAsia="Arial" w:hAnsi="Arial"/>
                <w:sz w:val="12"/>
                <w:szCs w:val="12"/>
                <w:b w:val="1"/>
                <w:bCs w:val="1"/>
                <w:color w:val="auto"/>
                <w:w w:val="97"/>
              </w:rPr>
              <w:t>2020</w:t>
            </w:r>
          </w:p>
        </w:tc>
        <w:tc>
          <w:tcPr>
            <w:tcW w:w="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20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Interest rate contracts</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380" w:type="dxa"/>
            <w:vAlign w:val="bottom"/>
            <w:gridSpan w:val="3"/>
            <w:shd w:val="clear" w:color="auto" w:fill="CCEEFF"/>
          </w:tcPr>
          <w:p>
            <w:pPr>
              <w:ind w:left="20"/>
              <w:spacing w:after="0" w:line="120" w:lineRule="exact"/>
              <w:rPr>
                <w:sz w:val="20"/>
                <w:szCs w:val="20"/>
                <w:color w:val="auto"/>
              </w:rPr>
            </w:pPr>
            <w:r>
              <w:rPr>
                <w:rFonts w:ascii="Arial" w:cs="Arial" w:eastAsia="Arial" w:hAnsi="Arial"/>
                <w:sz w:val="12"/>
                <w:szCs w:val="12"/>
                <w:color w:val="auto"/>
              </w:rPr>
              <w:t>Interest expense, net</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spacing w:after="0" w:line="120" w:lineRule="exact"/>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gridSpan w:val="3"/>
            <w:shd w:val="clear" w:color="auto" w:fill="CCEEFF"/>
          </w:tcPr>
          <w:p>
            <w:pPr>
              <w:jc w:val="right"/>
              <w:spacing w:after="0" w:line="120" w:lineRule="exact"/>
              <w:rPr>
                <w:sz w:val="20"/>
                <w:szCs w:val="20"/>
                <w:color w:val="auto"/>
              </w:rPr>
            </w:pPr>
            <w:r>
              <w:rPr>
                <w:rFonts w:ascii="Arial" w:cs="Arial" w:eastAsia="Arial" w:hAnsi="Arial"/>
                <w:sz w:val="12"/>
                <w:szCs w:val="12"/>
                <w:color w:val="auto"/>
              </w:rPr>
              <w:t>253</w:t>
            </w:r>
          </w:p>
        </w:tc>
        <w:tc>
          <w:tcPr>
            <w:tcW w:w="16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jc w:val="right"/>
              <w:ind w:right="25"/>
              <w:spacing w:after="0" w:line="120"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89"/>
              </w:rPr>
              <w:t>202</w:t>
            </w:r>
          </w:p>
        </w:tc>
        <w:tc>
          <w:tcPr>
            <w:tcW w:w="0" w:type="dxa"/>
            <w:vAlign w:val="bottom"/>
          </w:tcPr>
          <w:p>
            <w:pPr>
              <w:spacing w:after="0"/>
              <w:rPr>
                <w:sz w:val="1"/>
                <w:szCs w:val="1"/>
                <w:color w:val="auto"/>
              </w:rPr>
            </w:pPr>
          </w:p>
        </w:tc>
      </w:tr>
      <w:tr>
        <w:trPr>
          <w:trHeight w:val="112"/>
        </w:trPr>
        <w:tc>
          <w:tcPr>
            <w:tcW w:w="220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Borders>
              <w:bottom w:val="single" w:sz="8" w:color="auto"/>
            </w:tcBorders>
          </w:tcPr>
          <w:p>
            <w:pPr>
              <w:spacing w:after="0" w:line="110" w:lineRule="exact"/>
              <w:rPr>
                <w:sz w:val="20"/>
                <w:szCs w:val="20"/>
                <w:color w:val="auto"/>
              </w:rPr>
            </w:pPr>
            <w:r>
              <w:rPr>
                <w:rFonts w:ascii="Arial" w:cs="Arial" w:eastAsia="Arial" w:hAnsi="Arial"/>
                <w:sz w:val="12"/>
                <w:szCs w:val="12"/>
                <w:b w:val="1"/>
                <w:bCs w:val="1"/>
                <w:color w:val="auto"/>
              </w:rPr>
              <w:t>$</w:t>
            </w:r>
          </w:p>
        </w:tc>
        <w:tc>
          <w:tcPr>
            <w:tcW w:w="780" w:type="dxa"/>
            <w:vAlign w:val="bottom"/>
            <w:tcBorders>
              <w:bottom w:val="single" w:sz="8" w:color="auto"/>
            </w:tcBorders>
            <w:gridSpan w:val="3"/>
          </w:tcPr>
          <w:p>
            <w:pPr>
              <w:jc w:val="right"/>
              <w:spacing w:after="0" w:line="110" w:lineRule="exact"/>
              <w:rPr>
                <w:sz w:val="20"/>
                <w:szCs w:val="20"/>
                <w:color w:val="auto"/>
              </w:rPr>
            </w:pPr>
            <w:r>
              <w:rPr>
                <w:rFonts w:ascii="Arial" w:cs="Arial" w:eastAsia="Arial" w:hAnsi="Arial"/>
                <w:sz w:val="12"/>
                <w:szCs w:val="12"/>
                <w:b w:val="1"/>
                <w:bCs w:val="1"/>
                <w:color w:val="auto"/>
              </w:rPr>
              <w:t>253</w:t>
            </w:r>
          </w:p>
        </w:tc>
        <w:tc>
          <w:tcPr>
            <w:tcW w:w="160" w:type="dxa"/>
            <w:vAlign w:val="bottom"/>
          </w:tcPr>
          <w:p>
            <w:pPr>
              <w:spacing w:after="0"/>
              <w:rPr>
                <w:sz w:val="9"/>
                <w:szCs w:val="9"/>
                <w:color w:val="auto"/>
              </w:rPr>
            </w:pPr>
          </w:p>
        </w:tc>
        <w:tc>
          <w:tcPr>
            <w:tcW w:w="260" w:type="dxa"/>
            <w:vAlign w:val="bottom"/>
            <w:tcBorders>
              <w:bottom w:val="single" w:sz="8" w:color="auto"/>
            </w:tcBorders>
          </w:tcPr>
          <w:p>
            <w:pPr>
              <w:jc w:val="right"/>
              <w:ind w:right="145"/>
              <w:spacing w:after="0" w:line="110" w:lineRule="exact"/>
              <w:rPr>
                <w:sz w:val="20"/>
                <w:szCs w:val="20"/>
                <w:color w:val="auto"/>
              </w:rPr>
            </w:pPr>
            <w:r>
              <w:rPr>
                <w:rFonts w:ascii="Arial" w:cs="Arial" w:eastAsia="Arial" w:hAnsi="Arial"/>
                <w:sz w:val="10"/>
                <w:szCs w:val="10"/>
                <w:b w:val="1"/>
                <w:bCs w:val="1"/>
                <w:color w:val="auto"/>
                <w:w w:val="71"/>
              </w:rPr>
              <w:t>$</w:t>
            </w: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2"/>
                <w:szCs w:val="12"/>
                <w:b w:val="1"/>
                <w:bCs w:val="1"/>
                <w:color w:val="auto"/>
                <w:w w:val="89"/>
              </w:rPr>
              <w:t>202</w:t>
            </w:r>
          </w:p>
        </w:tc>
        <w:tc>
          <w:tcPr>
            <w:tcW w:w="0" w:type="dxa"/>
            <w:vAlign w:val="bottom"/>
          </w:tcPr>
          <w:p>
            <w:pPr>
              <w:spacing w:after="0"/>
              <w:rPr>
                <w:sz w:val="1"/>
                <w:szCs w:val="1"/>
                <w:color w:val="auto"/>
              </w:rPr>
            </w:pPr>
          </w:p>
        </w:tc>
      </w:tr>
      <w:tr>
        <w:trPr>
          <w:trHeight w:val="275"/>
        </w:trPr>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gridSpan w:val="7"/>
          </w:tcPr>
          <w:p>
            <w:pPr>
              <w:jc w:val="center"/>
              <w:ind w:right="2162"/>
              <w:spacing w:after="0"/>
              <w:rPr>
                <w:sz w:val="20"/>
                <w:szCs w:val="20"/>
                <w:color w:val="auto"/>
              </w:rPr>
            </w:pPr>
            <w:r>
              <w:rPr>
                <w:rFonts w:ascii="Arial" w:cs="Arial" w:eastAsia="Arial" w:hAnsi="Arial"/>
                <w:sz w:val="12"/>
                <w:szCs w:val="12"/>
                <w:b w:val="1"/>
                <w:bCs w:val="1"/>
                <w:color w:val="auto"/>
                <w:w w:val="87"/>
              </w:rPr>
              <w:t>Loss Recognized in OCI on</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9"/>
        </w:trPr>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center"/>
              <w:spacing w:after="0" w:line="120" w:lineRule="exact"/>
              <w:rPr>
                <w:sz w:val="20"/>
                <w:szCs w:val="20"/>
                <w:color w:val="auto"/>
              </w:rPr>
            </w:pPr>
            <w:r>
              <w:rPr>
                <w:rFonts w:ascii="Arial" w:cs="Arial" w:eastAsia="Arial" w:hAnsi="Arial"/>
                <w:sz w:val="12"/>
                <w:szCs w:val="12"/>
                <w:b w:val="1"/>
                <w:bCs w:val="1"/>
                <w:color w:val="auto"/>
                <w:w w:val="88"/>
              </w:rPr>
              <w:t>Derivatives (Effective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00" w:type="dxa"/>
            <w:vAlign w:val="bottom"/>
            <w:gridSpan w:val="12"/>
          </w:tcPr>
          <w:p>
            <w:pPr>
              <w:jc w:val="center"/>
              <w:ind w:left="122"/>
              <w:spacing w:after="0" w:line="120" w:lineRule="exact"/>
              <w:rPr>
                <w:sz w:val="20"/>
                <w:szCs w:val="20"/>
                <w:color w:val="auto"/>
              </w:rPr>
            </w:pPr>
            <w:r>
              <w:rPr>
                <w:rFonts w:ascii="Arial" w:cs="Arial" w:eastAsia="Arial" w:hAnsi="Arial"/>
                <w:sz w:val="12"/>
                <w:szCs w:val="12"/>
                <w:b w:val="1"/>
                <w:bCs w:val="1"/>
                <w:color w:val="auto"/>
                <w:w w:val="86"/>
              </w:rPr>
              <w:t>Loss Recognized in Income on Derivatives (Ineffective Portion and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200" w:type="dxa"/>
            <w:vAlign w:val="bottom"/>
            <w:gridSpan w:val="2"/>
            <w:vMerge w:val="restart"/>
          </w:tcPr>
          <w:p>
            <w:pPr>
              <w:spacing w:after="0"/>
              <w:rPr>
                <w:sz w:val="20"/>
                <w:szCs w:val="20"/>
                <w:color w:val="auto"/>
              </w:rPr>
            </w:pPr>
            <w:r>
              <w:rPr>
                <w:rFonts w:ascii="Arial" w:cs="Arial" w:eastAsia="Arial" w:hAnsi="Arial"/>
                <w:sz w:val="12"/>
                <w:szCs w:val="12"/>
                <w:i w:val="1"/>
                <w:iCs w:val="1"/>
                <w:color w:val="auto"/>
              </w:rPr>
              <w:t>(Dollars in thousands)</w:t>
            </w: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center"/>
              <w:ind w:left="2"/>
              <w:spacing w:after="0" w:line="137" w:lineRule="exact"/>
              <w:rPr>
                <w:sz w:val="20"/>
                <w:szCs w:val="20"/>
                <w:color w:val="auto"/>
              </w:rPr>
            </w:pPr>
            <w:r>
              <w:rPr>
                <w:rFonts w:ascii="Arial" w:cs="Arial" w:eastAsia="Arial" w:hAnsi="Arial"/>
                <w:sz w:val="12"/>
                <w:szCs w:val="12"/>
                <w:b w:val="1"/>
                <w:bCs w:val="1"/>
                <w:color w:val="auto"/>
                <w:w w:val="91"/>
              </w:rPr>
              <w:t>Portion)</w:t>
            </w:r>
          </w:p>
        </w:tc>
        <w:tc>
          <w:tcPr>
            <w:tcW w:w="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Borders>
              <w:bottom w:val="single" w:sz="8" w:color="auto"/>
            </w:tcBorders>
            <w:gridSpan w:val="7"/>
          </w:tcPr>
          <w:p>
            <w:pPr>
              <w:jc w:val="right"/>
              <w:ind w:right="322"/>
              <w:spacing w:after="0" w:line="137" w:lineRule="exact"/>
              <w:rPr>
                <w:sz w:val="20"/>
                <w:szCs w:val="20"/>
                <w:color w:val="auto"/>
              </w:rPr>
            </w:pPr>
            <w:r>
              <w:rPr>
                <w:rFonts w:ascii="Arial" w:cs="Arial" w:eastAsia="Arial" w:hAnsi="Arial"/>
                <w:sz w:val="12"/>
                <w:szCs w:val="12"/>
                <w:b w:val="1"/>
                <w:bCs w:val="1"/>
                <w:color w:val="auto"/>
                <w:w w:val="98"/>
              </w:rPr>
              <w:t>Loss Reclassified from OCI into Income (Effective Portion)</w:t>
            </w:r>
          </w:p>
        </w:tc>
        <w:tc>
          <w:tcPr>
            <w:tcW w:w="120" w:type="dxa"/>
            <w:vAlign w:val="bottom"/>
          </w:tcPr>
          <w:p>
            <w:pPr>
              <w:spacing w:after="0"/>
              <w:rPr>
                <w:sz w:val="12"/>
                <w:szCs w:val="12"/>
                <w:color w:val="auto"/>
              </w:rPr>
            </w:pPr>
          </w:p>
        </w:tc>
        <w:tc>
          <w:tcPr>
            <w:tcW w:w="3000" w:type="dxa"/>
            <w:vAlign w:val="bottom"/>
            <w:tcBorders>
              <w:bottom w:val="single" w:sz="8" w:color="auto"/>
            </w:tcBorders>
            <w:gridSpan w:val="10"/>
          </w:tcPr>
          <w:p>
            <w:pPr>
              <w:jc w:val="center"/>
              <w:ind w:left="642"/>
              <w:spacing w:after="0" w:line="137" w:lineRule="exact"/>
              <w:rPr>
                <w:sz w:val="20"/>
                <w:szCs w:val="20"/>
                <w:color w:val="auto"/>
              </w:rPr>
            </w:pPr>
            <w:r>
              <w:rPr>
                <w:rFonts w:ascii="Arial" w:cs="Arial" w:eastAsia="Arial" w:hAnsi="Arial"/>
                <w:sz w:val="12"/>
                <w:szCs w:val="12"/>
                <w:b w:val="1"/>
                <w:bCs w:val="1"/>
                <w:color w:val="auto"/>
                <w:w w:val="86"/>
              </w:rPr>
              <w:t>Amount Excluded from Effectiveness Testing)</w:t>
            </w: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center"/>
              <w:ind w:left="22"/>
              <w:spacing w:after="0" w:line="120" w:lineRule="exact"/>
              <w:rPr>
                <w:sz w:val="20"/>
                <w:szCs w:val="20"/>
                <w:color w:val="auto"/>
              </w:rPr>
            </w:pPr>
            <w:r>
              <w:rPr>
                <w:rFonts w:ascii="Arial" w:cs="Arial" w:eastAsia="Arial" w:hAnsi="Arial"/>
                <w:sz w:val="12"/>
                <w:szCs w:val="12"/>
                <w:b w:val="1"/>
                <w:bCs w:val="1"/>
                <w:color w:val="auto"/>
                <w:w w:val="88"/>
              </w:rPr>
              <w:t>Amount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ind w:left="800"/>
              <w:spacing w:after="0" w:line="120" w:lineRule="exact"/>
              <w:rPr>
                <w:sz w:val="20"/>
                <w:szCs w:val="20"/>
                <w:color w:val="auto"/>
              </w:rPr>
            </w:pPr>
            <w:r>
              <w:rPr>
                <w:rFonts w:ascii="Arial" w:cs="Arial" w:eastAsia="Arial" w:hAnsi="Arial"/>
                <w:sz w:val="12"/>
                <w:szCs w:val="12"/>
                <w:b w:val="1"/>
                <w:bCs w:val="1"/>
                <w:color w:val="auto"/>
              </w:rPr>
              <w:t>Line Item</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3"/>
          </w:tcPr>
          <w:p>
            <w:pPr>
              <w:jc w:val="right"/>
              <w:ind w:right="17"/>
              <w:spacing w:after="0" w:line="120" w:lineRule="exact"/>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3"/>
          </w:tcPr>
          <w:p>
            <w:pPr>
              <w:ind w:left="800"/>
              <w:spacing w:after="0" w:line="120" w:lineRule="exact"/>
              <w:rPr>
                <w:sz w:val="20"/>
                <w:szCs w:val="20"/>
                <w:color w:val="auto"/>
              </w:rPr>
            </w:pPr>
            <w:r>
              <w:rPr>
                <w:rFonts w:ascii="Arial" w:cs="Arial" w:eastAsia="Arial" w:hAnsi="Arial"/>
                <w:sz w:val="12"/>
                <w:szCs w:val="12"/>
                <w:b w:val="1"/>
                <w:bCs w:val="1"/>
                <w:color w:val="auto"/>
              </w:rPr>
              <w:t>Line Item</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gridSpan w:val="4"/>
          </w:tcPr>
          <w:p>
            <w:pPr>
              <w:jc w:val="right"/>
              <w:ind w:right="317"/>
              <w:spacing w:after="0" w:line="120" w:lineRule="exact"/>
              <w:rPr>
                <w:sz w:val="20"/>
                <w:szCs w:val="20"/>
                <w:color w:val="auto"/>
              </w:rPr>
            </w:pPr>
            <w:r>
              <w:rPr>
                <w:rFonts w:ascii="Arial" w:cs="Arial" w:eastAsia="Arial" w:hAnsi="Arial"/>
                <w:sz w:val="12"/>
                <w:szCs w:val="12"/>
                <w:b w:val="1"/>
                <w:bCs w:val="1"/>
                <w:color w:val="auto"/>
                <w:w w:val="96"/>
              </w:rPr>
              <w:t>Amount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62"/>
              <w:spacing w:after="0" w:line="120" w:lineRule="exact"/>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162"/>
              <w:spacing w:after="0" w:line="120" w:lineRule="exact"/>
              <w:rPr>
                <w:sz w:val="20"/>
                <w:szCs w:val="20"/>
                <w:color w:val="auto"/>
              </w:rPr>
            </w:pPr>
            <w:r>
              <w:rPr>
                <w:rFonts w:ascii="Arial" w:cs="Arial" w:eastAsia="Arial" w:hAnsi="Arial"/>
                <w:sz w:val="12"/>
                <w:szCs w:val="12"/>
                <w:b w:val="1"/>
                <w:bCs w:val="1"/>
                <w:color w:val="auto"/>
                <w:w w:val="89"/>
              </w:rPr>
              <w:t>2021</w:t>
            </w: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162"/>
              <w:spacing w:after="0" w:line="120" w:lineRule="exact"/>
              <w:rPr>
                <w:sz w:val="20"/>
                <w:szCs w:val="20"/>
                <w:color w:val="auto"/>
              </w:rPr>
            </w:pPr>
            <w:r>
              <w:rPr>
                <w:rFonts w:ascii="Arial" w:cs="Arial" w:eastAsia="Arial" w:hAnsi="Arial"/>
                <w:sz w:val="12"/>
                <w:szCs w:val="12"/>
                <w:b w:val="1"/>
                <w:bCs w:val="1"/>
                <w:color w:val="auto"/>
                <w:w w:val="97"/>
              </w:rPr>
              <w:t>2020</w:t>
            </w:r>
          </w:p>
        </w:tc>
        <w:tc>
          <w:tcPr>
            <w:tcW w:w="1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tcPr>
          <w:p>
            <w:pPr>
              <w:jc w:val="right"/>
              <w:spacing w:after="0" w:line="120"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right"/>
              <w:ind w:right="17"/>
              <w:spacing w:after="0" w:line="120"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200" w:type="dxa"/>
            <w:vAlign w:val="bottom"/>
            <w:tcBorders>
              <w:top w:val="single" w:sz="8" w:color="CCEEFF"/>
            </w:tcBorders>
            <w:gridSpan w:val="2"/>
            <w:shd w:val="clear" w:color="auto" w:fill="CCEEFF"/>
          </w:tcPr>
          <w:p>
            <w:pPr>
              <w:spacing w:after="0" w:line="120" w:lineRule="exact"/>
              <w:rPr>
                <w:sz w:val="20"/>
                <w:szCs w:val="20"/>
                <w:color w:val="auto"/>
              </w:rPr>
            </w:pPr>
            <w:r>
              <w:rPr>
                <w:rFonts w:ascii="Arial" w:cs="Arial" w:eastAsia="Arial" w:hAnsi="Arial"/>
                <w:sz w:val="12"/>
                <w:szCs w:val="12"/>
                <w:color w:val="auto"/>
              </w:rPr>
              <w:t>Interest rate contracts</w:t>
            </w: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(153)</w:t>
            </w:r>
          </w:p>
        </w:tc>
        <w:tc>
          <w:tcPr>
            <w:tcW w:w="1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ind w:right="386"/>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CEEFF"/>
          </w:tcPr>
          <w:p>
            <w:pPr>
              <w:ind w:left="20"/>
              <w:spacing w:after="0" w:line="120" w:lineRule="exact"/>
              <w:rPr>
                <w:sz w:val="20"/>
                <w:szCs w:val="20"/>
                <w:color w:val="auto"/>
              </w:rPr>
            </w:pPr>
            <w:r>
              <w:rPr>
                <w:rFonts w:ascii="Arial" w:cs="Arial" w:eastAsia="Arial" w:hAnsi="Arial"/>
                <w:sz w:val="12"/>
                <w:szCs w:val="12"/>
                <w:color w:val="auto"/>
                <w:w w:val="79"/>
              </w:rPr>
              <w:t>267</w:t>
            </w:r>
          </w:p>
        </w:tc>
        <w:tc>
          <w:tcPr>
            <w:tcW w:w="100" w:type="dxa"/>
            <w:vAlign w:val="bottom"/>
            <w:tcBorders>
              <w:top w:val="single" w:sz="8" w:color="CCEEFF"/>
            </w:tcBorders>
            <w:shd w:val="clear" w:color="auto" w:fill="CCEEFF"/>
          </w:tcPr>
          <w:p>
            <w:pPr>
              <w:spacing w:after="0"/>
              <w:rPr>
                <w:sz w:val="10"/>
                <w:szCs w:val="10"/>
                <w:color w:val="auto"/>
              </w:rPr>
            </w:pPr>
          </w:p>
        </w:tc>
        <w:tc>
          <w:tcPr>
            <w:tcW w:w="2080" w:type="dxa"/>
            <w:vAlign w:val="bottom"/>
            <w:tcBorders>
              <w:top w:val="single" w:sz="8" w:color="CCEEFF"/>
            </w:tcBorders>
            <w:shd w:val="clear" w:color="auto" w:fill="CCEEFF"/>
          </w:tcPr>
          <w:p>
            <w:pPr>
              <w:spacing w:after="0" w:line="120" w:lineRule="exact"/>
              <w:rPr>
                <w:sz w:val="20"/>
                <w:szCs w:val="20"/>
                <w:color w:val="auto"/>
              </w:rPr>
            </w:pPr>
            <w:r>
              <w:rPr>
                <w:rFonts w:ascii="Arial" w:cs="Arial" w:eastAsia="Arial" w:hAnsi="Arial"/>
                <w:sz w:val="12"/>
                <w:szCs w:val="12"/>
                <w:color w:val="auto"/>
              </w:rPr>
              <w:t>Interest expense, net</w:t>
            </w: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(253)</w:t>
            </w: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5"/>
                <w:szCs w:val="5"/>
                <w:color w:val="auto"/>
                <w:w w:val="70"/>
              </w:rPr>
              <w:t>$</w:t>
            </w:r>
          </w:p>
        </w:tc>
        <w:tc>
          <w:tcPr>
            <w:tcW w:w="50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202</w:t>
            </w:r>
          </w:p>
        </w:tc>
        <w:tc>
          <w:tcPr>
            <w:tcW w:w="1620" w:type="dxa"/>
            <w:vAlign w:val="bottom"/>
            <w:tcBorders>
              <w:top w:val="single" w:sz="8" w:color="CCEEFF"/>
            </w:tcBorders>
            <w:gridSpan w:val="4"/>
            <w:shd w:val="clear" w:color="auto" w:fill="CCEEFF"/>
          </w:tcPr>
          <w:p>
            <w:pPr>
              <w:ind w:left="120"/>
              <w:spacing w:after="0" w:line="120" w:lineRule="exact"/>
              <w:rPr>
                <w:sz w:val="20"/>
                <w:szCs w:val="20"/>
                <w:color w:val="auto"/>
              </w:rPr>
            </w:pPr>
            <w:r>
              <w:rPr>
                <w:rFonts w:ascii="Arial" w:cs="Arial" w:eastAsia="Arial" w:hAnsi="Arial"/>
                <w:sz w:val="12"/>
                <w:szCs w:val="12"/>
                <w:color w:val="auto"/>
              </w:rPr>
              <w:t>Interest expense, net</w:t>
            </w:r>
          </w:p>
        </w:tc>
        <w:tc>
          <w:tcPr>
            <w:tcW w:w="5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0"/>
                <w:szCs w:val="10"/>
                <w:color w:val="auto"/>
                <w:w w:val="79"/>
              </w:rPr>
              <w:t>—</w:t>
            </w: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ind w:right="417"/>
              <w:spacing w:after="0"/>
              <w:rPr>
                <w:sz w:val="20"/>
                <w:szCs w:val="20"/>
                <w:color w:val="auto"/>
              </w:rPr>
            </w:pPr>
            <w:r>
              <w:rPr>
                <w:rFonts w:ascii="Arial" w:cs="Arial" w:eastAsia="Arial" w:hAnsi="Arial"/>
                <w:sz w:val="5"/>
                <w:szCs w:val="5"/>
                <w:color w:val="auto"/>
                <w:w w:val="70"/>
              </w:rPr>
              <w:t>$</w:t>
            </w:r>
          </w:p>
        </w:tc>
        <w:tc>
          <w:tcPr>
            <w:tcW w:w="20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2"/>
        </w:trPr>
        <w:tc>
          <w:tcPr>
            <w:tcW w:w="220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auto"/>
            </w:tcBorders>
          </w:tcPr>
          <w:p>
            <w:pPr>
              <w:jc w:val="right"/>
              <w:ind w:right="6"/>
              <w:spacing w:after="0" w:line="110" w:lineRule="exact"/>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2"/>
                <w:szCs w:val="12"/>
                <w:b w:val="1"/>
                <w:bCs w:val="1"/>
                <w:color w:val="auto"/>
              </w:rPr>
              <w:t>(153)</w:t>
            </w:r>
          </w:p>
        </w:tc>
        <w:tc>
          <w:tcPr>
            <w:tcW w:w="100" w:type="dxa"/>
            <w:vAlign w:val="bottom"/>
          </w:tcPr>
          <w:p>
            <w:pPr>
              <w:spacing w:after="0"/>
              <w:rPr>
                <w:sz w:val="9"/>
                <w:szCs w:val="9"/>
                <w:color w:val="auto"/>
              </w:rPr>
            </w:pPr>
          </w:p>
        </w:tc>
        <w:tc>
          <w:tcPr>
            <w:tcW w:w="500" w:type="dxa"/>
            <w:vAlign w:val="bottom"/>
            <w:tcBorders>
              <w:bottom w:val="single" w:sz="8" w:color="auto"/>
            </w:tcBorders>
          </w:tcPr>
          <w:p>
            <w:pPr>
              <w:jc w:val="right"/>
              <w:ind w:right="386"/>
              <w:spacing w:after="0" w:line="110" w:lineRule="exact"/>
              <w:rPr>
                <w:sz w:val="20"/>
                <w:szCs w:val="20"/>
                <w:color w:val="auto"/>
              </w:rPr>
            </w:pPr>
            <w:r>
              <w:rPr>
                <w:rFonts w:ascii="Arial" w:cs="Arial" w:eastAsia="Arial" w:hAnsi="Arial"/>
                <w:sz w:val="10"/>
                <w:szCs w:val="10"/>
                <w:b w:val="1"/>
                <w:bCs w:val="1"/>
                <w:color w:val="auto"/>
                <w:w w:val="71"/>
              </w:rPr>
              <w:t>$</w:t>
            </w:r>
          </w:p>
        </w:tc>
        <w:tc>
          <w:tcPr>
            <w:tcW w:w="200" w:type="dxa"/>
            <w:vAlign w:val="bottom"/>
            <w:tcBorders>
              <w:bottom w:val="single" w:sz="8" w:color="auto"/>
            </w:tcBorders>
          </w:tcPr>
          <w:p>
            <w:pPr>
              <w:ind w:left="20"/>
              <w:spacing w:after="0" w:line="110" w:lineRule="exact"/>
              <w:rPr>
                <w:sz w:val="20"/>
                <w:szCs w:val="20"/>
                <w:color w:val="auto"/>
              </w:rPr>
            </w:pPr>
            <w:r>
              <w:rPr>
                <w:rFonts w:ascii="Arial" w:cs="Arial" w:eastAsia="Arial" w:hAnsi="Arial"/>
                <w:sz w:val="12"/>
                <w:szCs w:val="12"/>
                <w:b w:val="1"/>
                <w:bCs w:val="1"/>
                <w:color w:val="auto"/>
                <w:w w:val="79"/>
              </w:rPr>
              <w:t>267</w:t>
            </w:r>
          </w:p>
        </w:tc>
        <w:tc>
          <w:tcPr>
            <w:tcW w:w="1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tcPr>
          <w:p>
            <w:pPr>
              <w:jc w:val="right"/>
              <w:ind w:right="108"/>
              <w:spacing w:after="0" w:line="110" w:lineRule="exact"/>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2"/>
                <w:szCs w:val="12"/>
                <w:b w:val="1"/>
                <w:bCs w:val="1"/>
                <w:color w:val="auto"/>
              </w:rPr>
              <w:t>(253)</w:t>
            </w:r>
          </w:p>
        </w:tc>
        <w:tc>
          <w:tcPr>
            <w:tcW w:w="120" w:type="dxa"/>
            <w:vAlign w:val="bottom"/>
          </w:tcPr>
          <w:p>
            <w:pPr>
              <w:spacing w:after="0"/>
              <w:rPr>
                <w:sz w:val="9"/>
                <w:szCs w:val="9"/>
                <w:color w:val="auto"/>
              </w:rPr>
            </w:pPr>
          </w:p>
        </w:tc>
        <w:tc>
          <w:tcPr>
            <w:tcW w:w="180" w:type="dxa"/>
            <w:vAlign w:val="bottom"/>
            <w:tcBorders>
              <w:bottom w:val="single" w:sz="8" w:color="auto"/>
            </w:tcBorders>
          </w:tcPr>
          <w:p>
            <w:pPr>
              <w:jc w:val="right"/>
              <w:ind w:right="117"/>
              <w:spacing w:after="0"/>
              <w:rPr>
                <w:sz w:val="20"/>
                <w:szCs w:val="20"/>
                <w:color w:val="auto"/>
              </w:rPr>
            </w:pPr>
            <w:r>
              <w:rPr>
                <w:rFonts w:ascii="Arial" w:cs="Arial" w:eastAsia="Arial" w:hAnsi="Arial"/>
                <w:sz w:val="5"/>
                <w:szCs w:val="5"/>
                <w:b w:val="1"/>
                <w:bCs w:val="1"/>
                <w:color w:val="auto"/>
                <w:w w:val="70"/>
              </w:rPr>
              <w:t>$</w:t>
            </w:r>
          </w:p>
        </w:tc>
        <w:tc>
          <w:tcPr>
            <w:tcW w:w="5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2"/>
                <w:szCs w:val="12"/>
                <w:b w:val="1"/>
                <w:bCs w:val="1"/>
                <w:color w:val="auto"/>
              </w:rPr>
              <w:t>202</w:t>
            </w: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0"/>
                <w:szCs w:val="10"/>
                <w:b w:val="1"/>
                <w:bCs w:val="1"/>
                <w:color w:val="auto"/>
                <w:w w:val="71"/>
              </w:rPr>
              <w:t>$</w:t>
            </w: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ind w:left="80"/>
              <w:spacing w:after="0" w:line="110" w:lineRule="exact"/>
              <w:rPr>
                <w:sz w:val="20"/>
                <w:szCs w:val="20"/>
                <w:color w:val="auto"/>
              </w:rPr>
            </w:pPr>
            <w:r>
              <w:rPr>
                <w:rFonts w:ascii="Arial" w:cs="Arial" w:eastAsia="Arial" w:hAnsi="Arial"/>
                <w:sz w:val="10"/>
                <w:szCs w:val="10"/>
                <w:b w:val="1"/>
                <w:bCs w:val="1"/>
                <w:color w:val="auto"/>
                <w:w w:val="79"/>
              </w:rPr>
              <w:t>—</w:t>
            </w:r>
          </w:p>
        </w:tc>
        <w:tc>
          <w:tcPr>
            <w:tcW w:w="1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417"/>
              <w:spacing w:after="0"/>
              <w:rPr>
                <w:sz w:val="20"/>
                <w:szCs w:val="20"/>
                <w:color w:val="auto"/>
              </w:rPr>
            </w:pPr>
            <w:r>
              <w:rPr>
                <w:rFonts w:ascii="Arial" w:cs="Arial" w:eastAsia="Arial" w:hAnsi="Arial"/>
                <w:sz w:val="5"/>
                <w:szCs w:val="5"/>
                <w:b w:val="1"/>
                <w:bCs w:val="1"/>
                <w:color w:val="auto"/>
                <w:w w:val="70"/>
              </w:rPr>
              <w:t>$</w:t>
            </w:r>
          </w:p>
        </w:tc>
        <w:tc>
          <w:tcPr>
            <w:tcW w:w="2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In 2022, the Company expects to release $159,000 to earnings.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68"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u w:val="single" w:color="auto"/>
          <w:color w:val="auto"/>
        </w:rPr>
        <w:t>NOTE 19 – LEASES</w:t>
      </w:r>
    </w:p>
    <w:p>
      <w:pPr>
        <w:spacing w:after="0" w:line="147" w:lineRule="exact"/>
        <w:rPr>
          <w:sz w:val="20"/>
          <w:szCs w:val="20"/>
          <w:color w:val="auto"/>
        </w:rPr>
      </w:pPr>
    </w:p>
    <w:p>
      <w:pPr>
        <w:jc w:val="both"/>
        <w:ind w:right="20"/>
        <w:spacing w:after="0" w:line="242" w:lineRule="auto"/>
        <w:rPr>
          <w:sz w:val="20"/>
          <w:szCs w:val="20"/>
          <w:color w:val="auto"/>
        </w:rPr>
      </w:pPr>
      <w:r>
        <w:rPr>
          <w:rFonts w:ascii="Arial" w:cs="Arial" w:eastAsia="Arial" w:hAnsi="Arial"/>
          <w:sz w:val="14"/>
          <w:szCs w:val="14"/>
          <w:color w:val="auto"/>
        </w:rPr>
        <w:t>In all leases, whether we are the lessor or lessee, we define lease term as the non-cancellable term of the lease plus any renewals covered by renewal options that are reasonably certain of exercise based on our assessment of economic factors relevant to the lessee. The non-cancellable term of the lease commences on the date the lessor makes the underlying property in the lease available to the lessee, irrespective of when lease payments begin under the contract.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 Lessee</w:t>
      </w:r>
    </w:p>
    <w:p>
      <w:pPr>
        <w:spacing w:after="0" w:line="143"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We have operating leases for certain cinemas and corporate offices, and finance leases for certain equipment assets. Our leases have remaining lease terms of 1 to 20 years, with certain leases having options to extend to up to a further 20 years.</w:t>
      </w:r>
    </w:p>
    <w:p>
      <w:pPr>
        <w:spacing w:after="0" w:line="109" w:lineRule="exact"/>
        <w:rPr>
          <w:sz w:val="20"/>
          <w:szCs w:val="20"/>
          <w:color w:val="auto"/>
        </w:rPr>
      </w:pPr>
    </w:p>
    <w:p>
      <w:pPr>
        <w:jc w:val="both"/>
        <w:ind w:right="40"/>
        <w:spacing w:after="0" w:line="242" w:lineRule="auto"/>
        <w:rPr>
          <w:sz w:val="20"/>
          <w:szCs w:val="20"/>
          <w:color w:val="auto"/>
        </w:rPr>
      </w:pPr>
      <w:r>
        <w:rPr>
          <w:rFonts w:ascii="Arial" w:cs="Arial" w:eastAsia="Arial" w:hAnsi="Arial"/>
          <w:sz w:val="14"/>
          <w:szCs w:val="14"/>
          <w:color w:val="auto"/>
        </w:rPr>
        <w:t>Contracts are analyzed in accordance with the criteria set out in ASC 842 to determine if there is a lease present. For contracts that contain an operating lease, we account for the lease component and the non-lease component together as a single component. For contracts that contain a finance lease we account for the lease component and the non-lease component separately in accordance with ASC 842.</w:t>
      </w:r>
    </w:p>
    <w:p>
      <w:pPr>
        <w:spacing w:after="0" w:line="120" w:lineRule="exact"/>
        <w:rPr>
          <w:sz w:val="20"/>
          <w:szCs w:val="20"/>
          <w:color w:val="auto"/>
        </w:rPr>
      </w:pPr>
    </w:p>
    <w:p>
      <w:pPr>
        <w:ind w:right="120"/>
        <w:spacing w:after="0" w:line="283" w:lineRule="auto"/>
        <w:rPr>
          <w:sz w:val="20"/>
          <w:szCs w:val="20"/>
          <w:color w:val="auto"/>
        </w:rPr>
      </w:pPr>
      <w:r>
        <w:rPr>
          <w:rFonts w:ascii="Arial" w:cs="Arial" w:eastAsia="Arial" w:hAnsi="Arial"/>
          <w:sz w:val="12"/>
          <w:szCs w:val="12"/>
          <w:color w:val="auto"/>
        </w:rPr>
        <w:t>In leases where we are the lessee, we recognize a right of use asset and lease liability at lease commencement, which is measured by discounting lease payments using an incremental borrowing rate applicable to the relevant country and term of the lease as the discount rate. Subsequent amortization of the right of use asset and accretion of the lease liability for an operating lease is recognized as a single lease cost, on a straight-line basis, over the term of the lease. Lease term includes option periods where we determine that we are reasonably certain to be exercising those options. A finance lease right-of-use asset is depreciated on a straight-line basis over the lesser of the useful life of the leased asset or the lease term. Interest on each finance lease liability is determined as the amount that results in a constant periodic discount rate on the remaining balance of the liability. Property taxes and other non-lease costs are accounted for on an accrual basis.</w:t>
      </w:r>
    </w:p>
    <w:p>
      <w:pPr>
        <w:spacing w:after="0" w:line="97"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Lease payments for our cinema operating leases consist of fixed base rent, and for certain leases, variable lease payments consisting of contracted percentages of revenue, changes in the relevant CPI, and/or other contracted financial metrics.</w:t>
      </w:r>
    </w:p>
    <w:p>
      <w:pPr>
        <w:spacing w:after="0" w:line="109" w:lineRule="exact"/>
        <w:rPr>
          <w:sz w:val="20"/>
          <w:szCs w:val="20"/>
          <w:color w:val="auto"/>
        </w:rPr>
      </w:pPr>
    </w:p>
    <w:p>
      <w:pPr>
        <w:ind w:right="420"/>
        <w:spacing w:after="0" w:line="258" w:lineRule="auto"/>
        <w:rPr>
          <w:sz w:val="20"/>
          <w:szCs w:val="20"/>
          <w:color w:val="auto"/>
        </w:rPr>
      </w:pPr>
      <w:r>
        <w:rPr>
          <w:rFonts w:ascii="Arial" w:cs="Arial" w:eastAsia="Arial" w:hAnsi="Arial"/>
          <w:sz w:val="14"/>
          <w:szCs w:val="14"/>
          <w:color w:val="auto"/>
        </w:rPr>
        <w:t>As a result of the impacts of COVID-19, we have obtained certain concessions from our landlords. We have elected to account for these concessions as if there have been no changes to the underlying contracts, thereby recognizing abatements secured as variable lease expenses, and increasing payables for lease payment deferrals.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lease expense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2"/>
                <w:szCs w:val="12"/>
                <w:b w:val="1"/>
                <w:bCs w:val="1"/>
                <w:color w:val="auto"/>
              </w:rPr>
              <w:t>December 31,</w:t>
            </w:r>
          </w:p>
        </w:tc>
        <w:tc>
          <w:tcPr>
            <w:tcW w:w="1340" w:type="dxa"/>
            <w:vAlign w:val="bottom"/>
            <w:tcBorders>
              <w:bottom w:val="single" w:sz="8" w:color="auto"/>
            </w:tcBorders>
          </w:tcPr>
          <w:p>
            <w:pPr>
              <w:spacing w:after="0"/>
              <w:rPr>
                <w:sz w:val="12"/>
                <w:szCs w:val="12"/>
                <w:color w:val="auto"/>
              </w:rPr>
            </w:pPr>
          </w:p>
        </w:tc>
      </w:tr>
      <w:tr>
        <w:trPr>
          <w:trHeight w:val="153"/>
        </w:trPr>
        <w:tc>
          <w:tcPr>
            <w:tcW w:w="382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32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72"/>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30"/>
              <w:spacing w:after="0"/>
              <w:rPr>
                <w:sz w:val="20"/>
                <w:szCs w:val="20"/>
                <w:color w:val="auto"/>
              </w:rPr>
            </w:pPr>
            <w:r>
              <w:rPr>
                <w:rFonts w:ascii="Arial" w:cs="Arial" w:eastAsia="Arial" w:hAnsi="Arial"/>
                <w:sz w:val="12"/>
                <w:szCs w:val="12"/>
                <w:b w:val="1"/>
                <w:bCs w:val="1"/>
                <w:color w:val="auto"/>
              </w:rPr>
              <w:t>2020</w:t>
            </w:r>
          </w:p>
        </w:tc>
      </w:tr>
      <w:tr>
        <w:trPr>
          <w:trHeight w:val="184"/>
        </w:trPr>
        <w:tc>
          <w:tcPr>
            <w:tcW w:w="3820" w:type="dxa"/>
            <w:vAlign w:val="bottom"/>
          </w:tcPr>
          <w:p>
            <w:pPr>
              <w:spacing w:after="0"/>
              <w:rPr>
                <w:sz w:val="20"/>
                <w:szCs w:val="20"/>
                <w:color w:val="auto"/>
              </w:rPr>
            </w:pPr>
            <w:r>
              <w:rPr>
                <w:rFonts w:ascii="Arial" w:cs="Arial" w:eastAsia="Arial" w:hAnsi="Arial"/>
                <w:sz w:val="14"/>
                <w:szCs w:val="14"/>
                <w:b w:val="1"/>
                <w:bCs w:val="1"/>
                <w:color w:val="auto"/>
              </w:rPr>
              <w:t>Lease cost</w:t>
            </w:r>
          </w:p>
        </w:tc>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73"/>
        </w:trPr>
        <w:tc>
          <w:tcPr>
            <w:tcW w:w="3820" w:type="dxa"/>
            <w:vAlign w:val="bottom"/>
          </w:tcPr>
          <w:p>
            <w:pPr>
              <w:ind w:left="80"/>
              <w:spacing w:after="0"/>
              <w:rPr>
                <w:sz w:val="20"/>
                <w:szCs w:val="20"/>
                <w:color w:val="auto"/>
              </w:rPr>
            </w:pPr>
            <w:r>
              <w:rPr>
                <w:rFonts w:ascii="Arial" w:cs="Arial" w:eastAsia="Arial" w:hAnsi="Arial"/>
                <w:sz w:val="14"/>
                <w:szCs w:val="14"/>
                <w:color w:val="auto"/>
              </w:rPr>
              <w:t>Finance lease cost:</w:t>
            </w:r>
          </w:p>
        </w:tc>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4"/>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right-of-use assets</w:t>
            </w:r>
          </w:p>
        </w:tc>
        <w:tc>
          <w:tcPr>
            <w:tcW w:w="3960" w:type="dxa"/>
            <w:vAlign w:val="bottom"/>
            <w:gridSpan w:val="3"/>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r>
      <w:tr>
        <w:trPr>
          <w:trHeight w:val="184"/>
        </w:trPr>
        <w:tc>
          <w:tcPr>
            <w:tcW w:w="3820" w:type="dxa"/>
            <w:vAlign w:val="bottom"/>
          </w:tcPr>
          <w:p>
            <w:pPr>
              <w:ind w:left="180"/>
              <w:spacing w:after="0"/>
              <w:rPr>
                <w:sz w:val="20"/>
                <w:szCs w:val="20"/>
                <w:color w:val="auto"/>
              </w:rPr>
            </w:pPr>
            <w:r>
              <w:rPr>
                <w:rFonts w:ascii="Arial" w:cs="Arial" w:eastAsia="Arial" w:hAnsi="Arial"/>
                <w:sz w:val="14"/>
                <w:szCs w:val="14"/>
                <w:color w:val="auto"/>
              </w:rPr>
              <w:t>Interest on lease liabilities</w:t>
            </w:r>
          </w:p>
        </w:tc>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5</w:t>
            </w:r>
          </w:p>
        </w:tc>
        <w:tc>
          <w:tcPr>
            <w:tcW w:w="5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84"/>
        </w:trPr>
        <w:tc>
          <w:tcPr>
            <w:tcW w:w="3820" w:type="dxa"/>
            <w:vAlign w:val="bottom"/>
            <w:shd w:val="clear" w:color="auto" w:fill="CCEEFF"/>
          </w:tcPr>
          <w:p>
            <w:pPr>
              <w:ind w:left="80"/>
              <w:spacing w:after="0"/>
              <w:rPr>
                <w:sz w:val="20"/>
                <w:szCs w:val="20"/>
                <w:color w:val="auto"/>
              </w:rPr>
            </w:pPr>
            <w:r>
              <w:rPr>
                <w:rFonts w:ascii="Arial" w:cs="Arial" w:eastAsia="Arial" w:hAnsi="Arial"/>
                <w:sz w:val="14"/>
                <w:szCs w:val="14"/>
                <w:color w:val="auto"/>
              </w:rPr>
              <w:t>Operating lease cost</w:t>
            </w:r>
          </w:p>
        </w:tc>
        <w:tc>
          <w:tcPr>
            <w:tcW w:w="3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33,782</w:t>
            </w:r>
          </w:p>
        </w:tc>
        <w:tc>
          <w:tcPr>
            <w:tcW w:w="5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33,462</w:t>
            </w:r>
          </w:p>
        </w:tc>
      </w:tr>
      <w:tr>
        <w:trPr>
          <w:trHeight w:val="184"/>
        </w:trPr>
        <w:tc>
          <w:tcPr>
            <w:tcW w:w="382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Variable lease cost</w:t>
            </w:r>
          </w:p>
        </w:tc>
        <w:tc>
          <w:tcPr>
            <w:tcW w:w="32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(7,068)</w:t>
            </w:r>
          </w:p>
        </w:tc>
        <w:tc>
          <w:tcPr>
            <w:tcW w:w="2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(4,445)</w:t>
            </w:r>
          </w:p>
        </w:tc>
      </w:tr>
      <w:tr>
        <w:trPr>
          <w:trHeight w:val="184"/>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lease cost</w:t>
            </w:r>
          </w:p>
        </w:tc>
        <w:tc>
          <w:tcPr>
            <w:tcW w:w="32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0"/>
                <w:szCs w:val="10"/>
                <w:b w:val="1"/>
                <w:bCs w:val="1"/>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26,768</w:t>
            </w: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29,118</w:t>
            </w:r>
          </w:p>
        </w:tc>
      </w:tr>
      <w:tr>
        <w:trPr>
          <w:trHeight w:val="739"/>
        </w:trPr>
        <w:tc>
          <w:tcPr>
            <w:tcW w:w="3820" w:type="dxa"/>
            <w:vAlign w:val="bottom"/>
          </w:tcPr>
          <w:p>
            <w:pPr>
              <w:spacing w:after="0"/>
              <w:rPr>
                <w:sz w:val="24"/>
                <w:szCs w:val="24"/>
                <w:color w:val="auto"/>
              </w:rPr>
            </w:pPr>
          </w:p>
        </w:tc>
        <w:tc>
          <w:tcPr>
            <w:tcW w:w="3280" w:type="dxa"/>
            <w:vAlign w:val="bottom"/>
          </w:tcPr>
          <w:p>
            <w:pPr>
              <w:jc w:val="right"/>
              <w:ind w:right="1188"/>
              <w:spacing w:after="0"/>
              <w:rPr>
                <w:sz w:val="20"/>
                <w:szCs w:val="20"/>
                <w:color w:val="auto"/>
              </w:rPr>
            </w:pPr>
            <w:r>
              <w:rPr>
                <w:rFonts w:ascii="Arial" w:cs="Arial" w:eastAsia="Arial" w:hAnsi="Arial"/>
                <w:sz w:val="14"/>
                <w:szCs w:val="14"/>
                <w:color w:val="auto"/>
              </w:rPr>
              <w:t>- 103 -</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2"/>
        </w:trPr>
        <w:tc>
          <w:tcPr>
            <w:tcW w:w="3820" w:type="dxa"/>
            <w:vAlign w:val="bottom"/>
            <w:tcBorders>
              <w:bottom w:val="single" w:sz="8" w:color="9A9A9A"/>
            </w:tcBorders>
          </w:tcPr>
          <w:p>
            <w:pPr>
              <w:spacing w:after="0"/>
              <w:rPr>
                <w:sz w:val="21"/>
                <w:szCs w:val="21"/>
                <w:color w:val="auto"/>
              </w:rPr>
            </w:pPr>
          </w:p>
        </w:tc>
        <w:tc>
          <w:tcPr>
            <w:tcW w:w="328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440" w:type="dxa"/>
            <w:vAlign w:val="bottom"/>
            <w:tcBorders>
              <w:bottom w:val="single" w:sz="8" w:color="9A9A9A"/>
            </w:tcBorders>
          </w:tcPr>
          <w:p>
            <w:pPr>
              <w:spacing w:after="0"/>
              <w:rPr>
                <w:sz w:val="21"/>
                <w:szCs w:val="21"/>
                <w:color w:val="auto"/>
              </w:rPr>
            </w:pPr>
          </w:p>
        </w:tc>
        <w:tc>
          <w:tcPr>
            <w:tcW w:w="144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500" w:type="dxa"/>
            <w:vAlign w:val="bottom"/>
            <w:tcBorders>
              <w:bottom w:val="single" w:sz="8" w:color="9A9A9A"/>
            </w:tcBorders>
          </w:tcPr>
          <w:p>
            <w:pPr>
              <w:spacing w:after="0"/>
              <w:rPr>
                <w:sz w:val="21"/>
                <w:szCs w:val="21"/>
                <w:color w:val="auto"/>
              </w:rPr>
            </w:pPr>
          </w:p>
        </w:tc>
        <w:tc>
          <w:tcPr>
            <w:tcW w:w="134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569" w:right="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color w:val="auto"/>
        </w:rPr>
        <w:t>Supplemental cash flow information related to leases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7"/>
          </w:tcPr>
          <w:p>
            <w:pPr>
              <w:jc w:val="right"/>
              <w:ind w:right="105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64"/>
        </w:trPr>
        <w:tc>
          <w:tcPr>
            <w:tcW w:w="820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(Dollars 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2"/>
                <w:szCs w:val="12"/>
                <w:b w:val="1"/>
                <w:bCs w:val="1"/>
                <w:color w:val="auto"/>
                <w:w w:val="82"/>
              </w:rPr>
              <w:t>2021</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84"/>
        </w:trPr>
        <w:tc>
          <w:tcPr>
            <w:tcW w:w="8200" w:type="dxa"/>
            <w:vAlign w:val="bottom"/>
          </w:tcPr>
          <w:p>
            <w:pPr>
              <w:spacing w:after="0"/>
              <w:rPr>
                <w:sz w:val="20"/>
                <w:szCs w:val="20"/>
                <w:color w:val="auto"/>
              </w:rPr>
            </w:pPr>
            <w:r>
              <w:rPr>
                <w:rFonts w:ascii="Arial" w:cs="Arial" w:eastAsia="Arial" w:hAnsi="Arial"/>
                <w:sz w:val="14"/>
                <w:szCs w:val="14"/>
                <w:b w:val="1"/>
                <w:bCs w:val="1"/>
                <w:color w:val="auto"/>
              </w:rPr>
              <w:t>Cash flows relating to lease cost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200" w:type="dxa"/>
            <w:vAlign w:val="bottom"/>
          </w:tcPr>
          <w:p>
            <w:pPr>
              <w:ind w:left="8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cash flows for finance leases</w:t>
            </w:r>
          </w:p>
        </w:tc>
        <w:tc>
          <w:tcPr>
            <w:tcW w:w="420" w:type="dxa"/>
            <w:vAlign w:val="bottom"/>
            <w:gridSpan w:val="4"/>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4"/>
        </w:trPr>
        <w:tc>
          <w:tcPr>
            <w:tcW w:w="8200" w:type="dxa"/>
            <w:vAlign w:val="bottom"/>
          </w:tcPr>
          <w:p>
            <w:pPr>
              <w:ind w:left="180"/>
              <w:spacing w:after="0"/>
              <w:rPr>
                <w:sz w:val="20"/>
                <w:szCs w:val="20"/>
                <w:color w:val="auto"/>
              </w:rPr>
            </w:pPr>
            <w:r>
              <w:rPr>
                <w:rFonts w:ascii="Arial" w:cs="Arial" w:eastAsia="Arial" w:hAnsi="Arial"/>
                <w:sz w:val="14"/>
                <w:szCs w:val="14"/>
                <w:color w:val="auto"/>
              </w:rPr>
              <w:t>Operating cash flows for operating leases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26,057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14,060</w:t>
            </w:r>
          </w:p>
        </w:tc>
        <w:tc>
          <w:tcPr>
            <w:tcW w:w="0" w:type="dxa"/>
            <w:vAlign w:val="bottom"/>
          </w:tcPr>
          <w:p>
            <w:pPr>
              <w:spacing w:after="0"/>
              <w:rPr>
                <w:sz w:val="1"/>
                <w:szCs w:val="1"/>
                <w:color w:val="auto"/>
              </w:rPr>
            </w:pPr>
          </w:p>
        </w:tc>
      </w:tr>
      <w:tr>
        <w:trPr>
          <w:trHeight w:val="184"/>
        </w:trPr>
        <w:tc>
          <w:tcPr>
            <w:tcW w:w="8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Right-of-use assets obtained in exchange for new operating lease liabilities</w:t>
            </w:r>
          </w:p>
        </w:tc>
        <w:tc>
          <w:tcPr>
            <w:tcW w:w="420" w:type="dxa"/>
            <w:vAlign w:val="bottom"/>
            <w:gridSpan w:val="4"/>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39,090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(2,054)</w:t>
            </w:r>
          </w:p>
        </w:tc>
        <w:tc>
          <w:tcPr>
            <w:tcW w:w="0" w:type="dxa"/>
            <w:vAlign w:val="bottom"/>
          </w:tcPr>
          <w:p>
            <w:pPr>
              <w:spacing w:after="0"/>
              <w:rPr>
                <w:sz w:val="1"/>
                <w:szCs w:val="1"/>
                <w:color w:val="auto"/>
              </w:rPr>
            </w:pPr>
          </w:p>
        </w:tc>
      </w:tr>
      <w:tr>
        <w:trPr>
          <w:trHeight w:val="313"/>
        </w:trPr>
        <w:tc>
          <w:tcPr>
            <w:tcW w:w="8200" w:type="dxa"/>
            <w:vAlign w:val="bottom"/>
          </w:tcPr>
          <w:p>
            <w:pPr>
              <w:spacing w:after="0"/>
              <w:rPr>
                <w:sz w:val="20"/>
                <w:szCs w:val="20"/>
                <w:color w:val="auto"/>
              </w:rPr>
            </w:pPr>
            <w:r>
              <w:rPr>
                <w:rFonts w:ascii="Arial" w:cs="Arial" w:eastAsia="Arial" w:hAnsi="Arial"/>
                <w:sz w:val="14"/>
                <w:szCs w:val="14"/>
                <w:color w:val="auto"/>
              </w:rPr>
              <w:t>Supplemental balance sheet information related to leases is as follows: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200" w:type="dxa"/>
            <w:vAlign w:val="bottom"/>
            <w:vMerge w:val="restart"/>
          </w:tcPr>
          <w:p>
            <w:pPr>
              <w:spacing w:after="0"/>
              <w:rPr>
                <w:sz w:val="20"/>
                <w:szCs w:val="20"/>
                <w:color w:val="auto"/>
              </w:rPr>
            </w:pPr>
            <w:r>
              <w:rPr>
                <w:rFonts w:ascii="Arial" w:cs="Arial" w:eastAsia="Arial" w:hAnsi="Arial"/>
                <w:sz w:val="12"/>
                <w:szCs w:val="12"/>
                <w:i w:val="1"/>
                <w:iCs w:val="1"/>
                <w:color w:val="auto"/>
              </w:rPr>
              <w:t>(Dollars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right"/>
              <w:ind w:right="105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21"/>
        </w:trPr>
        <w:tc>
          <w:tcPr>
            <w:tcW w:w="820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70"/>
              <w:spacing w:after="0" w:line="120" w:lineRule="exact"/>
              <w:rPr>
                <w:sz w:val="20"/>
                <w:szCs w:val="20"/>
                <w:color w:val="auto"/>
              </w:rPr>
            </w:pPr>
            <w:r>
              <w:rPr>
                <w:rFonts w:ascii="Arial" w:cs="Arial" w:eastAsia="Arial" w:hAnsi="Arial"/>
                <w:sz w:val="12"/>
                <w:szCs w:val="12"/>
                <w:b w:val="1"/>
                <w:bCs w:val="1"/>
                <w:color w:val="auto"/>
              </w:rPr>
              <w:t>2021</w:t>
            </w: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490"/>
              <w:spacing w:after="0" w:line="120" w:lineRule="exact"/>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2"/>
        </w:trPr>
        <w:tc>
          <w:tcPr>
            <w:tcW w:w="8200" w:type="dxa"/>
            <w:vAlign w:val="bottom"/>
          </w:tcPr>
          <w:p>
            <w:pPr>
              <w:spacing w:after="0" w:line="152" w:lineRule="exact"/>
              <w:rPr>
                <w:sz w:val="20"/>
                <w:szCs w:val="20"/>
                <w:color w:val="auto"/>
              </w:rPr>
            </w:pPr>
            <w:r>
              <w:rPr>
                <w:rFonts w:ascii="Arial" w:cs="Arial" w:eastAsia="Arial" w:hAnsi="Arial"/>
                <w:sz w:val="14"/>
                <w:szCs w:val="14"/>
                <w:b w:val="1"/>
                <w:bCs w:val="1"/>
                <w:color w:val="auto"/>
              </w:rPr>
              <w:t>Operating leases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200" w:type="dxa"/>
            <w:vAlign w:val="bottom"/>
            <w:shd w:val="clear" w:color="auto" w:fill="CCEEFF"/>
          </w:tcPr>
          <w:p>
            <w:pPr>
              <w:ind w:left="80"/>
              <w:spacing w:after="0" w:line="152" w:lineRule="exact"/>
              <w:rPr>
                <w:sz w:val="20"/>
                <w:szCs w:val="20"/>
                <w:color w:val="auto"/>
              </w:rPr>
            </w:pPr>
            <w:r>
              <w:rPr>
                <w:rFonts w:ascii="Arial" w:cs="Arial" w:eastAsia="Arial" w:hAnsi="Arial"/>
                <w:sz w:val="14"/>
                <w:szCs w:val="14"/>
                <w:b w:val="1"/>
                <w:bCs w:val="1"/>
                <w:color w:val="auto"/>
              </w:rPr>
              <w:t>Operating lease right-of-use assets</w:t>
            </w:r>
          </w:p>
        </w:tc>
        <w:tc>
          <w:tcPr>
            <w:tcW w:w="420" w:type="dxa"/>
            <w:vAlign w:val="bottom"/>
            <w:gridSpan w:val="4"/>
            <w:shd w:val="clear" w:color="auto" w:fill="CCEEFF"/>
          </w:tcPr>
          <w:p>
            <w:pPr>
              <w:jc w:val="right"/>
              <w:ind w:right="88"/>
              <w:spacing w:after="0" w:line="152"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227,367</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gridSpan w:val="3"/>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220,503</w:t>
            </w:r>
          </w:p>
        </w:tc>
        <w:tc>
          <w:tcPr>
            <w:tcW w:w="0" w:type="dxa"/>
            <w:vAlign w:val="bottom"/>
          </w:tcPr>
          <w:p>
            <w:pPr>
              <w:spacing w:after="0"/>
              <w:rPr>
                <w:sz w:val="1"/>
                <w:szCs w:val="1"/>
                <w:color w:val="auto"/>
              </w:rPr>
            </w:pPr>
          </w:p>
        </w:tc>
      </w:tr>
      <w:tr>
        <w:trPr>
          <w:trHeight w:val="143"/>
        </w:trPr>
        <w:tc>
          <w:tcPr>
            <w:tcW w:w="8200" w:type="dxa"/>
            <w:vAlign w:val="bottom"/>
          </w:tcPr>
          <w:p>
            <w:pPr>
              <w:ind w:left="80"/>
              <w:spacing w:after="0" w:line="143" w:lineRule="exact"/>
              <w:rPr>
                <w:sz w:val="20"/>
                <w:szCs w:val="20"/>
                <w:color w:val="auto"/>
              </w:rPr>
            </w:pPr>
            <w:r>
              <w:rPr>
                <w:rFonts w:ascii="Arial" w:cs="Arial" w:eastAsia="Arial" w:hAnsi="Arial"/>
                <w:sz w:val="14"/>
                <w:szCs w:val="14"/>
                <w:color w:val="auto"/>
              </w:rPr>
              <w:t>Operating lease liabilities - current portion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23,737</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22,699</w:t>
            </w:r>
          </w:p>
        </w:tc>
        <w:tc>
          <w:tcPr>
            <w:tcW w:w="0" w:type="dxa"/>
            <w:vAlign w:val="bottom"/>
          </w:tcPr>
          <w:p>
            <w:pPr>
              <w:spacing w:after="0"/>
              <w:rPr>
                <w:sz w:val="1"/>
                <w:szCs w:val="1"/>
                <w:color w:val="auto"/>
              </w:rPr>
            </w:pPr>
          </w:p>
        </w:tc>
      </w:tr>
      <w:tr>
        <w:trPr>
          <w:trHeight w:val="152"/>
        </w:trPr>
        <w:tc>
          <w:tcPr>
            <w:tcW w:w="8200" w:type="dxa"/>
            <w:vAlign w:val="bottom"/>
            <w:shd w:val="clear" w:color="auto" w:fill="CCEEFF"/>
          </w:tcPr>
          <w:p>
            <w:pPr>
              <w:ind w:left="80"/>
              <w:spacing w:after="0" w:line="152" w:lineRule="exact"/>
              <w:rPr>
                <w:sz w:val="20"/>
                <w:szCs w:val="20"/>
                <w:color w:val="auto"/>
              </w:rPr>
            </w:pPr>
            <w:r>
              <w:rPr>
                <w:rFonts w:ascii="Arial" w:cs="Arial" w:eastAsia="Arial" w:hAnsi="Arial"/>
                <w:sz w:val="14"/>
                <w:szCs w:val="14"/>
                <w:color w:val="auto"/>
              </w:rPr>
              <w:t>Operating lease liabilities - non-current portion</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223,364</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212,806</w:t>
            </w:r>
          </w:p>
        </w:tc>
        <w:tc>
          <w:tcPr>
            <w:tcW w:w="0" w:type="dxa"/>
            <w:vAlign w:val="bottom"/>
          </w:tcPr>
          <w:p>
            <w:pPr>
              <w:spacing w:after="0"/>
              <w:rPr>
                <w:sz w:val="1"/>
                <w:szCs w:val="1"/>
                <w:color w:val="auto"/>
              </w:rPr>
            </w:pPr>
          </w:p>
        </w:tc>
      </w:tr>
      <w:tr>
        <w:trPr>
          <w:trHeight w:val="144"/>
        </w:trPr>
        <w:tc>
          <w:tcPr>
            <w:tcW w:w="8200" w:type="dxa"/>
            <w:vAlign w:val="bottom"/>
            <w:tcBorders>
              <w:bottom w:val="single" w:sz="8" w:color="CCEEFF"/>
            </w:tcBorders>
          </w:tcPr>
          <w:p>
            <w:pPr>
              <w:ind w:left="80"/>
              <w:spacing w:after="0" w:line="143" w:lineRule="exact"/>
              <w:rPr>
                <w:sz w:val="20"/>
                <w:szCs w:val="20"/>
                <w:color w:val="auto"/>
              </w:rPr>
            </w:pPr>
            <w:r>
              <w:rPr>
                <w:rFonts w:ascii="Arial" w:cs="Arial" w:eastAsia="Arial" w:hAnsi="Arial"/>
                <w:sz w:val="14"/>
                <w:szCs w:val="14"/>
                <w:b w:val="1"/>
                <w:bCs w:val="1"/>
                <w:color w:val="auto"/>
              </w:rPr>
              <w:t>Total operating lease liabilities</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gridSpan w:val="2"/>
          </w:tcPr>
          <w:p>
            <w:pPr>
              <w:spacing w:after="0"/>
              <w:rPr>
                <w:sz w:val="12"/>
                <w:szCs w:val="12"/>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247,101</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235,505</w:t>
            </w:r>
          </w:p>
        </w:tc>
        <w:tc>
          <w:tcPr>
            <w:tcW w:w="0" w:type="dxa"/>
            <w:vAlign w:val="bottom"/>
          </w:tcPr>
          <w:p>
            <w:pPr>
              <w:spacing w:after="0"/>
              <w:rPr>
                <w:sz w:val="1"/>
                <w:szCs w:val="1"/>
                <w:color w:val="auto"/>
              </w:rPr>
            </w:pPr>
          </w:p>
        </w:tc>
      </w:tr>
      <w:tr>
        <w:trPr>
          <w:trHeight w:val="152"/>
        </w:trPr>
        <w:tc>
          <w:tcPr>
            <w:tcW w:w="8200" w:type="dxa"/>
            <w:vAlign w:val="bottom"/>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Finance leases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950"/>
              <w:spacing w:after="0" w:line="15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8200" w:type="dxa"/>
            <w:vAlign w:val="bottom"/>
          </w:tcPr>
          <w:p>
            <w:pPr>
              <w:ind w:left="80"/>
              <w:spacing w:after="0" w:line="152" w:lineRule="exact"/>
              <w:rPr>
                <w:sz w:val="20"/>
                <w:szCs w:val="20"/>
                <w:color w:val="auto"/>
              </w:rPr>
            </w:pPr>
            <w:r>
              <w:rPr>
                <w:rFonts w:ascii="Arial" w:cs="Arial" w:eastAsia="Arial" w:hAnsi="Arial"/>
                <w:sz w:val="14"/>
                <w:szCs w:val="14"/>
                <w:color w:val="auto"/>
              </w:rPr>
              <w:t>Property plant and equipment, gross</w:t>
            </w:r>
          </w:p>
        </w:tc>
        <w:tc>
          <w:tcPr>
            <w:tcW w:w="420" w:type="dxa"/>
            <w:vAlign w:val="bottom"/>
            <w:gridSpan w:val="4"/>
          </w:tcPr>
          <w:p>
            <w:pPr>
              <w:jc w:val="right"/>
              <w:ind w:right="88"/>
              <w:spacing w:after="0" w:line="152"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2" w:lineRule="exact"/>
              <w:rPr>
                <w:sz w:val="20"/>
                <w:szCs w:val="20"/>
                <w:color w:val="auto"/>
              </w:rPr>
            </w:pPr>
            <w:r>
              <w:rPr>
                <w:rFonts w:ascii="Arial" w:cs="Arial" w:eastAsia="Arial" w:hAnsi="Arial"/>
                <w:sz w:val="14"/>
                <w:szCs w:val="14"/>
                <w:color w:val="auto"/>
              </w:rPr>
              <w:t>374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gridSpan w:val="3"/>
          </w:tcPr>
          <w:p>
            <w:pPr>
              <w:jc w:val="right"/>
              <w:spacing w:after="0" w:line="152"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52" w:lineRule="exact"/>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52"/>
        </w:trPr>
        <w:tc>
          <w:tcPr>
            <w:tcW w:w="8200" w:type="dxa"/>
            <w:vAlign w:val="bottom"/>
            <w:shd w:val="clear" w:color="auto" w:fill="CCEEFF"/>
          </w:tcPr>
          <w:p>
            <w:pPr>
              <w:ind w:left="80"/>
              <w:spacing w:after="0" w:line="152" w:lineRule="exact"/>
              <w:rPr>
                <w:sz w:val="20"/>
                <w:szCs w:val="20"/>
                <w:color w:val="auto"/>
              </w:rPr>
            </w:pPr>
            <w:r>
              <w:rPr>
                <w:rFonts w:ascii="Arial" w:cs="Arial" w:eastAsia="Arial" w:hAnsi="Arial"/>
                <w:sz w:val="14"/>
                <w:szCs w:val="14"/>
                <w:color w:val="auto"/>
              </w:rPr>
              <w:t>Accumulated depreciation</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gridSpan w:val="3"/>
            <w:shd w:val="clear" w:color="auto" w:fill="CCEEFF"/>
          </w:tcPr>
          <w:p>
            <w:pPr>
              <w:jc w:val="right"/>
              <w:ind w:right="60"/>
              <w:spacing w:after="0" w:line="152" w:lineRule="exact"/>
              <w:rPr>
                <w:sz w:val="20"/>
                <w:szCs w:val="20"/>
                <w:color w:val="auto"/>
              </w:rPr>
            </w:pPr>
            <w:r>
              <w:rPr>
                <w:rFonts w:ascii="Arial" w:cs="Arial" w:eastAsia="Arial" w:hAnsi="Arial"/>
                <w:sz w:val="14"/>
                <w:szCs w:val="14"/>
                <w:color w:val="auto"/>
              </w:rPr>
              <w:t>(311)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44"/>
        </w:trPr>
        <w:tc>
          <w:tcPr>
            <w:tcW w:w="8200" w:type="dxa"/>
            <w:vAlign w:val="bottom"/>
            <w:tcBorders>
              <w:bottom w:val="single" w:sz="8" w:color="CCEEFF"/>
            </w:tcBorders>
          </w:tcPr>
          <w:p>
            <w:pPr>
              <w:ind w:left="80"/>
              <w:spacing w:after="0" w:line="143" w:lineRule="exact"/>
              <w:rPr>
                <w:sz w:val="20"/>
                <w:szCs w:val="20"/>
                <w:color w:val="auto"/>
              </w:rPr>
            </w:pPr>
            <w:r>
              <w:rPr>
                <w:rFonts w:ascii="Arial" w:cs="Arial" w:eastAsia="Arial" w:hAnsi="Arial"/>
                <w:sz w:val="14"/>
                <w:szCs w:val="14"/>
                <w:b w:val="1"/>
                <w:bCs w:val="1"/>
                <w:color w:val="auto"/>
              </w:rPr>
              <w:t>Property plant and equipment, net</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gridSpan w:val="2"/>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63</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112</w:t>
            </w:r>
          </w:p>
        </w:tc>
        <w:tc>
          <w:tcPr>
            <w:tcW w:w="0" w:type="dxa"/>
            <w:vAlign w:val="bottom"/>
          </w:tcPr>
          <w:p>
            <w:pPr>
              <w:spacing w:after="0"/>
              <w:rPr>
                <w:sz w:val="1"/>
                <w:szCs w:val="1"/>
                <w:color w:val="auto"/>
              </w:rPr>
            </w:pPr>
          </w:p>
        </w:tc>
      </w:tr>
      <w:tr>
        <w:trPr>
          <w:trHeight w:val="152"/>
        </w:trPr>
        <w:tc>
          <w:tcPr>
            <w:tcW w:w="8200" w:type="dxa"/>
            <w:vAlign w:val="bottom"/>
            <w:shd w:val="clear" w:color="auto" w:fill="CCEEFF"/>
          </w:tcPr>
          <w:p>
            <w:pPr>
              <w:ind w:left="80"/>
              <w:spacing w:after="0" w:line="152" w:lineRule="exact"/>
              <w:rPr>
                <w:sz w:val="20"/>
                <w:szCs w:val="20"/>
                <w:color w:val="auto"/>
              </w:rPr>
            </w:pPr>
            <w:r>
              <w:rPr>
                <w:rFonts w:ascii="Arial" w:cs="Arial" w:eastAsia="Arial" w:hAnsi="Arial"/>
                <w:sz w:val="14"/>
                <w:szCs w:val="14"/>
                <w:color w:val="auto"/>
              </w:rPr>
              <w:t>Other current liabilities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40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52"/>
        </w:trPr>
        <w:tc>
          <w:tcPr>
            <w:tcW w:w="8200" w:type="dxa"/>
            <w:vAlign w:val="bottom"/>
            <w:tcBorders>
              <w:bottom w:val="single" w:sz="8" w:color="CCEEFF"/>
            </w:tcBorders>
          </w:tcPr>
          <w:p>
            <w:pPr>
              <w:ind w:left="80"/>
              <w:spacing w:after="0" w:line="152" w:lineRule="exact"/>
              <w:rPr>
                <w:sz w:val="20"/>
                <w:szCs w:val="20"/>
                <w:color w:val="auto"/>
              </w:rPr>
            </w:pPr>
            <w:r>
              <w:rPr>
                <w:rFonts w:ascii="Arial" w:cs="Arial" w:eastAsia="Arial" w:hAnsi="Arial"/>
                <w:sz w:val="14"/>
                <w:szCs w:val="14"/>
                <w:color w:val="auto"/>
              </w:rPr>
              <w:t>Other long-term liabilities</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28</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4"/>
        </w:trPr>
        <w:tc>
          <w:tcPr>
            <w:tcW w:w="8200" w:type="dxa"/>
            <w:vAlign w:val="bottom"/>
            <w:tcBorders>
              <w:bottom w:val="single" w:sz="8" w:color="CCEEFF"/>
            </w:tcBorders>
            <w:shd w:val="clear" w:color="auto" w:fill="CCEEFF"/>
          </w:tcPr>
          <w:p>
            <w:pPr>
              <w:ind w:left="80"/>
              <w:spacing w:after="0" w:line="143" w:lineRule="exact"/>
              <w:rPr>
                <w:sz w:val="20"/>
                <w:szCs w:val="20"/>
                <w:color w:val="auto"/>
              </w:rPr>
            </w:pPr>
            <w:r>
              <w:rPr>
                <w:rFonts w:ascii="Arial" w:cs="Arial" w:eastAsia="Arial" w:hAnsi="Arial"/>
                <w:sz w:val="14"/>
                <w:szCs w:val="14"/>
                <w:b w:val="1"/>
                <w:bCs w:val="1"/>
                <w:color w:val="auto"/>
              </w:rPr>
              <w:t>Total finance lease liabilities</w:t>
            </w: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gridSpan w:val="2"/>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68</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118</w:t>
            </w:r>
          </w:p>
        </w:tc>
        <w:tc>
          <w:tcPr>
            <w:tcW w:w="0" w:type="dxa"/>
            <w:vAlign w:val="bottom"/>
          </w:tcPr>
          <w:p>
            <w:pPr>
              <w:spacing w:after="0"/>
              <w:rPr>
                <w:sz w:val="1"/>
                <w:szCs w:val="1"/>
                <w:color w:val="auto"/>
              </w:rPr>
            </w:pPr>
          </w:p>
        </w:tc>
      </w:tr>
      <w:tr>
        <w:trPr>
          <w:trHeight w:val="152"/>
        </w:trPr>
        <w:tc>
          <w:tcPr>
            <w:tcW w:w="8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200" w:type="dxa"/>
            <w:vAlign w:val="bottom"/>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Other information</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200" w:type="dxa"/>
            <w:vAlign w:val="bottom"/>
          </w:tcPr>
          <w:p>
            <w:pPr>
              <w:ind w:left="80"/>
              <w:spacing w:after="0" w:line="152" w:lineRule="exact"/>
              <w:rPr>
                <w:sz w:val="20"/>
                <w:szCs w:val="20"/>
                <w:color w:val="auto"/>
              </w:rPr>
            </w:pPr>
            <w:r>
              <w:rPr>
                <w:rFonts w:ascii="Arial" w:cs="Arial" w:eastAsia="Arial" w:hAnsi="Arial"/>
                <w:sz w:val="14"/>
                <w:szCs w:val="14"/>
                <w:color w:val="auto"/>
              </w:rPr>
              <w:t>Weighted-average remaining lease term - finance leases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line="152"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spacing w:after="0" w:line="152"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2"/>
        </w:trPr>
        <w:tc>
          <w:tcPr>
            <w:tcW w:w="8200" w:type="dxa"/>
            <w:vAlign w:val="bottom"/>
            <w:shd w:val="clear" w:color="auto" w:fill="CCEEFF"/>
          </w:tcPr>
          <w:p>
            <w:pPr>
              <w:ind w:left="80"/>
              <w:spacing w:after="0" w:line="152" w:lineRule="exact"/>
              <w:rPr>
                <w:sz w:val="20"/>
                <w:szCs w:val="20"/>
                <w:color w:val="auto"/>
              </w:rPr>
            </w:pPr>
            <w:r>
              <w:rPr>
                <w:rFonts w:ascii="Arial" w:cs="Arial" w:eastAsia="Arial" w:hAnsi="Arial"/>
                <w:sz w:val="14"/>
                <w:szCs w:val="14"/>
                <w:color w:val="auto"/>
              </w:rPr>
              <w:t>Weighted-average remaining lease term - operating leases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2"/>
        </w:trPr>
        <w:tc>
          <w:tcPr>
            <w:tcW w:w="8200" w:type="dxa"/>
            <w:vAlign w:val="bottom"/>
          </w:tcPr>
          <w:p>
            <w:pPr>
              <w:ind w:left="80"/>
              <w:spacing w:after="0" w:line="152" w:lineRule="exact"/>
              <w:rPr>
                <w:sz w:val="20"/>
                <w:szCs w:val="20"/>
                <w:color w:val="auto"/>
              </w:rPr>
            </w:pPr>
            <w:r>
              <w:rPr>
                <w:rFonts w:ascii="Arial" w:cs="Arial" w:eastAsia="Arial" w:hAnsi="Arial"/>
                <w:sz w:val="14"/>
                <w:szCs w:val="14"/>
                <w:color w:val="auto"/>
              </w:rPr>
              <w:t>Weighted-average discount rate - finance leases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line="152" w:lineRule="exact"/>
              <w:rPr>
                <w:sz w:val="20"/>
                <w:szCs w:val="20"/>
                <w:color w:val="auto"/>
              </w:rPr>
            </w:pPr>
            <w:r>
              <w:rPr>
                <w:rFonts w:ascii="Arial" w:cs="Arial" w:eastAsia="Arial" w:hAnsi="Arial"/>
                <w:sz w:val="14"/>
                <w:szCs w:val="14"/>
                <w:color w:val="auto"/>
              </w:rPr>
              <w:t>5.24%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spacing w:after="0" w:line="152" w:lineRule="exact"/>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52"/>
        </w:trPr>
        <w:tc>
          <w:tcPr>
            <w:tcW w:w="8200" w:type="dxa"/>
            <w:vAlign w:val="bottom"/>
            <w:shd w:val="clear" w:color="auto" w:fill="CCEEFF"/>
          </w:tcPr>
          <w:p>
            <w:pPr>
              <w:ind w:left="80"/>
              <w:spacing w:after="0" w:line="152" w:lineRule="exact"/>
              <w:rPr>
                <w:sz w:val="20"/>
                <w:szCs w:val="20"/>
                <w:color w:val="auto"/>
              </w:rPr>
            </w:pPr>
            <w:r>
              <w:rPr>
                <w:rFonts w:ascii="Arial" w:cs="Arial" w:eastAsia="Arial" w:hAnsi="Arial"/>
                <w:sz w:val="14"/>
                <w:szCs w:val="14"/>
                <w:color w:val="auto"/>
              </w:rPr>
              <w:t>Weighted-average discount rate - operating leases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4.47%</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476"/>
        </w:trPr>
        <w:tc>
          <w:tcPr>
            <w:tcW w:w="8200" w:type="dxa"/>
            <w:vAlign w:val="bottom"/>
          </w:tcPr>
          <w:p>
            <w:pPr>
              <w:spacing w:after="0"/>
              <w:rPr>
                <w:sz w:val="20"/>
                <w:szCs w:val="20"/>
                <w:color w:val="auto"/>
              </w:rPr>
            </w:pPr>
            <w:r>
              <w:rPr>
                <w:rFonts w:ascii="Arial" w:cs="Arial" w:eastAsia="Arial" w:hAnsi="Arial"/>
                <w:sz w:val="14"/>
                <w:szCs w:val="14"/>
                <w:color w:val="auto"/>
              </w:rPr>
              <w:t>The Maturities of our leases were as follows: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2"/>
                <w:szCs w:val="12"/>
                <w:b w:val="1"/>
                <w:bCs w:val="1"/>
                <w:color w:val="auto"/>
                <w:w w:val="88"/>
              </w:rPr>
              <w:t>Operating</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450"/>
              <w:spacing w:after="0"/>
              <w:rPr>
                <w:sz w:val="20"/>
                <w:szCs w:val="20"/>
                <w:color w:val="auto"/>
              </w:rPr>
            </w:pPr>
            <w:r>
              <w:rPr>
                <w:rFonts w:ascii="Arial" w:cs="Arial" w:eastAsia="Arial" w:hAnsi="Arial"/>
                <w:sz w:val="12"/>
                <w:szCs w:val="12"/>
                <w:b w:val="1"/>
                <w:bCs w:val="1"/>
                <w:color w:val="auto"/>
              </w:rPr>
              <w:t>Finance</w:t>
            </w:r>
          </w:p>
        </w:tc>
        <w:tc>
          <w:tcPr>
            <w:tcW w:w="0" w:type="dxa"/>
            <w:vAlign w:val="bottom"/>
          </w:tcPr>
          <w:p>
            <w:pPr>
              <w:spacing w:after="0"/>
              <w:rPr>
                <w:sz w:val="1"/>
                <w:szCs w:val="1"/>
                <w:color w:val="auto"/>
              </w:rPr>
            </w:pPr>
          </w:p>
        </w:tc>
      </w:tr>
      <w:tr>
        <w:trPr>
          <w:trHeight w:val="138"/>
        </w:trPr>
        <w:tc>
          <w:tcPr>
            <w:tcW w:w="8200" w:type="dxa"/>
            <w:vAlign w:val="bottom"/>
            <w:tcBorders>
              <w:bottom w:val="single" w:sz="8" w:color="auto"/>
            </w:tcBorders>
          </w:tcPr>
          <w:p>
            <w:pPr>
              <w:spacing w:after="0" w:line="137" w:lineRule="exact"/>
              <w:rPr>
                <w:sz w:val="20"/>
                <w:szCs w:val="20"/>
                <w:color w:val="auto"/>
              </w:rPr>
            </w:pPr>
            <w:r>
              <w:rPr>
                <w:rFonts w:ascii="Arial" w:cs="Arial" w:eastAsia="Arial" w:hAnsi="Arial"/>
                <w:sz w:val="12"/>
                <w:szCs w:val="12"/>
                <w:i w:val="1"/>
                <w:iCs w:val="1"/>
                <w:color w:val="auto"/>
              </w:rPr>
              <w:t>(Dollars in thousands)</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210"/>
              <w:spacing w:after="0" w:line="137" w:lineRule="exact"/>
              <w:rPr>
                <w:sz w:val="20"/>
                <w:szCs w:val="20"/>
                <w:color w:val="auto"/>
              </w:rPr>
            </w:pPr>
            <w:r>
              <w:rPr>
                <w:rFonts w:ascii="Arial" w:cs="Arial" w:eastAsia="Arial" w:hAnsi="Arial"/>
                <w:sz w:val="12"/>
                <w:szCs w:val="12"/>
                <w:b w:val="1"/>
                <w:bCs w:val="1"/>
                <w:color w:val="auto"/>
                <w:w w:val="76"/>
              </w:rPr>
              <w:t>leases</w:t>
            </w:r>
          </w:p>
        </w:tc>
        <w:tc>
          <w:tcPr>
            <w:tcW w:w="80" w:type="dxa"/>
            <w:vAlign w:val="bottom"/>
            <w:tcBorders>
              <w:bottom w:val="single" w:sz="8" w:color="CCEEFF"/>
            </w:tcBorders>
            <w:gridSpan w:val="2"/>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90"/>
              <w:spacing w:after="0" w:line="137" w:lineRule="exact"/>
              <w:rPr>
                <w:sz w:val="20"/>
                <w:szCs w:val="20"/>
                <w:color w:val="auto"/>
              </w:rPr>
            </w:pPr>
            <w:r>
              <w:rPr>
                <w:rFonts w:ascii="Arial" w:cs="Arial" w:eastAsia="Arial" w:hAnsi="Arial"/>
                <w:sz w:val="12"/>
                <w:szCs w:val="12"/>
                <w:b w:val="1"/>
                <w:bCs w:val="1"/>
                <w:color w:val="auto"/>
              </w:rPr>
              <w:t>leases</w:t>
            </w:r>
          </w:p>
        </w:tc>
        <w:tc>
          <w:tcPr>
            <w:tcW w:w="0" w:type="dxa"/>
            <w:vAlign w:val="bottom"/>
          </w:tcPr>
          <w:p>
            <w:pPr>
              <w:spacing w:after="0"/>
              <w:rPr>
                <w:sz w:val="1"/>
                <w:szCs w:val="1"/>
                <w:color w:val="auto"/>
              </w:rPr>
            </w:pPr>
          </w:p>
        </w:tc>
      </w:tr>
      <w:tr>
        <w:trPr>
          <w:trHeight w:val="173"/>
        </w:trPr>
        <w:tc>
          <w:tcPr>
            <w:tcW w:w="8200" w:type="dxa"/>
            <w:vAlign w:val="bottom"/>
            <w:shd w:val="clear" w:color="auto" w:fill="CCEEFF"/>
          </w:tcPr>
          <w:p>
            <w:pPr>
              <w:spacing w:after="0"/>
              <w:rPr>
                <w:sz w:val="20"/>
                <w:szCs w:val="20"/>
                <w:color w:val="auto"/>
              </w:rPr>
            </w:pPr>
            <w:r>
              <w:rPr>
                <w:rFonts w:ascii="Arial" w:cs="Arial" w:eastAsia="Arial" w:hAnsi="Arial"/>
                <w:sz w:val="14"/>
                <w:szCs w:val="14"/>
                <w:color w:val="auto"/>
              </w:rPr>
              <w:t>2022</w:t>
            </w:r>
          </w:p>
        </w:tc>
        <w:tc>
          <w:tcPr>
            <w:tcW w:w="420" w:type="dxa"/>
            <w:vAlign w:val="bottom"/>
            <w:gridSpan w:val="4"/>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34,324</w:t>
            </w:r>
          </w:p>
        </w:tc>
        <w:tc>
          <w:tcPr>
            <w:tcW w:w="6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4"/>
        </w:trPr>
        <w:tc>
          <w:tcPr>
            <w:tcW w:w="8200" w:type="dxa"/>
            <w:vAlign w:val="bottom"/>
          </w:tcPr>
          <w:p>
            <w:pPr>
              <w:spacing w:after="0"/>
              <w:rPr>
                <w:sz w:val="20"/>
                <w:szCs w:val="20"/>
                <w:color w:val="auto"/>
              </w:rPr>
            </w:pPr>
            <w:r>
              <w:rPr>
                <w:rFonts w:ascii="Arial" w:cs="Arial" w:eastAsia="Arial" w:hAnsi="Arial"/>
                <w:sz w:val="14"/>
                <w:szCs w:val="14"/>
                <w:color w:val="auto"/>
              </w:rPr>
              <w:t>2023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34,281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4"/>
        </w:trPr>
        <w:tc>
          <w:tcPr>
            <w:tcW w:w="8200" w:type="dxa"/>
            <w:vAlign w:val="bottom"/>
            <w:shd w:val="clear" w:color="auto" w:fill="CCEEFF"/>
          </w:tcPr>
          <w:p>
            <w:pPr>
              <w:spacing w:after="0"/>
              <w:rPr>
                <w:sz w:val="20"/>
                <w:szCs w:val="20"/>
                <w:color w:val="auto"/>
              </w:rPr>
            </w:pPr>
            <w:r>
              <w:rPr>
                <w:rFonts w:ascii="Arial" w:cs="Arial" w:eastAsia="Arial" w:hAnsi="Arial"/>
                <w:sz w:val="14"/>
                <w:szCs w:val="14"/>
                <w:color w:val="auto"/>
              </w:rPr>
              <w:t>2024</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32,838</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200" w:type="dxa"/>
            <w:vAlign w:val="bottom"/>
          </w:tcPr>
          <w:p>
            <w:pPr>
              <w:spacing w:after="0"/>
              <w:rPr>
                <w:sz w:val="20"/>
                <w:szCs w:val="20"/>
                <w:color w:val="auto"/>
              </w:rPr>
            </w:pPr>
            <w:r>
              <w:rPr>
                <w:rFonts w:ascii="Arial" w:cs="Arial" w:eastAsia="Arial" w:hAnsi="Arial"/>
                <w:sz w:val="14"/>
                <w:szCs w:val="14"/>
                <w:color w:val="auto"/>
              </w:rPr>
              <w:t>2025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30,855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200" w:type="dxa"/>
            <w:vAlign w:val="bottom"/>
            <w:shd w:val="clear" w:color="auto" w:fill="CCEEFF"/>
          </w:tcPr>
          <w:p>
            <w:pPr>
              <w:spacing w:after="0"/>
              <w:rPr>
                <w:sz w:val="20"/>
                <w:szCs w:val="20"/>
                <w:color w:val="auto"/>
              </w:rPr>
            </w:pPr>
            <w:r>
              <w:rPr>
                <w:rFonts w:ascii="Arial" w:cs="Arial" w:eastAsia="Arial" w:hAnsi="Arial"/>
                <w:sz w:val="14"/>
                <w:szCs w:val="14"/>
                <w:color w:val="auto"/>
              </w:rPr>
              <w:t>2026</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28,608</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2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Thereafter</w:t>
            </w: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158,713</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8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lease payments</w:t>
            </w:r>
          </w:p>
        </w:tc>
        <w:tc>
          <w:tcPr>
            <w:tcW w:w="420" w:type="dxa"/>
            <w:vAlign w:val="bottom"/>
            <w:gridSpan w:val="4"/>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319,619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64"/>
        </w:trPr>
        <w:tc>
          <w:tcPr>
            <w:tcW w:w="82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Less imputed interest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(72,518)</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6"/>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gridSpan w:val="2"/>
            <w:shd w:val="clear" w:color="auto" w:fill="CCEEFF"/>
          </w:tcPr>
          <w:p>
            <w:pPr>
              <w:spacing w:after="0"/>
              <w:rPr>
                <w:sz w:val="14"/>
                <w:szCs w:val="14"/>
                <w:color w:val="auto"/>
              </w:rPr>
            </w:pPr>
          </w:p>
        </w:tc>
        <w:tc>
          <w:tcPr>
            <w:tcW w:w="260" w:type="dxa"/>
            <w:vAlign w:val="bottom"/>
            <w:tcBorders>
              <w:bottom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247,101</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As of December 31, 2021, we have additional operating leases, primarily for cinemas, that have not yet commenced of approximately $8.7 million. It is anticipated that these operating leases will commence in 2022 with lease terms of 15 to 20 years.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 Lessor</w:t>
      </w:r>
    </w:p>
    <w:p>
      <w:pPr>
        <w:spacing w:after="0" w:line="143" w:lineRule="exact"/>
        <w:rPr>
          <w:sz w:val="20"/>
          <w:szCs w:val="20"/>
          <w:color w:val="auto"/>
        </w:rPr>
      </w:pPr>
    </w:p>
    <w:p>
      <w:pPr>
        <w:ind w:right="300"/>
        <w:spacing w:after="0" w:line="242" w:lineRule="auto"/>
        <w:rPr>
          <w:sz w:val="20"/>
          <w:szCs w:val="20"/>
          <w:color w:val="auto"/>
        </w:rPr>
      </w:pPr>
      <w:r>
        <w:rPr>
          <w:rFonts w:ascii="Arial" w:cs="Arial" w:eastAsia="Arial" w:hAnsi="Arial"/>
          <w:sz w:val="14"/>
          <w:szCs w:val="14"/>
          <w:color w:val="auto"/>
        </w:rPr>
        <w:t>We have entered into various leases as a lessor for our owned real estate properties. These leases vary in length between 1 and 20 years, with certain leases containing options to extend at the behest of the applicable tenants. Lease components consist of fixed base rent, and for certain leases, variable lease payments consisting of contracted percentages of revenue, changes in the relevant CPI, and/or other contracted financial metrics. None of our leases grant any right to the tenant to purchase the underlying asset.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22" w:right="319" w:bottom="1440" w:gutter="0" w:footer="0" w:header="0"/>
        </w:sectPr>
      </w:pPr>
    </w:p>
    <w:bookmarkStart w:id="104" w:name="page105"/>
    <w:bookmarkEnd w:id="104"/>
    <w:p>
      <w:pPr>
        <w:ind w:right="240"/>
        <w:spacing w:after="0" w:line="258" w:lineRule="auto"/>
        <w:rPr>
          <w:sz w:val="20"/>
          <w:szCs w:val="20"/>
          <w:color w:val="auto"/>
        </w:rPr>
      </w:pPr>
      <w:r>
        <w:rPr>
          <w:rFonts w:ascii="Arial" w:cs="Arial" w:eastAsia="Arial" w:hAnsi="Arial"/>
          <w:sz w:val="14"/>
          <w:szCs w:val="14"/>
          <w:color w:val="auto"/>
        </w:rPr>
        <w:t>We recognize lease payments for operating leases as property revenue on a straight-line basis over the lease term. Lease incentive payments we make to lessees are amortized as a reduction in property revenue over the lease term.</w:t>
      </w:r>
    </w:p>
    <w:p>
      <w:pPr>
        <w:spacing w:after="0" w:line="109" w:lineRule="exact"/>
        <w:rPr>
          <w:sz w:val="20"/>
          <w:szCs w:val="20"/>
          <w:color w:val="auto"/>
        </w:rPr>
      </w:pPr>
    </w:p>
    <w:p>
      <w:pPr>
        <w:ind w:right="440"/>
        <w:spacing w:after="0" w:line="297" w:lineRule="auto"/>
        <w:rPr>
          <w:sz w:val="20"/>
          <w:szCs w:val="20"/>
          <w:color w:val="auto"/>
        </w:rPr>
      </w:pPr>
      <w:r>
        <w:rPr>
          <w:rFonts w:ascii="Arial" w:cs="Arial" w:eastAsia="Arial" w:hAnsi="Arial"/>
          <w:sz w:val="13"/>
          <w:szCs w:val="13"/>
          <w:color w:val="auto"/>
        </w:rPr>
        <w:t>As a result of the impacts of COVID-19, we have provided certain concessions to specific tenants. We have elected to account for these concessions as if there have been no changes to the underlying contracts, thereby recognizing abatements granted as variable lease payments through revenue and increasing receivables for lease payment deferrals.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Lease income relating to operating lease payments was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2"/>
                <w:szCs w:val="12"/>
                <w:b w:val="1"/>
                <w:bCs w:val="1"/>
                <w:color w:val="auto"/>
              </w:rPr>
              <w:t>December 31,</w:t>
            </w:r>
          </w:p>
        </w:tc>
        <w:tc>
          <w:tcPr>
            <w:tcW w:w="1440" w:type="dxa"/>
            <w:vAlign w:val="bottom"/>
            <w:tcBorders>
              <w:bottom w:val="single" w:sz="8" w:color="auto"/>
            </w:tcBorders>
          </w:tcPr>
          <w:p>
            <w:pPr>
              <w:spacing w:after="0"/>
              <w:rPr>
                <w:sz w:val="12"/>
                <w:szCs w:val="12"/>
                <w:color w:val="auto"/>
              </w:rPr>
            </w:pPr>
          </w:p>
        </w:tc>
      </w:tr>
      <w:tr>
        <w:trPr>
          <w:trHeight w:val="164"/>
        </w:trPr>
        <w:tc>
          <w:tcPr>
            <w:tcW w:w="7340" w:type="dxa"/>
            <w:vAlign w:val="bottom"/>
            <w:gridSpan w:val="2"/>
          </w:tcPr>
          <w:p>
            <w:pPr>
              <w:spacing w:after="0"/>
              <w:rPr>
                <w:sz w:val="20"/>
                <w:szCs w:val="20"/>
                <w:color w:val="auto"/>
              </w:rPr>
            </w:pPr>
            <w:r>
              <w:rPr>
                <w:rFonts w:ascii="Arial" w:cs="Arial" w:eastAsia="Arial" w:hAnsi="Arial"/>
                <w:sz w:val="12"/>
                <w:szCs w:val="12"/>
                <w:i w:val="1"/>
                <w:iCs w:val="1"/>
                <w:color w:val="auto"/>
              </w:rPr>
              <w:t>(Dollars in thousands)</w:t>
            </w:r>
          </w:p>
        </w:tc>
        <w:tc>
          <w:tcPr>
            <w:tcW w:w="1300" w:type="dxa"/>
            <w:vAlign w:val="bottom"/>
          </w:tcPr>
          <w:p>
            <w:pPr>
              <w:jc w:val="right"/>
              <w:ind w:right="206"/>
              <w:spacing w:after="0"/>
              <w:rPr>
                <w:sz w:val="20"/>
                <w:szCs w:val="20"/>
                <w:color w:val="auto"/>
              </w:rPr>
            </w:pPr>
            <w:r>
              <w:rPr>
                <w:rFonts w:ascii="Arial" w:cs="Arial" w:eastAsia="Arial" w:hAnsi="Arial"/>
                <w:sz w:val="12"/>
                <w:szCs w:val="12"/>
                <w:b w:val="1"/>
                <w:bCs w:val="1"/>
                <w:color w:val="auto"/>
              </w:rPr>
              <w:t>2021</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jc w:val="center"/>
              <w:ind w:right="332"/>
              <w:spacing w:after="0"/>
              <w:rPr>
                <w:sz w:val="20"/>
                <w:szCs w:val="20"/>
                <w:color w:val="auto"/>
              </w:rPr>
            </w:pPr>
            <w:r>
              <w:rPr>
                <w:rFonts w:ascii="Arial" w:cs="Arial" w:eastAsia="Arial" w:hAnsi="Arial"/>
                <w:sz w:val="12"/>
                <w:szCs w:val="12"/>
                <w:b w:val="1"/>
                <w:bCs w:val="1"/>
                <w:color w:val="auto"/>
                <w:w w:val="89"/>
              </w:rPr>
              <w:t>2020</w:t>
            </w:r>
          </w:p>
        </w:tc>
      </w:tr>
      <w:tr>
        <w:trPr>
          <w:trHeight w:val="173"/>
        </w:trPr>
        <w:tc>
          <w:tcPr>
            <w:tcW w:w="71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Components of lease income</w:t>
            </w:r>
          </w:p>
        </w:tc>
        <w:tc>
          <w:tcPr>
            <w:tcW w:w="24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r>
      <w:tr>
        <w:trPr>
          <w:trHeight w:val="184"/>
        </w:trPr>
        <w:tc>
          <w:tcPr>
            <w:tcW w:w="7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Lease payments</w:t>
            </w:r>
          </w:p>
        </w:tc>
        <w:tc>
          <w:tcPr>
            <w:tcW w:w="1300" w:type="dxa"/>
            <w:vAlign w:val="bottom"/>
            <w:shd w:val="clear" w:color="auto" w:fill="CCEEFF"/>
          </w:tcPr>
          <w:p>
            <w:pPr>
              <w:jc w:val="right"/>
              <w:ind w:right="1186"/>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9,679</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9,432</w:t>
            </w:r>
          </w:p>
        </w:tc>
      </w:tr>
      <w:tr>
        <w:trPr>
          <w:trHeight w:val="184"/>
        </w:trPr>
        <w:tc>
          <w:tcPr>
            <w:tcW w:w="734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Variable lease payments</w:t>
            </w:r>
          </w:p>
        </w:tc>
        <w:tc>
          <w:tcPr>
            <w:tcW w:w="1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w:t>
            </w:r>
          </w:p>
        </w:tc>
        <w:tc>
          <w:tcPr>
            <w:tcW w:w="2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r>
      <w:tr>
        <w:trPr>
          <w:trHeight w:val="173"/>
        </w:trPr>
        <w:tc>
          <w:tcPr>
            <w:tcW w:w="7340" w:type="dxa"/>
            <w:vAlign w:val="bottom"/>
            <w:tcBorders>
              <w:bottom w:val="single" w:sz="8" w:color="CCEEFF"/>
            </w:tcBorders>
            <w:gridSpan w:val="2"/>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Total lease income</w:t>
            </w:r>
          </w:p>
        </w:tc>
        <w:tc>
          <w:tcPr>
            <w:tcW w:w="1300" w:type="dxa"/>
            <w:vAlign w:val="bottom"/>
            <w:tcBorders>
              <w:bottom w:val="single" w:sz="8" w:color="auto"/>
            </w:tcBorders>
            <w:shd w:val="clear" w:color="auto" w:fill="CCEEFF"/>
          </w:tcPr>
          <w:p>
            <w:pPr>
              <w:jc w:val="right"/>
              <w:ind w:right="1186"/>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10,334</w:t>
            </w: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48"/>
              <w:spacing w:after="0" w:line="153" w:lineRule="exact"/>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9,301</w:t>
            </w:r>
          </w:p>
        </w:tc>
      </w:tr>
      <w:tr>
        <w:trPr>
          <w:trHeight w:val="295"/>
        </w:trPr>
        <w:tc>
          <w:tcPr>
            <w:tcW w:w="7340" w:type="dxa"/>
            <w:vAlign w:val="bottom"/>
            <w:gridSpan w:val="2"/>
          </w:tcPr>
          <w:p>
            <w:pPr>
              <w:spacing w:after="0"/>
              <w:rPr>
                <w:sz w:val="20"/>
                <w:szCs w:val="20"/>
                <w:color w:val="auto"/>
              </w:rPr>
            </w:pPr>
            <w:r>
              <w:rPr>
                <w:rFonts w:ascii="Arial" w:cs="Arial" w:eastAsia="Arial" w:hAnsi="Arial"/>
                <w:sz w:val="14"/>
                <w:szCs w:val="14"/>
                <w:color w:val="auto"/>
              </w:rPr>
              <w:t>The book value of underlying assets under operating leases from owned assets was as follows:</w:t>
            </w: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71"/>
        </w:trPr>
        <w:tc>
          <w:tcPr>
            <w:tcW w:w="7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2"/>
                <w:szCs w:val="12"/>
                <w:b w:val="1"/>
                <w:bCs w:val="1"/>
                <w:color w:val="auto"/>
              </w:rPr>
              <w:t>December 31,</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jc w:val="center"/>
              <w:ind w:right="332"/>
              <w:spacing w:after="0"/>
              <w:rPr>
                <w:sz w:val="20"/>
                <w:szCs w:val="20"/>
                <w:color w:val="auto"/>
              </w:rPr>
            </w:pPr>
            <w:r>
              <w:rPr>
                <w:rFonts w:ascii="Arial" w:cs="Arial" w:eastAsia="Arial" w:hAnsi="Arial"/>
                <w:sz w:val="12"/>
                <w:szCs w:val="12"/>
                <w:b w:val="1"/>
                <w:bCs w:val="1"/>
                <w:color w:val="auto"/>
                <w:w w:val="87"/>
              </w:rPr>
              <w:t>December 31,</w:t>
            </w:r>
          </w:p>
        </w:tc>
      </w:tr>
      <w:tr>
        <w:trPr>
          <w:trHeight w:val="163"/>
        </w:trPr>
        <w:tc>
          <w:tcPr>
            <w:tcW w:w="7340" w:type="dxa"/>
            <w:vAlign w:val="bottom"/>
            <w:gridSpan w:val="2"/>
          </w:tcPr>
          <w:p>
            <w:pPr>
              <w:spacing w:after="0"/>
              <w:rPr>
                <w:sz w:val="20"/>
                <w:szCs w:val="20"/>
                <w:color w:val="auto"/>
              </w:rPr>
            </w:pPr>
            <w:r>
              <w:rPr>
                <w:rFonts w:ascii="Arial" w:cs="Arial" w:eastAsia="Arial" w:hAnsi="Arial"/>
                <w:sz w:val="12"/>
                <w:szCs w:val="12"/>
                <w:i w:val="1"/>
                <w:iCs w:val="1"/>
                <w:color w:val="auto"/>
              </w:rPr>
              <w:t>(Dollars in thousands)</w:t>
            </w:r>
          </w:p>
        </w:tc>
        <w:tc>
          <w:tcPr>
            <w:tcW w:w="1300" w:type="dxa"/>
            <w:vAlign w:val="bottom"/>
          </w:tcPr>
          <w:p>
            <w:pPr>
              <w:jc w:val="right"/>
              <w:ind w:right="206"/>
              <w:spacing w:after="0"/>
              <w:rPr>
                <w:sz w:val="20"/>
                <w:szCs w:val="20"/>
                <w:color w:val="auto"/>
              </w:rPr>
            </w:pPr>
            <w:r>
              <w:rPr>
                <w:rFonts w:ascii="Arial" w:cs="Arial" w:eastAsia="Arial" w:hAnsi="Arial"/>
                <w:sz w:val="12"/>
                <w:szCs w:val="12"/>
                <w:b w:val="1"/>
                <w:bCs w:val="1"/>
                <w:color w:val="auto"/>
              </w:rPr>
              <w:t>2021</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jc w:val="center"/>
              <w:ind w:right="332"/>
              <w:spacing w:after="0"/>
              <w:rPr>
                <w:sz w:val="20"/>
                <w:szCs w:val="20"/>
                <w:color w:val="auto"/>
              </w:rPr>
            </w:pPr>
            <w:r>
              <w:rPr>
                <w:rFonts w:ascii="Arial" w:cs="Arial" w:eastAsia="Arial" w:hAnsi="Arial"/>
                <w:sz w:val="12"/>
                <w:szCs w:val="12"/>
                <w:b w:val="1"/>
                <w:bCs w:val="1"/>
                <w:color w:val="auto"/>
                <w:w w:val="89"/>
              </w:rPr>
              <w:t>2020</w:t>
            </w:r>
          </w:p>
        </w:tc>
      </w:tr>
      <w:tr>
        <w:trPr>
          <w:trHeight w:val="173"/>
        </w:trPr>
        <w:tc>
          <w:tcPr>
            <w:tcW w:w="71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Building and improvements</w:t>
            </w:r>
          </w:p>
        </w:tc>
        <w:tc>
          <w:tcPr>
            <w:tcW w:w="24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r>
      <w:tr>
        <w:trPr>
          <w:trHeight w:val="184"/>
        </w:trPr>
        <w:tc>
          <w:tcPr>
            <w:tcW w:w="7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Gross balance</w:t>
            </w:r>
          </w:p>
        </w:tc>
        <w:tc>
          <w:tcPr>
            <w:tcW w:w="1300" w:type="dxa"/>
            <w:vAlign w:val="bottom"/>
            <w:shd w:val="clear" w:color="auto" w:fill="CCEEFF"/>
          </w:tcPr>
          <w:p>
            <w:pPr>
              <w:jc w:val="right"/>
              <w:ind w:right="1186"/>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140,028</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153,643</w:t>
            </w:r>
          </w:p>
        </w:tc>
      </w:tr>
      <w:tr>
        <w:trPr>
          <w:trHeight w:val="184"/>
        </w:trPr>
        <w:tc>
          <w:tcPr>
            <w:tcW w:w="73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Accumulated depreciation</w:t>
            </w:r>
          </w:p>
        </w:tc>
        <w:tc>
          <w:tcPr>
            <w:tcW w:w="1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(23,923)</w:t>
            </w:r>
          </w:p>
        </w:tc>
        <w:tc>
          <w:tcPr>
            <w:tcW w:w="2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(26,107)</w:t>
            </w:r>
          </w:p>
        </w:tc>
      </w:tr>
      <w:tr>
        <w:trPr>
          <w:trHeight w:val="173"/>
        </w:trPr>
        <w:tc>
          <w:tcPr>
            <w:tcW w:w="7340" w:type="dxa"/>
            <w:vAlign w:val="bottom"/>
            <w:tcBorders>
              <w:bottom w:val="single" w:sz="8" w:color="CCEEFF"/>
            </w:tcBorders>
            <w:gridSpan w:val="2"/>
            <w:shd w:val="clear" w:color="auto" w:fill="CCEEFF"/>
          </w:tcPr>
          <w:p>
            <w:pPr>
              <w:ind w:left="80"/>
              <w:spacing w:after="0" w:line="153" w:lineRule="exact"/>
              <w:rPr>
                <w:sz w:val="20"/>
                <w:szCs w:val="20"/>
                <w:color w:val="auto"/>
              </w:rPr>
            </w:pPr>
            <w:r>
              <w:rPr>
                <w:rFonts w:ascii="Arial" w:cs="Arial" w:eastAsia="Arial" w:hAnsi="Arial"/>
                <w:sz w:val="14"/>
                <w:szCs w:val="14"/>
                <w:b w:val="1"/>
                <w:bCs w:val="1"/>
                <w:color w:val="auto"/>
              </w:rPr>
              <w:t>Net Book Value</w:t>
            </w:r>
          </w:p>
        </w:tc>
        <w:tc>
          <w:tcPr>
            <w:tcW w:w="1300" w:type="dxa"/>
            <w:vAlign w:val="bottom"/>
            <w:tcBorders>
              <w:bottom w:val="single" w:sz="8" w:color="auto"/>
            </w:tcBorders>
            <w:shd w:val="clear" w:color="auto" w:fill="CCEEFF"/>
          </w:tcPr>
          <w:p>
            <w:pPr>
              <w:jc w:val="right"/>
              <w:ind w:right="1186"/>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w w:val="98"/>
              </w:rPr>
              <w:t>116,105</w:t>
            </w: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48"/>
              <w:spacing w:after="0" w:line="153" w:lineRule="exact"/>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127,536</w:t>
            </w:r>
          </w:p>
        </w:tc>
      </w:tr>
      <w:tr>
        <w:trPr>
          <w:trHeight w:val="295"/>
        </w:trPr>
        <w:tc>
          <w:tcPr>
            <w:tcW w:w="7340" w:type="dxa"/>
            <w:vAlign w:val="bottom"/>
            <w:gridSpan w:val="2"/>
          </w:tcPr>
          <w:p>
            <w:pPr>
              <w:spacing w:after="0"/>
              <w:rPr>
                <w:sz w:val="20"/>
                <w:szCs w:val="20"/>
                <w:color w:val="auto"/>
              </w:rPr>
            </w:pPr>
            <w:r>
              <w:rPr>
                <w:rFonts w:ascii="Arial" w:cs="Arial" w:eastAsia="Arial" w:hAnsi="Arial"/>
                <w:sz w:val="14"/>
                <w:szCs w:val="14"/>
                <w:color w:val="auto"/>
              </w:rPr>
              <w:t>The Maturity of our leases were as follows:</w:t>
            </w: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7"/>
        </w:trPr>
        <w:tc>
          <w:tcPr>
            <w:tcW w:w="7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jc w:val="center"/>
              <w:ind w:right="352"/>
              <w:spacing w:after="0"/>
              <w:rPr>
                <w:sz w:val="20"/>
                <w:szCs w:val="20"/>
                <w:color w:val="auto"/>
              </w:rPr>
            </w:pPr>
            <w:r>
              <w:rPr>
                <w:rFonts w:ascii="Arial" w:cs="Arial" w:eastAsia="Arial" w:hAnsi="Arial"/>
                <w:sz w:val="12"/>
                <w:szCs w:val="12"/>
                <w:b w:val="1"/>
                <w:bCs w:val="1"/>
                <w:color w:val="auto"/>
                <w:w w:val="88"/>
              </w:rPr>
              <w:t>Operating</w:t>
            </w:r>
          </w:p>
        </w:tc>
      </w:tr>
      <w:tr>
        <w:trPr>
          <w:trHeight w:val="138"/>
        </w:trPr>
        <w:tc>
          <w:tcPr>
            <w:tcW w:w="7340" w:type="dxa"/>
            <w:vAlign w:val="bottom"/>
            <w:gridSpan w:val="2"/>
          </w:tcPr>
          <w:p>
            <w:pPr>
              <w:spacing w:after="0" w:line="137" w:lineRule="exact"/>
              <w:rPr>
                <w:sz w:val="20"/>
                <w:szCs w:val="20"/>
                <w:color w:val="auto"/>
              </w:rPr>
            </w:pPr>
            <w:r>
              <w:rPr>
                <w:rFonts w:ascii="Arial" w:cs="Arial" w:eastAsia="Arial" w:hAnsi="Arial"/>
                <w:sz w:val="12"/>
                <w:szCs w:val="12"/>
                <w:i w:val="1"/>
                <w:iCs w:val="1"/>
                <w:color w:val="auto"/>
              </w:rPr>
              <w:t>(Dollars in thousands)</w:t>
            </w:r>
          </w:p>
        </w:tc>
        <w:tc>
          <w:tcPr>
            <w:tcW w:w="1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tcPr>
          <w:p>
            <w:pPr>
              <w:jc w:val="center"/>
              <w:ind w:right="332"/>
              <w:spacing w:after="0" w:line="137" w:lineRule="exact"/>
              <w:rPr>
                <w:sz w:val="20"/>
                <w:szCs w:val="20"/>
                <w:color w:val="auto"/>
              </w:rPr>
            </w:pPr>
            <w:r>
              <w:rPr>
                <w:rFonts w:ascii="Arial" w:cs="Arial" w:eastAsia="Arial" w:hAnsi="Arial"/>
                <w:sz w:val="12"/>
                <w:szCs w:val="12"/>
                <w:b w:val="1"/>
                <w:bCs w:val="1"/>
                <w:color w:val="auto"/>
                <w:w w:val="76"/>
              </w:rPr>
              <w:t>leases</w:t>
            </w:r>
          </w:p>
        </w:tc>
      </w:tr>
      <w:tr>
        <w:trPr>
          <w:trHeight w:val="173"/>
        </w:trPr>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2022</w:t>
            </w:r>
          </w:p>
        </w:tc>
        <w:tc>
          <w:tcPr>
            <w:tcW w:w="24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7,225</w:t>
            </w:r>
          </w:p>
        </w:tc>
      </w:tr>
      <w:tr>
        <w:trPr>
          <w:trHeight w:val="184"/>
        </w:trPr>
        <w:tc>
          <w:tcPr>
            <w:tcW w:w="7100" w:type="dxa"/>
            <w:vAlign w:val="bottom"/>
          </w:tcPr>
          <w:p>
            <w:pPr>
              <w:spacing w:after="0"/>
              <w:rPr>
                <w:sz w:val="20"/>
                <w:szCs w:val="20"/>
                <w:color w:val="auto"/>
              </w:rPr>
            </w:pPr>
            <w:r>
              <w:rPr>
                <w:rFonts w:ascii="Arial" w:cs="Arial" w:eastAsia="Arial" w:hAnsi="Arial"/>
                <w:sz w:val="14"/>
                <w:szCs w:val="14"/>
                <w:color w:val="auto"/>
              </w:rPr>
              <w:t>2023</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6,761</w:t>
            </w:r>
          </w:p>
        </w:tc>
      </w:tr>
      <w:tr>
        <w:trPr>
          <w:trHeight w:val="184"/>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2024</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6,007</w:t>
            </w:r>
          </w:p>
        </w:tc>
      </w:tr>
      <w:tr>
        <w:trPr>
          <w:trHeight w:val="184"/>
        </w:trPr>
        <w:tc>
          <w:tcPr>
            <w:tcW w:w="7100" w:type="dxa"/>
            <w:vAlign w:val="bottom"/>
          </w:tcPr>
          <w:p>
            <w:pPr>
              <w:spacing w:after="0"/>
              <w:rPr>
                <w:sz w:val="20"/>
                <w:szCs w:val="20"/>
                <w:color w:val="auto"/>
              </w:rPr>
            </w:pPr>
            <w:r>
              <w:rPr>
                <w:rFonts w:ascii="Arial" w:cs="Arial" w:eastAsia="Arial" w:hAnsi="Arial"/>
                <w:sz w:val="14"/>
                <w:szCs w:val="14"/>
                <w:color w:val="auto"/>
              </w:rPr>
              <w:t>2025</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4,991</w:t>
            </w:r>
          </w:p>
        </w:tc>
      </w:tr>
      <w:tr>
        <w:trPr>
          <w:trHeight w:val="184"/>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2026</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2,383</w:t>
            </w:r>
          </w:p>
        </w:tc>
      </w:tr>
      <w:tr>
        <w:trPr>
          <w:trHeight w:val="184"/>
        </w:trPr>
        <w:tc>
          <w:tcPr>
            <w:tcW w:w="73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Thereafter</w:t>
            </w:r>
          </w:p>
        </w:tc>
        <w:tc>
          <w:tcPr>
            <w:tcW w:w="13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2,642</w:t>
            </w:r>
          </w:p>
        </w:tc>
      </w:tr>
      <w:tr>
        <w:trPr>
          <w:trHeight w:val="155"/>
        </w:trPr>
        <w:tc>
          <w:tcPr>
            <w:tcW w:w="7340" w:type="dxa"/>
            <w:vAlign w:val="bottom"/>
            <w:tcBorders>
              <w:bottom w:val="single" w:sz="8" w:color="CCEEFF"/>
            </w:tcBorders>
            <w:gridSpan w:val="2"/>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48"/>
              <w:spacing w:after="0" w:line="153" w:lineRule="exact"/>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30,009</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20 – BUSINESS COMBINATIONS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State Cinema Hobart, Tasmania, Australia</w:t>
      </w:r>
    </w:p>
    <w:p>
      <w:pPr>
        <w:spacing w:after="0" w:line="143"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On December 3, 2019, we purchased the tenant’s interest and other operating assets of an established ten-screen cinema in Hobart, Tasmania, Australia, for $6.2m (AU$9.0m). We commenced trading from this new cinema site on December 5, 2019.</w:t>
      </w:r>
    </w:p>
    <w:p>
      <w:pPr>
        <w:spacing w:after="0" w:line="109"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The total purchase price was allocated to the identifiable assets acquired based on our estimates of their fair values on the acquisition date. The identified assets include fixtures and equipment, the State Cinema brand, inventory and immaterial working capital balances. There were immaterial liabilities assumed, including certain gift card obligations.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22"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color w:val="auto"/>
        </w:rPr>
        <w:t>Our final purchase price allocation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1"/>
              </w:rPr>
              <w:t>Preliminary Purchase Price</w:t>
            </w:r>
          </w:p>
        </w:tc>
        <w:tc>
          <w:tcPr>
            <w:tcW w:w="200" w:type="dxa"/>
            <w:vAlign w:val="bottom"/>
          </w:tcPr>
          <w:p>
            <w:pPr>
              <w:spacing w:after="0"/>
              <w:rPr>
                <w:sz w:val="13"/>
                <w:szCs w:val="13"/>
                <w:color w:val="auto"/>
              </w:rPr>
            </w:pPr>
          </w:p>
        </w:tc>
        <w:tc>
          <w:tcPr>
            <w:tcW w:w="1780" w:type="dxa"/>
            <w:vAlign w:val="bottom"/>
            <w:gridSpan w:val="2"/>
            <w:vMerge w:val="restart"/>
          </w:tcPr>
          <w:p>
            <w:pPr>
              <w:jc w:val="right"/>
              <w:ind w:right="480"/>
              <w:spacing w:after="0"/>
              <w:rPr>
                <w:sz w:val="20"/>
                <w:szCs w:val="20"/>
                <w:color w:val="auto"/>
              </w:rPr>
            </w:pPr>
            <w:r>
              <w:rPr>
                <w:rFonts w:ascii="Arial" w:cs="Arial" w:eastAsia="Arial" w:hAnsi="Arial"/>
                <w:sz w:val="13"/>
                <w:szCs w:val="13"/>
                <w:b w:val="1"/>
                <w:bCs w:val="1"/>
                <w:color w:val="auto"/>
              </w:rPr>
              <w:t>Measurement Period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right"/>
              <w:ind w:right="309"/>
              <w:spacing w:after="0"/>
              <w:rPr>
                <w:sz w:val="20"/>
                <w:szCs w:val="20"/>
                <w:color w:val="auto"/>
              </w:rPr>
            </w:pPr>
            <w:r>
              <w:rPr>
                <w:rFonts w:ascii="Arial" w:cs="Arial" w:eastAsia="Arial" w:hAnsi="Arial"/>
                <w:sz w:val="13"/>
                <w:szCs w:val="13"/>
                <w:b w:val="1"/>
                <w:bCs w:val="1"/>
                <w:color w:val="auto"/>
                <w:w w:val="98"/>
              </w:rPr>
              <w:t>Final Purchase Price</w:t>
            </w:r>
          </w:p>
        </w:tc>
        <w:tc>
          <w:tcPr>
            <w:tcW w:w="0" w:type="dxa"/>
            <w:vAlign w:val="bottom"/>
          </w:tcPr>
          <w:p>
            <w:pPr>
              <w:spacing w:after="0"/>
              <w:rPr>
                <w:sz w:val="1"/>
                <w:szCs w:val="1"/>
                <w:color w:val="auto"/>
              </w:rPr>
            </w:pPr>
          </w:p>
        </w:tc>
      </w:tr>
      <w:tr>
        <w:trPr>
          <w:trHeight w:val="33"/>
        </w:trPr>
        <w:tc>
          <w:tcPr>
            <w:tcW w:w="3440" w:type="dxa"/>
            <w:vAlign w:val="bottom"/>
            <w:gridSpan w:val="4"/>
            <w:vMerge w:val="restart"/>
          </w:tcPr>
          <w:p>
            <w:pPr>
              <w:spacing w:after="0"/>
              <w:rPr>
                <w:sz w:val="20"/>
                <w:szCs w:val="20"/>
                <w:color w:val="auto"/>
              </w:rPr>
            </w:pPr>
            <w:r>
              <w:rPr>
                <w:rFonts w:ascii="Arial" w:cs="Arial" w:eastAsia="Arial" w:hAnsi="Arial"/>
                <w:sz w:val="13"/>
                <w:szCs w:val="13"/>
                <w:color w:val="auto"/>
              </w:rPr>
              <w:t>(Dollars in thousands)</w:t>
            </w: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gridSpan w:val="2"/>
            <w:vMerge w:val="restart"/>
          </w:tcPr>
          <w:p>
            <w:pPr>
              <w:jc w:val="center"/>
              <w:ind w:right="340"/>
              <w:spacing w:after="0" w:line="185" w:lineRule="exact"/>
              <w:rPr>
                <w:sz w:val="20"/>
                <w:szCs w:val="20"/>
                <w:color w:val="auto"/>
              </w:rPr>
            </w:pPr>
            <w:r>
              <w:rPr>
                <w:rFonts w:ascii="Arial" w:cs="Arial" w:eastAsia="Arial" w:hAnsi="Arial"/>
                <w:sz w:val="13"/>
                <w:szCs w:val="13"/>
                <w:b w:val="1"/>
                <w:bCs w:val="1"/>
                <w:color w:val="auto"/>
                <w:w w:val="87"/>
              </w:rPr>
              <w:t>Allocation</w:t>
            </w:r>
            <w:r>
              <w:rPr>
                <w:rFonts w:ascii="Arial" w:cs="Arial" w:eastAsia="Arial" w:hAnsi="Arial"/>
                <w:sz w:val="21"/>
                <w:szCs w:val="21"/>
                <w:b w:val="1"/>
                <w:bCs w:val="1"/>
                <w:color w:val="auto"/>
                <w:w w:val="87"/>
                <w:vertAlign w:val="superscript"/>
              </w:rPr>
              <w:t>(1)</w:t>
            </w:r>
          </w:p>
        </w:tc>
        <w:tc>
          <w:tcPr>
            <w:tcW w:w="20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jc w:val="right"/>
              <w:ind w:right="509"/>
              <w:spacing w:after="0" w:line="185" w:lineRule="exact"/>
              <w:rPr>
                <w:sz w:val="20"/>
                <w:szCs w:val="20"/>
                <w:color w:val="auto"/>
              </w:rPr>
            </w:pPr>
            <w:r>
              <w:rPr>
                <w:rFonts w:ascii="Arial" w:cs="Arial" w:eastAsia="Arial" w:hAnsi="Arial"/>
                <w:sz w:val="13"/>
                <w:szCs w:val="13"/>
                <w:b w:val="1"/>
                <w:bCs w:val="1"/>
                <w:color w:val="auto"/>
              </w:rPr>
              <w:t>Allocation</w:t>
            </w:r>
            <w:r>
              <w:rPr>
                <w:rFonts w:ascii="Arial" w:cs="Arial" w:eastAsia="Arial" w:hAnsi="Arial"/>
                <w:sz w:val="21"/>
                <w:szCs w:val="21"/>
                <w:b w:val="1"/>
                <w:bCs w:val="1"/>
                <w:color w:val="auto"/>
                <w:vertAlign w:val="superscript"/>
              </w:rPr>
              <w:t>(1)</w:t>
            </w:r>
          </w:p>
        </w:tc>
        <w:tc>
          <w:tcPr>
            <w:tcW w:w="0" w:type="dxa"/>
            <w:vAlign w:val="bottom"/>
          </w:tcPr>
          <w:p>
            <w:pPr>
              <w:spacing w:after="0" w:line="20" w:lineRule="exact"/>
              <w:rPr>
                <w:sz w:val="1"/>
                <w:szCs w:val="1"/>
                <w:color w:val="auto"/>
              </w:rPr>
            </w:pPr>
          </w:p>
        </w:tc>
      </w:tr>
      <w:tr>
        <w:trPr>
          <w:trHeight w:val="153"/>
        </w:trPr>
        <w:tc>
          <w:tcPr>
            <w:tcW w:w="3440" w:type="dxa"/>
            <w:vAlign w:val="bottom"/>
            <w:tcBorders>
              <w:bottom w:val="single" w:sz="8" w:color="auto"/>
            </w:tcBorders>
            <w:gridSpan w:val="4"/>
            <w:vMerge w:val="continue"/>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2"/>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3"/>
                <w:szCs w:val="13"/>
                <w:b w:val="1"/>
                <w:bCs w:val="1"/>
                <w:color w:val="auto"/>
              </w:rPr>
              <w:t>Adjustments</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840" w:type="dxa"/>
            <w:vAlign w:val="bottom"/>
            <w:tcBorders>
              <w:bottom w:val="single" w:sz="8" w:color="auto"/>
            </w:tcBorders>
            <w:gridSpan w:val="2"/>
          </w:tcPr>
          <w:p>
            <w:pPr>
              <w:spacing w:after="0" w:line="141" w:lineRule="exact"/>
              <w:rPr>
                <w:sz w:val="20"/>
                <w:szCs w:val="20"/>
                <w:color w:val="auto"/>
              </w:rPr>
            </w:pPr>
            <w:r>
              <w:rPr>
                <w:rFonts w:ascii="Arial" w:cs="Arial" w:eastAsia="Arial" w:hAnsi="Arial"/>
                <w:sz w:val="13"/>
                <w:szCs w:val="13"/>
                <w:color w:val="auto"/>
                <w:w w:val="88"/>
              </w:rPr>
              <w:t>Tangible Assets</w:t>
            </w:r>
          </w:p>
        </w:tc>
        <w:tc>
          <w:tcPr>
            <w:tcW w:w="2600" w:type="dxa"/>
            <w:vAlign w:val="bottom"/>
            <w:gridSpan w:val="2"/>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gridSpan w:val="4"/>
          </w:tcPr>
          <w:p>
            <w:pPr>
              <w:ind w:left="80"/>
              <w:spacing w:after="0" w:line="143" w:lineRule="exact"/>
              <w:rPr>
                <w:sz w:val="20"/>
                <w:szCs w:val="20"/>
                <w:color w:val="auto"/>
              </w:rPr>
            </w:pPr>
            <w:r>
              <w:rPr>
                <w:rFonts w:ascii="Arial" w:cs="Arial" w:eastAsia="Arial" w:hAnsi="Arial"/>
                <w:sz w:val="13"/>
                <w:szCs w:val="13"/>
                <w:color w:val="auto"/>
              </w:rPr>
              <w:t>Operating property:</w:t>
            </w: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440" w:type="dxa"/>
            <w:vAlign w:val="bottom"/>
            <w:gridSpan w:val="4"/>
            <w:shd w:val="clear" w:color="auto" w:fill="CCEEFF"/>
          </w:tcPr>
          <w:p>
            <w:pPr>
              <w:ind w:left="360"/>
              <w:spacing w:after="0"/>
              <w:rPr>
                <w:sz w:val="20"/>
                <w:szCs w:val="20"/>
                <w:color w:val="auto"/>
              </w:rPr>
            </w:pPr>
            <w:r>
              <w:rPr>
                <w:rFonts w:ascii="Arial" w:cs="Arial" w:eastAsia="Arial" w:hAnsi="Arial"/>
                <w:sz w:val="13"/>
                <w:szCs w:val="13"/>
                <w:color w:val="auto"/>
              </w:rPr>
              <w:t>Fixtures and equipment</w:t>
            </w:r>
          </w:p>
        </w:tc>
        <w:tc>
          <w:tcPr>
            <w:tcW w:w="1920" w:type="dxa"/>
            <w:vAlign w:val="bottom"/>
            <w:gridSpan w:val="2"/>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481</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8"/>
              <w:spacing w:after="0" w:line="152" w:lineRule="exact"/>
              <w:rPr>
                <w:sz w:val="20"/>
                <w:szCs w:val="20"/>
                <w:color w:val="auto"/>
              </w:rPr>
            </w:pPr>
            <w:r>
              <w:rPr>
                <w:rFonts w:ascii="Arial" w:cs="Arial" w:eastAsia="Arial" w:hAnsi="Arial"/>
                <w:sz w:val="14"/>
                <w:szCs w:val="14"/>
                <w:color w:val="auto"/>
                <w:w w:val="76"/>
              </w:rPr>
              <w:t>$</w:t>
            </w:r>
          </w:p>
        </w:tc>
        <w:tc>
          <w:tcPr>
            <w:tcW w:w="1780" w:type="dxa"/>
            <w:vAlign w:val="bottom"/>
            <w:gridSpan w:val="2"/>
            <w:shd w:val="clear" w:color="auto" w:fill="CCEEFF"/>
          </w:tcPr>
          <w:p>
            <w:pPr>
              <w:jc w:val="right"/>
              <w:ind w:right="120"/>
              <w:spacing w:after="0" w:line="152" w:lineRule="exact"/>
              <w:rPr>
                <w:sz w:val="20"/>
                <w:szCs w:val="20"/>
                <w:color w:val="auto"/>
              </w:rPr>
            </w:pPr>
            <w:r>
              <w:rPr>
                <w:rFonts w:ascii="Arial" w:cs="Arial" w:eastAsia="Arial" w:hAnsi="Arial"/>
                <w:sz w:val="14"/>
                <w:szCs w:val="14"/>
                <w:color w:val="auto"/>
              </w:rPr>
              <w:t>(119)</w:t>
            </w:r>
          </w:p>
        </w:tc>
        <w:tc>
          <w:tcPr>
            <w:tcW w:w="320" w:type="dxa"/>
            <w:vAlign w:val="bottom"/>
            <w:gridSpan w:val="2"/>
            <w:shd w:val="clear" w:color="auto" w:fill="CCEEFF"/>
          </w:tcPr>
          <w:p>
            <w:pPr>
              <w:ind w:left="120"/>
              <w:spacing w:after="0" w:line="152" w:lineRule="exact"/>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152"/>
        </w:trPr>
        <w:tc>
          <w:tcPr>
            <w:tcW w:w="3440" w:type="dxa"/>
            <w:vAlign w:val="bottom"/>
            <w:gridSpan w:val="4"/>
          </w:tcPr>
          <w:p>
            <w:pPr>
              <w:ind w:left="360"/>
              <w:spacing w:after="0"/>
              <w:rPr>
                <w:sz w:val="20"/>
                <w:szCs w:val="20"/>
                <w:color w:val="auto"/>
              </w:rPr>
            </w:pPr>
            <w:r>
              <w:rPr>
                <w:rFonts w:ascii="Arial" w:cs="Arial" w:eastAsia="Arial" w:hAnsi="Arial"/>
                <w:sz w:val="13"/>
                <w:szCs w:val="13"/>
                <w:color w:val="auto"/>
              </w:rPr>
              <w:t>Deferred tax</w:t>
            </w: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jc w:val="right"/>
              <w:spacing w:after="0" w:line="152"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tcPr>
          <w:p>
            <w:pPr>
              <w:jc w:val="right"/>
              <w:ind w:right="160"/>
              <w:spacing w:after="0" w:line="15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right"/>
              <w:spacing w:after="0" w:line="152"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2"/>
        </w:trPr>
        <w:tc>
          <w:tcPr>
            <w:tcW w:w="3440" w:type="dxa"/>
            <w:vAlign w:val="bottom"/>
            <w:gridSpan w:val="4"/>
            <w:shd w:val="clear" w:color="auto" w:fill="CCEEFF"/>
          </w:tcPr>
          <w:p>
            <w:pPr>
              <w:ind w:left="80"/>
              <w:spacing w:after="0"/>
              <w:rPr>
                <w:sz w:val="20"/>
                <w:szCs w:val="20"/>
                <w:color w:val="auto"/>
              </w:rPr>
            </w:pPr>
            <w:r>
              <w:rPr>
                <w:rFonts w:ascii="Arial" w:cs="Arial" w:eastAsia="Arial" w:hAnsi="Arial"/>
                <w:sz w:val="13"/>
                <w:szCs w:val="13"/>
                <w:color w:val="auto"/>
              </w:rPr>
              <w:t>Current assets:</w:t>
            </w:r>
          </w:p>
        </w:tc>
        <w:tc>
          <w:tcPr>
            <w:tcW w:w="1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40" w:type="dxa"/>
            <w:vAlign w:val="bottom"/>
            <w:gridSpan w:val="4"/>
          </w:tcPr>
          <w:p>
            <w:pPr>
              <w:ind w:left="360"/>
              <w:spacing w:after="0"/>
              <w:rPr>
                <w:sz w:val="20"/>
                <w:szCs w:val="20"/>
                <w:color w:val="auto"/>
              </w:rPr>
            </w:pPr>
            <w:r>
              <w:rPr>
                <w:rFonts w:ascii="Arial" w:cs="Arial" w:eastAsia="Arial" w:hAnsi="Arial"/>
                <w:sz w:val="13"/>
                <w:szCs w:val="13"/>
                <w:color w:val="auto"/>
              </w:rPr>
              <w:t>Inventory</w:t>
            </w: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jc w:val="right"/>
              <w:spacing w:after="0" w:line="152" w:lineRule="exact"/>
              <w:rPr>
                <w:sz w:val="20"/>
                <w:szCs w:val="20"/>
                <w:color w:val="auto"/>
              </w:rPr>
            </w:pPr>
            <w:r>
              <w:rPr>
                <w:rFonts w:ascii="Arial" w:cs="Arial" w:eastAsia="Arial" w:hAnsi="Arial"/>
                <w:sz w:val="14"/>
                <w:szCs w:val="14"/>
                <w:color w:val="auto"/>
              </w:rPr>
              <w:t>333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tcPr>
          <w:p>
            <w:pPr>
              <w:jc w:val="right"/>
              <w:ind w:right="160"/>
              <w:spacing w:after="0" w:line="15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right"/>
              <w:spacing w:after="0" w:line="152" w:lineRule="exact"/>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52"/>
        </w:trPr>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440" w:type="dxa"/>
            <w:vAlign w:val="bottom"/>
            <w:gridSpan w:val="4"/>
          </w:tcPr>
          <w:p>
            <w:pPr>
              <w:spacing w:after="0" w:line="141" w:lineRule="exact"/>
              <w:rPr>
                <w:sz w:val="20"/>
                <w:szCs w:val="20"/>
                <w:color w:val="auto"/>
              </w:rPr>
            </w:pPr>
            <w:r>
              <w:rPr>
                <w:rFonts w:ascii="Arial" w:cs="Arial" w:eastAsia="Arial" w:hAnsi="Arial"/>
                <w:sz w:val="13"/>
                <w:szCs w:val="13"/>
                <w:color w:val="auto"/>
              </w:rPr>
              <w:t>Intangible Assets</w:t>
            </w: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00" w:type="dxa"/>
            <w:vAlign w:val="bottom"/>
            <w:tcBorders>
              <w:top w:val="single" w:sz="8" w:color="auto"/>
            </w:tcBorders>
            <w:gridSpan w:val="3"/>
            <w:shd w:val="clear" w:color="auto" w:fill="CCEEFF"/>
          </w:tcPr>
          <w:p>
            <w:pPr>
              <w:ind w:left="80"/>
              <w:spacing w:after="0" w:line="143" w:lineRule="exact"/>
              <w:rPr>
                <w:sz w:val="20"/>
                <w:szCs w:val="20"/>
                <w:color w:val="auto"/>
              </w:rPr>
            </w:pPr>
            <w:r>
              <w:rPr>
                <w:rFonts w:ascii="Arial" w:cs="Arial" w:eastAsia="Arial" w:hAnsi="Arial"/>
                <w:sz w:val="13"/>
                <w:szCs w:val="13"/>
                <w:color w:val="auto"/>
              </w:rPr>
              <w:t>Brand name</w:t>
            </w:r>
          </w:p>
        </w:tc>
        <w:tc>
          <w:tcPr>
            <w:tcW w:w="254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52"/>
        </w:trPr>
        <w:tc>
          <w:tcPr>
            <w:tcW w:w="3440" w:type="dxa"/>
            <w:vAlign w:val="bottom"/>
            <w:gridSpan w:val="4"/>
          </w:tcPr>
          <w:p>
            <w:pPr>
              <w:ind w:left="80"/>
              <w:spacing w:after="0"/>
              <w:rPr>
                <w:sz w:val="20"/>
                <w:szCs w:val="20"/>
                <w:color w:val="auto"/>
              </w:rPr>
            </w:pPr>
            <w:r>
              <w:rPr>
                <w:rFonts w:ascii="Arial" w:cs="Arial" w:eastAsia="Arial" w:hAnsi="Arial"/>
                <w:sz w:val="13"/>
                <w:szCs w:val="13"/>
                <w:color w:val="auto"/>
              </w:rPr>
              <w:t>Liquor license</w:t>
            </w: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right"/>
              <w:spacing w:after="0" w:line="152"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right"/>
              <w:spacing w:after="0" w:line="152"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2"/>
        </w:trPr>
        <w:tc>
          <w:tcPr>
            <w:tcW w:w="3440" w:type="dxa"/>
            <w:vAlign w:val="bottom"/>
            <w:gridSpan w:val="4"/>
            <w:shd w:val="clear" w:color="auto" w:fill="CCEEFF"/>
          </w:tcPr>
          <w:p>
            <w:pPr>
              <w:ind w:left="80"/>
              <w:spacing w:after="0"/>
              <w:rPr>
                <w:sz w:val="20"/>
                <w:szCs w:val="20"/>
                <w:color w:val="auto"/>
              </w:rPr>
            </w:pPr>
            <w:r>
              <w:rPr>
                <w:rFonts w:ascii="Arial" w:cs="Arial" w:eastAsia="Arial" w:hAnsi="Arial"/>
                <w:sz w:val="13"/>
                <w:szCs w:val="13"/>
                <w:color w:val="auto"/>
              </w:rPr>
              <w:t>Goodwill</w:t>
            </w:r>
          </w:p>
        </w:tc>
        <w:tc>
          <w:tcPr>
            <w:tcW w:w="1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5,617</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120"/>
              <w:spacing w:after="0" w:line="152" w:lineRule="exact"/>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5,485</w:t>
            </w:r>
          </w:p>
        </w:tc>
        <w:tc>
          <w:tcPr>
            <w:tcW w:w="0" w:type="dxa"/>
            <w:vAlign w:val="bottom"/>
          </w:tcPr>
          <w:p>
            <w:pPr>
              <w:spacing w:after="0"/>
              <w:rPr>
                <w:sz w:val="1"/>
                <w:szCs w:val="1"/>
                <w:color w:val="auto"/>
              </w:rPr>
            </w:pPr>
          </w:p>
        </w:tc>
      </w:tr>
      <w:tr>
        <w:trPr>
          <w:trHeight w:val="143"/>
        </w:trPr>
        <w:tc>
          <w:tcPr>
            <w:tcW w:w="3440" w:type="dxa"/>
            <w:vAlign w:val="bottom"/>
            <w:gridSpan w:val="4"/>
          </w:tcPr>
          <w:p>
            <w:pPr>
              <w:ind w:left="360"/>
              <w:spacing w:after="0" w:line="143" w:lineRule="exact"/>
              <w:rPr>
                <w:sz w:val="20"/>
                <w:szCs w:val="20"/>
                <w:color w:val="auto"/>
              </w:rPr>
            </w:pPr>
            <w:r>
              <w:rPr>
                <w:rFonts w:ascii="Arial" w:cs="Arial" w:eastAsia="Arial" w:hAnsi="Arial"/>
                <w:sz w:val="13"/>
                <w:szCs w:val="13"/>
                <w:i w:val="1"/>
                <w:iCs w:val="1"/>
                <w:color w:val="auto"/>
              </w:rPr>
              <w:t>Total assets acquired</w:t>
            </w:r>
          </w:p>
        </w:tc>
        <w:tc>
          <w:tcPr>
            <w:tcW w:w="18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6,436</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6,436</w:t>
            </w:r>
          </w:p>
        </w:tc>
        <w:tc>
          <w:tcPr>
            <w:tcW w:w="0" w:type="dxa"/>
            <w:vAlign w:val="bottom"/>
          </w:tcPr>
          <w:p>
            <w:pPr>
              <w:spacing w:after="0"/>
              <w:rPr>
                <w:sz w:val="1"/>
                <w:szCs w:val="1"/>
                <w:color w:val="auto"/>
              </w:rPr>
            </w:pPr>
          </w:p>
        </w:tc>
      </w:tr>
      <w:tr>
        <w:trPr>
          <w:trHeight w:val="152"/>
        </w:trPr>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540" w:type="dxa"/>
            <w:vAlign w:val="bottom"/>
            <w:tcBorders>
              <w:bottom w:val="single" w:sz="8" w:color="auto"/>
            </w:tcBorders>
          </w:tcPr>
          <w:p>
            <w:pPr>
              <w:spacing w:after="0" w:line="141" w:lineRule="exact"/>
              <w:rPr>
                <w:sz w:val="20"/>
                <w:szCs w:val="20"/>
                <w:color w:val="auto"/>
              </w:rPr>
            </w:pPr>
            <w:r>
              <w:rPr>
                <w:rFonts w:ascii="Arial" w:cs="Arial" w:eastAsia="Arial" w:hAnsi="Arial"/>
                <w:sz w:val="13"/>
                <w:szCs w:val="13"/>
                <w:color w:val="auto"/>
                <w:w w:val="97"/>
              </w:rPr>
              <w:t>Liabilities</w:t>
            </w:r>
          </w:p>
        </w:tc>
        <w:tc>
          <w:tcPr>
            <w:tcW w:w="2900" w:type="dxa"/>
            <w:vAlign w:val="bottom"/>
            <w:gridSpan w:val="3"/>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gridSpan w:val="4"/>
            <w:shd w:val="clear" w:color="auto" w:fill="CCEEFF"/>
          </w:tcPr>
          <w:p>
            <w:pPr>
              <w:ind w:left="80"/>
              <w:spacing w:after="0" w:line="143" w:lineRule="exact"/>
              <w:rPr>
                <w:sz w:val="20"/>
                <w:szCs w:val="20"/>
                <w:color w:val="auto"/>
              </w:rPr>
            </w:pPr>
            <w:r>
              <w:rPr>
                <w:rFonts w:ascii="Arial" w:cs="Arial" w:eastAsia="Arial" w:hAnsi="Arial"/>
                <w:sz w:val="13"/>
                <w:szCs w:val="13"/>
                <w:color w:val="auto"/>
              </w:rPr>
              <w:t>Employee liabilities</w:t>
            </w:r>
          </w:p>
        </w:tc>
        <w:tc>
          <w:tcPr>
            <w:tcW w:w="1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2"/>
        </w:trPr>
        <w:tc>
          <w:tcPr>
            <w:tcW w:w="3440" w:type="dxa"/>
            <w:vAlign w:val="bottom"/>
            <w:gridSpan w:val="4"/>
          </w:tcPr>
          <w:p>
            <w:pPr>
              <w:ind w:left="80"/>
              <w:spacing w:after="0"/>
              <w:rPr>
                <w:sz w:val="20"/>
                <w:szCs w:val="20"/>
                <w:color w:val="auto"/>
              </w:rPr>
            </w:pPr>
            <w:r>
              <w:rPr>
                <w:rFonts w:ascii="Arial" w:cs="Arial" w:eastAsia="Arial" w:hAnsi="Arial"/>
                <w:sz w:val="13"/>
                <w:szCs w:val="13"/>
                <w:color w:val="auto"/>
              </w:rPr>
              <w:t>Deferred revenue balances</w:t>
            </w: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jc w:val="right"/>
              <w:spacing w:after="0" w:line="152" w:lineRule="exact"/>
              <w:rPr>
                <w:sz w:val="20"/>
                <w:szCs w:val="20"/>
                <w:color w:val="auto"/>
              </w:rPr>
            </w:pPr>
            <w:r>
              <w:rPr>
                <w:rFonts w:ascii="Arial" w:cs="Arial" w:eastAsia="Arial" w:hAnsi="Arial"/>
                <w:sz w:val="14"/>
                <w:szCs w:val="14"/>
                <w:color w:val="auto"/>
              </w:rPr>
              <w:t>(236)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tcPr>
          <w:p>
            <w:pPr>
              <w:jc w:val="right"/>
              <w:ind w:right="160"/>
              <w:spacing w:after="0" w:line="15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right"/>
              <w:spacing w:after="0" w:line="152" w:lineRule="exact"/>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43"/>
        </w:trPr>
        <w:tc>
          <w:tcPr>
            <w:tcW w:w="3440" w:type="dxa"/>
            <w:vAlign w:val="bottom"/>
            <w:tcBorders>
              <w:top w:val="single" w:sz="8" w:color="CCEEFF"/>
            </w:tcBorders>
            <w:gridSpan w:val="4"/>
            <w:shd w:val="clear" w:color="auto" w:fill="CCEEFF"/>
          </w:tcPr>
          <w:p>
            <w:pPr>
              <w:ind w:left="360"/>
              <w:spacing w:after="0" w:line="143" w:lineRule="exact"/>
              <w:rPr>
                <w:sz w:val="20"/>
                <w:szCs w:val="20"/>
                <w:color w:val="auto"/>
              </w:rPr>
            </w:pPr>
            <w:r>
              <w:rPr>
                <w:rFonts w:ascii="Arial" w:cs="Arial" w:eastAsia="Arial" w:hAnsi="Arial"/>
                <w:sz w:val="13"/>
                <w:szCs w:val="13"/>
                <w:i w:val="1"/>
                <w:iCs w:val="1"/>
                <w:color w:val="auto"/>
              </w:rPr>
              <w:t>Total liabilities acquired</w:t>
            </w:r>
          </w:p>
        </w:tc>
        <w:tc>
          <w:tcPr>
            <w:tcW w:w="18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(256)</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52"/>
        </w:trPr>
        <w:tc>
          <w:tcPr>
            <w:tcW w:w="5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540" w:type="dxa"/>
            <w:vAlign w:val="bottom"/>
            <w:tcBorders>
              <w:bottom w:val="single" w:sz="8" w:color="CCEEFF"/>
            </w:tcBorders>
          </w:tcPr>
          <w:p>
            <w:pPr>
              <w:spacing w:after="0"/>
              <w:rPr>
                <w:sz w:val="13"/>
                <w:szCs w:val="13"/>
                <w:color w:val="auto"/>
              </w:rPr>
            </w:pPr>
          </w:p>
        </w:tc>
        <w:tc>
          <w:tcPr>
            <w:tcW w:w="18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440" w:type="dxa"/>
            <w:vAlign w:val="bottom"/>
            <w:gridSpan w:val="4"/>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Net assets acquired</w:t>
            </w:r>
          </w:p>
        </w:tc>
        <w:tc>
          <w:tcPr>
            <w:tcW w:w="18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7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6,180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2"/>
                <w:szCs w:val="12"/>
                <w:b w:val="1"/>
                <w:bCs w:val="1"/>
                <w:color w:val="auto"/>
              </w:rPr>
              <w:t>$</w:t>
            </w:r>
          </w:p>
        </w:tc>
        <w:tc>
          <w:tcPr>
            <w:tcW w:w="1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6,180</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520" w:hanging="253"/>
        <w:spacing w:after="0"/>
        <w:tabs>
          <w:tab w:leader="none" w:pos="5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balances were translated into U.S. Dollars based on the applicable exchange rate as of the date of acquisition, December 3, 2019.</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323" w:lineRule="exact"/>
        <w:rPr>
          <w:rFonts w:ascii="Arial" w:cs="Arial" w:eastAsia="Arial" w:hAnsi="Arial"/>
          <w:sz w:val="12"/>
          <w:szCs w:val="12"/>
          <w:color w:val="auto"/>
        </w:rPr>
      </w:pPr>
    </w:p>
    <w:p>
      <w:pPr>
        <w:ind w:left="5540" w:hanging="89"/>
        <w:spacing w:after="0"/>
        <w:tabs>
          <w:tab w:leader="none" w:pos="5540" w:val="left"/>
        </w:tabs>
        <w:numPr>
          <w:ilvl w:val="1"/>
          <w:numId w:val="26"/>
        </w:numPr>
        <w:rPr>
          <w:rFonts w:ascii="Arial" w:cs="Arial" w:eastAsia="Arial" w:hAnsi="Arial"/>
          <w:sz w:val="14"/>
          <w:szCs w:val="14"/>
          <w:color w:val="auto"/>
        </w:rPr>
      </w:pPr>
      <w:r>
        <w:rPr>
          <w:rFonts w:ascii="Arial" w:cs="Arial" w:eastAsia="Arial" w:hAnsi="Arial"/>
          <w:sz w:val="14"/>
          <w:szCs w:val="14"/>
          <w:color w:val="auto"/>
        </w:rPr>
        <w:t>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22"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b w:val="1"/>
          <w:bCs w:val="1"/>
          <w:u w:val="single" w:color="auto"/>
          <w:color w:val="auto"/>
        </w:rPr>
        <w:t>NOTE 21 – RELATED PARTIES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following table identifies our related parties as of December 31, 2021, in accordance with </w:t>
      </w:r>
      <w:r>
        <w:rPr>
          <w:rFonts w:ascii="Arial" w:cs="Arial" w:eastAsia="Arial" w:hAnsi="Arial"/>
          <w:sz w:val="14"/>
          <w:szCs w:val="14"/>
          <w:i w:val="1"/>
          <w:iCs w:val="1"/>
          <w:color w:val="auto"/>
        </w:rPr>
        <w:t>ASC 850, Related Party Transactions</w:t>
      </w:r>
      <w:r>
        <w:rPr>
          <w:rFonts w:ascii="Arial" w:cs="Arial" w:eastAsia="Arial" w:hAnsi="Arial"/>
          <w:sz w:val="14"/>
          <w:szCs w:val="14"/>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3240" w:type="dxa"/>
            <w:vAlign w:val="bottom"/>
            <w:tcBorders>
              <w:top w:val="single" w:sz="8" w:color="auto"/>
              <w:bottom w:val="single" w:sz="8" w:color="auto"/>
            </w:tcBorders>
          </w:tcPr>
          <w:p>
            <w:pPr>
              <w:ind w:left="1340"/>
              <w:spacing w:after="0"/>
              <w:rPr>
                <w:sz w:val="20"/>
                <w:szCs w:val="20"/>
                <w:color w:val="auto"/>
              </w:rPr>
            </w:pPr>
            <w:r>
              <w:rPr>
                <w:rFonts w:ascii="Arial" w:cs="Arial" w:eastAsia="Arial" w:hAnsi="Arial"/>
                <w:sz w:val="12"/>
                <w:szCs w:val="12"/>
                <w:b w:val="1"/>
                <w:bCs w:val="1"/>
                <w:color w:val="auto"/>
              </w:rPr>
              <w:t>Categories</w:t>
            </w:r>
          </w:p>
        </w:tc>
        <w:tc>
          <w:tcPr>
            <w:tcW w:w="260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2"/>
                <w:szCs w:val="12"/>
                <w:b w:val="1"/>
                <w:bCs w:val="1"/>
                <w:color w:val="auto"/>
              </w:rPr>
              <w:t>Related Parties</w:t>
            </w:r>
          </w:p>
        </w:tc>
        <w:tc>
          <w:tcPr>
            <w:tcW w:w="6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422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2"/>
                <w:szCs w:val="12"/>
                <w:b w:val="1"/>
                <w:bCs w:val="1"/>
                <w:color w:val="auto"/>
              </w:rPr>
              <w:t>Discussion Notes</w:t>
            </w:r>
          </w:p>
        </w:tc>
      </w:tr>
      <w:tr>
        <w:trPr>
          <w:trHeight w:val="103"/>
        </w:trPr>
        <w:tc>
          <w:tcPr>
            <w:tcW w:w="3240" w:type="dxa"/>
            <w:vAlign w:val="bottom"/>
            <w:shd w:val="clear" w:color="auto" w:fill="CCEEFF"/>
          </w:tcPr>
          <w:p>
            <w:pPr>
              <w:ind w:left="160"/>
              <w:spacing w:after="0" w:line="104" w:lineRule="exact"/>
              <w:rPr>
                <w:sz w:val="20"/>
                <w:szCs w:val="20"/>
                <w:color w:val="auto"/>
              </w:rPr>
            </w:pPr>
            <w:r>
              <w:rPr>
                <w:rFonts w:ascii="Arial" w:cs="Arial" w:eastAsia="Arial" w:hAnsi="Arial"/>
                <w:sz w:val="11"/>
                <w:szCs w:val="11"/>
                <w:color w:val="auto"/>
              </w:rPr>
              <w:t>Principal Owners and immediate families</w:t>
            </w:r>
          </w:p>
        </w:tc>
        <w:tc>
          <w:tcPr>
            <w:tcW w:w="2600" w:type="dxa"/>
            <w:vAlign w:val="bottom"/>
            <w:shd w:val="clear" w:color="auto" w:fill="CCEEFF"/>
          </w:tcPr>
          <w:p>
            <w:pPr>
              <w:ind w:left="120"/>
              <w:spacing w:after="0" w:line="104" w:lineRule="exact"/>
              <w:rPr>
                <w:sz w:val="20"/>
                <w:szCs w:val="20"/>
                <w:color w:val="auto"/>
              </w:rPr>
            </w:pPr>
            <w:r>
              <w:rPr>
                <w:rFonts w:ascii="Arial" w:cs="Arial" w:eastAsia="Arial" w:hAnsi="Arial"/>
                <w:sz w:val="11"/>
                <w:szCs w:val="11"/>
                <w:color w:val="auto"/>
              </w:rPr>
              <w:t>Cotter Family’s Estate and Living Trust</w:t>
            </w:r>
          </w:p>
        </w:tc>
        <w:tc>
          <w:tcPr>
            <w:tcW w:w="5440" w:type="dxa"/>
            <w:vAlign w:val="bottom"/>
            <w:gridSpan w:val="3"/>
            <w:shd w:val="clear" w:color="auto" w:fill="CCEEFF"/>
          </w:tcPr>
          <w:p>
            <w:pPr>
              <w:ind w:left="200"/>
              <w:spacing w:after="0" w:line="104" w:lineRule="exact"/>
              <w:rPr>
                <w:sz w:val="20"/>
                <w:szCs w:val="20"/>
                <w:color w:val="auto"/>
              </w:rPr>
            </w:pPr>
            <w:r>
              <w:rPr>
                <w:rFonts w:ascii="Arial" w:cs="Arial" w:eastAsia="Arial" w:hAnsi="Arial"/>
                <w:sz w:val="11"/>
                <w:szCs w:val="11"/>
                <w:color w:val="auto"/>
              </w:rPr>
              <w:t xml:space="preserve">The Cotter Family is involved in certain litigation matters. Refer to </w:t>
            </w:r>
            <w:r>
              <w:rPr>
                <w:rFonts w:ascii="Arial" w:cs="Arial" w:eastAsia="Arial" w:hAnsi="Arial"/>
                <w:sz w:val="11"/>
                <w:szCs w:val="11"/>
                <w:i w:val="1"/>
                <w:iCs w:val="1"/>
                <w:color w:val="auto"/>
              </w:rPr>
              <w:t>Note 13 – Commitments and</w:t>
            </w:r>
          </w:p>
        </w:tc>
      </w:tr>
      <w:tr>
        <w:trPr>
          <w:trHeight w:val="130"/>
        </w:trPr>
        <w:tc>
          <w:tcPr>
            <w:tcW w:w="3240" w:type="dxa"/>
            <w:vAlign w:val="bottom"/>
            <w:shd w:val="clear" w:color="auto" w:fill="CCEEFF"/>
          </w:tcPr>
          <w:p>
            <w:pPr>
              <w:spacing w:after="0"/>
              <w:rPr>
                <w:sz w:val="11"/>
                <w:szCs w:val="11"/>
                <w:color w:val="auto"/>
              </w:rPr>
            </w:pPr>
          </w:p>
        </w:tc>
        <w:tc>
          <w:tcPr>
            <w:tcW w:w="2600" w:type="dxa"/>
            <w:vAlign w:val="bottom"/>
            <w:shd w:val="clear" w:color="auto" w:fill="CCEEFF"/>
          </w:tcPr>
          <w:p>
            <w:pPr>
              <w:ind w:left="120"/>
              <w:spacing w:after="0" w:line="130" w:lineRule="exact"/>
              <w:rPr>
                <w:sz w:val="20"/>
                <w:szCs w:val="20"/>
                <w:color w:val="auto"/>
              </w:rPr>
            </w:pPr>
            <w:r>
              <w:rPr>
                <w:rFonts w:ascii="Arial" w:cs="Arial" w:eastAsia="Arial" w:hAnsi="Arial"/>
                <w:sz w:val="13"/>
                <w:szCs w:val="13"/>
                <w:color w:val="auto"/>
              </w:rPr>
              <w:t>(controlling family)</w:t>
            </w:r>
          </w:p>
        </w:tc>
        <w:tc>
          <w:tcPr>
            <w:tcW w:w="54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3"/>
                <w:szCs w:val="13"/>
                <w:i w:val="1"/>
                <w:iCs w:val="1"/>
                <w:color w:val="auto"/>
              </w:rPr>
              <w:t xml:space="preserve">Contingencies </w:t>
            </w:r>
            <w:r>
              <w:rPr>
                <w:rFonts w:ascii="Arial" w:cs="Arial" w:eastAsia="Arial" w:hAnsi="Arial"/>
                <w:sz w:val="13"/>
                <w:szCs w:val="13"/>
                <w:color w:val="auto"/>
              </w:rPr>
              <w:t>for further details.</w:t>
            </w:r>
          </w:p>
        </w:tc>
      </w:tr>
      <w:tr>
        <w:trPr>
          <w:trHeight w:val="148"/>
        </w:trPr>
        <w:tc>
          <w:tcPr>
            <w:tcW w:w="3240" w:type="dxa"/>
            <w:vAlign w:val="bottom"/>
            <w:shd w:val="clear" w:color="auto" w:fill="CCEEFF"/>
          </w:tcPr>
          <w:p>
            <w:pPr>
              <w:spacing w:after="0"/>
              <w:rPr>
                <w:sz w:val="12"/>
                <w:szCs w:val="12"/>
                <w:color w:val="auto"/>
              </w:rPr>
            </w:pPr>
          </w:p>
        </w:tc>
        <w:tc>
          <w:tcPr>
            <w:tcW w:w="2600" w:type="dxa"/>
            <w:vAlign w:val="bottom"/>
            <w:shd w:val="clear" w:color="auto" w:fill="CCEEFF"/>
          </w:tcPr>
          <w:p>
            <w:pPr>
              <w:ind w:left="120"/>
              <w:spacing w:after="0" w:line="148" w:lineRule="exact"/>
              <w:rPr>
                <w:sz w:val="20"/>
                <w:szCs w:val="20"/>
                <w:color w:val="auto"/>
              </w:rPr>
            </w:pPr>
            <w:r>
              <w:rPr>
                <w:rFonts w:ascii="Arial" w:cs="Arial" w:eastAsia="Arial" w:hAnsi="Arial"/>
                <w:sz w:val="13"/>
                <w:szCs w:val="13"/>
                <w:color w:val="auto"/>
                <w:w w:val="98"/>
              </w:rPr>
              <w:t>Mark Cuban (above 10% voting ownership)</w:t>
            </w:r>
          </w:p>
        </w:tc>
        <w:tc>
          <w:tcPr>
            <w:tcW w:w="6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20" w:type="dxa"/>
            <w:vAlign w:val="bottom"/>
            <w:shd w:val="clear" w:color="auto" w:fill="CCEEFF"/>
          </w:tcPr>
          <w:p>
            <w:pPr>
              <w:spacing w:after="0"/>
              <w:rPr>
                <w:sz w:val="12"/>
                <w:szCs w:val="12"/>
                <w:color w:val="auto"/>
              </w:rPr>
            </w:pPr>
          </w:p>
        </w:tc>
      </w:tr>
      <w:tr>
        <w:trPr>
          <w:trHeight w:val="113"/>
        </w:trPr>
        <w:tc>
          <w:tcPr>
            <w:tcW w:w="3240" w:type="dxa"/>
            <w:vAlign w:val="bottom"/>
          </w:tcPr>
          <w:p>
            <w:pPr>
              <w:ind w:left="160"/>
              <w:spacing w:after="0" w:line="113" w:lineRule="exact"/>
              <w:rPr>
                <w:sz w:val="20"/>
                <w:szCs w:val="20"/>
                <w:color w:val="auto"/>
              </w:rPr>
            </w:pPr>
            <w:r>
              <w:rPr>
                <w:rFonts w:ascii="Arial" w:cs="Arial" w:eastAsia="Arial" w:hAnsi="Arial"/>
                <w:sz w:val="13"/>
                <w:szCs w:val="13"/>
                <w:color w:val="auto"/>
              </w:rPr>
              <w:t>Key Executive Officers and immediate families</w:t>
            </w:r>
          </w:p>
        </w:tc>
        <w:tc>
          <w:tcPr>
            <w:tcW w:w="2600" w:type="dxa"/>
            <w:vAlign w:val="bottom"/>
          </w:tcPr>
          <w:p>
            <w:pPr>
              <w:ind w:left="120"/>
              <w:spacing w:after="0" w:line="113" w:lineRule="exact"/>
              <w:rPr>
                <w:sz w:val="20"/>
                <w:szCs w:val="20"/>
                <w:color w:val="auto"/>
              </w:rPr>
            </w:pPr>
            <w:r>
              <w:rPr>
                <w:rFonts w:ascii="Arial" w:cs="Arial" w:eastAsia="Arial" w:hAnsi="Arial"/>
                <w:sz w:val="13"/>
                <w:szCs w:val="13"/>
                <w:color w:val="auto"/>
              </w:rPr>
              <w:t>Ellen M. Cotter</w:t>
            </w:r>
          </w:p>
        </w:tc>
        <w:tc>
          <w:tcPr>
            <w:tcW w:w="5440" w:type="dxa"/>
            <w:vAlign w:val="bottom"/>
            <w:gridSpan w:val="3"/>
          </w:tcPr>
          <w:p>
            <w:pPr>
              <w:ind w:left="460"/>
              <w:spacing w:after="0" w:line="113" w:lineRule="exact"/>
              <w:rPr>
                <w:sz w:val="20"/>
                <w:szCs w:val="20"/>
                <w:color w:val="auto"/>
              </w:rPr>
            </w:pPr>
            <w:r>
              <w:rPr>
                <w:rFonts w:ascii="Arial" w:cs="Arial" w:eastAsia="Arial" w:hAnsi="Arial"/>
                <w:sz w:val="13"/>
                <w:szCs w:val="13"/>
                <w:color w:val="auto"/>
              </w:rPr>
              <w:t>President and Chief Executive Officer</w:t>
            </w:r>
          </w:p>
        </w:tc>
      </w:tr>
      <w:tr>
        <w:trPr>
          <w:trHeight w:val="130"/>
        </w:trPr>
        <w:tc>
          <w:tcPr>
            <w:tcW w:w="3240" w:type="dxa"/>
            <w:vAlign w:val="bottom"/>
          </w:tcPr>
          <w:p>
            <w:pPr>
              <w:spacing w:after="0"/>
              <w:rPr>
                <w:sz w:val="11"/>
                <w:szCs w:val="11"/>
                <w:color w:val="auto"/>
              </w:rPr>
            </w:pPr>
          </w:p>
        </w:tc>
        <w:tc>
          <w:tcPr>
            <w:tcW w:w="2600" w:type="dxa"/>
            <w:vAlign w:val="bottom"/>
          </w:tcPr>
          <w:p>
            <w:pPr>
              <w:ind w:left="120"/>
              <w:spacing w:after="0" w:line="130" w:lineRule="exact"/>
              <w:rPr>
                <w:sz w:val="20"/>
                <w:szCs w:val="20"/>
                <w:color w:val="auto"/>
              </w:rPr>
            </w:pPr>
            <w:r>
              <w:rPr>
                <w:rFonts w:ascii="Arial" w:cs="Arial" w:eastAsia="Arial" w:hAnsi="Arial"/>
                <w:sz w:val="13"/>
                <w:szCs w:val="13"/>
                <w:color w:val="auto"/>
              </w:rPr>
              <w:t>Margaret Cotter</w:t>
            </w:r>
          </w:p>
        </w:tc>
        <w:tc>
          <w:tcPr>
            <w:tcW w:w="5440" w:type="dxa"/>
            <w:vAlign w:val="bottom"/>
            <w:gridSpan w:val="3"/>
          </w:tcPr>
          <w:p>
            <w:pPr>
              <w:ind w:left="460"/>
              <w:spacing w:after="0" w:line="130" w:lineRule="exact"/>
              <w:rPr>
                <w:sz w:val="20"/>
                <w:szCs w:val="20"/>
                <w:color w:val="auto"/>
              </w:rPr>
            </w:pPr>
            <w:r>
              <w:rPr>
                <w:rFonts w:ascii="Arial" w:cs="Arial" w:eastAsia="Arial" w:hAnsi="Arial"/>
                <w:sz w:val="13"/>
                <w:szCs w:val="13"/>
                <w:color w:val="auto"/>
              </w:rPr>
              <w:t>EVP Real Estate Development and Management (NY)</w:t>
            </w:r>
          </w:p>
        </w:tc>
      </w:tr>
      <w:tr>
        <w:trPr>
          <w:trHeight w:val="130"/>
        </w:trPr>
        <w:tc>
          <w:tcPr>
            <w:tcW w:w="3240" w:type="dxa"/>
            <w:vAlign w:val="bottom"/>
          </w:tcPr>
          <w:p>
            <w:pPr>
              <w:spacing w:after="0"/>
              <w:rPr>
                <w:sz w:val="11"/>
                <w:szCs w:val="11"/>
                <w:color w:val="auto"/>
              </w:rPr>
            </w:pPr>
          </w:p>
        </w:tc>
        <w:tc>
          <w:tcPr>
            <w:tcW w:w="2600" w:type="dxa"/>
            <w:vAlign w:val="bottom"/>
          </w:tcPr>
          <w:p>
            <w:pPr>
              <w:ind w:left="120"/>
              <w:spacing w:after="0" w:line="130" w:lineRule="exact"/>
              <w:rPr>
                <w:sz w:val="20"/>
                <w:szCs w:val="20"/>
                <w:color w:val="auto"/>
              </w:rPr>
            </w:pPr>
            <w:r>
              <w:rPr>
                <w:rFonts w:ascii="Arial" w:cs="Arial" w:eastAsia="Arial" w:hAnsi="Arial"/>
                <w:sz w:val="13"/>
                <w:szCs w:val="13"/>
                <w:color w:val="auto"/>
              </w:rPr>
              <w:t>Gilbert Avanes</w:t>
            </w:r>
          </w:p>
        </w:tc>
        <w:tc>
          <w:tcPr>
            <w:tcW w:w="5440" w:type="dxa"/>
            <w:vAlign w:val="bottom"/>
            <w:gridSpan w:val="3"/>
          </w:tcPr>
          <w:p>
            <w:pPr>
              <w:ind w:left="460"/>
              <w:spacing w:after="0" w:line="130" w:lineRule="exact"/>
              <w:rPr>
                <w:sz w:val="20"/>
                <w:szCs w:val="20"/>
                <w:color w:val="auto"/>
              </w:rPr>
            </w:pPr>
            <w:r>
              <w:rPr>
                <w:rFonts w:ascii="Arial" w:cs="Arial" w:eastAsia="Arial" w:hAnsi="Arial"/>
                <w:sz w:val="13"/>
                <w:szCs w:val="13"/>
                <w:color w:val="auto"/>
              </w:rPr>
              <w:t>EVP Chief Financial Officer and Treasurer</w:t>
            </w:r>
          </w:p>
        </w:tc>
      </w:tr>
      <w:tr>
        <w:trPr>
          <w:trHeight w:val="130"/>
        </w:trPr>
        <w:tc>
          <w:tcPr>
            <w:tcW w:w="3240" w:type="dxa"/>
            <w:vAlign w:val="bottom"/>
          </w:tcPr>
          <w:p>
            <w:pPr>
              <w:spacing w:after="0"/>
              <w:rPr>
                <w:sz w:val="11"/>
                <w:szCs w:val="11"/>
                <w:color w:val="auto"/>
              </w:rPr>
            </w:pPr>
          </w:p>
        </w:tc>
        <w:tc>
          <w:tcPr>
            <w:tcW w:w="2600" w:type="dxa"/>
            <w:vAlign w:val="bottom"/>
          </w:tcPr>
          <w:p>
            <w:pPr>
              <w:ind w:left="100"/>
              <w:spacing w:after="0" w:line="130" w:lineRule="exact"/>
              <w:rPr>
                <w:sz w:val="20"/>
                <w:szCs w:val="20"/>
                <w:color w:val="auto"/>
              </w:rPr>
            </w:pPr>
            <w:r>
              <w:rPr>
                <w:rFonts w:ascii="Arial" w:cs="Arial" w:eastAsia="Arial" w:hAnsi="Arial"/>
                <w:sz w:val="13"/>
                <w:szCs w:val="13"/>
                <w:color w:val="auto"/>
              </w:rPr>
              <w:t>Andrzej J. Matyczynski</w:t>
            </w:r>
          </w:p>
        </w:tc>
        <w:tc>
          <w:tcPr>
            <w:tcW w:w="5440" w:type="dxa"/>
            <w:vAlign w:val="bottom"/>
            <w:gridSpan w:val="3"/>
          </w:tcPr>
          <w:p>
            <w:pPr>
              <w:ind w:left="460"/>
              <w:spacing w:after="0" w:line="130" w:lineRule="exact"/>
              <w:rPr>
                <w:sz w:val="20"/>
                <w:szCs w:val="20"/>
                <w:color w:val="auto"/>
              </w:rPr>
            </w:pPr>
            <w:r>
              <w:rPr>
                <w:rFonts w:ascii="Arial" w:cs="Arial" w:eastAsia="Arial" w:hAnsi="Arial"/>
                <w:sz w:val="13"/>
                <w:szCs w:val="13"/>
                <w:color w:val="auto"/>
              </w:rPr>
              <w:t>EVP Global Operations</w:t>
            </w:r>
          </w:p>
        </w:tc>
      </w:tr>
      <w:tr>
        <w:trPr>
          <w:trHeight w:val="130"/>
        </w:trPr>
        <w:tc>
          <w:tcPr>
            <w:tcW w:w="3240" w:type="dxa"/>
            <w:vAlign w:val="bottom"/>
          </w:tcPr>
          <w:p>
            <w:pPr>
              <w:spacing w:after="0"/>
              <w:rPr>
                <w:sz w:val="11"/>
                <w:szCs w:val="11"/>
                <w:color w:val="auto"/>
              </w:rPr>
            </w:pPr>
          </w:p>
        </w:tc>
        <w:tc>
          <w:tcPr>
            <w:tcW w:w="2600" w:type="dxa"/>
            <w:vAlign w:val="bottom"/>
          </w:tcPr>
          <w:p>
            <w:pPr>
              <w:ind w:left="120"/>
              <w:spacing w:after="0" w:line="130" w:lineRule="exact"/>
              <w:rPr>
                <w:sz w:val="20"/>
                <w:szCs w:val="20"/>
                <w:color w:val="auto"/>
              </w:rPr>
            </w:pPr>
            <w:r>
              <w:rPr>
                <w:rFonts w:ascii="Arial" w:cs="Arial" w:eastAsia="Arial" w:hAnsi="Arial"/>
                <w:sz w:val="13"/>
                <w:szCs w:val="13"/>
                <w:color w:val="auto"/>
              </w:rPr>
              <w:t>S Craig Tompkins</w:t>
            </w:r>
          </w:p>
        </w:tc>
        <w:tc>
          <w:tcPr>
            <w:tcW w:w="5440" w:type="dxa"/>
            <w:vAlign w:val="bottom"/>
            <w:gridSpan w:val="3"/>
          </w:tcPr>
          <w:p>
            <w:pPr>
              <w:ind w:left="460"/>
              <w:spacing w:after="0" w:line="130" w:lineRule="exact"/>
              <w:rPr>
                <w:sz w:val="20"/>
                <w:szCs w:val="20"/>
                <w:color w:val="auto"/>
              </w:rPr>
            </w:pPr>
            <w:r>
              <w:rPr>
                <w:rFonts w:ascii="Arial" w:cs="Arial" w:eastAsia="Arial" w:hAnsi="Arial"/>
                <w:sz w:val="13"/>
                <w:szCs w:val="13"/>
                <w:color w:val="auto"/>
              </w:rPr>
              <w:t>EVP General Counsel</w:t>
            </w:r>
          </w:p>
        </w:tc>
      </w:tr>
      <w:tr>
        <w:trPr>
          <w:trHeight w:val="130"/>
        </w:trPr>
        <w:tc>
          <w:tcPr>
            <w:tcW w:w="3240" w:type="dxa"/>
            <w:vAlign w:val="bottom"/>
          </w:tcPr>
          <w:p>
            <w:pPr>
              <w:spacing w:after="0"/>
              <w:rPr>
                <w:sz w:val="11"/>
                <w:szCs w:val="11"/>
                <w:color w:val="auto"/>
              </w:rPr>
            </w:pPr>
          </w:p>
        </w:tc>
        <w:tc>
          <w:tcPr>
            <w:tcW w:w="2600" w:type="dxa"/>
            <w:vAlign w:val="bottom"/>
          </w:tcPr>
          <w:p>
            <w:pPr>
              <w:ind w:left="120"/>
              <w:spacing w:after="0" w:line="130" w:lineRule="exact"/>
              <w:rPr>
                <w:sz w:val="20"/>
                <w:szCs w:val="20"/>
                <w:color w:val="auto"/>
              </w:rPr>
            </w:pPr>
            <w:r>
              <w:rPr>
                <w:rFonts w:ascii="Arial" w:cs="Arial" w:eastAsia="Arial" w:hAnsi="Arial"/>
                <w:sz w:val="13"/>
                <w:szCs w:val="13"/>
                <w:color w:val="auto"/>
              </w:rPr>
              <w:t>Robert F. Smerling</w:t>
            </w:r>
          </w:p>
        </w:tc>
        <w:tc>
          <w:tcPr>
            <w:tcW w:w="5440" w:type="dxa"/>
            <w:vAlign w:val="bottom"/>
            <w:gridSpan w:val="3"/>
          </w:tcPr>
          <w:p>
            <w:pPr>
              <w:ind w:left="460"/>
              <w:spacing w:after="0" w:line="130" w:lineRule="exact"/>
              <w:rPr>
                <w:sz w:val="20"/>
                <w:szCs w:val="20"/>
                <w:color w:val="auto"/>
              </w:rPr>
            </w:pPr>
            <w:r>
              <w:rPr>
                <w:rFonts w:ascii="Arial" w:cs="Arial" w:eastAsia="Arial" w:hAnsi="Arial"/>
                <w:sz w:val="13"/>
                <w:szCs w:val="13"/>
                <w:color w:val="auto"/>
              </w:rPr>
              <w:t>President – U.S. Cinemas</w:t>
            </w:r>
          </w:p>
        </w:tc>
      </w:tr>
      <w:tr>
        <w:trPr>
          <w:trHeight w:val="148"/>
        </w:trPr>
        <w:tc>
          <w:tcPr>
            <w:tcW w:w="3240" w:type="dxa"/>
            <w:vAlign w:val="bottom"/>
          </w:tcPr>
          <w:p>
            <w:pPr>
              <w:spacing w:after="0"/>
              <w:rPr>
                <w:sz w:val="12"/>
                <w:szCs w:val="12"/>
                <w:color w:val="auto"/>
              </w:rPr>
            </w:pPr>
          </w:p>
        </w:tc>
        <w:tc>
          <w:tcPr>
            <w:tcW w:w="2600" w:type="dxa"/>
            <w:vAlign w:val="bottom"/>
          </w:tcPr>
          <w:p>
            <w:pPr>
              <w:ind w:left="120"/>
              <w:spacing w:after="0" w:line="148" w:lineRule="exact"/>
              <w:rPr>
                <w:sz w:val="20"/>
                <w:szCs w:val="20"/>
                <w:color w:val="auto"/>
              </w:rPr>
            </w:pPr>
            <w:r>
              <w:rPr>
                <w:rFonts w:ascii="Arial" w:cs="Arial" w:eastAsia="Arial" w:hAnsi="Arial"/>
                <w:sz w:val="13"/>
                <w:szCs w:val="13"/>
                <w:color w:val="auto"/>
              </w:rPr>
              <w:t>Mark Douglas</w:t>
            </w:r>
          </w:p>
        </w:tc>
        <w:tc>
          <w:tcPr>
            <w:tcW w:w="5440" w:type="dxa"/>
            <w:vAlign w:val="bottom"/>
            <w:gridSpan w:val="3"/>
          </w:tcPr>
          <w:p>
            <w:pPr>
              <w:ind w:left="460"/>
              <w:spacing w:after="0" w:line="148" w:lineRule="exact"/>
              <w:rPr>
                <w:sz w:val="20"/>
                <w:szCs w:val="20"/>
                <w:color w:val="auto"/>
              </w:rPr>
            </w:pPr>
            <w:r>
              <w:rPr>
                <w:rFonts w:ascii="Arial" w:cs="Arial" w:eastAsia="Arial" w:hAnsi="Arial"/>
                <w:sz w:val="13"/>
                <w:szCs w:val="13"/>
                <w:color w:val="auto"/>
              </w:rPr>
              <w:t>Managing Director, Australia and New Zealand</w:t>
            </w:r>
          </w:p>
        </w:tc>
      </w:tr>
      <w:tr>
        <w:trPr>
          <w:trHeight w:val="113"/>
        </w:trPr>
        <w:tc>
          <w:tcPr>
            <w:tcW w:w="3240" w:type="dxa"/>
            <w:vAlign w:val="bottom"/>
            <w:shd w:val="clear" w:color="auto" w:fill="CCEEFF"/>
          </w:tcPr>
          <w:p>
            <w:pPr>
              <w:ind w:left="160"/>
              <w:spacing w:after="0" w:line="113" w:lineRule="exact"/>
              <w:rPr>
                <w:sz w:val="20"/>
                <w:szCs w:val="20"/>
                <w:color w:val="auto"/>
              </w:rPr>
            </w:pPr>
            <w:r>
              <w:rPr>
                <w:rFonts w:ascii="Arial" w:cs="Arial" w:eastAsia="Arial" w:hAnsi="Arial"/>
                <w:sz w:val="13"/>
                <w:szCs w:val="13"/>
                <w:color w:val="auto"/>
                <w:w w:val="93"/>
              </w:rPr>
              <w:t>Investments in Joint Ventures accounted for under equity</w:t>
            </w:r>
          </w:p>
        </w:tc>
        <w:tc>
          <w:tcPr>
            <w:tcW w:w="2600" w:type="dxa"/>
            <w:vAlign w:val="bottom"/>
            <w:shd w:val="clear" w:color="auto" w:fill="CCEEFF"/>
          </w:tcPr>
          <w:p>
            <w:pPr>
              <w:ind w:left="120"/>
              <w:spacing w:after="0" w:line="113" w:lineRule="exact"/>
              <w:rPr>
                <w:sz w:val="20"/>
                <w:szCs w:val="20"/>
                <w:color w:val="auto"/>
              </w:rPr>
            </w:pPr>
            <w:r>
              <w:rPr>
                <w:rFonts w:ascii="Arial" w:cs="Arial" w:eastAsia="Arial" w:hAnsi="Arial"/>
                <w:sz w:val="13"/>
                <w:szCs w:val="13"/>
                <w:color w:val="auto"/>
              </w:rPr>
              <w:t>Rialto Cinemas</w:t>
            </w:r>
          </w:p>
        </w:tc>
        <w:tc>
          <w:tcPr>
            <w:tcW w:w="5440" w:type="dxa"/>
            <w:vAlign w:val="bottom"/>
            <w:gridSpan w:val="3"/>
            <w:shd w:val="clear" w:color="auto" w:fill="CCEEFF"/>
          </w:tcPr>
          <w:p>
            <w:pPr>
              <w:ind w:left="200"/>
              <w:spacing w:after="0" w:line="113" w:lineRule="exact"/>
              <w:rPr>
                <w:sz w:val="20"/>
                <w:szCs w:val="20"/>
                <w:color w:val="auto"/>
              </w:rPr>
            </w:pPr>
            <w:r>
              <w:rPr>
                <w:rFonts w:ascii="Arial" w:cs="Arial" w:eastAsia="Arial" w:hAnsi="Arial"/>
                <w:sz w:val="13"/>
                <w:szCs w:val="13"/>
                <w:color w:val="auto"/>
              </w:rPr>
              <w:t xml:space="preserve">Refer to </w:t>
            </w:r>
            <w:r>
              <w:rPr>
                <w:rFonts w:ascii="Arial" w:cs="Arial" w:eastAsia="Arial" w:hAnsi="Arial"/>
                <w:sz w:val="13"/>
                <w:szCs w:val="13"/>
                <w:i w:val="1"/>
                <w:iCs w:val="1"/>
                <w:color w:val="auto"/>
              </w:rPr>
              <w:t>Note 7 – Investment in Joint Ventures</w:t>
            </w:r>
          </w:p>
        </w:tc>
      </w:tr>
      <w:tr>
        <w:trPr>
          <w:trHeight w:val="148"/>
        </w:trPr>
        <w:tc>
          <w:tcPr>
            <w:tcW w:w="3240" w:type="dxa"/>
            <w:vAlign w:val="bottom"/>
            <w:shd w:val="clear" w:color="auto" w:fill="CCEEFF"/>
          </w:tcPr>
          <w:p>
            <w:pPr>
              <w:ind w:left="160"/>
              <w:spacing w:after="0" w:line="148" w:lineRule="exact"/>
              <w:rPr>
                <w:sz w:val="20"/>
                <w:szCs w:val="20"/>
                <w:color w:val="auto"/>
              </w:rPr>
            </w:pPr>
            <w:r>
              <w:rPr>
                <w:rFonts w:ascii="Arial" w:cs="Arial" w:eastAsia="Arial" w:hAnsi="Arial"/>
                <w:sz w:val="13"/>
                <w:szCs w:val="13"/>
                <w:color w:val="auto"/>
              </w:rPr>
              <w:t>method</w:t>
            </w:r>
          </w:p>
        </w:tc>
        <w:tc>
          <w:tcPr>
            <w:tcW w:w="2600" w:type="dxa"/>
            <w:vAlign w:val="bottom"/>
            <w:shd w:val="clear" w:color="auto" w:fill="CCEEFF"/>
          </w:tcPr>
          <w:p>
            <w:pPr>
              <w:ind w:left="120"/>
              <w:spacing w:after="0" w:line="148" w:lineRule="exact"/>
              <w:rPr>
                <w:sz w:val="20"/>
                <w:szCs w:val="20"/>
                <w:color w:val="auto"/>
              </w:rPr>
            </w:pPr>
            <w:r>
              <w:rPr>
                <w:rFonts w:ascii="Arial" w:cs="Arial" w:eastAsia="Arial" w:hAnsi="Arial"/>
                <w:sz w:val="13"/>
                <w:szCs w:val="13"/>
                <w:color w:val="auto"/>
              </w:rPr>
              <w:t>Mt. Gravatt</w:t>
            </w:r>
          </w:p>
        </w:tc>
        <w:tc>
          <w:tcPr>
            <w:tcW w:w="6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20" w:type="dxa"/>
            <w:vAlign w:val="bottom"/>
            <w:shd w:val="clear" w:color="auto" w:fill="CCEEFF"/>
          </w:tcPr>
          <w:p>
            <w:pPr>
              <w:spacing w:after="0"/>
              <w:rPr>
                <w:sz w:val="12"/>
                <w:szCs w:val="12"/>
                <w:color w:val="auto"/>
              </w:rPr>
            </w:pPr>
          </w:p>
        </w:tc>
      </w:tr>
      <w:tr>
        <w:trPr>
          <w:trHeight w:val="119"/>
        </w:trPr>
        <w:tc>
          <w:tcPr>
            <w:tcW w:w="3240" w:type="dxa"/>
            <w:vAlign w:val="bottom"/>
          </w:tcPr>
          <w:p>
            <w:pPr>
              <w:ind w:left="160"/>
              <w:spacing w:after="0" w:line="119" w:lineRule="exact"/>
              <w:rPr>
                <w:sz w:val="20"/>
                <w:szCs w:val="20"/>
                <w:color w:val="auto"/>
              </w:rPr>
            </w:pPr>
            <w:r>
              <w:rPr>
                <w:rFonts w:ascii="Arial" w:cs="Arial" w:eastAsia="Arial" w:hAnsi="Arial"/>
                <w:sz w:val="13"/>
                <w:szCs w:val="13"/>
                <w:color w:val="auto"/>
              </w:rPr>
              <w:t>Other Affiliates</w:t>
            </w:r>
          </w:p>
        </w:tc>
        <w:tc>
          <w:tcPr>
            <w:tcW w:w="2600" w:type="dxa"/>
            <w:vAlign w:val="bottom"/>
          </w:tcPr>
          <w:p>
            <w:pPr>
              <w:ind w:left="120"/>
              <w:spacing w:after="0" w:line="119" w:lineRule="exact"/>
              <w:rPr>
                <w:sz w:val="20"/>
                <w:szCs w:val="20"/>
                <w:color w:val="auto"/>
              </w:rPr>
            </w:pPr>
            <w:r>
              <w:rPr>
                <w:rFonts w:ascii="Arial" w:cs="Arial" w:eastAsia="Arial" w:hAnsi="Arial"/>
                <w:sz w:val="13"/>
                <w:szCs w:val="13"/>
                <w:color w:val="auto"/>
              </w:rPr>
              <w:t>Entities under common control</w:t>
            </w:r>
          </w:p>
        </w:tc>
        <w:tc>
          <w:tcPr>
            <w:tcW w:w="5440" w:type="dxa"/>
            <w:vAlign w:val="bottom"/>
            <w:gridSpan w:val="3"/>
          </w:tcPr>
          <w:p>
            <w:pPr>
              <w:ind w:left="200"/>
              <w:spacing w:after="0" w:line="119" w:lineRule="exact"/>
              <w:rPr>
                <w:sz w:val="20"/>
                <w:szCs w:val="20"/>
                <w:color w:val="auto"/>
              </w:rPr>
            </w:pPr>
            <w:r>
              <w:rPr>
                <w:rFonts w:ascii="Arial" w:cs="Arial" w:eastAsia="Arial" w:hAnsi="Arial"/>
                <w:sz w:val="13"/>
                <w:szCs w:val="13"/>
                <w:color w:val="auto"/>
                <w:w w:val="93"/>
              </w:rPr>
              <w:t xml:space="preserve">Refer to </w:t>
            </w:r>
            <w:r>
              <w:rPr>
                <w:rFonts w:ascii="Arial" w:cs="Arial" w:eastAsia="Arial" w:hAnsi="Arial"/>
                <w:sz w:val="13"/>
                <w:szCs w:val="13"/>
                <w:b w:val="1"/>
                <w:bCs w:val="1"/>
                <w:color w:val="0000FF"/>
                <w:w w:val="93"/>
              </w:rPr>
              <w:t>Exhibit 21</w:t>
            </w:r>
            <w:r>
              <w:rPr>
                <w:rFonts w:ascii="Arial" w:cs="Arial" w:eastAsia="Arial" w:hAnsi="Arial"/>
                <w:sz w:val="13"/>
                <w:szCs w:val="13"/>
                <w:color w:val="auto"/>
                <w:w w:val="93"/>
              </w:rPr>
              <w:t xml:space="preserve"> of this 2021 Form 10-K filing for the complete list of subsidiaries. Refer below</w:t>
            </w:r>
          </w:p>
        </w:tc>
      </w:tr>
      <w:tr>
        <w:trPr>
          <w:trHeight w:val="103"/>
        </w:trPr>
        <w:tc>
          <w:tcPr>
            <w:tcW w:w="3240" w:type="dxa"/>
            <w:vAlign w:val="bottom"/>
          </w:tcPr>
          <w:p>
            <w:pPr>
              <w:spacing w:after="0"/>
              <w:rPr>
                <w:sz w:val="8"/>
                <w:szCs w:val="8"/>
                <w:color w:val="auto"/>
              </w:rPr>
            </w:pPr>
          </w:p>
        </w:tc>
        <w:tc>
          <w:tcPr>
            <w:tcW w:w="2600" w:type="dxa"/>
            <w:vAlign w:val="bottom"/>
          </w:tcPr>
          <w:p>
            <w:pPr>
              <w:ind w:left="100"/>
              <w:spacing w:after="0" w:line="104" w:lineRule="exact"/>
              <w:rPr>
                <w:sz w:val="20"/>
                <w:szCs w:val="20"/>
                <w:color w:val="auto"/>
              </w:rPr>
            </w:pPr>
            <w:r>
              <w:rPr>
                <w:rFonts w:ascii="Arial" w:cs="Arial" w:eastAsia="Arial" w:hAnsi="Arial"/>
                <w:sz w:val="11"/>
                <w:szCs w:val="11"/>
                <w:color w:val="auto"/>
              </w:rPr>
              <w:t>All subsidiaries of RDI</w:t>
            </w:r>
          </w:p>
        </w:tc>
        <w:tc>
          <w:tcPr>
            <w:tcW w:w="640" w:type="dxa"/>
            <w:vAlign w:val="bottom"/>
          </w:tcPr>
          <w:p>
            <w:pPr>
              <w:ind w:left="200"/>
              <w:spacing w:after="0" w:line="104" w:lineRule="exact"/>
              <w:rPr>
                <w:sz w:val="20"/>
                <w:szCs w:val="20"/>
                <w:color w:val="auto"/>
              </w:rPr>
            </w:pPr>
            <w:r>
              <w:rPr>
                <w:rFonts w:ascii="Arial" w:cs="Arial" w:eastAsia="Arial" w:hAnsi="Arial"/>
                <w:sz w:val="11"/>
                <w:szCs w:val="11"/>
                <w:color w:val="auto"/>
                <w:w w:val="87"/>
              </w:rPr>
              <w:t>for further</w:t>
            </w:r>
          </w:p>
        </w:tc>
        <w:tc>
          <w:tcPr>
            <w:tcW w:w="580" w:type="dxa"/>
            <w:vAlign w:val="bottom"/>
            <w:tcBorders>
              <w:top w:val="single" w:sz="8" w:color="0000FF"/>
            </w:tcBorders>
          </w:tcPr>
          <w:p>
            <w:pPr>
              <w:ind w:left="120"/>
              <w:spacing w:after="0" w:line="104" w:lineRule="exact"/>
              <w:rPr>
                <w:sz w:val="20"/>
                <w:szCs w:val="20"/>
                <w:color w:val="auto"/>
              </w:rPr>
            </w:pPr>
            <w:r>
              <w:rPr>
                <w:rFonts w:ascii="Arial" w:cs="Arial" w:eastAsia="Arial" w:hAnsi="Arial"/>
                <w:sz w:val="11"/>
                <w:szCs w:val="11"/>
                <w:color w:val="auto"/>
                <w:w w:val="77"/>
              </w:rPr>
              <w:t>discussions</w:t>
            </w:r>
          </w:p>
        </w:tc>
        <w:tc>
          <w:tcPr>
            <w:tcW w:w="4220" w:type="dxa"/>
            <w:vAlign w:val="bottom"/>
          </w:tcPr>
          <w:p>
            <w:pPr>
              <w:ind w:left="180"/>
              <w:spacing w:after="0" w:line="104" w:lineRule="exact"/>
              <w:rPr>
                <w:sz w:val="20"/>
                <w:szCs w:val="20"/>
                <w:color w:val="auto"/>
              </w:rPr>
            </w:pPr>
            <w:r>
              <w:rPr>
                <w:rFonts w:ascii="Arial" w:cs="Arial" w:eastAsia="Arial" w:hAnsi="Arial"/>
                <w:sz w:val="11"/>
                <w:szCs w:val="11"/>
                <w:color w:val="auto"/>
              </w:rPr>
              <w:t>on certain key transactions with related parties, including those with minority</w:t>
            </w:r>
          </w:p>
        </w:tc>
      </w:tr>
      <w:tr>
        <w:trPr>
          <w:trHeight w:val="149"/>
        </w:trPr>
        <w:tc>
          <w:tcPr>
            <w:tcW w:w="324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tcPr>
          <w:p>
            <w:pPr>
              <w:spacing w:after="0"/>
              <w:rPr>
                <w:sz w:val="12"/>
                <w:szCs w:val="12"/>
                <w:color w:val="auto"/>
              </w:rPr>
            </w:pPr>
          </w:p>
        </w:tc>
        <w:tc>
          <w:tcPr>
            <w:tcW w:w="5440" w:type="dxa"/>
            <w:vAlign w:val="bottom"/>
            <w:tcBorders>
              <w:bottom w:val="single" w:sz="8" w:color="auto"/>
            </w:tcBorders>
            <w:gridSpan w:val="3"/>
          </w:tcPr>
          <w:p>
            <w:pPr>
              <w:ind w:left="200"/>
              <w:spacing w:after="0" w:line="148" w:lineRule="exact"/>
              <w:rPr>
                <w:sz w:val="20"/>
                <w:szCs w:val="20"/>
                <w:color w:val="auto"/>
              </w:rPr>
            </w:pPr>
            <w:r>
              <w:rPr>
                <w:rFonts w:ascii="Arial" w:cs="Arial" w:eastAsia="Arial" w:hAnsi="Arial"/>
                <w:sz w:val="13"/>
                <w:szCs w:val="13"/>
                <w:color w:val="auto"/>
              </w:rPr>
              <w:t>interests.</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Sutton Hill Capital</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3"/>
          <w:szCs w:val="13"/>
          <w:color w:val="auto"/>
        </w:rPr>
        <w:t>In 2001, we entered into a transaction with Sutton Hill Capital, LLC (“SHC”) regarding the master leasing, with an option to purchase, of certain cinemas located in Manhattan including our Village East and Cinemas 1,2,3 theaters. In connection with that transaction, we also agreed (i) to lend certain amounts to SHC, to provide liquidity in its investment, pending our determination</w:t>
      </w:r>
    </w:p>
    <w:p>
      <w:pPr>
        <w:spacing w:after="0" w:line="1" w:lineRule="exact"/>
        <w:rPr>
          <w:sz w:val="20"/>
          <w:szCs w:val="20"/>
          <w:color w:val="auto"/>
        </w:rPr>
      </w:pPr>
    </w:p>
    <w:p>
      <w:pPr>
        <w:ind w:right="240"/>
        <w:spacing w:after="0" w:line="196" w:lineRule="auto"/>
        <w:rPr>
          <w:sz w:val="20"/>
          <w:szCs w:val="20"/>
          <w:color w:val="auto"/>
        </w:rPr>
      </w:pPr>
      <w:r>
        <w:rPr>
          <w:rFonts w:ascii="Arial" w:cs="Arial" w:eastAsia="Arial" w:hAnsi="Arial"/>
          <w:sz w:val="14"/>
          <w:szCs w:val="14"/>
          <w:color w:val="auto"/>
        </w:rPr>
        <w:t>whether or not to exercise our option to purchase and (ii) to manage the 86</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Street Cinema on a fee basis. SHC is a limited liability company owned in equal shares by the Cotter Estate or the Cotter Trust and a third party.</w:t>
      </w:r>
    </w:p>
    <w:p>
      <w:pPr>
        <w:spacing w:after="0" w:line="122"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As previously reported, over the years, two of the cinemas subject to the master leasing agreement have been redeveloped and one (the Cinemas 1,2,3 discussed below) has been acquired. The Village East is the only cinema that remains subject to this master lease.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Village East</w:t>
      </w:r>
    </w:p>
    <w:p>
      <w:pPr>
        <w:spacing w:after="0" w:line="143" w:lineRule="exact"/>
        <w:rPr>
          <w:sz w:val="20"/>
          <w:szCs w:val="20"/>
          <w:color w:val="auto"/>
        </w:rPr>
      </w:pPr>
    </w:p>
    <w:p>
      <w:pPr>
        <w:ind w:right="20"/>
        <w:spacing w:after="0" w:line="232" w:lineRule="auto"/>
        <w:rPr>
          <w:sz w:val="20"/>
          <w:szCs w:val="20"/>
          <w:color w:val="auto"/>
        </w:rPr>
      </w:pPr>
      <w:r>
        <w:rPr>
          <w:rFonts w:ascii="Arial" w:cs="Arial" w:eastAsia="Arial" w:hAnsi="Arial"/>
          <w:sz w:val="14"/>
          <w:szCs w:val="14"/>
          <w:color w:val="auto"/>
        </w:rPr>
        <w:t>On June 29, 2010, we agreed to extend our existing lease from SHC of the Village East Cinema by 10 years, with a new termination date of June 30, 2020. This amendment was reviewed and approved by our Audit and Conflicts Committee. The Village East lease includes a sub-lease of the ground underlying the cinema that is subject to a longer-term ground lease between SHC and an unrelated third party that expires in June 2031 (the “cinema ground lease”). The extended lease provides for a call option pursuant to which Reading may purchase the cinema ground lease for $5.9 million at the end of the lease term. Additionally, the lease has a put option pursuant to which SHC may require our Company to purchase all or a portion of SHC’s interest in the existing cinema lease and the cinema ground lease at any time between July 1, 2013 and December 4, 2019. Because our late Chairman, Chief Executive Officer, and controlling shareholder, Mr. James J. Cotter, Sr. was also the managing member of SHC, RDI and SHC are considered entities under common control. As a result, we have recorded the Village East Cinema building as a property asset of $4.7 million on our balance sheet based on the cost carry-over basis from an entity under common control with a corresponding lease liability of $0.0 million presented under other liabilities which accreted up to the $5.9 million liability through July 1, 2013.</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On August 28, 2019, we exercised our option to acquire the ground lessee’s interest. It was initially agreed that the transaction would close on or about May 31, 2021.On March 12, 2020, we amended the original agreement to (i) extend the term of the Citadel Cinemas, Inc. lease with Sutton Hill to January 31, 2022 and extend the put option to December 4, 2021 and (ii) at SHC’s request, in connection with our deferral of the closing date for our acquisition of SHC’s interest in the Village East Cinema, the Company reinstated and extended until December 4, 2021 SHC’s right to put that interest to us. That put right had previously expired on December 4, 2019. We were advised by SHC that it wanted this reinstatement and extension in order to assure itself that, in the event of the non-performance by us of our current contractual obligation to close our purchase of the interest in the ground lease on or about the extended date of May 31, 2021, that it could (as, in effect, an additional remedy) exercise this reinstated and extended put right. We believe that the reinstatement and extension of this put right is immaterial to our Company, since we have in fact already exercised our option, are in fact under contract with SHC to acquire SHC’s interest in the Village East Cinema and have every intention of completing that acquisition. On March 29, 2021, we extended this closing date to January 1, 2023. The put right was not renewed.</w:t>
      </w:r>
    </w:p>
    <w:p>
      <w:pPr>
        <w:spacing w:after="0" w:line="115" w:lineRule="exact"/>
        <w:rPr>
          <w:sz w:val="20"/>
          <w:szCs w:val="20"/>
          <w:color w:val="auto"/>
        </w:rPr>
      </w:pPr>
    </w:p>
    <w:p>
      <w:pPr>
        <w:ind w:right="260"/>
        <w:spacing w:after="0" w:line="235" w:lineRule="auto"/>
        <w:rPr>
          <w:sz w:val="20"/>
          <w:szCs w:val="20"/>
          <w:color w:val="auto"/>
        </w:rPr>
      </w:pPr>
      <w:r>
        <w:rPr>
          <w:rFonts w:ascii="Arial" w:cs="Arial" w:eastAsia="Arial" w:hAnsi="Arial"/>
          <w:sz w:val="14"/>
          <w:szCs w:val="14"/>
          <w:color w:val="auto"/>
        </w:rPr>
        <w:t>In each of the years 2019 to 2021 we were charged rent of $590,000 for this cinema. We paid this balance in full in 2019. In 2020 we deferred $442,000 of this cost, repaying it in full in 2021 along with our 2021 obligation.</w:t>
      </w:r>
    </w:p>
    <w:p>
      <w:pPr>
        <w:jc w:val="center"/>
        <w:spacing w:after="0"/>
        <w:rPr>
          <w:sz w:val="20"/>
          <w:szCs w:val="20"/>
          <w:color w:val="auto"/>
        </w:rPr>
      </w:pPr>
      <w:r>
        <w:rPr>
          <w:rFonts w:ascii="Arial" w:cs="Arial" w:eastAsia="Arial" w:hAnsi="Arial"/>
          <w:sz w:val="14"/>
          <w:szCs w:val="14"/>
          <w:color w:val="auto"/>
        </w:rPr>
        <w:t>- 107 -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18"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i w:val="1"/>
          <w:iCs w:val="1"/>
          <w:color w:val="auto"/>
        </w:rPr>
        <w:t>Cinemas 1, 2, 3</w:t>
      </w:r>
    </w:p>
    <w:p>
      <w:pPr>
        <w:spacing w:after="0" w:line="143" w:lineRule="exact"/>
        <w:rPr>
          <w:sz w:val="20"/>
          <w:szCs w:val="20"/>
          <w:color w:val="auto"/>
        </w:rPr>
      </w:pPr>
    </w:p>
    <w:p>
      <w:pPr>
        <w:ind w:right="60"/>
        <w:spacing w:after="0" w:line="252" w:lineRule="auto"/>
        <w:rPr>
          <w:sz w:val="20"/>
          <w:szCs w:val="20"/>
          <w:color w:val="auto"/>
        </w:rPr>
      </w:pPr>
      <w:r>
        <w:rPr>
          <w:rFonts w:ascii="Arial" w:cs="Arial" w:eastAsia="Arial" w:hAnsi="Arial"/>
          <w:sz w:val="13"/>
          <w:szCs w:val="13"/>
          <w:color w:val="auto"/>
        </w:rPr>
        <w:t>In 2005, we acquired (i) from a third party the fee interest underlying the Cinemas 1,2,3 and (ii) from SHC its interest in the ground lease estate underlying and the improvements constituting the Cinemas 1,2,3. The ground lease estate and the improvements acquired from SHC were originally a part of the master lease transaction, discussed above. In connection with that transaction, we granted to SHC an option to acquire at cost a 25% interest in the special purpose entity (Sutton Hill Properties, LLC) formed to acquire these fee, leasehold and improvements interests. On June 28, 2007, SHC exercised this option, paying $3.0 million and assuming a proportionate share of SHP’s liabilities. At the time of the option exercise and the closing of the acquisition of the 25% interest, SHP had debt of $26.9 million, including a $2.9 million, non-interest-bearing intercompany loan from the Company. Since the acquisition by SHC of its 25% interest, SHP has covered its operating costs and debt service through cash flow from the Cinema 1,2,3, (ii) borrowings from third parties, and (iii) pro-rata contributions from the members. We receive an annual management fee equal to 5% of SHP’s gross income for managing the cinema and the property, amounting to $177,000 during 2015.</w:t>
      </w:r>
    </w:p>
    <w:p>
      <w:pPr>
        <w:spacing w:after="0" w:line="115" w:lineRule="exact"/>
        <w:rPr>
          <w:sz w:val="20"/>
          <w:szCs w:val="20"/>
          <w:color w:val="auto"/>
        </w:rPr>
      </w:pPr>
    </w:p>
    <w:p>
      <w:pPr>
        <w:ind w:right="80"/>
        <w:spacing w:after="0" w:line="230" w:lineRule="auto"/>
        <w:rPr>
          <w:sz w:val="20"/>
          <w:szCs w:val="20"/>
          <w:color w:val="auto"/>
        </w:rPr>
      </w:pPr>
      <w:r>
        <w:rPr>
          <w:rFonts w:ascii="Arial" w:cs="Arial" w:eastAsia="Arial" w:hAnsi="Arial"/>
          <w:sz w:val="14"/>
          <w:szCs w:val="14"/>
          <w:color w:val="auto"/>
        </w:rPr>
        <w:t>In February 2015, we and SHP amended the management agreement dated as of June 27, 2007 relating to our management of the Cinemas 1,2,3. The amendment, which was retroactive to December 1, 2014, memorialized our undertaking to SHP to fund up to $750,000 (the “Renovation Funding Amount”) of renovations to Cinemas 1,2,3. In consideration of our funding of the renovations, our annual management fee was increased commencing January 1, 2015 by an amount equivalent to 100% of any incremental positive cash flow of Cinemas 1,2,3 over the average annual positive cash flow of the Cinemas 1,2,3 over the three year period ended December 31, 2014 (not to exceed a cumulative aggregate amount equal to the Renovation Funding Amount), plus a 15% annual cash-on-cash return on the balance outstanding from time to time of the Renovation Funding Amount, payable at the time of the payment of the annual management fee (the “Improvements Fee”). Under the amended management agreement, we retained ownership of (and any right to depreciate) any furniture, fixtures and equipment purchased by us in connection with such renovation and had the right (but not the obligation) to remove all such furniture, fixtures and equipment (at our own cost and expense) from the Cinemas 1,2,3 upon the termination of the management agreement. The amendment also provided that, during the term of the management agreement, SHP would be responsible for the cost of repair and maintenance of the renovations. In 2020 and 2019 we charged Improvements Fees of $0 and $96,000, respectively. This amendment was approved by SHC and by the Audit and Conflicts Committee of our Board of Directors.</w:t>
      </w:r>
    </w:p>
    <w:p>
      <w:pPr>
        <w:spacing w:after="0" w:line="127" w:lineRule="exact"/>
        <w:rPr>
          <w:sz w:val="20"/>
          <w:szCs w:val="20"/>
          <w:color w:val="auto"/>
        </w:rPr>
      </w:pPr>
    </w:p>
    <w:p>
      <w:pPr>
        <w:ind w:right="180"/>
        <w:spacing w:after="0" w:line="242" w:lineRule="auto"/>
        <w:rPr>
          <w:sz w:val="20"/>
          <w:szCs w:val="20"/>
          <w:color w:val="auto"/>
        </w:rPr>
      </w:pPr>
      <w:r>
        <w:rPr>
          <w:rFonts w:ascii="Arial" w:cs="Arial" w:eastAsia="Arial" w:hAnsi="Arial"/>
          <w:sz w:val="14"/>
          <w:szCs w:val="14"/>
          <w:color w:val="auto"/>
        </w:rPr>
        <w:t>On November 6, 2020, we and SHP further amended the management agreement to terminate the Investments Fee in consideration of a one time payment to us of $112,500 and the reimbursement in full of the Renovation Funding Amount, and transferred to SHC all of our ownership rights in the renovation assets. This amendment was approved by SHC and by the Audit and Conflicts Committee of our Board of Directors.</w:t>
      </w:r>
    </w:p>
    <w:p>
      <w:pPr>
        <w:spacing w:after="0" w:line="120" w:lineRule="exact"/>
        <w:rPr>
          <w:sz w:val="20"/>
          <w:szCs w:val="20"/>
          <w:color w:val="auto"/>
        </w:rPr>
      </w:pPr>
    </w:p>
    <w:p>
      <w:pPr>
        <w:ind w:right="80"/>
        <w:spacing w:after="0" w:line="235" w:lineRule="auto"/>
        <w:rPr>
          <w:sz w:val="20"/>
          <w:szCs w:val="20"/>
          <w:color w:val="auto"/>
        </w:rPr>
      </w:pPr>
      <w:r>
        <w:rPr>
          <w:rFonts w:ascii="Arial" w:cs="Arial" w:eastAsia="Arial" w:hAnsi="Arial"/>
          <w:sz w:val="14"/>
          <w:szCs w:val="14"/>
          <w:color w:val="auto"/>
        </w:rPr>
        <w:t xml:space="preserve">On August 31, 2016, we refinanced the debt of Cinemas 1,2,3, pursuant to a $20.0 million loan from Valley National Bank. Refer to </w:t>
      </w:r>
      <w:r>
        <w:rPr>
          <w:rFonts w:ascii="Arial" w:cs="Arial" w:eastAsia="Arial" w:hAnsi="Arial"/>
          <w:sz w:val="14"/>
          <w:szCs w:val="14"/>
          <w:i w:val="1"/>
          <w:iCs w:val="1"/>
          <w:color w:val="auto"/>
        </w:rPr>
        <w:t>Note 11 – Borrowings</w:t>
      </w:r>
      <w:r>
        <w:rPr>
          <w:rFonts w:ascii="Arial" w:cs="Arial" w:eastAsia="Arial" w:hAnsi="Arial"/>
          <w:sz w:val="14"/>
          <w:szCs w:val="14"/>
          <w:color w:val="auto"/>
        </w:rPr>
        <w:t xml:space="preserve"> for further details on this loan transaction and its maturity. The proceeds from the loan were used to retire an existing $15.0 million first mortgage loan and the above-referenced $2.9 million intercompany loan, with the remainder to be used for working capital and to cover cash flow shortfalls. Since the cash flow from the Cinemas 1,2,3 is not sufficient to service this loan, it is anticipated that the members of SHP (our Company and SHC) will ultimately need to make periodic contributions to the capital of SHP in order to avoid dilution of their respective interests in SHP. In 2016, our Company and SHC funded capital calls of $506,000 and $169,000, respectively. No capital contributions were called or made in 2019, 2020 or 2021.</w:t>
      </w:r>
    </w:p>
    <w:p>
      <w:pPr>
        <w:spacing w:after="0" w:line="122"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The Valley National Loan has been guaranteed by our Company and an environmental indemnity has been provided by our Company. SHC has agreed to indemnify our Company to the extent of 25% of any loss incurred by our Company with respect to any such guarantee and/or indemnity (a percentage reflecting SHC’s membership interest in SHP). The refinancing transaction, including the guarantee and indemnity, were review and approved by the Audit and Conflicts Committee of our Board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On October 1, 2020, SHP made a distribution of $1.0 million, paying $750,000 to our Company and $250,000 to SHC.</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East 86</w:t>
      </w:r>
      <w:r>
        <w:rPr>
          <w:rFonts w:ascii="Arial" w:cs="Arial" w:eastAsia="Arial" w:hAnsi="Arial"/>
          <w:sz w:val="24"/>
          <w:szCs w:val="24"/>
          <w:i w:val="1"/>
          <w:iCs w:val="1"/>
          <w:color w:val="auto"/>
          <w:vertAlign w:val="superscript"/>
        </w:rPr>
        <w:t>th</w:t>
      </w:r>
      <w:r>
        <w:rPr>
          <w:rFonts w:ascii="Arial" w:cs="Arial" w:eastAsia="Arial" w:hAnsi="Arial"/>
          <w:sz w:val="14"/>
          <w:szCs w:val="14"/>
          <w:i w:val="1"/>
          <w:iCs w:val="1"/>
          <w:color w:val="auto"/>
        </w:rPr>
        <w:t xml:space="preserve"> Street</w:t>
      </w:r>
    </w:p>
    <w:p>
      <w:pPr>
        <w:spacing w:after="0" w:line="82" w:lineRule="exact"/>
        <w:rPr>
          <w:sz w:val="20"/>
          <w:szCs w:val="20"/>
          <w:color w:val="auto"/>
        </w:rPr>
      </w:pPr>
    </w:p>
    <w:p>
      <w:pPr>
        <w:spacing w:after="0" w:line="200" w:lineRule="auto"/>
        <w:rPr>
          <w:sz w:val="20"/>
          <w:szCs w:val="20"/>
          <w:color w:val="auto"/>
        </w:rPr>
      </w:pPr>
      <w:r>
        <w:rPr>
          <w:rFonts w:ascii="Arial" w:cs="Arial" w:eastAsia="Arial" w:hAnsi="Arial"/>
          <w:sz w:val="14"/>
          <w:szCs w:val="14"/>
          <w:color w:val="auto"/>
        </w:rPr>
        <w:t>During the second quarter of 2019, our management agreement for the operation of the 86</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Street Cinema terminated due to the expiration of the underlying lease. We received management fees of $45,000 during 2019. We received no further management fees in 2020 or 2021.</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Live Theatre Play Investment</w:t>
      </w:r>
    </w:p>
    <w:p>
      <w:pPr>
        <w:spacing w:after="0" w:line="143"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From time to time, our Officers and Directors may invest in plays that lease our live theatres. The play STOMP has been playing in our Orpheum Theatre since prior to the time we acquired the theatre in 2001. The Cotter Estate or the Cotter Trust and a third party own an approximately 5% interest in that play, an interest that they have held since prior to our acquisition of the theatre.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b w:val="1"/>
          <w:bCs w:val="1"/>
          <w:i w:val="1"/>
          <w:iCs w:val="1"/>
          <w:color w:val="auto"/>
        </w:rPr>
        <w:t>Shadow View Land and Farming LLC</w:t>
      </w:r>
    </w:p>
    <w:p>
      <w:pPr>
        <w:spacing w:after="0" w:line="143" w:lineRule="exact"/>
        <w:rPr>
          <w:sz w:val="20"/>
          <w:szCs w:val="20"/>
          <w:color w:val="auto"/>
        </w:rPr>
      </w:pPr>
    </w:p>
    <w:p>
      <w:pPr>
        <w:spacing w:after="0" w:line="235" w:lineRule="auto"/>
        <w:rPr>
          <w:sz w:val="20"/>
          <w:szCs w:val="20"/>
          <w:color w:val="auto"/>
        </w:rPr>
      </w:pPr>
      <w:r>
        <w:rPr>
          <w:rFonts w:ascii="Arial" w:cs="Arial" w:eastAsia="Arial" w:hAnsi="Arial"/>
          <w:sz w:val="14"/>
          <w:szCs w:val="14"/>
          <w:color w:val="auto"/>
        </w:rPr>
        <w:t xml:space="preserve">During 2012, Mr. James J. Cotter, Sr., our then Chairman, Chief Executive Officer and controlling stockholder, contributed $2.5 million cash and $255,000 of his 2011 bonus as his 50% share of the purchase price of a land parcel in Coachella, California and to cover his 50% share of certain costs associated with that acquisition. The property was held in Shadow View Land and Farming, LLC, in which the Cotter Estate or the Cotter Trust owns a 50% interest and was held debt free and operating and holding costs were covered by member contributions. The Audit and Conflicts Committee of the Board of Directors was charged with responsibility for oversight of our management of Shadow View. As discussed at </w:t>
      </w:r>
      <w:r>
        <w:rPr>
          <w:rFonts w:ascii="Arial" w:cs="Arial" w:eastAsia="Arial" w:hAnsi="Arial"/>
          <w:sz w:val="14"/>
          <w:szCs w:val="14"/>
          <w:i w:val="1"/>
          <w:iCs w:val="1"/>
          <w:color w:val="auto"/>
        </w:rPr>
        <w:t>Note 5 – Real Estate Transactions</w:t>
      </w:r>
      <w:r>
        <w:rPr>
          <w:rFonts w:ascii="Arial" w:cs="Arial" w:eastAsia="Arial" w:hAnsi="Arial"/>
          <w:sz w:val="14"/>
          <w:szCs w:val="14"/>
          <w:color w:val="auto"/>
        </w:rPr>
        <w:t>, the land held by Shadow View Land and Farming LLC was sold on March 5,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22 – SUBSEQUENT EVENTS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On January 27, 2022, we entered into a long-term lease with a leading national retailer for three floors of our 44 Union Square building.</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On March 3, 2022, we exercised the first of two six month options to extend the Cinemas 1,2,3 Term Loan, taking the maturity to October 1, 2022.</w:t>
      </w: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00"/>
          </w:cols>
          <w:pgMar w:left="300" w:top="422" w:right="39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b w:val="1"/>
          <w:bCs w:val="1"/>
          <w:u w:val="single" w:color="auto"/>
          <w:color w:val="auto"/>
        </w:rPr>
        <w:t>Schedule II – Valuation and Qualifying Accounts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ind w:left="320"/>
              <w:spacing w:after="0"/>
              <w:rPr>
                <w:sz w:val="20"/>
                <w:szCs w:val="20"/>
                <w:color w:val="auto"/>
              </w:rPr>
            </w:pPr>
            <w:r>
              <w:rPr>
                <w:rFonts w:ascii="Arial" w:cs="Arial" w:eastAsia="Arial" w:hAnsi="Arial"/>
                <w:sz w:val="12"/>
                <w:szCs w:val="12"/>
                <w:b w:val="1"/>
                <w:bCs w:val="1"/>
                <w:color w:val="auto"/>
              </w:rPr>
              <w:t>Balance at</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351"/>
              <w:spacing w:after="0"/>
              <w:rPr>
                <w:sz w:val="20"/>
                <w:szCs w:val="20"/>
                <w:color w:val="auto"/>
              </w:rPr>
            </w:pPr>
            <w:r>
              <w:rPr>
                <w:rFonts w:ascii="Arial" w:cs="Arial" w:eastAsia="Arial" w:hAnsi="Arial"/>
                <w:sz w:val="12"/>
                <w:szCs w:val="12"/>
                <w:b w:val="1"/>
                <w:bCs w:val="1"/>
                <w:color w:val="auto"/>
              </w:rPr>
              <w:t>Balance at</w:t>
            </w:r>
          </w:p>
        </w:tc>
        <w:tc>
          <w:tcPr>
            <w:tcW w:w="0" w:type="dxa"/>
            <w:vAlign w:val="bottom"/>
          </w:tcPr>
          <w:p>
            <w:pPr>
              <w:spacing w:after="0"/>
              <w:rPr>
                <w:sz w:val="1"/>
                <w:szCs w:val="1"/>
                <w:color w:val="auto"/>
              </w:rPr>
            </w:pPr>
          </w:p>
        </w:tc>
      </w:tr>
      <w:tr>
        <w:trPr>
          <w:trHeight w:val="138"/>
        </w:trPr>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Allowance for doubtful accounts</w:t>
            </w:r>
          </w:p>
        </w:tc>
        <w:tc>
          <w:tcPr>
            <w:tcW w:w="100" w:type="dxa"/>
            <w:vAlign w:val="bottom"/>
          </w:tcPr>
          <w:p>
            <w:pPr>
              <w:spacing w:after="0"/>
              <w:rPr>
                <w:sz w:val="12"/>
                <w:szCs w:val="12"/>
                <w:color w:val="auto"/>
              </w:rPr>
            </w:pPr>
          </w:p>
        </w:tc>
        <w:tc>
          <w:tcPr>
            <w:tcW w:w="1420" w:type="dxa"/>
            <w:vAlign w:val="bottom"/>
            <w:gridSpan w:val="2"/>
          </w:tcPr>
          <w:p>
            <w:pPr>
              <w:ind w:left="340"/>
              <w:spacing w:after="0" w:line="137" w:lineRule="exact"/>
              <w:rPr>
                <w:sz w:val="20"/>
                <w:szCs w:val="20"/>
                <w:color w:val="auto"/>
              </w:rPr>
            </w:pPr>
            <w:r>
              <w:rPr>
                <w:rFonts w:ascii="Arial" w:cs="Arial" w:eastAsia="Arial" w:hAnsi="Arial"/>
                <w:sz w:val="12"/>
                <w:szCs w:val="12"/>
                <w:b w:val="1"/>
                <w:bCs w:val="1"/>
                <w:color w:val="auto"/>
              </w:rPr>
              <w:t>January 1</w:t>
            </w:r>
          </w:p>
        </w:tc>
        <w:tc>
          <w:tcPr>
            <w:tcW w:w="280" w:type="dxa"/>
            <w:vAlign w:val="bottom"/>
          </w:tcPr>
          <w:p>
            <w:pPr>
              <w:spacing w:after="0"/>
              <w:rPr>
                <w:sz w:val="12"/>
                <w:szCs w:val="12"/>
                <w:color w:val="auto"/>
              </w:rPr>
            </w:pPr>
          </w:p>
        </w:tc>
        <w:tc>
          <w:tcPr>
            <w:tcW w:w="1260" w:type="dxa"/>
            <w:vAlign w:val="bottom"/>
            <w:gridSpan w:val="2"/>
          </w:tcPr>
          <w:p>
            <w:pPr>
              <w:ind w:left="200"/>
              <w:spacing w:after="0" w:line="137" w:lineRule="exact"/>
              <w:rPr>
                <w:sz w:val="20"/>
                <w:szCs w:val="20"/>
                <w:color w:val="auto"/>
              </w:rPr>
            </w:pPr>
            <w:r>
              <w:rPr>
                <w:rFonts w:ascii="Arial" w:cs="Arial" w:eastAsia="Arial" w:hAnsi="Arial"/>
                <w:sz w:val="12"/>
                <w:szCs w:val="12"/>
                <w:b w:val="1"/>
                <w:bCs w:val="1"/>
                <w:color w:val="auto"/>
              </w:rPr>
              <w:t>Increase</w:t>
            </w:r>
          </w:p>
        </w:tc>
        <w:tc>
          <w:tcPr>
            <w:tcW w:w="1360" w:type="dxa"/>
            <w:vAlign w:val="bottom"/>
          </w:tcPr>
          <w:p>
            <w:pPr>
              <w:jc w:val="right"/>
              <w:ind w:right="390"/>
              <w:spacing w:after="0" w:line="137" w:lineRule="exact"/>
              <w:rPr>
                <w:sz w:val="20"/>
                <w:szCs w:val="20"/>
                <w:color w:val="auto"/>
              </w:rPr>
            </w:pPr>
            <w:r>
              <w:rPr>
                <w:rFonts w:ascii="Arial" w:cs="Arial" w:eastAsia="Arial" w:hAnsi="Arial"/>
                <w:sz w:val="12"/>
                <w:szCs w:val="12"/>
                <w:b w:val="1"/>
                <w:bCs w:val="1"/>
                <w:color w:val="auto"/>
              </w:rPr>
              <w:t>Decrease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291"/>
              <w:spacing w:after="0" w:line="137" w:lineRule="exact"/>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32"/>
        </w:trPr>
        <w:tc>
          <w:tcPr>
            <w:tcW w:w="5320" w:type="dxa"/>
            <w:vAlign w:val="bottom"/>
            <w:gridSpan w:val="3"/>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540" w:type="dxa"/>
            <w:vAlign w:val="bottom"/>
            <w:tcBorders>
              <w:top w:val="single" w:sz="8" w:color="auto"/>
            </w:tcBorders>
            <w:shd w:val="clear" w:color="auto" w:fill="CCEEFF"/>
          </w:tcPr>
          <w:p>
            <w:pPr>
              <w:jc w:val="right"/>
              <w:ind w:right="1088"/>
              <w:spacing w:after="0" w:line="152" w:lineRule="exact"/>
              <w:rPr>
                <w:sz w:val="20"/>
                <w:szCs w:val="20"/>
                <w:color w:val="auto"/>
              </w:rPr>
            </w:pPr>
            <w:r>
              <w:rPr>
                <w:rFonts w:ascii="Arial" w:cs="Arial" w:eastAsia="Arial" w:hAnsi="Arial"/>
                <w:sz w:val="14"/>
                <w:szCs w:val="14"/>
                <w:color w:val="auto"/>
              </w:rPr>
              <w:t>2021</w:t>
            </w:r>
          </w:p>
        </w:tc>
        <w:tc>
          <w:tcPr>
            <w:tcW w:w="460" w:type="dxa"/>
            <w:vAlign w:val="bottom"/>
            <w:tcBorders>
              <w:top w:val="single" w:sz="8" w:color="auto"/>
            </w:tcBorders>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1,382</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28"/>
              <w:spacing w:after="0" w:line="152"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263</w:t>
            </w:r>
          </w:p>
        </w:tc>
        <w:tc>
          <w:tcPr>
            <w:tcW w:w="380" w:type="dxa"/>
            <w:vAlign w:val="bottom"/>
            <w:gridSpan w:val="2"/>
            <w:shd w:val="clear" w:color="auto" w:fill="CCEEFF"/>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r>
        <w:trPr>
          <w:trHeight w:val="152"/>
        </w:trPr>
        <w:tc>
          <w:tcPr>
            <w:tcW w:w="1540" w:type="dxa"/>
            <w:vAlign w:val="bottom"/>
          </w:tcPr>
          <w:p>
            <w:pPr>
              <w:jc w:val="right"/>
              <w:ind w:right="1088"/>
              <w:spacing w:after="0" w:line="152" w:lineRule="exact"/>
              <w:rPr>
                <w:sz w:val="20"/>
                <w:szCs w:val="20"/>
                <w:color w:val="auto"/>
              </w:rPr>
            </w:pPr>
            <w:r>
              <w:rPr>
                <w:rFonts w:ascii="Arial" w:cs="Arial" w:eastAsia="Arial" w:hAnsi="Arial"/>
                <w:sz w:val="14"/>
                <w:szCs w:val="14"/>
                <w:color w:val="auto"/>
              </w:rPr>
              <w:t>2020</w:t>
            </w:r>
          </w:p>
        </w:tc>
        <w:tc>
          <w:tcPr>
            <w:tcW w:w="4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00" w:type="dxa"/>
            <w:vAlign w:val="bottom"/>
          </w:tcPr>
          <w:p>
            <w:pPr>
              <w:jc w:val="right"/>
              <w:spacing w:after="0" w:line="152" w:lineRule="exact"/>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line="152" w:lineRule="exact"/>
              <w:rPr>
                <w:sz w:val="20"/>
                <w:szCs w:val="20"/>
                <w:color w:val="auto"/>
              </w:rPr>
            </w:pPr>
            <w:r>
              <w:rPr>
                <w:rFonts w:ascii="Arial" w:cs="Arial" w:eastAsia="Arial" w:hAnsi="Arial"/>
                <w:sz w:val="14"/>
                <w:szCs w:val="14"/>
                <w:color w:val="auto"/>
              </w:rPr>
              <w:t>1,519</w:t>
            </w:r>
          </w:p>
        </w:tc>
        <w:tc>
          <w:tcPr>
            <w:tcW w:w="160" w:type="dxa"/>
            <w:vAlign w:val="bottom"/>
          </w:tcPr>
          <w:p>
            <w:pPr>
              <w:spacing w:after="0"/>
              <w:rPr>
                <w:sz w:val="13"/>
                <w:szCs w:val="13"/>
                <w:color w:val="auto"/>
              </w:rPr>
            </w:pPr>
          </w:p>
        </w:tc>
        <w:tc>
          <w:tcPr>
            <w:tcW w:w="280" w:type="dxa"/>
            <w:vAlign w:val="bottom"/>
          </w:tcPr>
          <w:p>
            <w:pPr>
              <w:jc w:val="right"/>
              <w:ind w:right="128"/>
              <w:spacing w:after="0" w:line="152"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52" w:lineRule="exact"/>
              <w:rPr>
                <w:sz w:val="20"/>
                <w:szCs w:val="20"/>
                <w:color w:val="auto"/>
              </w:rPr>
            </w:pPr>
            <w:r>
              <w:rPr>
                <w:rFonts w:ascii="Arial" w:cs="Arial" w:eastAsia="Arial" w:hAnsi="Arial"/>
                <w:sz w:val="14"/>
                <w:szCs w:val="14"/>
                <w:color w:val="auto"/>
              </w:rPr>
              <w:t>386</w:t>
            </w:r>
          </w:p>
        </w:tc>
        <w:tc>
          <w:tcPr>
            <w:tcW w:w="160" w:type="dxa"/>
            <w:vAlign w:val="bottom"/>
          </w:tcPr>
          <w:p>
            <w:pPr>
              <w:spacing w:after="0"/>
              <w:rPr>
                <w:sz w:val="13"/>
                <w:szCs w:val="13"/>
                <w:color w:val="auto"/>
              </w:rPr>
            </w:pPr>
          </w:p>
        </w:tc>
        <w:tc>
          <w:tcPr>
            <w:tcW w:w="1360" w:type="dxa"/>
            <w:vAlign w:val="bottom"/>
          </w:tcPr>
          <w:p>
            <w:pPr>
              <w:jc w:val="right"/>
              <w:spacing w:after="0" w:line="152" w:lineRule="exact"/>
              <w:rPr>
                <w:sz w:val="20"/>
                <w:szCs w:val="20"/>
                <w:color w:val="auto"/>
              </w:rPr>
            </w:pPr>
            <w:r>
              <w:rPr>
                <w:rFonts w:ascii="Arial" w:cs="Arial" w:eastAsia="Arial" w:hAnsi="Arial"/>
                <w:sz w:val="14"/>
                <w:szCs w:val="14"/>
                <w:color w:val="auto"/>
              </w:rPr>
              <w:t>523</w:t>
            </w:r>
          </w:p>
        </w:tc>
        <w:tc>
          <w:tcPr>
            <w:tcW w:w="38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52" w:lineRule="exact"/>
              <w:rPr>
                <w:sz w:val="20"/>
                <w:szCs w:val="20"/>
                <w:color w:val="auto"/>
              </w:rPr>
            </w:pPr>
            <w:r>
              <w:rPr>
                <w:rFonts w:ascii="Arial" w:cs="Arial" w:eastAsia="Arial" w:hAnsi="Arial"/>
                <w:sz w:val="14"/>
                <w:szCs w:val="14"/>
                <w:color w:val="auto"/>
              </w:rPr>
              <w:t>1,382</w:t>
            </w:r>
          </w:p>
        </w:tc>
        <w:tc>
          <w:tcPr>
            <w:tcW w:w="0" w:type="dxa"/>
            <w:vAlign w:val="bottom"/>
          </w:tcPr>
          <w:p>
            <w:pPr>
              <w:spacing w:after="0"/>
              <w:rPr>
                <w:sz w:val="1"/>
                <w:szCs w:val="1"/>
                <w:color w:val="auto"/>
              </w:rPr>
            </w:pPr>
          </w:p>
        </w:tc>
      </w:tr>
      <w:tr>
        <w:trPr>
          <w:trHeight w:val="152"/>
        </w:trPr>
        <w:tc>
          <w:tcPr>
            <w:tcW w:w="1540" w:type="dxa"/>
            <w:vAlign w:val="bottom"/>
            <w:shd w:val="clear" w:color="auto" w:fill="CCEEFF"/>
          </w:tcPr>
          <w:p>
            <w:pPr>
              <w:jc w:val="right"/>
              <w:ind w:right="1088"/>
              <w:spacing w:after="0" w:line="152" w:lineRule="exact"/>
              <w:rPr>
                <w:sz w:val="20"/>
                <w:szCs w:val="20"/>
                <w:color w:val="auto"/>
              </w:rPr>
            </w:pPr>
            <w:r>
              <w:rPr>
                <w:rFonts w:ascii="Arial" w:cs="Arial" w:eastAsia="Arial" w:hAnsi="Arial"/>
                <w:sz w:val="14"/>
                <w:szCs w:val="14"/>
                <w:color w:val="auto"/>
              </w:rPr>
              <w:t>2019</w:t>
            </w:r>
          </w:p>
        </w:tc>
        <w:tc>
          <w:tcPr>
            <w:tcW w:w="46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1,048</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28"/>
              <w:spacing w:after="0" w:line="152"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1,526</w:t>
            </w: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1,055</w:t>
            </w:r>
          </w:p>
        </w:tc>
        <w:tc>
          <w:tcPr>
            <w:tcW w:w="380" w:type="dxa"/>
            <w:vAlign w:val="bottom"/>
            <w:gridSpan w:val="2"/>
            <w:shd w:val="clear" w:color="auto" w:fill="CCEEFF"/>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1,519</w:t>
            </w:r>
          </w:p>
        </w:tc>
        <w:tc>
          <w:tcPr>
            <w:tcW w:w="0" w:type="dxa"/>
            <w:vAlign w:val="bottom"/>
          </w:tcPr>
          <w:p>
            <w:pPr>
              <w:spacing w:after="0"/>
              <w:rPr>
                <w:sz w:val="1"/>
                <w:szCs w:val="1"/>
                <w:color w:val="auto"/>
              </w:rPr>
            </w:pPr>
          </w:p>
        </w:tc>
      </w:tr>
      <w:tr>
        <w:trPr>
          <w:trHeight w:val="132"/>
        </w:trPr>
        <w:tc>
          <w:tcPr>
            <w:tcW w:w="5320" w:type="dxa"/>
            <w:vAlign w:val="bottom"/>
            <w:gridSpan w:val="3"/>
          </w:tcPr>
          <w:p>
            <w:pPr>
              <w:spacing w:after="0" w:line="130" w:lineRule="exact"/>
              <w:rPr>
                <w:sz w:val="20"/>
                <w:szCs w:val="20"/>
                <w:color w:val="auto"/>
              </w:rPr>
            </w:pPr>
            <w:r>
              <w:rPr>
                <w:rFonts w:ascii="Arial" w:cs="Arial" w:eastAsia="Arial" w:hAnsi="Arial"/>
                <w:sz w:val="14"/>
                <w:szCs w:val="14"/>
                <w:b w:val="1"/>
                <w:bCs w:val="1"/>
                <w:color w:val="auto"/>
              </w:rPr>
              <w:t>Tax valuation allowance</w:t>
            </w: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540" w:type="dxa"/>
            <w:vAlign w:val="bottom"/>
            <w:tcBorders>
              <w:top w:val="single" w:sz="8" w:color="auto"/>
            </w:tcBorders>
            <w:shd w:val="clear" w:color="auto" w:fill="CCEEFF"/>
          </w:tcPr>
          <w:p>
            <w:pPr>
              <w:jc w:val="right"/>
              <w:ind w:right="1088"/>
              <w:spacing w:after="0" w:line="152" w:lineRule="exact"/>
              <w:rPr>
                <w:sz w:val="20"/>
                <w:szCs w:val="20"/>
                <w:color w:val="auto"/>
              </w:rPr>
            </w:pPr>
            <w:r>
              <w:rPr>
                <w:rFonts w:ascii="Arial" w:cs="Arial" w:eastAsia="Arial" w:hAnsi="Arial"/>
                <w:sz w:val="14"/>
                <w:szCs w:val="14"/>
                <w:color w:val="auto"/>
              </w:rPr>
              <w:t>2021</w:t>
            </w:r>
          </w:p>
        </w:tc>
        <w:tc>
          <w:tcPr>
            <w:tcW w:w="46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47,056</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28"/>
              <w:spacing w:after="0" w:line="152"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20"/>
              <w:spacing w:after="0" w:line="152"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6,162</w:t>
            </w:r>
          </w:p>
        </w:tc>
        <w:tc>
          <w:tcPr>
            <w:tcW w:w="380" w:type="dxa"/>
            <w:vAlign w:val="bottom"/>
            <w:gridSpan w:val="2"/>
            <w:shd w:val="clear" w:color="auto" w:fill="CCEEFF"/>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40,894</w:t>
            </w:r>
          </w:p>
        </w:tc>
        <w:tc>
          <w:tcPr>
            <w:tcW w:w="0" w:type="dxa"/>
            <w:vAlign w:val="bottom"/>
          </w:tcPr>
          <w:p>
            <w:pPr>
              <w:spacing w:after="0"/>
              <w:rPr>
                <w:sz w:val="1"/>
                <w:szCs w:val="1"/>
                <w:color w:val="auto"/>
              </w:rPr>
            </w:pPr>
          </w:p>
        </w:tc>
      </w:tr>
      <w:tr>
        <w:trPr>
          <w:trHeight w:val="152"/>
        </w:trPr>
        <w:tc>
          <w:tcPr>
            <w:tcW w:w="1540" w:type="dxa"/>
            <w:vAlign w:val="bottom"/>
          </w:tcPr>
          <w:p>
            <w:pPr>
              <w:jc w:val="right"/>
              <w:ind w:right="1088"/>
              <w:spacing w:after="0" w:line="152" w:lineRule="exact"/>
              <w:rPr>
                <w:sz w:val="20"/>
                <w:szCs w:val="20"/>
                <w:color w:val="auto"/>
              </w:rPr>
            </w:pPr>
            <w:r>
              <w:rPr>
                <w:rFonts w:ascii="Arial" w:cs="Arial" w:eastAsia="Arial" w:hAnsi="Arial"/>
                <w:sz w:val="14"/>
                <w:szCs w:val="14"/>
                <w:color w:val="auto"/>
              </w:rPr>
              <w:t>2020</w:t>
            </w:r>
          </w:p>
        </w:tc>
        <w:tc>
          <w:tcPr>
            <w:tcW w:w="4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00" w:type="dxa"/>
            <w:vAlign w:val="bottom"/>
          </w:tcPr>
          <w:p>
            <w:pPr>
              <w:jc w:val="right"/>
              <w:spacing w:after="0" w:line="152" w:lineRule="exact"/>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line="152" w:lineRule="exact"/>
              <w:rPr>
                <w:sz w:val="20"/>
                <w:szCs w:val="20"/>
                <w:color w:val="auto"/>
              </w:rPr>
            </w:pPr>
            <w:r>
              <w:rPr>
                <w:rFonts w:ascii="Arial" w:cs="Arial" w:eastAsia="Arial" w:hAnsi="Arial"/>
                <w:sz w:val="14"/>
                <w:szCs w:val="14"/>
                <w:color w:val="auto"/>
              </w:rPr>
              <w:t>33,946</w:t>
            </w:r>
          </w:p>
        </w:tc>
        <w:tc>
          <w:tcPr>
            <w:tcW w:w="160" w:type="dxa"/>
            <w:vAlign w:val="bottom"/>
          </w:tcPr>
          <w:p>
            <w:pPr>
              <w:spacing w:after="0"/>
              <w:rPr>
                <w:sz w:val="13"/>
                <w:szCs w:val="13"/>
                <w:color w:val="auto"/>
              </w:rPr>
            </w:pPr>
          </w:p>
        </w:tc>
        <w:tc>
          <w:tcPr>
            <w:tcW w:w="280" w:type="dxa"/>
            <w:vAlign w:val="bottom"/>
          </w:tcPr>
          <w:p>
            <w:pPr>
              <w:jc w:val="right"/>
              <w:ind w:right="128"/>
              <w:spacing w:after="0" w:line="152"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52" w:lineRule="exact"/>
              <w:rPr>
                <w:sz w:val="20"/>
                <w:szCs w:val="20"/>
                <w:color w:val="auto"/>
              </w:rPr>
            </w:pPr>
            <w:r>
              <w:rPr>
                <w:rFonts w:ascii="Arial" w:cs="Arial" w:eastAsia="Arial" w:hAnsi="Arial"/>
                <w:sz w:val="14"/>
                <w:szCs w:val="14"/>
                <w:color w:val="auto"/>
              </w:rPr>
              <w:t>13,110</w:t>
            </w:r>
          </w:p>
        </w:tc>
        <w:tc>
          <w:tcPr>
            <w:tcW w:w="160" w:type="dxa"/>
            <w:vAlign w:val="bottom"/>
          </w:tcPr>
          <w:p>
            <w:pPr>
              <w:spacing w:after="0"/>
              <w:rPr>
                <w:sz w:val="13"/>
                <w:szCs w:val="13"/>
                <w:color w:val="auto"/>
              </w:rPr>
            </w:pPr>
          </w:p>
        </w:tc>
        <w:tc>
          <w:tcPr>
            <w:tcW w:w="136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52" w:lineRule="exact"/>
              <w:rPr>
                <w:sz w:val="20"/>
                <w:szCs w:val="20"/>
                <w:color w:val="auto"/>
              </w:rPr>
            </w:pPr>
            <w:r>
              <w:rPr>
                <w:rFonts w:ascii="Arial" w:cs="Arial" w:eastAsia="Arial" w:hAnsi="Arial"/>
                <w:sz w:val="14"/>
                <w:szCs w:val="14"/>
                <w:color w:val="auto"/>
              </w:rPr>
              <w:t>47,056</w:t>
            </w:r>
          </w:p>
        </w:tc>
        <w:tc>
          <w:tcPr>
            <w:tcW w:w="0" w:type="dxa"/>
            <w:vAlign w:val="bottom"/>
          </w:tcPr>
          <w:p>
            <w:pPr>
              <w:spacing w:after="0"/>
              <w:rPr>
                <w:sz w:val="1"/>
                <w:szCs w:val="1"/>
                <w:color w:val="auto"/>
              </w:rPr>
            </w:pPr>
          </w:p>
        </w:tc>
      </w:tr>
      <w:tr>
        <w:trPr>
          <w:trHeight w:val="152"/>
        </w:trPr>
        <w:tc>
          <w:tcPr>
            <w:tcW w:w="1540" w:type="dxa"/>
            <w:vAlign w:val="bottom"/>
            <w:shd w:val="clear" w:color="auto" w:fill="CCEEFF"/>
          </w:tcPr>
          <w:p>
            <w:pPr>
              <w:jc w:val="right"/>
              <w:ind w:right="1088"/>
              <w:spacing w:after="0" w:line="152" w:lineRule="exact"/>
              <w:rPr>
                <w:sz w:val="20"/>
                <w:szCs w:val="20"/>
                <w:color w:val="auto"/>
              </w:rPr>
            </w:pPr>
            <w:r>
              <w:rPr>
                <w:rFonts w:ascii="Arial" w:cs="Arial" w:eastAsia="Arial" w:hAnsi="Arial"/>
                <w:sz w:val="14"/>
                <w:szCs w:val="14"/>
                <w:color w:val="auto"/>
              </w:rPr>
              <w:t>2019</w:t>
            </w:r>
          </w:p>
        </w:tc>
        <w:tc>
          <w:tcPr>
            <w:tcW w:w="46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6,720</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28"/>
              <w:spacing w:after="0" w:line="152"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27,226</w:t>
            </w: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33,946</w:t>
            </w:r>
          </w:p>
        </w:tc>
        <w:tc>
          <w:tcPr>
            <w:tcW w:w="0" w:type="dxa"/>
            <w:vAlign w:val="bottom"/>
          </w:tcPr>
          <w:p>
            <w:pPr>
              <w:spacing w:after="0"/>
              <w:rPr>
                <w:sz w:val="1"/>
                <w:szCs w:val="1"/>
                <w:color w:val="auto"/>
              </w:rPr>
            </w:pPr>
          </w:p>
        </w:tc>
      </w:tr>
      <w:tr>
        <w:trPr>
          <w:trHeight w:val="46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771"/>
              <w:spacing w:after="0"/>
              <w:rPr>
                <w:sz w:val="20"/>
                <w:szCs w:val="20"/>
                <w:color w:val="auto"/>
              </w:rPr>
            </w:pPr>
            <w:r>
              <w:rPr>
                <w:rFonts w:ascii="Arial" w:cs="Arial" w:eastAsia="Arial" w:hAnsi="Arial"/>
                <w:sz w:val="14"/>
                <w:szCs w:val="14"/>
                <w:color w:val="auto"/>
                <w:w w:val="98"/>
              </w:rPr>
              <w:t>- 110 -</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540" w:type="dxa"/>
            <w:vAlign w:val="bottom"/>
            <w:tcBorders>
              <w:bottom w:val="single" w:sz="8" w:color="9A9A9A"/>
            </w:tcBorders>
          </w:tcPr>
          <w:p>
            <w:pPr>
              <w:spacing w:after="0"/>
              <w:rPr>
                <w:sz w:val="21"/>
                <w:szCs w:val="21"/>
                <w:color w:val="auto"/>
              </w:rPr>
            </w:pPr>
          </w:p>
        </w:tc>
        <w:tc>
          <w:tcPr>
            <w:tcW w:w="460" w:type="dxa"/>
            <w:vAlign w:val="bottom"/>
            <w:tcBorders>
              <w:bottom w:val="single" w:sz="8" w:color="9A9A9A"/>
            </w:tcBorders>
          </w:tcPr>
          <w:p>
            <w:pPr>
              <w:spacing w:after="0"/>
              <w:rPr>
                <w:sz w:val="21"/>
                <w:szCs w:val="21"/>
                <w:color w:val="auto"/>
              </w:rPr>
            </w:pPr>
          </w:p>
        </w:tc>
        <w:tc>
          <w:tcPr>
            <w:tcW w:w="332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126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280" w:type="dxa"/>
            <w:vAlign w:val="bottom"/>
            <w:tcBorders>
              <w:bottom w:val="single" w:sz="8" w:color="9A9A9A"/>
            </w:tcBorders>
          </w:tcPr>
          <w:p>
            <w:pPr>
              <w:spacing w:after="0"/>
              <w:rPr>
                <w:sz w:val="21"/>
                <w:szCs w:val="21"/>
                <w:color w:val="auto"/>
              </w:rPr>
            </w:pPr>
          </w:p>
        </w:tc>
        <w:tc>
          <w:tcPr>
            <w:tcW w:w="110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136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116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b w:val="1"/>
          <w:bCs w:val="1"/>
          <w:u w:val="single" w:color="auto"/>
          <w:color w:val="auto"/>
        </w:rPr>
        <w:t>Item 9 – Change in and Disagreements with Accountants on Accounting and Financial Disclosure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9A – Controls and Procedures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Management’s Report on Internal Control Over Financial Reporting and Attestation of Registered Public Accounting Firm</w:t>
      </w:r>
    </w:p>
    <w:p>
      <w:pPr>
        <w:spacing w:after="0" w:line="143"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Our management’s report on internal control over financial reporting and our registered public accounting firm’s audit report on the effectiveness of our internal control over financial reporting are included in Part II, Item 8 (</w:t>
      </w:r>
      <w:r>
        <w:rPr>
          <w:rFonts w:ascii="Arial" w:cs="Arial" w:eastAsia="Arial" w:hAnsi="Arial"/>
          <w:sz w:val="14"/>
          <w:szCs w:val="14"/>
          <w:i w:val="1"/>
          <w:iCs w:val="1"/>
          <w:color w:val="auto"/>
        </w:rPr>
        <w:t>Financial Statements and Supplementary Data</w:t>
      </w:r>
      <w:r>
        <w:rPr>
          <w:rFonts w:ascii="Arial" w:cs="Arial" w:eastAsia="Arial" w:hAnsi="Arial"/>
          <w:sz w:val="14"/>
          <w:szCs w:val="14"/>
          <w:color w:val="auto"/>
        </w:rPr>
        <w:t>) of this Form 10-K.</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143" w:lineRule="exact"/>
        <w:rPr>
          <w:sz w:val="20"/>
          <w:szCs w:val="20"/>
          <w:color w:val="auto"/>
        </w:rPr>
      </w:pPr>
    </w:p>
    <w:p>
      <w:pPr>
        <w:ind w:right="20"/>
        <w:spacing w:after="0" w:line="230" w:lineRule="auto"/>
        <w:rPr>
          <w:sz w:val="20"/>
          <w:szCs w:val="20"/>
          <w:color w:val="auto"/>
        </w:rPr>
      </w:pPr>
      <w:r>
        <w:rPr>
          <w:rFonts w:ascii="Arial" w:cs="Arial" w:eastAsia="Arial" w:hAnsi="Arial"/>
          <w:sz w:val="14"/>
          <w:szCs w:val="14"/>
          <w:color w:val="auto"/>
        </w:rPr>
        <w:t>We have formally adopted a policy for disclosure controls and procedures that provides guidance on the evaluation of disclosure controls and procedures and is designed to ensure that all corporate disclosure is complete and accurate in all material respects and that all information required to be disclosed in the periodic reports submitted by us under the Securities Exchange Act of 1934 is recorded, processed, summarized and reported within the time periods and in the manner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principal executive and principal financial officers, or persons performing similar functions, as appropriate to allow timely decisions regarding required disclosure. As of the end of the period covered by this report, we carried out an evaluation, under the supervision and with the participation of our Chief Executive Officer and Chief Financial Officer, of the effectiveness of our disclosure controls and procedures. A disclosure committee consisting of the principal accounting officer, and senior officers of each significant business line and other select employees assisted the Chief Executive Officer and the Chief Financial Officer in this evaluation. Based upon our evaluation, our Chief Executive Officer and Chief Financial Officer concluded that our disclosure controls and procedures were effective as required by the Securities Exchange Act Rule 13a-15I and 15d – 15I as of the end of the period covered by this report.</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Internal Controls Over Financial Reporting</w:t>
      </w:r>
    </w:p>
    <w:p>
      <w:pPr>
        <w:spacing w:after="0" w:line="143"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There were no changes in our internal control over financial reporting (as defined in Rule 13a-15(f) and 15d-15(f) under the Exchange Act) that occurred during the fourth quarter of the period covered by this report that have materially affected, or are reasonably likely to materially affect, our internal control over financial reporting.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Limitations on the Effectiveness of Controls</w:t>
      </w:r>
    </w:p>
    <w:p>
      <w:pPr>
        <w:spacing w:after="0" w:line="143"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Management is responsible for establishing and maintaining adequate internal control over financial reporting, as such term is defined in Securities Exchange Act Rules 13a-15(f) and 15d-15(f), including maintenance of (i) records that in reasonable detail accurately and fairly reflect the transactions and dispositions of our assets, and (ii) policies and procedures that provide reasonable assurance that (a) transactions are recorded as necessary to permit preparation of financial statements in accordance with accounting principles generally accepted in the United States of America,</w:t>
      </w:r>
    </w:p>
    <w:p>
      <w:pPr>
        <w:spacing w:after="0" w:line="2" w:lineRule="exact"/>
        <w:rPr>
          <w:sz w:val="20"/>
          <w:szCs w:val="20"/>
          <w:color w:val="auto"/>
        </w:rPr>
      </w:pPr>
    </w:p>
    <w:p>
      <w:pPr>
        <w:ind w:right="520" w:firstLine="7"/>
        <w:spacing w:after="0"/>
        <w:tabs>
          <w:tab w:leader="none" w:pos="205"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receipts and expenditures are being made only in accordance with authorizations of management and our Board of Directors and (c) we will prevent or timely detect unauthorized acquisition, use, or disposition of our assets that could have a material effect on the financial statements.</w:t>
      </w:r>
    </w:p>
    <w:p>
      <w:pPr>
        <w:spacing w:after="0" w:line="121" w:lineRule="exact"/>
        <w:rPr>
          <w:sz w:val="20"/>
          <w:szCs w:val="20"/>
          <w:color w:val="auto"/>
        </w:rPr>
      </w:pPr>
    </w:p>
    <w:p>
      <w:pPr>
        <w:spacing w:after="0" w:line="235" w:lineRule="auto"/>
        <w:rPr>
          <w:sz w:val="20"/>
          <w:szCs w:val="20"/>
          <w:color w:val="auto"/>
        </w:rPr>
      </w:pPr>
      <w:r>
        <w:rPr>
          <w:rFonts w:ascii="Arial" w:cs="Arial" w:eastAsia="Arial" w:hAnsi="Arial"/>
          <w:sz w:val="14"/>
          <w:szCs w:val="14"/>
          <w:color w:val="auto"/>
        </w:rPr>
        <w:t>Internal control over financial reporting cannot provide absolute assurance of achieving financial reporting objectives because of the inherent limitations of any system of internal control. Internal control over financial reporting is a process that involves human diligence and compliance and is subject to lapses of judgment and breakdowns resulting from human failures. Internal control over financial reporting also can be circumvented by collusion or improper overriding of controls. As a result of such limitations, there is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420" w:right="339" w:bottom="1440" w:gutter="0" w:footer="0" w:header="0"/>
        </w:sectPr>
      </w:pPr>
    </w:p>
    <w:bookmarkStart w:id="111" w:name="page112"/>
    <w:bookmarkEnd w:id="111"/>
    <w:p>
      <w:pPr>
        <w:jc w:val="center"/>
        <w:ind w:right="-199"/>
        <w:spacing w:after="0"/>
        <w:rPr>
          <w:sz w:val="20"/>
          <w:szCs w:val="20"/>
          <w:color w:val="auto"/>
        </w:rPr>
      </w:pPr>
      <w:r>
        <w:rPr>
          <w:rFonts w:ascii="Arial" w:cs="Arial" w:eastAsia="Arial" w:hAnsi="Arial"/>
          <w:sz w:val="20"/>
          <w:szCs w:val="20"/>
          <w:b w:val="1"/>
          <w:bCs w:val="1"/>
          <w:u w:val="single" w:color="auto"/>
          <w:color w:val="auto"/>
        </w:rPr>
        <w:t>PART III</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10, 11, 12, 13 and 14</w:t>
      </w:r>
    </w:p>
    <w:p>
      <w:pPr>
        <w:spacing w:after="0" w:line="174"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Information required by Part III (Items 10, 11, 12, 13 and 14) of this Form 10-K is hereby incorporated by reference from Reading International, Inc.’s definitive Proxy Statement for its 2022 Annual Meeting of Stockholders, which the company intends to be filed with the Securities and Exchange Commission, pursuant to Regulation 14A, not later than 120 days after the end of the fiscal year.</w:t>
      </w:r>
    </w:p>
    <w:p>
      <w:pPr>
        <w:spacing w:after="0" w:line="200" w:lineRule="exact"/>
        <w:rPr>
          <w:sz w:val="20"/>
          <w:szCs w:val="20"/>
          <w:color w:val="auto"/>
        </w:rPr>
      </w:pPr>
    </w:p>
    <w:p>
      <w:pPr>
        <w:spacing w:after="0" w:line="375"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- 112 -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100"/>
          </w:cols>
          <w:pgMar w:left="300" w:top="414" w:right="499" w:bottom="1440" w:gutter="0" w:footer="0" w:header="0"/>
        </w:sectPr>
      </w:pPr>
    </w:p>
    <w:bookmarkStart w:id="112" w:name="page113"/>
    <w:bookmarkEnd w:id="112"/>
    <w:p>
      <w:pPr>
        <w:jc w:val="center"/>
        <w:spacing w:after="0"/>
        <w:rPr>
          <w:sz w:val="20"/>
          <w:szCs w:val="20"/>
          <w:color w:val="auto"/>
        </w:rPr>
      </w:pPr>
      <w:r>
        <w:rPr>
          <w:rFonts w:ascii="Arial" w:cs="Arial" w:eastAsia="Arial" w:hAnsi="Arial"/>
          <w:sz w:val="20"/>
          <w:szCs w:val="20"/>
          <w:b w:val="1"/>
          <w:bCs w:val="1"/>
          <w:u w:val="single" w:color="auto"/>
          <w:color w:val="auto"/>
        </w:rPr>
        <w:t>PART IV</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15 – Exhibits, Financial Statement Schedules</w:t>
      </w:r>
    </w:p>
    <w:p>
      <w:pPr>
        <w:spacing w:after="0" w:line="142" w:lineRule="exact"/>
        <w:rPr>
          <w:sz w:val="20"/>
          <w:szCs w:val="20"/>
          <w:color w:val="auto"/>
        </w:rPr>
      </w:pPr>
    </w:p>
    <w:p>
      <w:pPr>
        <w:ind w:left="500" w:hanging="296"/>
        <w:spacing w:after="0"/>
        <w:tabs>
          <w:tab w:leader="none" w:pos="500" w:val="left"/>
        </w:tabs>
        <w:numPr>
          <w:ilvl w:val="0"/>
          <w:numId w:val="28"/>
        </w:numPr>
        <w:rPr>
          <w:rFonts w:ascii="Arial" w:cs="Arial" w:eastAsia="Arial" w:hAnsi="Arial"/>
          <w:sz w:val="12"/>
          <w:szCs w:val="12"/>
          <w:color w:val="auto"/>
        </w:rPr>
      </w:pPr>
      <w:r>
        <w:rPr>
          <w:rFonts w:ascii="Arial" w:cs="Arial" w:eastAsia="Arial" w:hAnsi="Arial"/>
          <w:sz w:val="13"/>
          <w:szCs w:val="13"/>
          <w:color w:val="auto"/>
        </w:rPr>
        <w:t>The following documents are filed as a part of this report:</w:t>
      </w:r>
    </w:p>
    <w:p>
      <w:pPr>
        <w:spacing w:after="0" w:line="154" w:lineRule="exact"/>
        <w:rPr>
          <w:rFonts w:ascii="Arial" w:cs="Arial" w:eastAsia="Arial" w:hAnsi="Arial"/>
          <w:sz w:val="12"/>
          <w:szCs w:val="12"/>
          <w:color w:val="auto"/>
        </w:rPr>
      </w:pPr>
    </w:p>
    <w:p>
      <w:pPr>
        <w:ind w:left="560" w:hanging="293"/>
        <w:spacing w:after="0"/>
        <w:tabs>
          <w:tab w:leader="none" w:pos="560" w:val="left"/>
        </w:tabs>
        <w:numPr>
          <w:ilvl w:val="1"/>
          <w:numId w:val="28"/>
        </w:numPr>
        <w:rPr>
          <w:rFonts w:ascii="Arial" w:cs="Arial" w:eastAsia="Arial" w:hAnsi="Arial"/>
          <w:sz w:val="13"/>
          <w:szCs w:val="13"/>
          <w:color w:val="auto"/>
        </w:rPr>
      </w:pPr>
      <w:r>
        <w:rPr>
          <w:rFonts w:ascii="Arial" w:cs="Arial" w:eastAsia="Arial" w:hAnsi="Arial"/>
          <w:sz w:val="14"/>
          <w:szCs w:val="14"/>
          <w:i w:val="1"/>
          <w:iCs w:val="1"/>
          <w:color w:val="auto"/>
        </w:rPr>
        <w:t>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 xml:space="preserve">The following financial statements are filed as part of Part II, Item 8 – </w:t>
      </w:r>
      <w:r>
        <w:rPr>
          <w:rFonts w:ascii="Arial" w:cs="Arial" w:eastAsia="Arial" w:hAnsi="Arial"/>
          <w:sz w:val="13"/>
          <w:szCs w:val="13"/>
          <w:i w:val="1"/>
          <w:iCs w:val="1"/>
          <w:color w:val="auto"/>
        </w:rPr>
        <w:t>Financial Statements and Supplementary Data</w:t>
      </w:r>
      <w:r>
        <w:rPr>
          <w:rFonts w:ascii="Arial" w:cs="Arial" w:eastAsia="Arial" w:hAnsi="Arial"/>
          <w:sz w:val="13"/>
          <w:szCs w:val="13"/>
          <w:color w:val="auto"/>
        </w:rPr>
        <w:t xml:space="preserve"> in this Annual Report on Form 10-K, as summarized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740" w:type="dxa"/>
            <w:vAlign w:val="bottom"/>
            <w:gridSpan w:val="14"/>
          </w:tcPr>
          <w:p>
            <w:pPr>
              <w:spacing w:after="0"/>
              <w:rPr>
                <w:sz w:val="20"/>
                <w:szCs w:val="20"/>
                <w:color w:val="auto"/>
              </w:rPr>
            </w:pPr>
            <w:r>
              <w:rPr>
                <w:rFonts w:ascii="Arial" w:cs="Arial" w:eastAsia="Arial" w:hAnsi="Arial"/>
                <w:sz w:val="12"/>
                <w:szCs w:val="12"/>
                <w:b w:val="1"/>
                <w:bCs w:val="1"/>
                <w:color w:val="auto"/>
              </w:rPr>
              <w:t>Description</w:t>
            </w: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Page</w:t>
            </w: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740" w:type="dxa"/>
            <w:vAlign w:val="bottom"/>
            <w:tcBorders>
              <w:right w:val="single" w:sz="8" w:color="CCEEFF"/>
            </w:tcBorders>
            <w:gridSpan w:val="14"/>
            <w:shd w:val="clear" w:color="auto" w:fill="CCEEFF"/>
          </w:tcPr>
          <w:p>
            <w:pPr>
              <w:spacing w:after="0" w:line="121" w:lineRule="exact"/>
              <w:rPr>
                <w:rFonts w:ascii="Arial" w:cs="Arial" w:eastAsia="Arial" w:hAnsi="Arial"/>
                <w:sz w:val="14"/>
                <w:szCs w:val="14"/>
                <w:color w:val="0000FF"/>
              </w:rPr>
            </w:pPr>
            <w:hyperlink w:anchor="page56">
              <w:r>
                <w:rPr>
                  <w:rFonts w:ascii="Arial" w:cs="Arial" w:eastAsia="Arial" w:hAnsi="Arial"/>
                  <w:sz w:val="14"/>
                  <w:szCs w:val="14"/>
                  <w:color w:val="0000FF"/>
                </w:rPr>
                <w:t>Management’s Report on Internal Control over Financial Reporting</w:t>
              </w:r>
            </w:hyperlink>
          </w:p>
        </w:tc>
        <w:tc>
          <w:tcPr>
            <w:tcW w:w="220" w:type="dxa"/>
            <w:vAlign w:val="bottom"/>
            <w:shd w:val="clear" w:color="auto" w:fill="CCEEFF"/>
          </w:tcPr>
          <w:p>
            <w:pPr>
              <w:jc w:val="right"/>
              <w:spacing w:after="0" w:line="121" w:lineRule="exact"/>
              <w:rPr>
                <w:sz w:val="20"/>
                <w:szCs w:val="20"/>
                <w:color w:val="auto"/>
              </w:rPr>
            </w:pPr>
            <w:r>
              <w:rPr>
                <w:rFonts w:ascii="Arial" w:cs="Arial" w:eastAsia="Arial" w:hAnsi="Arial"/>
                <w:sz w:val="14"/>
                <w:szCs w:val="14"/>
                <w:color w:val="auto"/>
              </w:rPr>
              <w:t>56</w:t>
            </w:r>
          </w:p>
        </w:tc>
        <w:tc>
          <w:tcPr>
            <w:tcW w:w="300" w:type="dxa"/>
            <w:vAlign w:val="bottom"/>
            <w:tcBorders>
              <w:left w:val="single" w:sz="8" w:color="CCEEFF"/>
            </w:tcBorders>
            <w:shd w:val="clear" w:color="auto" w:fill="CCEEFF"/>
          </w:tcPr>
          <w:p>
            <w:pPr>
              <w:spacing w:after="0"/>
              <w:rPr>
                <w:sz w:val="10"/>
                <w:szCs w:val="10"/>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10740" w:type="dxa"/>
            <w:vAlign w:val="bottom"/>
            <w:gridSpan w:val="14"/>
          </w:tcPr>
          <w:p>
            <w:pPr>
              <w:spacing w:after="0" w:line="130" w:lineRule="exact"/>
              <w:rPr>
                <w:rFonts w:ascii="Arial" w:cs="Arial" w:eastAsia="Arial" w:hAnsi="Arial"/>
                <w:sz w:val="14"/>
                <w:szCs w:val="14"/>
                <w:color w:val="0000FF"/>
              </w:rPr>
            </w:pPr>
            <w:hyperlink w:anchor="page56">
              <w:r>
                <w:rPr>
                  <w:rFonts w:ascii="Arial" w:cs="Arial" w:eastAsia="Arial" w:hAnsi="Arial"/>
                  <w:sz w:val="14"/>
                  <w:szCs w:val="14"/>
                  <w:color w:val="0000FF"/>
                </w:rPr>
                <w:t>Report of Independent Registered Public Accounting Firm (Consolidated Financial Statements)</w:t>
              </w:r>
            </w:hyperlink>
          </w:p>
        </w:tc>
        <w:tc>
          <w:tcPr>
            <w:tcW w:w="220" w:type="dxa"/>
            <w:vAlign w:val="bottom"/>
          </w:tcPr>
          <w:p>
            <w:pPr>
              <w:jc w:val="right"/>
              <w:spacing w:after="0" w:line="130" w:lineRule="exact"/>
              <w:rPr>
                <w:sz w:val="20"/>
                <w:szCs w:val="20"/>
                <w:color w:val="auto"/>
              </w:rPr>
            </w:pPr>
            <w:r>
              <w:rPr>
                <w:rFonts w:ascii="Arial" w:cs="Arial" w:eastAsia="Arial" w:hAnsi="Arial"/>
                <w:sz w:val="14"/>
                <w:szCs w:val="14"/>
                <w:color w:val="auto"/>
              </w:rPr>
              <w:t>57</w:t>
            </w:r>
          </w:p>
        </w:tc>
        <w:tc>
          <w:tcPr>
            <w:tcW w:w="30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2"/>
        </w:trPr>
        <w:tc>
          <w:tcPr>
            <w:tcW w:w="20" w:type="dxa"/>
            <w:vAlign w:val="bottom"/>
            <w:shd w:val="clear" w:color="auto" w:fill="CCEEFF"/>
          </w:tcPr>
          <w:p>
            <w:pPr>
              <w:spacing w:after="0"/>
              <w:rPr>
                <w:sz w:val="11"/>
                <w:szCs w:val="11"/>
                <w:color w:val="auto"/>
              </w:rPr>
            </w:pPr>
          </w:p>
        </w:tc>
        <w:tc>
          <w:tcPr>
            <w:tcW w:w="10740" w:type="dxa"/>
            <w:vAlign w:val="bottom"/>
            <w:tcBorders>
              <w:right w:val="single" w:sz="8" w:color="CCEEFF"/>
            </w:tcBorders>
            <w:gridSpan w:val="14"/>
            <w:shd w:val="clear" w:color="auto" w:fill="CCEEFF"/>
          </w:tcPr>
          <w:p>
            <w:pPr>
              <w:spacing w:after="0" w:line="130" w:lineRule="exact"/>
              <w:rPr>
                <w:rFonts w:ascii="Arial" w:cs="Arial" w:eastAsia="Arial" w:hAnsi="Arial"/>
                <w:sz w:val="14"/>
                <w:szCs w:val="14"/>
                <w:color w:val="0000FF"/>
              </w:rPr>
            </w:pPr>
            <w:hyperlink w:anchor="page58">
              <w:r>
                <w:rPr>
                  <w:rFonts w:ascii="Arial" w:cs="Arial" w:eastAsia="Arial" w:hAnsi="Arial"/>
                  <w:sz w:val="14"/>
                  <w:szCs w:val="14"/>
                  <w:color w:val="0000FF"/>
                </w:rPr>
                <w:t>Report of Independent Registered Public Accounting Firm (Internal Control over Financial Reporting)</w:t>
              </w:r>
            </w:hyperlink>
          </w:p>
        </w:tc>
        <w:tc>
          <w:tcPr>
            <w:tcW w:w="2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59</w:t>
            </w:r>
          </w:p>
        </w:tc>
        <w:tc>
          <w:tcPr>
            <w:tcW w:w="300" w:type="dxa"/>
            <w:vAlign w:val="bottom"/>
            <w:tcBorders>
              <w:left w:val="single" w:sz="8" w:color="CCEEFF"/>
            </w:tcBorders>
            <w:shd w:val="clear" w:color="auto" w:fill="CCEEFF"/>
          </w:tcPr>
          <w:p>
            <w:pPr>
              <w:spacing w:after="0"/>
              <w:rPr>
                <w:sz w:val="11"/>
                <w:szCs w:val="11"/>
                <w:color w:val="auto"/>
              </w:rPr>
            </w:pPr>
          </w:p>
        </w:tc>
      </w:tr>
      <w:tr>
        <w:trPr>
          <w:trHeight w:val="130"/>
        </w:trPr>
        <w:tc>
          <w:tcPr>
            <w:tcW w:w="20" w:type="dxa"/>
            <w:vAlign w:val="bottom"/>
            <w:tcBorders>
              <w:top w:val="single" w:sz="8" w:color="CCEEFF"/>
            </w:tcBorders>
          </w:tcPr>
          <w:p>
            <w:pPr>
              <w:spacing w:after="0"/>
              <w:rPr>
                <w:sz w:val="11"/>
                <w:szCs w:val="11"/>
                <w:color w:val="auto"/>
              </w:rPr>
            </w:pPr>
          </w:p>
        </w:tc>
        <w:tc>
          <w:tcPr>
            <w:tcW w:w="5920" w:type="dxa"/>
            <w:vAlign w:val="bottom"/>
            <w:tcBorders>
              <w:top w:val="single" w:sz="8" w:color="0000FF"/>
            </w:tcBorders>
            <w:gridSpan w:val="13"/>
          </w:tcPr>
          <w:p>
            <w:pPr>
              <w:spacing w:after="0" w:line="130" w:lineRule="exact"/>
              <w:rPr>
                <w:rFonts w:ascii="Arial" w:cs="Arial" w:eastAsia="Arial" w:hAnsi="Arial"/>
                <w:sz w:val="14"/>
                <w:szCs w:val="14"/>
                <w:color w:val="0000FF"/>
              </w:rPr>
            </w:pPr>
            <w:hyperlink w:anchor="page60">
              <w:r>
                <w:rPr>
                  <w:rFonts w:ascii="Arial" w:cs="Arial" w:eastAsia="Arial" w:hAnsi="Arial"/>
                  <w:sz w:val="14"/>
                  <w:szCs w:val="14"/>
                  <w:color w:val="0000FF"/>
                </w:rPr>
                <w:t>Consolidated Balance Sheets as of December 31, 2021 and 2020</w:t>
              </w:r>
            </w:hyperlink>
          </w:p>
        </w:tc>
        <w:tc>
          <w:tcPr>
            <w:tcW w:w="48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jc w:val="right"/>
              <w:spacing w:after="0" w:line="130" w:lineRule="exact"/>
              <w:rPr>
                <w:sz w:val="20"/>
                <w:szCs w:val="20"/>
                <w:color w:val="auto"/>
              </w:rPr>
            </w:pPr>
            <w:r>
              <w:rPr>
                <w:rFonts w:ascii="Arial" w:cs="Arial" w:eastAsia="Arial" w:hAnsi="Arial"/>
                <w:sz w:val="14"/>
                <w:szCs w:val="14"/>
                <w:color w:val="auto"/>
              </w:rPr>
              <w:t>60</w:t>
            </w:r>
          </w:p>
        </w:tc>
        <w:tc>
          <w:tcPr>
            <w:tcW w:w="300" w:type="dxa"/>
            <w:vAlign w:val="bottom"/>
            <w:tcBorders>
              <w:top w:val="single" w:sz="8" w:color="CCEEFF"/>
            </w:tcBorders>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0"/>
        </w:trPr>
        <w:tc>
          <w:tcPr>
            <w:tcW w:w="20" w:type="dxa"/>
            <w:vAlign w:val="bottom"/>
            <w:shd w:val="clear" w:color="auto" w:fill="CCEEFF"/>
          </w:tcPr>
          <w:p>
            <w:pPr>
              <w:spacing w:after="0"/>
              <w:rPr>
                <w:sz w:val="11"/>
                <w:szCs w:val="11"/>
                <w:color w:val="auto"/>
              </w:rPr>
            </w:pPr>
          </w:p>
        </w:tc>
        <w:tc>
          <w:tcPr>
            <w:tcW w:w="10740" w:type="dxa"/>
            <w:vAlign w:val="bottom"/>
            <w:tcBorders>
              <w:right w:val="single" w:sz="8" w:color="CCEEFF"/>
            </w:tcBorders>
            <w:gridSpan w:val="14"/>
            <w:shd w:val="clear" w:color="auto" w:fill="CCEEFF"/>
          </w:tcPr>
          <w:p>
            <w:pPr>
              <w:spacing w:after="0" w:line="130" w:lineRule="exact"/>
              <w:rPr>
                <w:rFonts w:ascii="Arial" w:cs="Arial" w:eastAsia="Arial" w:hAnsi="Arial"/>
                <w:sz w:val="14"/>
                <w:szCs w:val="14"/>
                <w:color w:val="0000FF"/>
              </w:rPr>
            </w:pPr>
            <w:hyperlink w:anchor="page62">
              <w:r>
                <w:rPr>
                  <w:rFonts w:ascii="Arial" w:cs="Arial" w:eastAsia="Arial" w:hAnsi="Arial"/>
                  <w:sz w:val="14"/>
                  <w:szCs w:val="14"/>
                  <w:color w:val="0000FF"/>
                </w:rPr>
                <w:t>Consolidated Statements of Income for the Three Years Ended December 31, 2021</w:t>
              </w:r>
            </w:hyperlink>
          </w:p>
        </w:tc>
        <w:tc>
          <w:tcPr>
            <w:tcW w:w="2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62</w:t>
            </w:r>
          </w:p>
        </w:tc>
        <w:tc>
          <w:tcPr>
            <w:tcW w:w="300" w:type="dxa"/>
            <w:vAlign w:val="bottom"/>
            <w:tcBorders>
              <w:left w:val="single" w:sz="8" w:color="CCEEFF"/>
            </w:tcBorders>
            <w:shd w:val="clear" w:color="auto" w:fill="CCEEFF"/>
          </w:tcPr>
          <w:p>
            <w:pPr>
              <w:spacing w:after="0"/>
              <w:rPr>
                <w:sz w:val="11"/>
                <w:szCs w:val="1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740" w:type="dxa"/>
            <w:vAlign w:val="bottom"/>
            <w:gridSpan w:val="14"/>
          </w:tcPr>
          <w:p>
            <w:pPr>
              <w:spacing w:after="0" w:line="130" w:lineRule="exact"/>
              <w:rPr>
                <w:rFonts w:ascii="Arial" w:cs="Arial" w:eastAsia="Arial" w:hAnsi="Arial"/>
                <w:sz w:val="14"/>
                <w:szCs w:val="14"/>
                <w:color w:val="0000FF"/>
              </w:rPr>
            </w:pPr>
            <w:hyperlink w:anchor="page63">
              <w:r>
                <w:rPr>
                  <w:rFonts w:ascii="Arial" w:cs="Arial" w:eastAsia="Arial" w:hAnsi="Arial"/>
                  <w:sz w:val="14"/>
                  <w:szCs w:val="14"/>
                  <w:color w:val="0000FF"/>
                </w:rPr>
                <w:t>Consolidated Statements of Comprehensive Income for the Three Years Ended December 31, 2021</w:t>
              </w:r>
            </w:hyperlink>
          </w:p>
        </w:tc>
        <w:tc>
          <w:tcPr>
            <w:tcW w:w="220" w:type="dxa"/>
            <w:vAlign w:val="bottom"/>
          </w:tcPr>
          <w:p>
            <w:pPr>
              <w:jc w:val="right"/>
              <w:spacing w:after="0" w:line="130" w:lineRule="exact"/>
              <w:rPr>
                <w:sz w:val="20"/>
                <w:szCs w:val="20"/>
                <w:color w:val="auto"/>
              </w:rPr>
            </w:pPr>
            <w:r>
              <w:rPr>
                <w:rFonts w:ascii="Arial" w:cs="Arial" w:eastAsia="Arial" w:hAnsi="Arial"/>
                <w:sz w:val="14"/>
                <w:szCs w:val="14"/>
                <w:color w:val="auto"/>
              </w:rPr>
              <w:t>63</w:t>
            </w:r>
          </w:p>
        </w:tc>
        <w:tc>
          <w:tcPr>
            <w:tcW w:w="300" w:type="dxa"/>
            <w:vAlign w:val="bottom"/>
          </w:tcPr>
          <w:p>
            <w:pPr>
              <w:spacing w:after="0"/>
              <w:rPr>
                <w:sz w:val="11"/>
                <w:szCs w:val="11"/>
                <w:color w:val="auto"/>
              </w:rPr>
            </w:pPr>
          </w:p>
        </w:tc>
      </w:tr>
      <w:tr>
        <w:trPr>
          <w:trHeight w:val="132"/>
        </w:trPr>
        <w:tc>
          <w:tcPr>
            <w:tcW w:w="20" w:type="dxa"/>
            <w:vAlign w:val="bottom"/>
            <w:tcBorders>
              <w:bottom w:val="single" w:sz="8" w:color="CCEEFF"/>
            </w:tcBorders>
            <w:shd w:val="clear" w:color="auto" w:fill="CCEEFF"/>
          </w:tcPr>
          <w:p>
            <w:pPr>
              <w:spacing w:after="0"/>
              <w:rPr>
                <w:sz w:val="11"/>
                <w:szCs w:val="11"/>
                <w:color w:val="auto"/>
              </w:rPr>
            </w:pPr>
          </w:p>
        </w:tc>
        <w:tc>
          <w:tcPr>
            <w:tcW w:w="5580" w:type="dxa"/>
            <w:vAlign w:val="bottom"/>
            <w:tcBorders>
              <w:top w:val="single" w:sz="8" w:color="0000FF"/>
              <w:bottom w:val="single" w:sz="8" w:color="0000FF"/>
            </w:tcBorders>
            <w:gridSpan w:val="11"/>
            <w:shd w:val="clear" w:color="auto" w:fill="CCEEFF"/>
          </w:tcPr>
          <w:p>
            <w:pPr>
              <w:spacing w:after="0" w:line="130" w:lineRule="exact"/>
              <w:rPr>
                <w:rFonts w:ascii="Arial" w:cs="Arial" w:eastAsia="Arial" w:hAnsi="Arial"/>
                <w:sz w:val="14"/>
                <w:szCs w:val="14"/>
                <w:color w:val="0000FF"/>
                <w:w w:val="92"/>
              </w:rPr>
            </w:pPr>
            <w:hyperlink w:anchor="page64">
              <w:r>
                <w:rPr>
                  <w:rFonts w:ascii="Arial" w:cs="Arial" w:eastAsia="Arial" w:hAnsi="Arial"/>
                  <w:sz w:val="14"/>
                  <w:szCs w:val="14"/>
                  <w:color w:val="0000FF"/>
                  <w:w w:val="92"/>
                </w:rPr>
                <w:t>Consolidated Statements of Stockholders’ Equity for the Three Years Ended December 31, 2021</w:t>
              </w:r>
            </w:hyperlink>
          </w:p>
        </w:tc>
        <w:tc>
          <w:tcPr>
            <w:tcW w:w="140" w:type="dxa"/>
            <w:vAlign w:val="bottom"/>
            <w:tcBorders>
              <w:top w:val="single" w:sz="8" w:color="0000FF"/>
              <w:bottom w:val="single" w:sz="8" w:color="CCEEFF"/>
            </w:tcBorders>
            <w:shd w:val="clear" w:color="auto" w:fill="CCEEFF"/>
          </w:tcPr>
          <w:p>
            <w:pPr>
              <w:spacing w:after="0"/>
              <w:rPr>
                <w:sz w:val="11"/>
                <w:szCs w:val="11"/>
                <w:color w:val="auto"/>
              </w:rPr>
            </w:pPr>
          </w:p>
        </w:tc>
        <w:tc>
          <w:tcPr>
            <w:tcW w:w="5020" w:type="dxa"/>
            <w:vAlign w:val="bottom"/>
            <w:tcBorders>
              <w:bottom w:val="single" w:sz="8" w:color="CCEEFF"/>
              <w:right w:val="single" w:sz="8" w:color="CCEEFF"/>
            </w:tcBorders>
            <w:gridSpan w:val="2"/>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64</w:t>
            </w:r>
          </w:p>
        </w:tc>
        <w:tc>
          <w:tcPr>
            <w:tcW w:w="300" w:type="dxa"/>
            <w:vAlign w:val="bottom"/>
            <w:tcBorders>
              <w:left w:val="single" w:sz="8" w:color="CCEEFF"/>
              <w:bottom w:val="single" w:sz="8" w:color="CCEEFF"/>
            </w:tcBorders>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0740" w:type="dxa"/>
            <w:vAlign w:val="bottom"/>
            <w:gridSpan w:val="14"/>
          </w:tcPr>
          <w:p>
            <w:pPr>
              <w:spacing w:after="0" w:line="130" w:lineRule="exact"/>
              <w:rPr>
                <w:rFonts w:ascii="Arial" w:cs="Arial" w:eastAsia="Arial" w:hAnsi="Arial"/>
                <w:sz w:val="14"/>
                <w:szCs w:val="14"/>
                <w:color w:val="0000FF"/>
              </w:rPr>
            </w:pPr>
            <w:hyperlink w:anchor="page65">
              <w:r>
                <w:rPr>
                  <w:rFonts w:ascii="Arial" w:cs="Arial" w:eastAsia="Arial" w:hAnsi="Arial"/>
                  <w:sz w:val="14"/>
                  <w:szCs w:val="14"/>
                  <w:color w:val="0000FF"/>
                </w:rPr>
                <w:t>Consolidated Statements of Cash Flows for the Three Years Ended December 31, 2021</w:t>
              </w:r>
            </w:hyperlink>
          </w:p>
        </w:tc>
        <w:tc>
          <w:tcPr>
            <w:tcW w:w="220" w:type="dxa"/>
            <w:vAlign w:val="bottom"/>
          </w:tcPr>
          <w:p>
            <w:pPr>
              <w:jc w:val="right"/>
              <w:spacing w:after="0" w:line="130" w:lineRule="exact"/>
              <w:rPr>
                <w:sz w:val="20"/>
                <w:szCs w:val="20"/>
                <w:color w:val="auto"/>
              </w:rPr>
            </w:pPr>
            <w:r>
              <w:rPr>
                <w:rFonts w:ascii="Arial" w:cs="Arial" w:eastAsia="Arial" w:hAnsi="Arial"/>
                <w:sz w:val="14"/>
                <w:szCs w:val="14"/>
                <w:color w:val="auto"/>
              </w:rPr>
              <w:t>65</w:t>
            </w:r>
          </w:p>
        </w:tc>
        <w:tc>
          <w:tcPr>
            <w:tcW w:w="300" w:type="dxa"/>
            <w:vAlign w:val="bottom"/>
          </w:tcPr>
          <w:p>
            <w:pPr>
              <w:spacing w:after="0"/>
              <w:rPr>
                <w:sz w:val="11"/>
                <w:szCs w:val="11"/>
                <w:color w:val="auto"/>
              </w:rPr>
            </w:pPr>
          </w:p>
        </w:tc>
      </w:tr>
      <w:tr>
        <w:trPr>
          <w:trHeight w:val="130"/>
        </w:trPr>
        <w:tc>
          <w:tcPr>
            <w:tcW w:w="20" w:type="dxa"/>
            <w:vAlign w:val="bottom"/>
            <w:shd w:val="clear" w:color="auto" w:fill="CCEEFF"/>
          </w:tcPr>
          <w:p>
            <w:pPr>
              <w:spacing w:after="0"/>
              <w:rPr>
                <w:sz w:val="11"/>
                <w:szCs w:val="11"/>
                <w:color w:val="auto"/>
              </w:rPr>
            </w:pPr>
          </w:p>
        </w:tc>
        <w:tc>
          <w:tcPr>
            <w:tcW w:w="5020" w:type="dxa"/>
            <w:vAlign w:val="bottom"/>
            <w:tcBorders>
              <w:top w:val="single" w:sz="8" w:color="0000FF"/>
            </w:tcBorders>
            <w:gridSpan w:val="9"/>
            <w:shd w:val="clear" w:color="auto" w:fill="CCEEFF"/>
          </w:tcPr>
          <w:p>
            <w:pPr>
              <w:spacing w:after="0" w:line="130" w:lineRule="exact"/>
              <w:rPr>
                <w:rFonts w:ascii="Arial" w:cs="Arial" w:eastAsia="Arial" w:hAnsi="Arial"/>
                <w:sz w:val="14"/>
                <w:szCs w:val="14"/>
                <w:color w:val="0000FF"/>
              </w:rPr>
            </w:pPr>
            <w:hyperlink w:anchor="page67">
              <w:r>
                <w:rPr>
                  <w:rFonts w:ascii="Arial" w:cs="Arial" w:eastAsia="Arial" w:hAnsi="Arial"/>
                  <w:sz w:val="14"/>
                  <w:szCs w:val="14"/>
                  <w:color w:val="0000FF"/>
                </w:rPr>
                <w:t>Notes to Consolidated Financial Statements</w:t>
              </w:r>
            </w:hyperlink>
          </w:p>
        </w:tc>
        <w:tc>
          <w:tcPr>
            <w:tcW w:w="5720" w:type="dxa"/>
            <w:vAlign w:val="bottom"/>
            <w:tcBorders>
              <w:right w:val="single" w:sz="8" w:color="CCEEFF"/>
            </w:tcBorders>
            <w:gridSpan w:val="5"/>
            <w:shd w:val="clear" w:color="auto" w:fill="CCEEFF"/>
          </w:tcPr>
          <w:p>
            <w:pPr>
              <w:spacing w:after="0"/>
              <w:rPr>
                <w:sz w:val="11"/>
                <w:szCs w:val="11"/>
                <w:color w:val="auto"/>
              </w:rPr>
            </w:pPr>
          </w:p>
        </w:tc>
        <w:tc>
          <w:tcPr>
            <w:tcW w:w="2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67</w:t>
            </w:r>
          </w:p>
        </w:tc>
        <w:tc>
          <w:tcPr>
            <w:tcW w:w="300" w:type="dxa"/>
            <w:vAlign w:val="bottom"/>
            <w:tcBorders>
              <w:left w:val="single" w:sz="8" w:color="CCEEFF"/>
            </w:tcBorders>
            <w:shd w:val="clear" w:color="auto" w:fill="CCEEFF"/>
          </w:tcPr>
          <w:p>
            <w:pPr>
              <w:spacing w:after="0"/>
              <w:rPr>
                <w:sz w:val="11"/>
                <w:szCs w:val="1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0740" w:type="dxa"/>
            <w:vAlign w:val="bottom"/>
            <w:gridSpan w:val="14"/>
          </w:tcPr>
          <w:p>
            <w:pPr>
              <w:ind w:left="240"/>
              <w:spacing w:after="0"/>
              <w:rPr>
                <w:sz w:val="20"/>
                <w:szCs w:val="20"/>
                <w:color w:val="auto"/>
              </w:rPr>
            </w:pPr>
            <w:r>
              <w:rPr>
                <w:rFonts w:ascii="Arial" w:cs="Arial" w:eastAsia="Arial" w:hAnsi="Arial"/>
                <w:sz w:val="14"/>
                <w:szCs w:val="14"/>
                <w:i w:val="1"/>
                <w:iCs w:val="1"/>
                <w:color w:val="auto"/>
              </w:rPr>
              <w:t>2. Financial Statements and Schedules for the years ended December 31, 2021, 2020, and 2019</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0740" w:type="dxa"/>
            <w:vAlign w:val="bottom"/>
            <w:gridSpan w:val="14"/>
          </w:tcPr>
          <w:p>
            <w:pPr>
              <w:spacing w:after="0"/>
              <w:rPr>
                <w:sz w:val="20"/>
                <w:szCs w:val="20"/>
                <w:color w:val="auto"/>
              </w:rPr>
            </w:pPr>
            <w:r>
              <w:rPr>
                <w:rFonts w:ascii="Arial" w:cs="Arial" w:eastAsia="Arial" w:hAnsi="Arial"/>
                <w:sz w:val="12"/>
                <w:szCs w:val="12"/>
                <w:b w:val="1"/>
                <w:bCs w:val="1"/>
                <w:color w:val="auto"/>
              </w:rPr>
              <w:t>Description</w:t>
            </w: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Page</w:t>
            </w: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23"/>
        </w:trPr>
        <w:tc>
          <w:tcPr>
            <w:tcW w:w="20" w:type="dxa"/>
            <w:vAlign w:val="bottom"/>
            <w:shd w:val="clear" w:color="auto" w:fill="CCEEFF"/>
          </w:tcPr>
          <w:p>
            <w:pPr>
              <w:spacing w:after="0"/>
              <w:rPr>
                <w:sz w:val="10"/>
                <w:szCs w:val="10"/>
                <w:color w:val="auto"/>
              </w:rPr>
            </w:pPr>
          </w:p>
        </w:tc>
        <w:tc>
          <w:tcPr>
            <w:tcW w:w="10740" w:type="dxa"/>
            <w:vAlign w:val="bottom"/>
            <w:tcBorders>
              <w:right w:val="single" w:sz="8" w:color="CCEEFF"/>
            </w:tcBorders>
            <w:gridSpan w:val="14"/>
            <w:shd w:val="clear" w:color="auto" w:fill="CCEEFF"/>
          </w:tcPr>
          <w:p>
            <w:pPr>
              <w:spacing w:after="0" w:line="121" w:lineRule="exact"/>
              <w:rPr>
                <w:rFonts w:ascii="Arial" w:cs="Arial" w:eastAsia="Arial" w:hAnsi="Arial"/>
                <w:sz w:val="14"/>
                <w:szCs w:val="14"/>
                <w:color w:val="0000FF"/>
              </w:rPr>
            </w:pPr>
            <w:hyperlink w:anchor="page110">
              <w:r>
                <w:rPr>
                  <w:rFonts w:ascii="Arial" w:cs="Arial" w:eastAsia="Arial" w:hAnsi="Arial"/>
                  <w:sz w:val="14"/>
                  <w:szCs w:val="14"/>
                  <w:color w:val="0000FF"/>
                </w:rPr>
                <w:t>Schedule II – Valuation and Qualifying Accounts</w:t>
              </w:r>
            </w:hyperlink>
          </w:p>
        </w:tc>
        <w:tc>
          <w:tcPr>
            <w:tcW w:w="220" w:type="dxa"/>
            <w:vAlign w:val="bottom"/>
            <w:shd w:val="clear" w:color="auto" w:fill="CCEEFF"/>
          </w:tcPr>
          <w:p>
            <w:pPr>
              <w:jc w:val="right"/>
              <w:spacing w:after="0" w:line="121" w:lineRule="exact"/>
              <w:rPr>
                <w:sz w:val="20"/>
                <w:szCs w:val="20"/>
                <w:color w:val="auto"/>
              </w:rPr>
            </w:pPr>
            <w:r>
              <w:rPr>
                <w:rFonts w:ascii="Arial" w:cs="Arial" w:eastAsia="Arial" w:hAnsi="Arial"/>
                <w:sz w:val="14"/>
                <w:szCs w:val="14"/>
                <w:color w:val="auto"/>
                <w:w w:val="76"/>
              </w:rPr>
              <w:t>110</w:t>
            </w:r>
          </w:p>
        </w:tc>
        <w:tc>
          <w:tcPr>
            <w:tcW w:w="300" w:type="dxa"/>
            <w:vAlign w:val="bottom"/>
            <w:tcBorders>
              <w:left w:val="single" w:sz="8" w:color="CCEEFF"/>
            </w:tcBorders>
            <w:shd w:val="clear" w:color="auto" w:fill="CCEEFF"/>
          </w:tcPr>
          <w:p>
            <w:pPr>
              <w:spacing w:after="0"/>
              <w:rPr>
                <w:sz w:val="10"/>
                <w:szCs w:val="10"/>
                <w:color w:val="auto"/>
              </w:rPr>
            </w:pPr>
          </w:p>
        </w:tc>
      </w:tr>
      <w:tr>
        <w:trPr>
          <w:trHeight w:val="282"/>
        </w:trPr>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0000FF"/>
            </w:tcBorders>
          </w:tcPr>
          <w:p>
            <w:pPr>
              <w:ind w:left="240"/>
              <w:spacing w:after="0"/>
              <w:rPr>
                <w:sz w:val="20"/>
                <w:szCs w:val="20"/>
                <w:color w:val="auto"/>
              </w:rPr>
            </w:pPr>
            <w:r>
              <w:rPr>
                <w:rFonts w:ascii="Arial" w:cs="Arial" w:eastAsia="Arial" w:hAnsi="Arial"/>
                <w:sz w:val="14"/>
                <w:szCs w:val="14"/>
                <w:color w:val="auto"/>
              </w:rPr>
              <w:t>3.</w:t>
            </w:r>
          </w:p>
        </w:tc>
        <w:tc>
          <w:tcPr>
            <w:tcW w:w="2420" w:type="dxa"/>
            <w:vAlign w:val="bottom"/>
            <w:tcBorders>
              <w:top w:val="single" w:sz="8" w:color="0000FF"/>
            </w:tcBorders>
            <w:gridSpan w:val="4"/>
          </w:tcPr>
          <w:p>
            <w:pPr>
              <w:spacing w:after="0"/>
              <w:rPr>
                <w:rFonts w:ascii="Arial" w:cs="Arial" w:eastAsia="Arial" w:hAnsi="Arial"/>
                <w:sz w:val="14"/>
                <w:szCs w:val="14"/>
                <w:i w:val="1"/>
                <w:iCs w:val="1"/>
                <w:color w:val="0000FF"/>
              </w:rPr>
            </w:pPr>
            <w:hyperlink w:anchor="page114">
              <w:r>
                <w:rPr>
                  <w:rFonts w:ascii="Arial" w:cs="Arial" w:eastAsia="Arial" w:hAnsi="Arial"/>
                  <w:sz w:val="14"/>
                  <w:szCs w:val="14"/>
                  <w:i w:val="1"/>
                  <w:iCs w:val="1"/>
                  <w:color w:val="0000FF"/>
                </w:rPr>
                <w:t>Exhibits</w:t>
              </w:r>
            </w:hyperlink>
          </w:p>
        </w:tc>
        <w:tc>
          <w:tcPr>
            <w:tcW w:w="7900" w:type="dxa"/>
            <w:vAlign w:val="bottom"/>
            <w:tcBorders>
              <w:top w:val="single" w:sz="8" w:color="CCEEFF"/>
            </w:tcBorders>
            <w:gridSpan w:val="9"/>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840" w:type="dxa"/>
            <w:vAlign w:val="bottom"/>
            <w:gridSpan w:val="1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15"/>
        </w:trPr>
        <w:tc>
          <w:tcPr>
            <w:tcW w:w="20" w:type="dxa"/>
            <w:vAlign w:val="bottom"/>
          </w:tcPr>
          <w:p>
            <w:pPr>
              <w:spacing w:after="0"/>
              <w:rPr>
                <w:sz w:val="24"/>
                <w:szCs w:val="24"/>
                <w:color w:val="auto"/>
              </w:rPr>
            </w:pPr>
          </w:p>
        </w:tc>
        <w:tc>
          <w:tcPr>
            <w:tcW w:w="420" w:type="dxa"/>
            <w:vAlign w:val="bottom"/>
          </w:tcPr>
          <w:p>
            <w:pPr>
              <w:ind w:left="240"/>
              <w:spacing w:after="0"/>
              <w:rPr>
                <w:sz w:val="20"/>
                <w:szCs w:val="20"/>
                <w:color w:val="auto"/>
              </w:rPr>
            </w:pPr>
            <w:r>
              <w:rPr>
                <w:rFonts w:ascii="Arial" w:cs="Arial" w:eastAsia="Arial" w:hAnsi="Arial"/>
                <w:sz w:val="14"/>
                <w:szCs w:val="14"/>
                <w:color w:val="auto"/>
                <w:w w:val="93"/>
              </w:rPr>
              <w:t>(b)</w:t>
            </w:r>
          </w:p>
        </w:tc>
        <w:tc>
          <w:tcPr>
            <w:tcW w:w="10320" w:type="dxa"/>
            <w:vAlign w:val="bottom"/>
            <w:gridSpan w:val="13"/>
          </w:tcPr>
          <w:p>
            <w:pPr>
              <w:ind w:left="60"/>
              <w:spacing w:after="0"/>
              <w:rPr>
                <w:sz w:val="20"/>
                <w:szCs w:val="20"/>
                <w:color w:val="auto"/>
              </w:rPr>
            </w:pPr>
            <w:r>
              <w:rPr>
                <w:rFonts w:ascii="Arial" w:cs="Arial" w:eastAsia="Arial" w:hAnsi="Arial"/>
                <w:sz w:val="14"/>
                <w:szCs w:val="14"/>
                <w:color w:val="auto"/>
              </w:rPr>
              <w:t>Exhibits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See Item (a) 3. Above.</w:t>
      </w:r>
    </w:p>
    <w:p>
      <w:pPr>
        <w:spacing w:after="0" w:line="143" w:lineRule="exact"/>
        <w:rPr>
          <w:sz w:val="20"/>
          <w:szCs w:val="20"/>
          <w:color w:val="auto"/>
        </w:rPr>
      </w:pPr>
    </w:p>
    <w:p>
      <w:pPr>
        <w:ind w:left="260" w:right="9180" w:firstLine="7"/>
        <w:spacing w:after="0" w:line="605" w:lineRule="auto"/>
        <w:tabs>
          <w:tab w:leader="none" w:pos="3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Financial Statement Schedule See Item (a) 2. Above.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414" w:right="319" w:bottom="144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20"/>
          <w:szCs w:val="20"/>
          <w:b w:val="1"/>
          <w:bCs w:val="1"/>
          <w:u w:val="single" w:color="auto"/>
          <w:color w:val="auto"/>
        </w:rPr>
        <w:t>EXHIBITS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Exhibit</w:t>
      </w:r>
    </w:p>
    <w:p>
      <w:pPr>
        <w:ind w:left="100"/>
        <w:spacing w:after="0"/>
        <w:tabs>
          <w:tab w:leader="none" w:pos="2820" w:val="left"/>
          <w:tab w:leader="none" w:pos="7100" w:val="left"/>
        </w:tabs>
        <w:rPr>
          <w:sz w:val="20"/>
          <w:szCs w:val="20"/>
          <w:color w:val="auto"/>
        </w:rPr>
      </w:pPr>
      <w:r>
        <w:rPr>
          <w:rFonts w:ascii="Arial" w:cs="Arial" w:eastAsia="Arial" w:hAnsi="Arial"/>
          <w:sz w:val="12"/>
          <w:szCs w:val="12"/>
          <w:b w:val="1"/>
          <w:bCs w:val="1"/>
          <w:color w:val="auto"/>
        </w:rPr>
        <w:t>No.</w:t>
      </w:r>
      <w:r>
        <w:rPr>
          <w:sz w:val="20"/>
          <w:szCs w:val="20"/>
          <w:color w:val="auto"/>
        </w:rPr>
        <w:tab/>
      </w:r>
      <w:r>
        <w:rPr>
          <w:rFonts w:ascii="Arial" w:cs="Arial" w:eastAsia="Arial" w:hAnsi="Arial"/>
          <w:sz w:val="12"/>
          <w:szCs w:val="12"/>
          <w:b w:val="1"/>
          <w:bCs w:val="1"/>
          <w:color w:val="auto"/>
        </w:rPr>
        <w:t>Description</w:t>
      </w:r>
      <w:r>
        <w:rPr>
          <w:sz w:val="20"/>
          <w:szCs w:val="20"/>
          <w:color w:val="auto"/>
        </w:rPr>
        <w:tab/>
      </w:r>
      <w:r>
        <w:rPr>
          <w:rFonts w:ascii="Arial" w:cs="Arial" w:eastAsia="Arial" w:hAnsi="Arial"/>
          <w:sz w:val="10"/>
          <w:szCs w:val="10"/>
          <w:b w:val="1"/>
          <w:bCs w:val="1"/>
          <w:color w:val="auto"/>
        </w:rPr>
        <w:t>Links for Exhibits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-6985</wp:posOffset>
            </wp:positionV>
            <wp:extent cx="7159625" cy="1790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9625" cy="179070"/>
                    </a:xfrm>
                    <a:prstGeom prst="rect">
                      <a:avLst/>
                    </a:prstGeom>
                    <a:noFill/>
                  </pic:spPr>
                </pic:pic>
              </a:graphicData>
            </a:graphic>
          </wp:anchor>
        </w:drawing>
      </w:r>
    </w:p>
    <w:p>
      <w:pPr>
        <w:sectPr>
          <w:pgSz w:w="11900" w:h="16838" w:orient="portrait"/>
          <w:cols w:equalWidth="0" w:num="1">
            <w:col w:w="10820"/>
          </w:cols>
          <w:pgMar w:left="640" w:top="414" w:right="439" w:bottom="1440" w:gutter="0" w:footer="0" w:header="0"/>
        </w:sectPr>
      </w:pPr>
    </w:p>
    <w:tbl>
      <w:tblPr>
        <w:tblLayout w:type="fixed"/>
        <w:tblInd w:w="0" w:type="dxa"/>
        <w:tblCellMar>
          <w:top w:w="0" w:type="dxa"/>
          <w:left w:w="0" w:type="dxa"/>
          <w:bottom w:w="0" w:type="dxa"/>
          <w:right w:w="0" w:type="dxa"/>
        </w:tblCellMar>
      </w:tblPr>
      <w:tr>
        <w:trPr>
          <w:trHeight w:val="122"/>
        </w:trPr>
        <w:tc>
          <w:tcPr>
            <w:tcW w:w="540" w:type="dxa"/>
            <w:vAlign w:val="bottom"/>
          </w:tcPr>
          <w:p>
            <w:pPr>
              <w:jc w:val="center"/>
              <w:ind w:right="75"/>
              <w:spacing w:after="0" w:line="122" w:lineRule="exact"/>
              <w:rPr>
                <w:sz w:val="20"/>
                <w:szCs w:val="20"/>
                <w:color w:val="auto"/>
              </w:rPr>
            </w:pPr>
            <w:r>
              <w:rPr>
                <w:rFonts w:ascii="Arial" w:cs="Arial" w:eastAsia="Arial" w:hAnsi="Arial"/>
                <w:sz w:val="13"/>
                <w:szCs w:val="13"/>
                <w:color w:val="auto"/>
                <w:w w:val="88"/>
              </w:rPr>
              <w:t>3.1</w:t>
            </w:r>
          </w:p>
        </w:tc>
        <w:tc>
          <w:tcPr>
            <w:tcW w:w="4940" w:type="dxa"/>
            <w:vAlign w:val="bottom"/>
          </w:tcPr>
          <w:p>
            <w:pPr>
              <w:ind w:left="180"/>
              <w:spacing w:after="0" w:line="122" w:lineRule="exact"/>
              <w:rPr>
                <w:sz w:val="20"/>
                <w:szCs w:val="20"/>
                <w:color w:val="auto"/>
              </w:rPr>
            </w:pPr>
            <w:r>
              <w:rPr>
                <w:rFonts w:ascii="Arial" w:cs="Arial" w:eastAsia="Arial" w:hAnsi="Arial"/>
                <w:sz w:val="13"/>
                <w:szCs w:val="13"/>
                <w:color w:val="auto"/>
                <w:w w:val="93"/>
              </w:rPr>
              <w:t>Amended and Restated Articles of Incorporation of Reading International, Inc., a Nevada</w:t>
            </w:r>
          </w:p>
        </w:tc>
        <w:tc>
          <w:tcPr>
            <w:tcW w:w="0" w:type="dxa"/>
            <w:vAlign w:val="bottom"/>
          </w:tcPr>
          <w:p>
            <w:pPr>
              <w:spacing w:after="0"/>
              <w:rPr>
                <w:sz w:val="1"/>
                <w:szCs w:val="1"/>
                <w:color w:val="auto"/>
              </w:rPr>
            </w:pPr>
          </w:p>
        </w:tc>
      </w:tr>
      <w:tr>
        <w:trPr>
          <w:trHeight w:val="130"/>
        </w:trPr>
        <w:tc>
          <w:tcPr>
            <w:tcW w:w="540" w:type="dxa"/>
            <w:vAlign w:val="bottom"/>
            <w:vMerge w:val="restart"/>
          </w:tcPr>
          <w:p>
            <w:pPr>
              <w:jc w:val="center"/>
              <w:ind w:right="75"/>
              <w:spacing w:after="0"/>
              <w:rPr>
                <w:sz w:val="20"/>
                <w:szCs w:val="20"/>
                <w:color w:val="auto"/>
              </w:rPr>
            </w:pPr>
            <w:r>
              <w:rPr>
                <w:rFonts w:ascii="Arial" w:cs="Arial" w:eastAsia="Arial" w:hAnsi="Arial"/>
                <w:sz w:val="13"/>
                <w:szCs w:val="13"/>
                <w:color w:val="auto"/>
                <w:w w:val="88"/>
              </w:rPr>
              <w:t>3.2</w:t>
            </w: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rPr>
              <w:t>corporation, effective as of August 6, 2014</w:t>
            </w:r>
          </w:p>
        </w:tc>
        <w:tc>
          <w:tcPr>
            <w:tcW w:w="0" w:type="dxa"/>
            <w:vAlign w:val="bottom"/>
          </w:tcPr>
          <w:p>
            <w:pPr>
              <w:spacing w:after="0"/>
              <w:rPr>
                <w:sz w:val="1"/>
                <w:szCs w:val="1"/>
                <w:color w:val="auto"/>
              </w:rPr>
            </w:pPr>
          </w:p>
        </w:tc>
      </w:tr>
      <w:tr>
        <w:trPr>
          <w:trHeight w:val="141"/>
        </w:trPr>
        <w:tc>
          <w:tcPr>
            <w:tcW w:w="540" w:type="dxa"/>
            <w:vAlign w:val="bottom"/>
            <w:vMerge w:val="continue"/>
          </w:tcPr>
          <w:p>
            <w:pPr>
              <w:spacing w:after="0"/>
              <w:rPr>
                <w:sz w:val="12"/>
                <w:szCs w:val="12"/>
                <w:color w:val="auto"/>
              </w:rPr>
            </w:pPr>
          </w:p>
        </w:tc>
        <w:tc>
          <w:tcPr>
            <w:tcW w:w="4940" w:type="dxa"/>
            <w:vAlign w:val="bottom"/>
          </w:tcPr>
          <w:p>
            <w:pPr>
              <w:ind w:left="180"/>
              <w:spacing w:after="0" w:line="141" w:lineRule="exact"/>
              <w:rPr>
                <w:sz w:val="20"/>
                <w:szCs w:val="20"/>
                <w:color w:val="auto"/>
              </w:rPr>
            </w:pPr>
            <w:r>
              <w:rPr>
                <w:rFonts w:ascii="Arial" w:cs="Arial" w:eastAsia="Arial" w:hAnsi="Arial"/>
                <w:sz w:val="13"/>
                <w:szCs w:val="13"/>
                <w:color w:val="auto"/>
                <w:w w:val="97"/>
              </w:rPr>
              <w:t>Amended and Restated Bylaws of Reading International, Inc., a Nevada corporation,</w:t>
            </w:r>
          </w:p>
        </w:tc>
        <w:tc>
          <w:tcPr>
            <w:tcW w:w="0" w:type="dxa"/>
            <w:vAlign w:val="bottom"/>
          </w:tcPr>
          <w:p>
            <w:pPr>
              <w:spacing w:after="0"/>
              <w:rPr>
                <w:sz w:val="1"/>
                <w:szCs w:val="1"/>
                <w:color w:val="auto"/>
              </w:rPr>
            </w:pPr>
          </w:p>
        </w:tc>
      </w:tr>
      <w:tr>
        <w:trPr>
          <w:trHeight w:val="163"/>
        </w:trPr>
        <w:tc>
          <w:tcPr>
            <w:tcW w:w="540" w:type="dxa"/>
            <w:vAlign w:val="bottom"/>
            <w:vMerge w:val="restart"/>
          </w:tcPr>
          <w:p>
            <w:pPr>
              <w:jc w:val="center"/>
              <w:ind w:right="75"/>
              <w:spacing w:after="0"/>
              <w:rPr>
                <w:sz w:val="20"/>
                <w:szCs w:val="20"/>
                <w:color w:val="auto"/>
              </w:rPr>
            </w:pPr>
            <w:r>
              <w:rPr>
                <w:rFonts w:ascii="Arial" w:cs="Arial" w:eastAsia="Arial" w:hAnsi="Arial"/>
                <w:sz w:val="13"/>
                <w:szCs w:val="13"/>
                <w:color w:val="auto"/>
                <w:w w:val="88"/>
              </w:rPr>
              <w:t>4.1</w:t>
            </w:r>
          </w:p>
        </w:tc>
        <w:tc>
          <w:tcPr>
            <w:tcW w:w="4940" w:type="dxa"/>
            <w:vAlign w:val="bottom"/>
          </w:tcPr>
          <w:p>
            <w:pPr>
              <w:ind w:left="180"/>
              <w:spacing w:after="0" w:line="163" w:lineRule="exact"/>
              <w:rPr>
                <w:sz w:val="20"/>
                <w:szCs w:val="20"/>
                <w:color w:val="auto"/>
              </w:rPr>
            </w:pPr>
            <w:r>
              <w:rPr>
                <w:rFonts w:ascii="Arial" w:cs="Arial" w:eastAsia="Arial" w:hAnsi="Arial"/>
                <w:sz w:val="12"/>
                <w:szCs w:val="12"/>
                <w:color w:val="auto"/>
              </w:rPr>
              <w:t>effective as of November 7, 2017</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130"/>
        </w:trPr>
        <w:tc>
          <w:tcPr>
            <w:tcW w:w="540" w:type="dxa"/>
            <w:vAlign w:val="bottom"/>
            <w:vMerge w:val="continue"/>
          </w:tcPr>
          <w:p>
            <w:pPr>
              <w:spacing w:after="0"/>
              <w:rPr>
                <w:sz w:val="11"/>
                <w:szCs w:val="11"/>
                <w:color w:val="auto"/>
              </w:rPr>
            </w:pP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w w:val="95"/>
              </w:rPr>
              <w:t>Form of Preferred Securities Certificate evidencing the preferred securities of Reading</w:t>
            </w:r>
          </w:p>
        </w:tc>
        <w:tc>
          <w:tcPr>
            <w:tcW w:w="0" w:type="dxa"/>
            <w:vAlign w:val="bottom"/>
          </w:tcPr>
          <w:p>
            <w:pPr>
              <w:spacing w:after="0"/>
              <w:rPr>
                <w:sz w:val="1"/>
                <w:szCs w:val="1"/>
                <w:color w:val="auto"/>
              </w:rPr>
            </w:pPr>
          </w:p>
        </w:tc>
      </w:tr>
      <w:tr>
        <w:trPr>
          <w:trHeight w:val="130"/>
        </w:trPr>
        <w:tc>
          <w:tcPr>
            <w:tcW w:w="540" w:type="dxa"/>
            <w:vAlign w:val="bottom"/>
            <w:vMerge w:val="restart"/>
          </w:tcPr>
          <w:p>
            <w:pPr>
              <w:jc w:val="center"/>
              <w:ind w:right="75"/>
              <w:spacing w:after="0"/>
              <w:rPr>
                <w:sz w:val="20"/>
                <w:szCs w:val="20"/>
                <w:color w:val="auto"/>
              </w:rPr>
            </w:pPr>
            <w:r>
              <w:rPr>
                <w:rFonts w:ascii="Arial" w:cs="Arial" w:eastAsia="Arial" w:hAnsi="Arial"/>
                <w:sz w:val="13"/>
                <w:szCs w:val="13"/>
                <w:color w:val="auto"/>
                <w:w w:val="88"/>
              </w:rPr>
              <w:t>4.2</w:t>
            </w: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rPr>
              <w:t>International Trust I</w:t>
            </w:r>
          </w:p>
        </w:tc>
        <w:tc>
          <w:tcPr>
            <w:tcW w:w="0" w:type="dxa"/>
            <w:vAlign w:val="bottom"/>
          </w:tcPr>
          <w:p>
            <w:pPr>
              <w:spacing w:after="0"/>
              <w:rPr>
                <w:sz w:val="1"/>
                <w:szCs w:val="1"/>
                <w:color w:val="auto"/>
              </w:rPr>
            </w:pPr>
          </w:p>
        </w:tc>
      </w:tr>
      <w:tr>
        <w:trPr>
          <w:trHeight w:val="130"/>
        </w:trPr>
        <w:tc>
          <w:tcPr>
            <w:tcW w:w="540" w:type="dxa"/>
            <w:vAlign w:val="bottom"/>
            <w:vMerge w:val="continue"/>
          </w:tcPr>
          <w:p>
            <w:pPr>
              <w:spacing w:after="0"/>
              <w:rPr>
                <w:sz w:val="11"/>
                <w:szCs w:val="11"/>
                <w:color w:val="auto"/>
              </w:rPr>
            </w:pP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rPr>
              <w:t>Form of Common Securities Certificate evidencing common securities of Reading</w:t>
            </w:r>
          </w:p>
        </w:tc>
        <w:tc>
          <w:tcPr>
            <w:tcW w:w="0" w:type="dxa"/>
            <w:vAlign w:val="bottom"/>
          </w:tcPr>
          <w:p>
            <w:pPr>
              <w:spacing w:after="0"/>
              <w:rPr>
                <w:sz w:val="1"/>
                <w:szCs w:val="1"/>
                <w:color w:val="auto"/>
              </w:rPr>
            </w:pPr>
          </w:p>
        </w:tc>
      </w:tr>
      <w:tr>
        <w:trPr>
          <w:trHeight w:val="130"/>
        </w:trPr>
        <w:tc>
          <w:tcPr>
            <w:tcW w:w="540" w:type="dxa"/>
            <w:vAlign w:val="bottom"/>
            <w:vMerge w:val="restart"/>
          </w:tcPr>
          <w:p>
            <w:pPr>
              <w:jc w:val="center"/>
              <w:ind w:right="75"/>
              <w:spacing w:after="0"/>
              <w:rPr>
                <w:sz w:val="20"/>
                <w:szCs w:val="20"/>
                <w:color w:val="auto"/>
              </w:rPr>
            </w:pPr>
            <w:r>
              <w:rPr>
                <w:rFonts w:ascii="Arial" w:cs="Arial" w:eastAsia="Arial" w:hAnsi="Arial"/>
                <w:sz w:val="13"/>
                <w:szCs w:val="13"/>
                <w:color w:val="auto"/>
                <w:w w:val="88"/>
              </w:rPr>
              <w:t>4.3</w:t>
            </w: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rPr>
              <w:t>International Trust I</w:t>
            </w:r>
          </w:p>
        </w:tc>
        <w:tc>
          <w:tcPr>
            <w:tcW w:w="0" w:type="dxa"/>
            <w:vAlign w:val="bottom"/>
          </w:tcPr>
          <w:p>
            <w:pPr>
              <w:spacing w:after="0"/>
              <w:rPr>
                <w:sz w:val="1"/>
                <w:szCs w:val="1"/>
                <w:color w:val="auto"/>
              </w:rPr>
            </w:pPr>
          </w:p>
        </w:tc>
      </w:tr>
      <w:tr>
        <w:trPr>
          <w:trHeight w:val="130"/>
        </w:trPr>
        <w:tc>
          <w:tcPr>
            <w:tcW w:w="540" w:type="dxa"/>
            <w:vAlign w:val="bottom"/>
            <w:vMerge w:val="continue"/>
          </w:tcPr>
          <w:p>
            <w:pPr>
              <w:spacing w:after="0"/>
              <w:rPr>
                <w:sz w:val="11"/>
                <w:szCs w:val="11"/>
                <w:color w:val="auto"/>
              </w:rPr>
            </w:pP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rPr>
              <w:t>Form of Reading International, Inc. and Reading New Zealand, Limited, Junior</w:t>
            </w:r>
          </w:p>
        </w:tc>
        <w:tc>
          <w:tcPr>
            <w:tcW w:w="0" w:type="dxa"/>
            <w:vAlign w:val="bottom"/>
          </w:tcPr>
          <w:p>
            <w:pPr>
              <w:spacing w:after="0"/>
              <w:rPr>
                <w:sz w:val="1"/>
                <w:szCs w:val="1"/>
                <w:color w:val="auto"/>
              </w:rPr>
            </w:pPr>
          </w:p>
        </w:tc>
      </w:tr>
      <w:tr>
        <w:trPr>
          <w:trHeight w:val="130"/>
        </w:trPr>
        <w:tc>
          <w:tcPr>
            <w:tcW w:w="540" w:type="dxa"/>
            <w:vAlign w:val="bottom"/>
            <w:vMerge w:val="restart"/>
          </w:tcPr>
          <w:p>
            <w:pPr>
              <w:jc w:val="center"/>
              <w:ind w:right="75"/>
              <w:spacing w:after="0"/>
              <w:rPr>
                <w:sz w:val="20"/>
                <w:szCs w:val="20"/>
                <w:color w:val="auto"/>
              </w:rPr>
            </w:pPr>
            <w:r>
              <w:rPr>
                <w:rFonts w:ascii="Arial" w:cs="Arial" w:eastAsia="Arial" w:hAnsi="Arial"/>
                <w:sz w:val="13"/>
                <w:szCs w:val="13"/>
                <w:color w:val="auto"/>
                <w:w w:val="88"/>
              </w:rPr>
              <w:t>4.4</w:t>
            </w: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rPr>
              <w:t>Subordinated Note due 2027</w:t>
            </w:r>
          </w:p>
        </w:tc>
        <w:tc>
          <w:tcPr>
            <w:tcW w:w="0" w:type="dxa"/>
            <w:vAlign w:val="bottom"/>
          </w:tcPr>
          <w:p>
            <w:pPr>
              <w:spacing w:after="0"/>
              <w:rPr>
                <w:sz w:val="1"/>
                <w:szCs w:val="1"/>
                <w:color w:val="auto"/>
              </w:rPr>
            </w:pPr>
          </w:p>
        </w:tc>
      </w:tr>
      <w:tr>
        <w:trPr>
          <w:trHeight w:val="130"/>
        </w:trPr>
        <w:tc>
          <w:tcPr>
            <w:tcW w:w="540" w:type="dxa"/>
            <w:vAlign w:val="bottom"/>
            <w:vMerge w:val="continue"/>
          </w:tcPr>
          <w:p>
            <w:pPr>
              <w:spacing w:after="0"/>
              <w:rPr>
                <w:sz w:val="11"/>
                <w:szCs w:val="11"/>
                <w:color w:val="auto"/>
              </w:rPr>
            </w:pP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w w:val="94"/>
              </w:rPr>
              <w:t>Indenture among Reading International, Inc., Reading New Zealand Limited, and Wells</w:t>
            </w:r>
          </w:p>
        </w:tc>
        <w:tc>
          <w:tcPr>
            <w:tcW w:w="0" w:type="dxa"/>
            <w:vAlign w:val="bottom"/>
          </w:tcPr>
          <w:p>
            <w:pPr>
              <w:spacing w:after="0"/>
              <w:rPr>
                <w:sz w:val="1"/>
                <w:szCs w:val="1"/>
                <w:color w:val="auto"/>
              </w:rPr>
            </w:pPr>
          </w:p>
        </w:tc>
      </w:tr>
      <w:tr>
        <w:trPr>
          <w:trHeight w:val="130"/>
        </w:trPr>
        <w:tc>
          <w:tcPr>
            <w:tcW w:w="540" w:type="dxa"/>
            <w:vAlign w:val="bottom"/>
            <w:vMerge w:val="restart"/>
          </w:tcPr>
          <w:p>
            <w:pPr>
              <w:jc w:val="center"/>
              <w:ind w:right="75"/>
              <w:spacing w:after="0"/>
              <w:rPr>
                <w:sz w:val="20"/>
                <w:szCs w:val="20"/>
                <w:color w:val="auto"/>
              </w:rPr>
            </w:pPr>
            <w:r>
              <w:rPr>
                <w:rFonts w:ascii="Arial" w:cs="Arial" w:eastAsia="Arial" w:hAnsi="Arial"/>
                <w:sz w:val="13"/>
                <w:szCs w:val="13"/>
                <w:color w:val="auto"/>
                <w:w w:val="88"/>
              </w:rPr>
              <w:t>4.5</w:t>
            </w: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rPr>
              <w:t>Fargo Bank, N.A., as indenture trustee.</w:t>
            </w:r>
          </w:p>
        </w:tc>
        <w:tc>
          <w:tcPr>
            <w:tcW w:w="0" w:type="dxa"/>
            <w:vAlign w:val="bottom"/>
          </w:tcPr>
          <w:p>
            <w:pPr>
              <w:spacing w:after="0"/>
              <w:rPr>
                <w:sz w:val="1"/>
                <w:szCs w:val="1"/>
                <w:color w:val="auto"/>
              </w:rPr>
            </w:pPr>
          </w:p>
        </w:tc>
      </w:tr>
      <w:tr>
        <w:trPr>
          <w:trHeight w:val="164"/>
        </w:trPr>
        <w:tc>
          <w:tcPr>
            <w:tcW w:w="540" w:type="dxa"/>
            <w:vAlign w:val="bottom"/>
            <w:vMerge w:val="continue"/>
          </w:tcPr>
          <w:p>
            <w:pPr>
              <w:spacing w:after="0"/>
              <w:rPr>
                <w:sz w:val="14"/>
                <w:szCs w:val="14"/>
                <w:color w:val="auto"/>
              </w:rPr>
            </w:pPr>
          </w:p>
        </w:tc>
        <w:tc>
          <w:tcPr>
            <w:tcW w:w="4940" w:type="dxa"/>
            <w:vAlign w:val="bottom"/>
          </w:tcPr>
          <w:p>
            <w:pPr>
              <w:ind w:left="180"/>
              <w:spacing w:after="0"/>
              <w:rPr>
                <w:sz w:val="20"/>
                <w:szCs w:val="20"/>
                <w:color w:val="auto"/>
              </w:rPr>
            </w:pPr>
            <w:r>
              <w:rPr>
                <w:rFonts w:ascii="Arial" w:cs="Arial" w:eastAsia="Arial" w:hAnsi="Arial"/>
                <w:sz w:val="13"/>
                <w:szCs w:val="13"/>
                <w:color w:val="auto"/>
              </w:rPr>
              <w:t>Form of Indenture</w:t>
            </w:r>
          </w:p>
        </w:tc>
        <w:tc>
          <w:tcPr>
            <w:tcW w:w="0" w:type="dxa"/>
            <w:vAlign w:val="bottom"/>
          </w:tcPr>
          <w:p>
            <w:pPr>
              <w:spacing w:after="0"/>
              <w:rPr>
                <w:sz w:val="1"/>
                <w:szCs w:val="1"/>
                <w:color w:val="auto"/>
              </w:rPr>
            </w:pPr>
          </w:p>
        </w:tc>
      </w:tr>
      <w:tr>
        <w:trPr>
          <w:trHeight w:val="226"/>
        </w:trPr>
        <w:tc>
          <w:tcPr>
            <w:tcW w:w="540" w:type="dxa"/>
            <w:vAlign w:val="bottom"/>
          </w:tcPr>
          <w:p>
            <w:pPr>
              <w:jc w:val="center"/>
              <w:ind w:right="75"/>
              <w:spacing w:after="0"/>
              <w:rPr>
                <w:sz w:val="20"/>
                <w:szCs w:val="20"/>
                <w:color w:val="auto"/>
              </w:rPr>
            </w:pPr>
            <w:r>
              <w:rPr>
                <w:rFonts w:ascii="Arial" w:cs="Arial" w:eastAsia="Arial" w:hAnsi="Arial"/>
                <w:sz w:val="13"/>
                <w:szCs w:val="13"/>
                <w:color w:val="auto"/>
                <w:w w:val="88"/>
              </w:rPr>
              <w:t>4.6</w:t>
            </w:r>
          </w:p>
        </w:tc>
        <w:tc>
          <w:tcPr>
            <w:tcW w:w="4940" w:type="dxa"/>
            <w:vAlign w:val="bottom"/>
          </w:tcPr>
          <w:p>
            <w:pPr>
              <w:ind w:left="180"/>
              <w:spacing w:after="0"/>
              <w:rPr>
                <w:sz w:val="20"/>
                <w:szCs w:val="20"/>
                <w:color w:val="auto"/>
              </w:rPr>
            </w:pPr>
            <w:r>
              <w:rPr>
                <w:rFonts w:ascii="Arial" w:cs="Arial" w:eastAsia="Arial" w:hAnsi="Arial"/>
                <w:sz w:val="13"/>
                <w:szCs w:val="13"/>
                <w:color w:val="auto"/>
                <w:w w:val="92"/>
              </w:rPr>
              <w:t>Description of Registrant’s Securities Registered Pursuant to Section 12 of the Securities</w:t>
            </w:r>
          </w:p>
        </w:tc>
        <w:tc>
          <w:tcPr>
            <w:tcW w:w="0" w:type="dxa"/>
            <w:vAlign w:val="bottom"/>
          </w:tcPr>
          <w:p>
            <w:pPr>
              <w:spacing w:after="0"/>
              <w:rPr>
                <w:sz w:val="1"/>
                <w:szCs w:val="1"/>
                <w:color w:val="auto"/>
              </w:rPr>
            </w:pPr>
          </w:p>
        </w:tc>
      </w:tr>
      <w:tr>
        <w:trPr>
          <w:trHeight w:val="130"/>
        </w:trPr>
        <w:tc>
          <w:tcPr>
            <w:tcW w:w="540" w:type="dxa"/>
            <w:vAlign w:val="bottom"/>
            <w:vMerge w:val="restart"/>
          </w:tcPr>
          <w:p>
            <w:pPr>
              <w:jc w:val="center"/>
              <w:ind w:right="95"/>
              <w:spacing w:after="0"/>
              <w:rPr>
                <w:sz w:val="20"/>
                <w:szCs w:val="20"/>
                <w:color w:val="auto"/>
              </w:rPr>
            </w:pPr>
            <w:r>
              <w:rPr>
                <w:rFonts w:ascii="Arial" w:cs="Arial" w:eastAsia="Arial" w:hAnsi="Arial"/>
                <w:sz w:val="13"/>
                <w:szCs w:val="13"/>
                <w:color w:val="auto"/>
                <w:w w:val="98"/>
              </w:rPr>
              <w:t>10.1*</w:t>
            </w: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rPr>
              <w:t>Exchange Act of 1934</w:t>
            </w:r>
          </w:p>
        </w:tc>
        <w:tc>
          <w:tcPr>
            <w:tcW w:w="0" w:type="dxa"/>
            <w:vAlign w:val="bottom"/>
          </w:tcPr>
          <w:p>
            <w:pPr>
              <w:spacing w:after="0"/>
              <w:rPr>
                <w:sz w:val="1"/>
                <w:szCs w:val="1"/>
                <w:color w:val="auto"/>
              </w:rPr>
            </w:pPr>
          </w:p>
        </w:tc>
      </w:tr>
      <w:tr>
        <w:trPr>
          <w:trHeight w:val="164"/>
        </w:trPr>
        <w:tc>
          <w:tcPr>
            <w:tcW w:w="540" w:type="dxa"/>
            <w:vAlign w:val="bottom"/>
            <w:vMerge w:val="continue"/>
          </w:tcPr>
          <w:p>
            <w:pPr>
              <w:spacing w:after="0"/>
              <w:rPr>
                <w:sz w:val="14"/>
                <w:szCs w:val="14"/>
                <w:color w:val="auto"/>
              </w:rPr>
            </w:pPr>
          </w:p>
        </w:tc>
        <w:tc>
          <w:tcPr>
            <w:tcW w:w="4940" w:type="dxa"/>
            <w:vAlign w:val="bottom"/>
          </w:tcPr>
          <w:p>
            <w:pPr>
              <w:ind w:left="180"/>
              <w:spacing w:after="0"/>
              <w:rPr>
                <w:sz w:val="20"/>
                <w:szCs w:val="20"/>
                <w:color w:val="auto"/>
              </w:rPr>
            </w:pPr>
            <w:r>
              <w:rPr>
                <w:rFonts w:ascii="Arial" w:cs="Arial" w:eastAsia="Arial" w:hAnsi="Arial"/>
                <w:sz w:val="13"/>
                <w:szCs w:val="13"/>
                <w:color w:val="auto"/>
              </w:rPr>
              <w:t>Restated 2010 Stock Incentive Plan, as of November 7, 2017</w:t>
            </w:r>
          </w:p>
        </w:tc>
        <w:tc>
          <w:tcPr>
            <w:tcW w:w="0" w:type="dxa"/>
            <w:vAlign w:val="bottom"/>
          </w:tcPr>
          <w:p>
            <w:pPr>
              <w:spacing w:after="0"/>
              <w:rPr>
                <w:sz w:val="1"/>
                <w:szCs w:val="1"/>
                <w:color w:val="auto"/>
              </w:rPr>
            </w:pPr>
          </w:p>
        </w:tc>
      </w:tr>
      <w:tr>
        <w:trPr>
          <w:trHeight w:val="226"/>
        </w:trPr>
        <w:tc>
          <w:tcPr>
            <w:tcW w:w="540" w:type="dxa"/>
            <w:vAlign w:val="bottom"/>
          </w:tcPr>
          <w:p>
            <w:pPr>
              <w:jc w:val="center"/>
              <w:ind w:right="95"/>
              <w:spacing w:after="0"/>
              <w:rPr>
                <w:sz w:val="20"/>
                <w:szCs w:val="20"/>
                <w:color w:val="auto"/>
              </w:rPr>
            </w:pPr>
            <w:r>
              <w:rPr>
                <w:rFonts w:ascii="Arial" w:cs="Arial" w:eastAsia="Arial" w:hAnsi="Arial"/>
                <w:sz w:val="13"/>
                <w:szCs w:val="13"/>
                <w:color w:val="auto"/>
                <w:w w:val="98"/>
              </w:rPr>
              <w:t>10.2*</w:t>
            </w:r>
          </w:p>
        </w:tc>
        <w:tc>
          <w:tcPr>
            <w:tcW w:w="4940" w:type="dxa"/>
            <w:vAlign w:val="bottom"/>
          </w:tcPr>
          <w:p>
            <w:pPr>
              <w:ind w:left="180"/>
              <w:spacing w:after="0"/>
              <w:rPr>
                <w:sz w:val="20"/>
                <w:szCs w:val="20"/>
                <w:color w:val="auto"/>
              </w:rPr>
            </w:pPr>
            <w:r>
              <w:rPr>
                <w:rFonts w:ascii="Arial" w:cs="Arial" w:eastAsia="Arial" w:hAnsi="Arial"/>
                <w:sz w:val="13"/>
                <w:szCs w:val="13"/>
                <w:color w:val="auto"/>
                <w:w w:val="94"/>
              </w:rPr>
              <w:t>Award forms under the 2010 Stock Incentive Plan (i) Stock Option Agreement, (ii) Stock</w:t>
            </w:r>
          </w:p>
        </w:tc>
        <w:tc>
          <w:tcPr>
            <w:tcW w:w="0" w:type="dxa"/>
            <w:vAlign w:val="bottom"/>
          </w:tcPr>
          <w:p>
            <w:pPr>
              <w:spacing w:after="0"/>
              <w:rPr>
                <w:sz w:val="1"/>
                <w:szCs w:val="1"/>
                <w:color w:val="auto"/>
              </w:rPr>
            </w:pPr>
          </w:p>
        </w:tc>
      </w:tr>
      <w:tr>
        <w:trPr>
          <w:trHeight w:val="130"/>
        </w:trPr>
        <w:tc>
          <w:tcPr>
            <w:tcW w:w="540" w:type="dxa"/>
            <w:vAlign w:val="bottom"/>
          </w:tcPr>
          <w:p>
            <w:pPr>
              <w:spacing w:after="0"/>
              <w:rPr>
                <w:sz w:val="11"/>
                <w:szCs w:val="11"/>
                <w:color w:val="auto"/>
              </w:rPr>
            </w:pP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w w:val="98"/>
              </w:rPr>
              <w:t>Bonus Agreement, (iii) Restricted Stock Unit Agreement, and (iv) Stock Appreciation</w:t>
            </w:r>
          </w:p>
        </w:tc>
        <w:tc>
          <w:tcPr>
            <w:tcW w:w="0" w:type="dxa"/>
            <w:vAlign w:val="bottom"/>
          </w:tcPr>
          <w:p>
            <w:pPr>
              <w:spacing w:after="0"/>
              <w:rPr>
                <w:sz w:val="1"/>
                <w:szCs w:val="1"/>
                <w:color w:val="auto"/>
              </w:rPr>
            </w:pPr>
          </w:p>
        </w:tc>
      </w:tr>
      <w:tr>
        <w:trPr>
          <w:trHeight w:val="130"/>
        </w:trPr>
        <w:tc>
          <w:tcPr>
            <w:tcW w:w="540" w:type="dxa"/>
            <w:vAlign w:val="bottom"/>
            <w:vMerge w:val="restart"/>
          </w:tcPr>
          <w:p>
            <w:pPr>
              <w:jc w:val="center"/>
              <w:ind w:right="95"/>
              <w:spacing w:after="0"/>
              <w:rPr>
                <w:sz w:val="20"/>
                <w:szCs w:val="20"/>
                <w:color w:val="auto"/>
              </w:rPr>
            </w:pPr>
            <w:r>
              <w:rPr>
                <w:rFonts w:ascii="Arial" w:cs="Arial" w:eastAsia="Arial" w:hAnsi="Arial"/>
                <w:sz w:val="13"/>
                <w:szCs w:val="13"/>
                <w:color w:val="auto"/>
                <w:w w:val="98"/>
              </w:rPr>
              <w:t>10.3*</w:t>
            </w: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rPr>
              <w:t>Right Agreement</w:t>
            </w:r>
          </w:p>
        </w:tc>
        <w:tc>
          <w:tcPr>
            <w:tcW w:w="0" w:type="dxa"/>
            <w:vAlign w:val="bottom"/>
          </w:tcPr>
          <w:p>
            <w:pPr>
              <w:spacing w:after="0"/>
              <w:rPr>
                <w:sz w:val="1"/>
                <w:szCs w:val="1"/>
                <w:color w:val="auto"/>
              </w:rPr>
            </w:pPr>
          </w:p>
        </w:tc>
      </w:tr>
      <w:tr>
        <w:trPr>
          <w:trHeight w:val="130"/>
        </w:trPr>
        <w:tc>
          <w:tcPr>
            <w:tcW w:w="540" w:type="dxa"/>
            <w:vAlign w:val="bottom"/>
            <w:vMerge w:val="continue"/>
          </w:tcPr>
          <w:p>
            <w:pPr>
              <w:spacing w:after="0"/>
              <w:rPr>
                <w:sz w:val="11"/>
                <w:szCs w:val="11"/>
                <w:color w:val="auto"/>
              </w:rPr>
            </w:pP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w w:val="99"/>
              </w:rPr>
              <w:t>Form of Restricted Stock Unit Agreement (with Grant Notice)(Employees/Executive</w:t>
            </w:r>
          </w:p>
        </w:tc>
        <w:tc>
          <w:tcPr>
            <w:tcW w:w="0" w:type="dxa"/>
            <w:vAlign w:val="bottom"/>
          </w:tcPr>
          <w:p>
            <w:pPr>
              <w:spacing w:after="0"/>
              <w:rPr>
                <w:sz w:val="1"/>
                <w:szCs w:val="1"/>
                <w:color w:val="auto"/>
              </w:rPr>
            </w:pPr>
          </w:p>
        </w:tc>
      </w:tr>
      <w:tr>
        <w:trPr>
          <w:trHeight w:val="130"/>
        </w:trPr>
        <w:tc>
          <w:tcPr>
            <w:tcW w:w="540" w:type="dxa"/>
            <w:vAlign w:val="bottom"/>
            <w:vMerge w:val="restart"/>
          </w:tcPr>
          <w:p>
            <w:pPr>
              <w:jc w:val="center"/>
              <w:ind w:right="95"/>
              <w:spacing w:after="0"/>
              <w:rPr>
                <w:sz w:val="20"/>
                <w:szCs w:val="20"/>
                <w:color w:val="auto"/>
              </w:rPr>
            </w:pPr>
            <w:r>
              <w:rPr>
                <w:rFonts w:ascii="Arial" w:cs="Arial" w:eastAsia="Arial" w:hAnsi="Arial"/>
                <w:sz w:val="13"/>
                <w:szCs w:val="13"/>
                <w:color w:val="auto"/>
                <w:w w:val="98"/>
              </w:rPr>
              <w:t>10.4*</w:t>
            </w: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rPr>
              <w:t>Officers/Contractors) under the 2010 Stock Incentive Plan</w:t>
            </w:r>
          </w:p>
        </w:tc>
        <w:tc>
          <w:tcPr>
            <w:tcW w:w="0" w:type="dxa"/>
            <w:vAlign w:val="bottom"/>
          </w:tcPr>
          <w:p>
            <w:pPr>
              <w:spacing w:after="0"/>
              <w:rPr>
                <w:sz w:val="1"/>
                <w:szCs w:val="1"/>
                <w:color w:val="auto"/>
              </w:rPr>
            </w:pPr>
          </w:p>
        </w:tc>
      </w:tr>
      <w:tr>
        <w:trPr>
          <w:trHeight w:val="130"/>
        </w:trPr>
        <w:tc>
          <w:tcPr>
            <w:tcW w:w="540" w:type="dxa"/>
            <w:vAlign w:val="bottom"/>
            <w:vMerge w:val="continue"/>
          </w:tcPr>
          <w:p>
            <w:pPr>
              <w:spacing w:after="0"/>
              <w:rPr>
                <w:sz w:val="11"/>
                <w:szCs w:val="11"/>
                <w:color w:val="auto"/>
              </w:rPr>
            </w:pP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w w:val="94"/>
              </w:rPr>
              <w:t>Form of Restricted Stock Unit Agreement (with Grant Notice) (Non-Employee Directors)</w:t>
            </w:r>
          </w:p>
        </w:tc>
        <w:tc>
          <w:tcPr>
            <w:tcW w:w="0" w:type="dxa"/>
            <w:vAlign w:val="bottom"/>
          </w:tcPr>
          <w:p>
            <w:pPr>
              <w:spacing w:after="0"/>
              <w:rPr>
                <w:sz w:val="1"/>
                <w:szCs w:val="1"/>
                <w:color w:val="auto"/>
              </w:rPr>
            </w:pPr>
          </w:p>
        </w:tc>
      </w:tr>
      <w:tr>
        <w:trPr>
          <w:trHeight w:val="130"/>
        </w:trPr>
        <w:tc>
          <w:tcPr>
            <w:tcW w:w="540" w:type="dxa"/>
            <w:vAlign w:val="bottom"/>
            <w:vMerge w:val="restart"/>
          </w:tcPr>
          <w:p>
            <w:pPr>
              <w:jc w:val="center"/>
              <w:ind w:right="95"/>
              <w:spacing w:after="0"/>
              <w:rPr>
                <w:sz w:val="20"/>
                <w:szCs w:val="20"/>
                <w:color w:val="auto"/>
              </w:rPr>
            </w:pPr>
            <w:r>
              <w:rPr>
                <w:rFonts w:ascii="Arial" w:cs="Arial" w:eastAsia="Arial" w:hAnsi="Arial"/>
                <w:sz w:val="13"/>
                <w:szCs w:val="13"/>
                <w:color w:val="auto"/>
                <w:w w:val="98"/>
              </w:rPr>
              <w:t>10.5*</w:t>
            </w: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rPr>
              <w:t>under the 2010 Stock Incentive Plan</w:t>
            </w:r>
          </w:p>
        </w:tc>
        <w:tc>
          <w:tcPr>
            <w:tcW w:w="0" w:type="dxa"/>
            <w:vAlign w:val="bottom"/>
          </w:tcPr>
          <w:p>
            <w:pPr>
              <w:spacing w:after="0"/>
              <w:rPr>
                <w:sz w:val="1"/>
                <w:szCs w:val="1"/>
                <w:color w:val="auto"/>
              </w:rPr>
            </w:pPr>
          </w:p>
        </w:tc>
      </w:tr>
      <w:tr>
        <w:trPr>
          <w:trHeight w:val="164"/>
        </w:trPr>
        <w:tc>
          <w:tcPr>
            <w:tcW w:w="540" w:type="dxa"/>
            <w:vAlign w:val="bottom"/>
            <w:vMerge w:val="continue"/>
          </w:tcPr>
          <w:p>
            <w:pPr>
              <w:spacing w:after="0"/>
              <w:rPr>
                <w:sz w:val="14"/>
                <w:szCs w:val="14"/>
                <w:color w:val="auto"/>
              </w:rPr>
            </w:pPr>
          </w:p>
        </w:tc>
        <w:tc>
          <w:tcPr>
            <w:tcW w:w="4940" w:type="dxa"/>
            <w:vAlign w:val="bottom"/>
          </w:tcPr>
          <w:p>
            <w:pPr>
              <w:ind w:left="180"/>
              <w:spacing w:after="0"/>
              <w:rPr>
                <w:sz w:val="20"/>
                <w:szCs w:val="20"/>
                <w:color w:val="auto"/>
              </w:rPr>
            </w:pPr>
            <w:r>
              <w:rPr>
                <w:rFonts w:ascii="Arial" w:cs="Arial" w:eastAsia="Arial" w:hAnsi="Arial"/>
                <w:sz w:val="13"/>
                <w:szCs w:val="13"/>
                <w:color w:val="auto"/>
                <w:w w:val="95"/>
              </w:rPr>
              <w:t>Form of Stock Option Agreement (Non-Directors) under the 2010 Stock Incentive Plan</w:t>
            </w:r>
          </w:p>
        </w:tc>
        <w:tc>
          <w:tcPr>
            <w:tcW w:w="0" w:type="dxa"/>
            <w:vAlign w:val="bottom"/>
          </w:tcPr>
          <w:p>
            <w:pPr>
              <w:spacing w:after="0"/>
              <w:rPr>
                <w:sz w:val="1"/>
                <w:szCs w:val="1"/>
                <w:color w:val="auto"/>
              </w:rPr>
            </w:pPr>
          </w:p>
        </w:tc>
      </w:tr>
      <w:tr>
        <w:trPr>
          <w:trHeight w:val="260"/>
        </w:trPr>
        <w:tc>
          <w:tcPr>
            <w:tcW w:w="540" w:type="dxa"/>
            <w:vAlign w:val="bottom"/>
          </w:tcPr>
          <w:p>
            <w:pPr>
              <w:jc w:val="center"/>
              <w:ind w:right="95"/>
              <w:spacing w:after="0"/>
              <w:rPr>
                <w:sz w:val="20"/>
                <w:szCs w:val="20"/>
                <w:color w:val="auto"/>
              </w:rPr>
            </w:pPr>
            <w:r>
              <w:rPr>
                <w:rFonts w:ascii="Arial" w:cs="Arial" w:eastAsia="Arial" w:hAnsi="Arial"/>
                <w:sz w:val="13"/>
                <w:szCs w:val="13"/>
                <w:color w:val="auto"/>
                <w:w w:val="98"/>
              </w:rPr>
              <w:t>10.6*</w:t>
            </w:r>
          </w:p>
        </w:tc>
        <w:tc>
          <w:tcPr>
            <w:tcW w:w="4940" w:type="dxa"/>
            <w:vAlign w:val="bottom"/>
          </w:tcPr>
          <w:p>
            <w:pPr>
              <w:ind w:left="180"/>
              <w:spacing w:after="0"/>
              <w:rPr>
                <w:sz w:val="20"/>
                <w:szCs w:val="20"/>
                <w:color w:val="auto"/>
              </w:rPr>
            </w:pPr>
            <w:r>
              <w:rPr>
                <w:rFonts w:ascii="Arial" w:cs="Arial" w:eastAsia="Arial" w:hAnsi="Arial"/>
                <w:sz w:val="13"/>
                <w:szCs w:val="13"/>
                <w:color w:val="auto"/>
              </w:rPr>
              <w:t>2020 Stock Incentive Plan</w:t>
            </w:r>
          </w:p>
        </w:tc>
        <w:tc>
          <w:tcPr>
            <w:tcW w:w="0" w:type="dxa"/>
            <w:vAlign w:val="bottom"/>
          </w:tcPr>
          <w:p>
            <w:pPr>
              <w:spacing w:after="0"/>
              <w:rPr>
                <w:sz w:val="1"/>
                <w:szCs w:val="1"/>
                <w:color w:val="auto"/>
              </w:rPr>
            </w:pPr>
          </w:p>
        </w:tc>
      </w:tr>
      <w:tr>
        <w:trPr>
          <w:trHeight w:val="270"/>
        </w:trPr>
        <w:tc>
          <w:tcPr>
            <w:tcW w:w="540" w:type="dxa"/>
            <w:vAlign w:val="bottom"/>
          </w:tcPr>
          <w:p>
            <w:pPr>
              <w:jc w:val="center"/>
              <w:ind w:right="95"/>
              <w:spacing w:after="0"/>
              <w:rPr>
                <w:sz w:val="20"/>
                <w:szCs w:val="20"/>
                <w:color w:val="auto"/>
              </w:rPr>
            </w:pPr>
            <w:r>
              <w:rPr>
                <w:rFonts w:ascii="Arial" w:cs="Arial" w:eastAsia="Arial" w:hAnsi="Arial"/>
                <w:sz w:val="13"/>
                <w:szCs w:val="13"/>
                <w:color w:val="auto"/>
              </w:rPr>
              <w:t>10.7*+</w:t>
            </w:r>
          </w:p>
        </w:tc>
        <w:tc>
          <w:tcPr>
            <w:tcW w:w="4940" w:type="dxa"/>
            <w:vAlign w:val="bottom"/>
          </w:tcPr>
          <w:p>
            <w:pPr>
              <w:ind w:left="180"/>
              <w:spacing w:after="0"/>
              <w:rPr>
                <w:sz w:val="20"/>
                <w:szCs w:val="20"/>
                <w:color w:val="auto"/>
              </w:rPr>
            </w:pPr>
            <w:r>
              <w:rPr>
                <w:rFonts w:ascii="Arial" w:cs="Arial" w:eastAsia="Arial" w:hAnsi="Arial"/>
                <w:sz w:val="13"/>
                <w:szCs w:val="13"/>
                <w:color w:val="auto"/>
                <w:w w:val="94"/>
              </w:rPr>
              <w:t>Form of Restricted Stock Unit Agreement (with Grant Notice) (Non-Employee Directors)</w:t>
            </w:r>
          </w:p>
        </w:tc>
        <w:tc>
          <w:tcPr>
            <w:tcW w:w="0" w:type="dxa"/>
            <w:vAlign w:val="bottom"/>
          </w:tcPr>
          <w:p>
            <w:pPr>
              <w:spacing w:after="0"/>
              <w:rPr>
                <w:sz w:val="1"/>
                <w:szCs w:val="1"/>
                <w:color w:val="auto"/>
              </w:rPr>
            </w:pPr>
          </w:p>
        </w:tc>
      </w:tr>
      <w:tr>
        <w:trPr>
          <w:trHeight w:val="130"/>
        </w:trPr>
        <w:tc>
          <w:tcPr>
            <w:tcW w:w="540" w:type="dxa"/>
            <w:vAlign w:val="bottom"/>
            <w:vMerge w:val="restart"/>
          </w:tcPr>
          <w:p>
            <w:pPr>
              <w:jc w:val="center"/>
              <w:ind w:right="95"/>
              <w:spacing w:after="0"/>
              <w:rPr>
                <w:sz w:val="20"/>
                <w:szCs w:val="20"/>
                <w:color w:val="auto"/>
              </w:rPr>
            </w:pPr>
            <w:r>
              <w:rPr>
                <w:rFonts w:ascii="Arial" w:cs="Arial" w:eastAsia="Arial" w:hAnsi="Arial"/>
                <w:sz w:val="13"/>
                <w:szCs w:val="13"/>
                <w:color w:val="auto"/>
              </w:rPr>
              <w:t>10.8*+</w:t>
            </w: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rPr>
              <w:t>under the 2020 Stock Incentive Plan</w:t>
            </w:r>
          </w:p>
        </w:tc>
        <w:tc>
          <w:tcPr>
            <w:tcW w:w="0" w:type="dxa"/>
            <w:vAlign w:val="bottom"/>
          </w:tcPr>
          <w:p>
            <w:pPr>
              <w:spacing w:after="0"/>
              <w:rPr>
                <w:sz w:val="1"/>
                <w:szCs w:val="1"/>
                <w:color w:val="auto"/>
              </w:rPr>
            </w:pPr>
          </w:p>
        </w:tc>
      </w:tr>
      <w:tr>
        <w:trPr>
          <w:trHeight w:val="130"/>
        </w:trPr>
        <w:tc>
          <w:tcPr>
            <w:tcW w:w="540" w:type="dxa"/>
            <w:vAlign w:val="bottom"/>
            <w:vMerge w:val="continue"/>
          </w:tcPr>
          <w:p>
            <w:pPr>
              <w:spacing w:after="0"/>
              <w:rPr>
                <w:sz w:val="11"/>
                <w:szCs w:val="11"/>
                <w:color w:val="auto"/>
              </w:rPr>
            </w:pP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w w:val="95"/>
              </w:rPr>
              <w:t>Form of Restricted Stock Unit Agreement (with Grant Notice) (Executive Officer) under</w:t>
            </w:r>
          </w:p>
        </w:tc>
        <w:tc>
          <w:tcPr>
            <w:tcW w:w="0" w:type="dxa"/>
            <w:vAlign w:val="bottom"/>
          </w:tcPr>
          <w:p>
            <w:pPr>
              <w:spacing w:after="0"/>
              <w:rPr>
                <w:sz w:val="1"/>
                <w:szCs w:val="1"/>
                <w:color w:val="auto"/>
              </w:rPr>
            </w:pPr>
          </w:p>
        </w:tc>
      </w:tr>
      <w:tr>
        <w:trPr>
          <w:trHeight w:val="130"/>
        </w:trPr>
        <w:tc>
          <w:tcPr>
            <w:tcW w:w="540" w:type="dxa"/>
            <w:vAlign w:val="bottom"/>
            <w:vMerge w:val="restart"/>
          </w:tcPr>
          <w:p>
            <w:pPr>
              <w:jc w:val="center"/>
              <w:ind w:right="95"/>
              <w:spacing w:after="0"/>
              <w:rPr>
                <w:sz w:val="20"/>
                <w:szCs w:val="20"/>
                <w:color w:val="auto"/>
              </w:rPr>
            </w:pPr>
            <w:r>
              <w:rPr>
                <w:rFonts w:ascii="Arial" w:cs="Arial" w:eastAsia="Arial" w:hAnsi="Arial"/>
                <w:sz w:val="13"/>
                <w:szCs w:val="13"/>
                <w:color w:val="auto"/>
                <w:w w:val="98"/>
              </w:rPr>
              <w:t>10.9*</w:t>
            </w: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rPr>
              <w:t>the 2020 Stock Incentive Plan</w:t>
            </w:r>
          </w:p>
        </w:tc>
        <w:tc>
          <w:tcPr>
            <w:tcW w:w="0" w:type="dxa"/>
            <w:vAlign w:val="bottom"/>
          </w:tcPr>
          <w:p>
            <w:pPr>
              <w:spacing w:after="0"/>
              <w:rPr>
                <w:sz w:val="1"/>
                <w:szCs w:val="1"/>
                <w:color w:val="auto"/>
              </w:rPr>
            </w:pPr>
          </w:p>
        </w:tc>
      </w:tr>
      <w:tr>
        <w:trPr>
          <w:trHeight w:val="164"/>
        </w:trPr>
        <w:tc>
          <w:tcPr>
            <w:tcW w:w="540" w:type="dxa"/>
            <w:vAlign w:val="bottom"/>
            <w:vMerge w:val="continue"/>
          </w:tcPr>
          <w:p>
            <w:pPr>
              <w:spacing w:after="0"/>
              <w:rPr>
                <w:sz w:val="14"/>
                <w:szCs w:val="14"/>
                <w:color w:val="auto"/>
              </w:rPr>
            </w:pPr>
          </w:p>
        </w:tc>
        <w:tc>
          <w:tcPr>
            <w:tcW w:w="4940" w:type="dxa"/>
            <w:vAlign w:val="bottom"/>
          </w:tcPr>
          <w:p>
            <w:pPr>
              <w:ind w:left="180"/>
              <w:spacing w:after="0"/>
              <w:rPr>
                <w:sz w:val="20"/>
                <w:szCs w:val="20"/>
                <w:color w:val="auto"/>
              </w:rPr>
            </w:pPr>
            <w:r>
              <w:rPr>
                <w:rFonts w:ascii="Arial" w:cs="Arial" w:eastAsia="Arial" w:hAnsi="Arial"/>
                <w:sz w:val="13"/>
                <w:szCs w:val="13"/>
                <w:color w:val="auto"/>
              </w:rPr>
              <w:t>Form of Stock Option Agreement (Director) under the 2020 Stock Incentive Plan</w:t>
            </w:r>
          </w:p>
        </w:tc>
        <w:tc>
          <w:tcPr>
            <w:tcW w:w="0" w:type="dxa"/>
            <w:vAlign w:val="bottom"/>
          </w:tcPr>
          <w:p>
            <w:pPr>
              <w:spacing w:after="0"/>
              <w:rPr>
                <w:sz w:val="1"/>
                <w:szCs w:val="1"/>
                <w:color w:val="auto"/>
              </w:rPr>
            </w:pPr>
          </w:p>
        </w:tc>
      </w:tr>
      <w:tr>
        <w:trPr>
          <w:trHeight w:val="226"/>
        </w:trPr>
        <w:tc>
          <w:tcPr>
            <w:tcW w:w="540" w:type="dxa"/>
            <w:vAlign w:val="bottom"/>
          </w:tcPr>
          <w:p>
            <w:pPr>
              <w:jc w:val="center"/>
              <w:ind w:right="95"/>
              <w:spacing w:after="0"/>
              <w:rPr>
                <w:sz w:val="20"/>
                <w:szCs w:val="20"/>
                <w:color w:val="auto"/>
              </w:rPr>
            </w:pPr>
            <w:r>
              <w:rPr>
                <w:rFonts w:ascii="Arial" w:cs="Arial" w:eastAsia="Arial" w:hAnsi="Arial"/>
                <w:sz w:val="13"/>
                <w:szCs w:val="13"/>
                <w:color w:val="auto"/>
                <w:w w:val="92"/>
              </w:rPr>
              <w:t>10.10</w:t>
            </w:r>
          </w:p>
        </w:tc>
        <w:tc>
          <w:tcPr>
            <w:tcW w:w="4940" w:type="dxa"/>
            <w:vAlign w:val="bottom"/>
          </w:tcPr>
          <w:p>
            <w:pPr>
              <w:ind w:left="180"/>
              <w:spacing w:after="0"/>
              <w:rPr>
                <w:sz w:val="20"/>
                <w:szCs w:val="20"/>
                <w:color w:val="auto"/>
              </w:rPr>
            </w:pPr>
            <w:r>
              <w:rPr>
                <w:rFonts w:ascii="Arial" w:cs="Arial" w:eastAsia="Arial" w:hAnsi="Arial"/>
                <w:sz w:val="13"/>
                <w:szCs w:val="13"/>
                <w:color w:val="auto"/>
                <w:w w:val="94"/>
              </w:rPr>
              <w:t>Amended and Restated Lease Agreement, dated as of July 28, 2000, as amended and</w:t>
            </w:r>
          </w:p>
        </w:tc>
        <w:tc>
          <w:tcPr>
            <w:tcW w:w="0" w:type="dxa"/>
            <w:vAlign w:val="bottom"/>
          </w:tcPr>
          <w:p>
            <w:pPr>
              <w:spacing w:after="0"/>
              <w:rPr>
                <w:sz w:val="1"/>
                <w:szCs w:val="1"/>
                <w:color w:val="auto"/>
              </w:rPr>
            </w:pPr>
          </w:p>
        </w:tc>
      </w:tr>
      <w:tr>
        <w:trPr>
          <w:trHeight w:val="130"/>
        </w:trPr>
        <w:tc>
          <w:tcPr>
            <w:tcW w:w="540" w:type="dxa"/>
            <w:vAlign w:val="bottom"/>
          </w:tcPr>
          <w:p>
            <w:pPr>
              <w:spacing w:after="0"/>
              <w:rPr>
                <w:sz w:val="11"/>
                <w:szCs w:val="11"/>
                <w:color w:val="auto"/>
              </w:rPr>
            </w:pP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w w:val="91"/>
              </w:rPr>
              <w:t>restated as of January 29, 2002, between Sutton Hill Capital, L.L.C. and Citadel Cinemas,</w:t>
            </w:r>
          </w:p>
        </w:tc>
        <w:tc>
          <w:tcPr>
            <w:tcW w:w="0" w:type="dxa"/>
            <w:vAlign w:val="bottom"/>
          </w:tcPr>
          <w:p>
            <w:pPr>
              <w:spacing w:after="0"/>
              <w:rPr>
                <w:sz w:val="1"/>
                <w:szCs w:val="1"/>
                <w:color w:val="auto"/>
              </w:rPr>
            </w:pPr>
          </w:p>
        </w:tc>
      </w:tr>
      <w:tr>
        <w:trPr>
          <w:trHeight w:val="130"/>
        </w:trPr>
        <w:tc>
          <w:tcPr>
            <w:tcW w:w="540" w:type="dxa"/>
            <w:vAlign w:val="bottom"/>
            <w:vMerge w:val="restart"/>
          </w:tcPr>
          <w:p>
            <w:pPr>
              <w:jc w:val="center"/>
              <w:ind w:right="95"/>
              <w:spacing w:after="0"/>
              <w:rPr>
                <w:sz w:val="20"/>
                <w:szCs w:val="20"/>
                <w:color w:val="auto"/>
              </w:rPr>
            </w:pPr>
            <w:r>
              <w:rPr>
                <w:rFonts w:ascii="Arial" w:cs="Arial" w:eastAsia="Arial" w:hAnsi="Arial"/>
                <w:sz w:val="13"/>
                <w:szCs w:val="13"/>
                <w:color w:val="auto"/>
                <w:w w:val="92"/>
              </w:rPr>
              <w:t>10.11</w:t>
            </w: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rPr>
              <w:t>Inc.</w:t>
            </w:r>
          </w:p>
        </w:tc>
        <w:tc>
          <w:tcPr>
            <w:tcW w:w="0" w:type="dxa"/>
            <w:vAlign w:val="bottom"/>
          </w:tcPr>
          <w:p>
            <w:pPr>
              <w:spacing w:after="0"/>
              <w:rPr>
                <w:sz w:val="1"/>
                <w:szCs w:val="1"/>
                <w:color w:val="auto"/>
              </w:rPr>
            </w:pPr>
          </w:p>
        </w:tc>
      </w:tr>
      <w:tr>
        <w:trPr>
          <w:trHeight w:val="130"/>
        </w:trPr>
        <w:tc>
          <w:tcPr>
            <w:tcW w:w="540" w:type="dxa"/>
            <w:vAlign w:val="bottom"/>
            <w:vMerge w:val="continue"/>
          </w:tcPr>
          <w:p>
            <w:pPr>
              <w:spacing w:after="0"/>
              <w:rPr>
                <w:sz w:val="11"/>
                <w:szCs w:val="11"/>
                <w:color w:val="auto"/>
              </w:rPr>
            </w:pP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w w:val="98"/>
              </w:rPr>
              <w:t>Second Amendment to Amended and Restated Master Operating Lease dated as of</w:t>
            </w:r>
          </w:p>
        </w:tc>
        <w:tc>
          <w:tcPr>
            <w:tcW w:w="0" w:type="dxa"/>
            <w:vAlign w:val="bottom"/>
          </w:tcPr>
          <w:p>
            <w:pPr>
              <w:spacing w:after="0"/>
              <w:rPr>
                <w:sz w:val="1"/>
                <w:szCs w:val="1"/>
                <w:color w:val="auto"/>
              </w:rPr>
            </w:pPr>
          </w:p>
        </w:tc>
      </w:tr>
      <w:tr>
        <w:trPr>
          <w:trHeight w:val="130"/>
        </w:trPr>
        <w:tc>
          <w:tcPr>
            <w:tcW w:w="540" w:type="dxa"/>
            <w:vAlign w:val="bottom"/>
            <w:vMerge w:val="restart"/>
          </w:tcPr>
          <w:p>
            <w:pPr>
              <w:jc w:val="center"/>
              <w:ind w:right="95"/>
              <w:spacing w:after="0"/>
              <w:rPr>
                <w:sz w:val="20"/>
                <w:szCs w:val="20"/>
                <w:color w:val="auto"/>
              </w:rPr>
            </w:pPr>
            <w:r>
              <w:rPr>
                <w:rFonts w:ascii="Arial" w:cs="Arial" w:eastAsia="Arial" w:hAnsi="Arial"/>
                <w:sz w:val="13"/>
                <w:szCs w:val="13"/>
                <w:color w:val="auto"/>
                <w:w w:val="92"/>
              </w:rPr>
              <w:t>10.12</w:t>
            </w: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rPr>
              <w:t>September 1, 2005</w:t>
            </w:r>
          </w:p>
        </w:tc>
        <w:tc>
          <w:tcPr>
            <w:tcW w:w="0" w:type="dxa"/>
            <w:vAlign w:val="bottom"/>
          </w:tcPr>
          <w:p>
            <w:pPr>
              <w:spacing w:after="0"/>
              <w:rPr>
                <w:sz w:val="1"/>
                <w:szCs w:val="1"/>
                <w:color w:val="auto"/>
              </w:rPr>
            </w:pPr>
          </w:p>
        </w:tc>
      </w:tr>
      <w:tr>
        <w:trPr>
          <w:trHeight w:val="130"/>
        </w:trPr>
        <w:tc>
          <w:tcPr>
            <w:tcW w:w="540" w:type="dxa"/>
            <w:vAlign w:val="bottom"/>
            <w:vMerge w:val="continue"/>
          </w:tcPr>
          <w:p>
            <w:pPr>
              <w:spacing w:after="0"/>
              <w:rPr>
                <w:sz w:val="11"/>
                <w:szCs w:val="11"/>
                <w:color w:val="auto"/>
              </w:rPr>
            </w:pP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w w:val="93"/>
              </w:rPr>
              <w:t>Assignment and Assumption of Lease between Sutton Hill Capital L.L.C. and Sutton Hill</w:t>
            </w:r>
          </w:p>
        </w:tc>
        <w:tc>
          <w:tcPr>
            <w:tcW w:w="0" w:type="dxa"/>
            <w:vAlign w:val="bottom"/>
          </w:tcPr>
          <w:p>
            <w:pPr>
              <w:spacing w:after="0"/>
              <w:rPr>
                <w:sz w:val="1"/>
                <w:szCs w:val="1"/>
                <w:color w:val="auto"/>
              </w:rPr>
            </w:pPr>
          </w:p>
        </w:tc>
      </w:tr>
      <w:tr>
        <w:trPr>
          <w:trHeight w:val="130"/>
        </w:trPr>
        <w:tc>
          <w:tcPr>
            <w:tcW w:w="540" w:type="dxa"/>
            <w:vAlign w:val="bottom"/>
            <w:vMerge w:val="restart"/>
          </w:tcPr>
          <w:p>
            <w:pPr>
              <w:jc w:val="center"/>
              <w:ind w:right="95"/>
              <w:spacing w:after="0"/>
              <w:rPr>
                <w:sz w:val="20"/>
                <w:szCs w:val="20"/>
                <w:color w:val="auto"/>
              </w:rPr>
            </w:pPr>
            <w:r>
              <w:rPr>
                <w:rFonts w:ascii="Arial" w:cs="Arial" w:eastAsia="Arial" w:hAnsi="Arial"/>
                <w:sz w:val="13"/>
                <w:szCs w:val="13"/>
                <w:color w:val="auto"/>
                <w:w w:val="92"/>
              </w:rPr>
              <w:t>10.13</w:t>
            </w: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rPr>
              <w:t>Properties, LLC dated as of September 19, 2005</w:t>
            </w:r>
          </w:p>
        </w:tc>
        <w:tc>
          <w:tcPr>
            <w:tcW w:w="0" w:type="dxa"/>
            <w:vAlign w:val="bottom"/>
          </w:tcPr>
          <w:p>
            <w:pPr>
              <w:spacing w:after="0"/>
              <w:rPr>
                <w:sz w:val="1"/>
                <w:szCs w:val="1"/>
                <w:color w:val="auto"/>
              </w:rPr>
            </w:pPr>
          </w:p>
        </w:tc>
      </w:tr>
      <w:tr>
        <w:trPr>
          <w:trHeight w:val="130"/>
        </w:trPr>
        <w:tc>
          <w:tcPr>
            <w:tcW w:w="540" w:type="dxa"/>
            <w:vAlign w:val="bottom"/>
            <w:vMerge w:val="continue"/>
          </w:tcPr>
          <w:p>
            <w:pPr>
              <w:spacing w:after="0"/>
              <w:rPr>
                <w:sz w:val="11"/>
                <w:szCs w:val="11"/>
                <w:color w:val="auto"/>
              </w:rPr>
            </w:pP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w w:val="93"/>
              </w:rPr>
              <w:t>Third Amendment to Amended and Restated Master Operating Lease Agreement, dated</w:t>
            </w:r>
          </w:p>
        </w:tc>
        <w:tc>
          <w:tcPr>
            <w:tcW w:w="0" w:type="dxa"/>
            <w:vAlign w:val="bottom"/>
          </w:tcPr>
          <w:p>
            <w:pPr>
              <w:spacing w:after="0"/>
              <w:rPr>
                <w:sz w:val="1"/>
                <w:szCs w:val="1"/>
                <w:color w:val="auto"/>
              </w:rPr>
            </w:pPr>
          </w:p>
        </w:tc>
      </w:tr>
      <w:tr>
        <w:trPr>
          <w:trHeight w:val="130"/>
        </w:trPr>
        <w:tc>
          <w:tcPr>
            <w:tcW w:w="540" w:type="dxa"/>
            <w:vAlign w:val="bottom"/>
            <w:vMerge w:val="restart"/>
          </w:tcPr>
          <w:p>
            <w:pPr>
              <w:jc w:val="center"/>
              <w:ind w:right="95"/>
              <w:spacing w:after="0"/>
              <w:rPr>
                <w:sz w:val="20"/>
                <w:szCs w:val="20"/>
                <w:color w:val="auto"/>
              </w:rPr>
            </w:pPr>
            <w:r>
              <w:rPr>
                <w:rFonts w:ascii="Arial" w:cs="Arial" w:eastAsia="Arial" w:hAnsi="Arial"/>
                <w:sz w:val="13"/>
                <w:szCs w:val="13"/>
                <w:color w:val="auto"/>
                <w:w w:val="92"/>
              </w:rPr>
              <w:t>10.14</w:t>
            </w: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rPr>
              <w:t>June 29, 2010, between Sutton Hill Capital, L.L.C. and Citadel Cinemas, Inc.</w:t>
            </w:r>
          </w:p>
        </w:tc>
        <w:tc>
          <w:tcPr>
            <w:tcW w:w="0" w:type="dxa"/>
            <w:vAlign w:val="bottom"/>
          </w:tcPr>
          <w:p>
            <w:pPr>
              <w:spacing w:after="0"/>
              <w:rPr>
                <w:sz w:val="1"/>
                <w:szCs w:val="1"/>
                <w:color w:val="auto"/>
              </w:rPr>
            </w:pPr>
          </w:p>
        </w:tc>
      </w:tr>
      <w:tr>
        <w:trPr>
          <w:trHeight w:val="130"/>
        </w:trPr>
        <w:tc>
          <w:tcPr>
            <w:tcW w:w="540" w:type="dxa"/>
            <w:vAlign w:val="bottom"/>
            <w:vMerge w:val="continue"/>
          </w:tcPr>
          <w:p>
            <w:pPr>
              <w:spacing w:after="0"/>
              <w:rPr>
                <w:sz w:val="11"/>
                <w:szCs w:val="11"/>
                <w:color w:val="auto"/>
              </w:rPr>
            </w:pPr>
          </w:p>
        </w:tc>
        <w:tc>
          <w:tcPr>
            <w:tcW w:w="4940" w:type="dxa"/>
            <w:vAlign w:val="bottom"/>
          </w:tcPr>
          <w:p>
            <w:pPr>
              <w:ind w:left="180"/>
              <w:spacing w:after="0" w:line="130" w:lineRule="exact"/>
              <w:rPr>
                <w:sz w:val="20"/>
                <w:szCs w:val="20"/>
                <w:color w:val="auto"/>
              </w:rPr>
            </w:pPr>
            <w:r>
              <w:rPr>
                <w:rFonts w:ascii="Arial" w:cs="Arial" w:eastAsia="Arial" w:hAnsi="Arial"/>
                <w:sz w:val="13"/>
                <w:szCs w:val="13"/>
                <w:color w:val="auto"/>
                <w:w w:val="89"/>
              </w:rPr>
              <w:t>Omnibus Amendment Agreement, dated as of October 22, 2003, between Citadel Cinemas,</w:t>
            </w: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4940" w:type="dxa"/>
            <w:vAlign w:val="bottom"/>
          </w:tcPr>
          <w:p>
            <w:pPr>
              <w:ind w:left="180"/>
              <w:spacing w:after="0" w:line="140" w:lineRule="exact"/>
              <w:rPr>
                <w:sz w:val="20"/>
                <w:szCs w:val="20"/>
                <w:color w:val="auto"/>
              </w:rPr>
            </w:pPr>
            <w:r>
              <w:rPr>
                <w:rFonts w:ascii="Arial" w:cs="Arial" w:eastAsia="Arial" w:hAnsi="Arial"/>
                <w:sz w:val="13"/>
                <w:szCs w:val="13"/>
                <w:color w:val="auto"/>
                <w:w w:val="95"/>
              </w:rPr>
              <w:t>Inc., Sutton Hill Capital, L.L.C., Nationwide Theatres Corp., Sutton Hill Associates, and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-3491865</wp:posOffset>
            </wp:positionV>
            <wp:extent cx="7159625" cy="165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9625" cy="16510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-3161030</wp:posOffset>
            </wp:positionV>
            <wp:extent cx="7159625" cy="165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9625" cy="16510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-2830830</wp:posOffset>
            </wp:positionV>
            <wp:extent cx="7159625" cy="165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9625" cy="16510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-2500630</wp:posOffset>
            </wp:positionV>
            <wp:extent cx="7159625" cy="165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9625" cy="16510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-2087245</wp:posOffset>
            </wp:positionV>
            <wp:extent cx="7159625" cy="165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9625" cy="16510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-1757045</wp:posOffset>
            </wp:positionV>
            <wp:extent cx="7159625" cy="165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9625" cy="16510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-1398905</wp:posOffset>
            </wp:positionV>
            <wp:extent cx="7159625" cy="165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9625" cy="16510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-1068705</wp:posOffset>
            </wp:positionV>
            <wp:extent cx="7159625" cy="165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9625" cy="16510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-655320</wp:posOffset>
            </wp:positionV>
            <wp:extent cx="7159625" cy="165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9625" cy="16510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-325120</wp:posOffset>
            </wp:positionV>
            <wp:extent cx="7159625" cy="165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ind w:left="720"/>
        <w:spacing w:after="0" w:line="205" w:lineRule="auto"/>
        <w:rPr>
          <w:sz w:val="20"/>
          <w:szCs w:val="20"/>
          <w:color w:val="auto"/>
        </w:rPr>
      </w:pPr>
      <w:r>
        <w:rPr>
          <w:rFonts w:ascii="Arial" w:cs="Arial" w:eastAsia="Arial" w:hAnsi="Arial"/>
          <w:sz w:val="13"/>
          <w:szCs w:val="13"/>
          <w:color w:val="auto"/>
        </w:rPr>
        <w:t>Reading International, Inc.</w:t>
      </w:r>
    </w:p>
    <w:p>
      <w:pPr>
        <w:jc w:val="right"/>
        <w:spacing w:after="0"/>
        <w:rPr>
          <w:sz w:val="20"/>
          <w:szCs w:val="20"/>
          <w:color w:val="auto"/>
        </w:rPr>
      </w:pPr>
      <w:r>
        <w:rPr>
          <w:rFonts w:ascii="Arial" w:cs="Arial" w:eastAsia="Arial" w:hAnsi="Arial"/>
          <w:sz w:val="14"/>
          <w:szCs w:val="14"/>
          <w:color w:val="auto"/>
        </w:rPr>
        <w:t>- 114 -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152400</wp:posOffset>
            </wp:positionV>
            <wp:extent cx="7185025" cy="39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80"/>
        <w:spacing w:after="0" w:line="227" w:lineRule="auto"/>
        <w:rPr>
          <w:rFonts w:ascii="Arial" w:cs="Arial" w:eastAsia="Arial" w:hAnsi="Arial"/>
          <w:sz w:val="12"/>
          <w:szCs w:val="12"/>
          <w:b w:val="1"/>
          <w:bCs w:val="1"/>
          <w:color w:val="0000FF"/>
        </w:rPr>
      </w:pPr>
      <w:hyperlink r:id="rId171">
        <w:r>
          <w:rPr>
            <w:rFonts w:ascii="Arial" w:cs="Arial" w:eastAsia="Arial" w:hAnsi="Arial"/>
            <w:sz w:val="12"/>
            <w:szCs w:val="12"/>
            <w:color w:val="auto"/>
          </w:rPr>
          <w:t xml:space="preserve">Filed as </w:t>
        </w:r>
        <w:r>
          <w:rPr>
            <w:rFonts w:ascii="Arial" w:cs="Arial" w:eastAsia="Arial" w:hAnsi="Arial"/>
            <w:sz w:val="12"/>
            <w:szCs w:val="12"/>
            <w:b w:val="1"/>
            <w:bCs w:val="1"/>
            <w:u w:val="single" w:color="auto"/>
            <w:color w:val="0000FF"/>
          </w:rPr>
          <w:t>Exhibit 3.1 to the Company’s Annual Report on Form 10-K for the year ended</w:t>
        </w:r>
      </w:hyperlink>
      <w:r>
        <w:rPr>
          <w:rFonts w:ascii="Arial" w:cs="Arial" w:eastAsia="Arial" w:hAnsi="Arial"/>
          <w:sz w:val="12"/>
          <w:szCs w:val="12"/>
          <w:color w:val="auto"/>
        </w:rPr>
        <w:t xml:space="preserve"> </w:t>
      </w:r>
      <w:hyperlink r:id="rId171">
        <w:r>
          <w:rPr>
            <w:rFonts w:ascii="Arial" w:cs="Arial" w:eastAsia="Arial" w:hAnsi="Arial"/>
            <w:sz w:val="12"/>
            <w:szCs w:val="12"/>
            <w:b w:val="1"/>
            <w:bCs w:val="1"/>
            <w:u w:val="single" w:color="auto"/>
            <w:color w:val="0000FF"/>
          </w:rPr>
          <w:t>December 31, 2015</w:t>
        </w:r>
        <w:r>
          <w:rPr>
            <w:rFonts w:ascii="Arial" w:cs="Arial" w:eastAsia="Arial" w:hAnsi="Arial"/>
            <w:sz w:val="12"/>
            <w:szCs w:val="12"/>
            <w:color w:val="000000"/>
          </w:rPr>
          <w:t>, filed on April 29, 2016 and incorporated herein by reference.</w:t>
        </w:r>
      </w:hyperlink>
    </w:p>
    <w:p>
      <w:pPr>
        <w:spacing w:after="0" w:line="1" w:lineRule="exact"/>
        <w:rPr>
          <w:sz w:val="20"/>
          <w:szCs w:val="20"/>
          <w:color w:val="auto"/>
        </w:rPr>
      </w:pPr>
    </w:p>
    <w:p>
      <w:pPr>
        <w:ind w:left="20" w:right="480"/>
        <w:spacing w:after="0" w:line="274" w:lineRule="auto"/>
        <w:rPr>
          <w:rFonts w:ascii="Arial" w:cs="Arial" w:eastAsia="Arial" w:hAnsi="Arial"/>
          <w:sz w:val="11"/>
          <w:szCs w:val="11"/>
          <w:b w:val="1"/>
          <w:bCs w:val="1"/>
          <w:color w:val="0000FF"/>
        </w:rPr>
      </w:pPr>
      <w:hyperlink r:id="rId172">
        <w:r>
          <w:rPr>
            <w:rFonts w:ascii="Arial" w:cs="Arial" w:eastAsia="Arial" w:hAnsi="Arial"/>
            <w:sz w:val="11"/>
            <w:szCs w:val="11"/>
            <w:color w:val="auto"/>
          </w:rPr>
          <w:t xml:space="preserve">Filed as </w:t>
        </w:r>
        <w:r>
          <w:rPr>
            <w:rFonts w:ascii="Arial" w:cs="Arial" w:eastAsia="Arial" w:hAnsi="Arial"/>
            <w:sz w:val="11"/>
            <w:szCs w:val="11"/>
            <w:b w:val="1"/>
            <w:bCs w:val="1"/>
            <w:u w:val="single" w:color="auto"/>
            <w:color w:val="0000FF"/>
          </w:rPr>
          <w:t>Exhibit 3.2 to the Company’s Annual Report on Form 10-K for the year ended</w:t>
        </w:r>
      </w:hyperlink>
      <w:r>
        <w:rPr>
          <w:rFonts w:ascii="Arial" w:cs="Arial" w:eastAsia="Arial" w:hAnsi="Arial"/>
          <w:sz w:val="11"/>
          <w:szCs w:val="11"/>
          <w:color w:val="auto"/>
        </w:rPr>
        <w:t xml:space="preserve"> </w:t>
      </w:r>
      <w:hyperlink r:id="rId172">
        <w:r>
          <w:rPr>
            <w:rFonts w:ascii="Arial" w:cs="Arial" w:eastAsia="Arial" w:hAnsi="Arial"/>
            <w:sz w:val="11"/>
            <w:szCs w:val="11"/>
            <w:b w:val="1"/>
            <w:bCs w:val="1"/>
            <w:u w:val="single" w:color="auto"/>
            <w:color w:val="0000FF"/>
          </w:rPr>
          <w:t>December 31, 2017</w:t>
        </w:r>
        <w:r>
          <w:rPr>
            <w:rFonts w:ascii="Arial" w:cs="Arial" w:eastAsia="Arial" w:hAnsi="Arial"/>
            <w:sz w:val="11"/>
            <w:szCs w:val="11"/>
            <w:b w:val="1"/>
            <w:bCs w:val="1"/>
            <w:color w:val="000000"/>
          </w:rPr>
          <w:t>,</w:t>
        </w:r>
        <w:r>
          <w:rPr>
            <w:rFonts w:ascii="Arial" w:cs="Arial" w:eastAsia="Arial" w:hAnsi="Arial"/>
            <w:sz w:val="11"/>
            <w:szCs w:val="11"/>
            <w:b w:val="1"/>
            <w:bCs w:val="1"/>
            <w:color w:val="0000FF"/>
          </w:rPr>
          <w:t xml:space="preserve"> </w:t>
        </w:r>
        <w:r>
          <w:rPr>
            <w:rFonts w:ascii="Arial" w:cs="Arial" w:eastAsia="Arial" w:hAnsi="Arial"/>
            <w:sz w:val="11"/>
            <w:szCs w:val="11"/>
            <w:color w:val="000000"/>
          </w:rPr>
          <w:t>filed on March 16, 2018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-102235</wp:posOffset>
            </wp:positionV>
            <wp:extent cx="278511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278511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-19685</wp:posOffset>
            </wp:positionV>
            <wp:extent cx="66611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666115" cy="6985"/>
                    </a:xfrm>
                    <a:prstGeom prst="rect">
                      <a:avLst/>
                    </a:prstGeom>
                    <a:noFill/>
                  </pic:spPr>
                </pic:pic>
              </a:graphicData>
            </a:graphic>
          </wp:anchor>
        </w:drawing>
      </w:r>
    </w:p>
    <w:p>
      <w:pPr>
        <w:ind w:left="20" w:right="380"/>
        <w:spacing w:after="0" w:line="220" w:lineRule="auto"/>
        <w:rPr>
          <w:rFonts w:ascii="Arial" w:cs="Arial" w:eastAsia="Arial" w:hAnsi="Arial"/>
          <w:sz w:val="13"/>
          <w:szCs w:val="13"/>
          <w:color w:val="auto"/>
        </w:rPr>
      </w:pPr>
      <w:r>
        <w:rPr>
          <w:rFonts w:ascii="Arial" w:cs="Arial" w:eastAsia="Arial" w:hAnsi="Arial"/>
          <w:sz w:val="13"/>
          <w:szCs w:val="13"/>
          <w:color w:val="auto"/>
        </w:rPr>
        <w:t xml:space="preserve">Filed as </w:t>
      </w:r>
      <w:hyperlink r:id="rId175">
        <w:r>
          <w:rPr>
            <w:rFonts w:ascii="Arial" w:cs="Arial" w:eastAsia="Arial" w:hAnsi="Arial"/>
            <w:sz w:val="13"/>
            <w:szCs w:val="13"/>
            <w:b w:val="1"/>
            <w:bCs w:val="1"/>
            <w:u w:val="single" w:color="auto"/>
            <w:color w:val="0000FF"/>
          </w:rPr>
          <w:t>Exhibit 4.1 to the Company’s report on Form 8-K filed on February 9, 2007</w:t>
        </w:r>
      </w:hyperlink>
      <w:r>
        <w:rPr>
          <w:rFonts w:ascii="Arial" w:cs="Arial" w:eastAsia="Arial" w:hAnsi="Arial"/>
          <w:sz w:val="13"/>
          <w:szCs w:val="13"/>
          <w:color w:val="auto"/>
        </w:rPr>
        <w:t>, and incorporated herein by reference.</w:t>
      </w:r>
    </w:p>
    <w:p>
      <w:pPr>
        <w:ind w:left="20" w:right="380"/>
        <w:spacing w:after="0" w:line="208" w:lineRule="auto"/>
        <w:rPr>
          <w:rFonts w:ascii="Arial" w:cs="Arial" w:eastAsia="Arial" w:hAnsi="Arial"/>
          <w:sz w:val="13"/>
          <w:szCs w:val="13"/>
          <w:color w:val="auto"/>
        </w:rPr>
      </w:pPr>
      <w:r>
        <w:rPr>
          <w:rFonts w:ascii="Arial" w:cs="Arial" w:eastAsia="Arial" w:hAnsi="Arial"/>
          <w:sz w:val="13"/>
          <w:szCs w:val="13"/>
          <w:color w:val="auto"/>
        </w:rPr>
        <w:t xml:space="preserve">Filed as </w:t>
      </w:r>
      <w:hyperlink r:id="rId176">
        <w:r>
          <w:rPr>
            <w:rFonts w:ascii="Arial" w:cs="Arial" w:eastAsia="Arial" w:hAnsi="Arial"/>
            <w:sz w:val="13"/>
            <w:szCs w:val="13"/>
            <w:b w:val="1"/>
            <w:bCs w:val="1"/>
            <w:u w:val="single" w:color="auto"/>
            <w:color w:val="0000FF"/>
          </w:rPr>
          <w:t>Exhibit 4.2 to the Company’s report on Form 8-K filed on February 9, 2007</w:t>
        </w:r>
      </w:hyperlink>
      <w:r>
        <w:rPr>
          <w:rFonts w:ascii="Arial" w:cs="Arial" w:eastAsia="Arial" w:hAnsi="Arial"/>
          <w:sz w:val="13"/>
          <w:szCs w:val="13"/>
          <w:color w:val="auto"/>
        </w:rPr>
        <w:t>,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-83185</wp:posOffset>
            </wp:positionV>
            <wp:extent cx="265938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2659380" cy="6985"/>
                    </a:xfrm>
                    <a:prstGeom prst="rect">
                      <a:avLst/>
                    </a:prstGeom>
                    <a:noFill/>
                  </pic:spPr>
                </pic:pic>
              </a:graphicData>
            </a:graphic>
          </wp:anchor>
        </w:drawing>
      </w:r>
    </w:p>
    <w:p>
      <w:pPr>
        <w:ind w:left="20" w:right="380"/>
        <w:spacing w:after="0" w:line="208" w:lineRule="auto"/>
        <w:rPr>
          <w:rFonts w:ascii="Arial" w:cs="Arial" w:eastAsia="Arial" w:hAnsi="Arial"/>
          <w:sz w:val="13"/>
          <w:szCs w:val="13"/>
          <w:color w:val="auto"/>
        </w:rPr>
      </w:pPr>
      <w:r>
        <w:rPr>
          <w:rFonts w:ascii="Arial" w:cs="Arial" w:eastAsia="Arial" w:hAnsi="Arial"/>
          <w:sz w:val="13"/>
          <w:szCs w:val="13"/>
          <w:color w:val="auto"/>
        </w:rPr>
        <w:t xml:space="preserve">Filed as </w:t>
      </w:r>
      <w:hyperlink r:id="rId178">
        <w:r>
          <w:rPr>
            <w:rFonts w:ascii="Arial" w:cs="Arial" w:eastAsia="Arial" w:hAnsi="Arial"/>
            <w:sz w:val="13"/>
            <w:szCs w:val="13"/>
            <w:b w:val="1"/>
            <w:bCs w:val="1"/>
            <w:u w:val="single" w:color="auto"/>
            <w:color w:val="0000FF"/>
          </w:rPr>
          <w:t>Exhibit 4.3 to the Company’s report on Form 8-K filed on February 9, 2007</w:t>
        </w:r>
      </w:hyperlink>
      <w:r>
        <w:rPr>
          <w:rFonts w:ascii="Arial" w:cs="Arial" w:eastAsia="Arial" w:hAnsi="Arial"/>
          <w:sz w:val="13"/>
          <w:szCs w:val="13"/>
          <w:color w:val="auto"/>
        </w:rPr>
        <w:t>, and incorporated herein by reference.</w:t>
      </w:r>
    </w:p>
    <w:p>
      <w:pPr>
        <w:spacing w:after="0" w:line="1" w:lineRule="exact"/>
        <w:rPr>
          <w:sz w:val="20"/>
          <w:szCs w:val="20"/>
          <w:color w:val="auto"/>
        </w:rPr>
      </w:pPr>
    </w:p>
    <w:p>
      <w:pPr>
        <w:ind w:left="20" w:right="420"/>
        <w:spacing w:after="0" w:line="208" w:lineRule="auto"/>
        <w:rPr>
          <w:rFonts w:ascii="Arial" w:cs="Arial" w:eastAsia="Arial" w:hAnsi="Arial"/>
          <w:sz w:val="13"/>
          <w:szCs w:val="13"/>
          <w:color w:val="auto"/>
        </w:rPr>
      </w:pPr>
      <w:r>
        <w:rPr>
          <w:rFonts w:ascii="Arial" w:cs="Arial" w:eastAsia="Arial" w:hAnsi="Arial"/>
          <w:sz w:val="13"/>
          <w:szCs w:val="13"/>
          <w:color w:val="auto"/>
        </w:rPr>
        <w:t xml:space="preserve">Filed as </w:t>
      </w:r>
      <w:hyperlink r:id="rId179">
        <w:r>
          <w:rPr>
            <w:rFonts w:ascii="Arial" w:cs="Arial" w:eastAsia="Arial" w:hAnsi="Arial"/>
            <w:sz w:val="13"/>
            <w:szCs w:val="13"/>
            <w:b w:val="1"/>
            <w:bCs w:val="1"/>
            <w:u w:val="single" w:color="auto"/>
            <w:color w:val="0000FF"/>
          </w:rPr>
          <w:t>Exhibit 10.4 to the Company’s report on Form 8-K dated February 5, 2007</w:t>
        </w:r>
      </w:hyperlink>
      <w:r>
        <w:rPr>
          <w:rFonts w:ascii="Arial" w:cs="Arial" w:eastAsia="Arial" w:hAnsi="Arial"/>
          <w:sz w:val="13"/>
          <w:szCs w:val="13"/>
          <w:color w:val="auto"/>
        </w:rPr>
        <w:t>,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-83185</wp:posOffset>
            </wp:positionV>
            <wp:extent cx="263398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2633980" cy="6985"/>
                    </a:xfrm>
                    <a:prstGeom prst="rect">
                      <a:avLst/>
                    </a:prstGeom>
                    <a:noFill/>
                  </pic:spPr>
                </pic:pic>
              </a:graphicData>
            </a:graphic>
          </wp:anchor>
        </w:drawing>
      </w:r>
    </w:p>
    <w:p>
      <w:pPr>
        <w:ind w:left="20" w:right="20"/>
        <w:spacing w:after="0" w:line="208" w:lineRule="auto"/>
        <w:rPr>
          <w:rFonts w:ascii="Arial" w:cs="Arial" w:eastAsia="Arial" w:hAnsi="Arial"/>
          <w:sz w:val="13"/>
          <w:szCs w:val="13"/>
          <w:color w:val="auto"/>
        </w:rPr>
      </w:pPr>
      <w:r>
        <w:rPr>
          <w:rFonts w:ascii="Arial" w:cs="Arial" w:eastAsia="Arial" w:hAnsi="Arial"/>
          <w:sz w:val="13"/>
          <w:szCs w:val="13"/>
          <w:color w:val="auto"/>
        </w:rPr>
        <w:t xml:space="preserve">Filed as </w:t>
      </w:r>
      <w:hyperlink r:id="rId181">
        <w:r>
          <w:rPr>
            <w:rFonts w:ascii="Arial" w:cs="Arial" w:eastAsia="Arial" w:hAnsi="Arial"/>
            <w:sz w:val="13"/>
            <w:szCs w:val="13"/>
            <w:b w:val="1"/>
            <w:bCs w:val="1"/>
            <w:u w:val="single" w:color="auto"/>
            <w:color w:val="0000FF"/>
          </w:rPr>
          <w:t>Exhibit 4.4 to the Company’s report on Form S-3 on October 20, 2009</w:t>
        </w:r>
      </w:hyperlink>
      <w:r>
        <w:rPr>
          <w:rFonts w:ascii="Arial" w:cs="Arial" w:eastAsia="Arial" w:hAnsi="Arial"/>
          <w:sz w:val="13"/>
          <w:szCs w:val="13"/>
          <w:color w:val="auto"/>
        </w:rPr>
        <w:t>, and incorporated herein by reference.</w:t>
      </w:r>
    </w:p>
    <w:p>
      <w:pPr>
        <w:spacing w:after="0" w:line="1" w:lineRule="exact"/>
        <w:rPr>
          <w:sz w:val="20"/>
          <w:szCs w:val="20"/>
          <w:color w:val="auto"/>
        </w:rPr>
      </w:pPr>
    </w:p>
    <w:p>
      <w:pPr>
        <w:ind w:left="20" w:right="480"/>
        <w:spacing w:after="0" w:line="208" w:lineRule="auto"/>
        <w:rPr>
          <w:rFonts w:ascii="Arial" w:cs="Arial" w:eastAsia="Arial" w:hAnsi="Arial"/>
          <w:sz w:val="13"/>
          <w:szCs w:val="13"/>
          <w:b w:val="1"/>
          <w:bCs w:val="1"/>
          <w:color w:val="0000FF"/>
        </w:rPr>
      </w:pPr>
      <w:hyperlink r:id="rId182">
        <w:r>
          <w:rPr>
            <w:rFonts w:ascii="Arial" w:cs="Arial" w:eastAsia="Arial" w:hAnsi="Arial"/>
            <w:sz w:val="13"/>
            <w:szCs w:val="13"/>
            <w:color w:val="auto"/>
          </w:rPr>
          <w:t xml:space="preserve">Filed as </w:t>
        </w:r>
        <w:r>
          <w:rPr>
            <w:rFonts w:ascii="Arial" w:cs="Arial" w:eastAsia="Arial" w:hAnsi="Arial"/>
            <w:sz w:val="13"/>
            <w:szCs w:val="13"/>
            <w:b w:val="1"/>
            <w:bCs w:val="1"/>
            <w:u w:val="single" w:color="auto"/>
            <w:color w:val="0000FF"/>
          </w:rPr>
          <w:t>Exhibit 4.6 to the Company’s Annual Report on Form 10-K for the year ended</w:t>
        </w:r>
      </w:hyperlink>
      <w:r>
        <w:rPr>
          <w:rFonts w:ascii="Arial" w:cs="Arial" w:eastAsia="Arial" w:hAnsi="Arial"/>
          <w:sz w:val="13"/>
          <w:szCs w:val="13"/>
          <w:color w:val="auto"/>
        </w:rPr>
        <w:t xml:space="preserve"> </w:t>
      </w:r>
      <w:hyperlink r:id="rId182">
        <w:r>
          <w:rPr>
            <w:rFonts w:ascii="Arial" w:cs="Arial" w:eastAsia="Arial" w:hAnsi="Arial"/>
            <w:sz w:val="13"/>
            <w:szCs w:val="13"/>
            <w:b w:val="1"/>
            <w:bCs w:val="1"/>
            <w:u w:val="single" w:color="auto"/>
            <w:color w:val="0000FF"/>
          </w:rPr>
          <w:t>December 31, 2021</w:t>
        </w:r>
        <w:r>
          <w:rPr>
            <w:rFonts w:ascii="Arial" w:cs="Arial" w:eastAsia="Arial" w:hAnsi="Arial"/>
            <w:sz w:val="13"/>
            <w:szCs w:val="13"/>
            <w:b w:val="1"/>
            <w:bCs w:val="1"/>
            <w:color w:val="000000"/>
          </w:rPr>
          <w:t>,</w:t>
        </w:r>
        <w:r>
          <w:rPr>
            <w:rFonts w:ascii="Arial" w:cs="Arial" w:eastAsia="Arial" w:hAnsi="Arial"/>
            <w:sz w:val="13"/>
            <w:szCs w:val="13"/>
            <w:b w:val="1"/>
            <w:bCs w:val="1"/>
            <w:color w:val="0000FF"/>
          </w:rPr>
          <w:t xml:space="preserve"> </w:t>
        </w:r>
        <w:r>
          <w:rPr>
            <w:rFonts w:ascii="Arial" w:cs="Arial" w:eastAsia="Arial" w:hAnsi="Arial"/>
            <w:sz w:val="13"/>
            <w:szCs w:val="13"/>
            <w:color w:val="000000"/>
          </w:rPr>
          <w:t>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-83185</wp:posOffset>
            </wp:positionV>
            <wp:extent cx="278511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278511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-635</wp:posOffset>
            </wp:positionV>
            <wp:extent cx="66738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667385" cy="6985"/>
                    </a:xfrm>
                    <a:prstGeom prst="rect">
                      <a:avLst/>
                    </a:prstGeom>
                    <a:noFill/>
                  </pic:spPr>
                </pic:pic>
              </a:graphicData>
            </a:graphic>
          </wp:anchor>
        </w:drawing>
      </w:r>
    </w:p>
    <w:p>
      <w:pPr>
        <w:ind w:left="20" w:right="400"/>
        <w:spacing w:after="0" w:line="226" w:lineRule="auto"/>
        <w:rPr>
          <w:rFonts w:ascii="Arial" w:cs="Arial" w:eastAsia="Arial" w:hAnsi="Arial"/>
          <w:sz w:val="12"/>
          <w:szCs w:val="12"/>
          <w:b w:val="1"/>
          <w:bCs w:val="1"/>
          <w:color w:val="0000FF"/>
        </w:rPr>
      </w:pPr>
      <w:hyperlink r:id="rId185">
        <w:r>
          <w:rPr>
            <w:rFonts w:ascii="Arial" w:cs="Arial" w:eastAsia="Arial" w:hAnsi="Arial"/>
            <w:sz w:val="12"/>
            <w:szCs w:val="12"/>
            <w:color w:val="auto"/>
          </w:rPr>
          <w:t xml:space="preserve">Filed as </w:t>
        </w:r>
        <w:r>
          <w:rPr>
            <w:rFonts w:ascii="Arial" w:cs="Arial" w:eastAsia="Arial" w:hAnsi="Arial"/>
            <w:sz w:val="12"/>
            <w:szCs w:val="12"/>
            <w:b w:val="1"/>
            <w:bCs w:val="1"/>
            <w:u w:val="single" w:color="auto"/>
            <w:color w:val="0000FF"/>
          </w:rPr>
          <w:t>Exhibit 10.1 to the Company’s Annual Report on Form 10-K for the year ended</w:t>
        </w:r>
      </w:hyperlink>
      <w:r>
        <w:rPr>
          <w:rFonts w:ascii="Arial" w:cs="Arial" w:eastAsia="Arial" w:hAnsi="Arial"/>
          <w:sz w:val="12"/>
          <w:szCs w:val="12"/>
          <w:color w:val="auto"/>
        </w:rPr>
        <w:t xml:space="preserve"> </w:t>
      </w:r>
      <w:hyperlink r:id="rId185">
        <w:r>
          <w:rPr>
            <w:rFonts w:ascii="Arial" w:cs="Arial" w:eastAsia="Arial" w:hAnsi="Arial"/>
            <w:sz w:val="12"/>
            <w:szCs w:val="12"/>
            <w:b w:val="1"/>
            <w:bCs w:val="1"/>
            <w:u w:val="single" w:color="auto"/>
            <w:color w:val="0000FF"/>
          </w:rPr>
          <w:t>December 31, 2017</w:t>
        </w:r>
        <w:r>
          <w:rPr>
            <w:rFonts w:ascii="Arial" w:cs="Arial" w:eastAsia="Arial" w:hAnsi="Arial"/>
            <w:sz w:val="12"/>
            <w:szCs w:val="12"/>
            <w:b w:val="1"/>
            <w:bCs w:val="1"/>
            <w:color w:val="000000"/>
          </w:rPr>
          <w:t>,</w:t>
        </w:r>
        <w:r>
          <w:rPr>
            <w:rFonts w:ascii="Arial" w:cs="Arial" w:eastAsia="Arial" w:hAnsi="Arial"/>
            <w:sz w:val="12"/>
            <w:szCs w:val="12"/>
            <w:b w:val="1"/>
            <w:bCs w:val="1"/>
            <w:color w:val="0000FF"/>
          </w:rPr>
          <w:t xml:space="preserve"> </w:t>
        </w:r>
        <w:r>
          <w:rPr>
            <w:rFonts w:ascii="Arial" w:cs="Arial" w:eastAsia="Arial" w:hAnsi="Arial"/>
            <w:sz w:val="12"/>
            <w:szCs w:val="12"/>
            <w:color w:val="000000"/>
          </w:rPr>
          <w:t>filed on March 16, 2018 and incorporated herein by reference.</w:t>
        </w:r>
      </w:hyperlink>
    </w:p>
    <w:p>
      <w:pPr>
        <w:ind w:left="20"/>
        <w:spacing w:after="0" w:line="227" w:lineRule="auto"/>
        <w:rPr>
          <w:rFonts w:ascii="Arial" w:cs="Arial" w:eastAsia="Arial" w:hAnsi="Arial"/>
          <w:sz w:val="13"/>
          <w:szCs w:val="13"/>
          <w:color w:val="auto"/>
        </w:rPr>
      </w:pPr>
      <w:r>
        <w:rPr>
          <w:rFonts w:ascii="Arial" w:cs="Arial" w:eastAsia="Arial" w:hAnsi="Arial"/>
          <w:sz w:val="13"/>
          <w:szCs w:val="13"/>
          <w:color w:val="auto"/>
        </w:rPr>
        <w:t xml:space="preserve">Filed as Exhibits </w:t>
      </w:r>
      <w:hyperlink r:id="rId186">
        <w:r>
          <w:rPr>
            <w:rFonts w:ascii="Arial" w:cs="Arial" w:eastAsia="Arial" w:hAnsi="Arial"/>
            <w:sz w:val="13"/>
            <w:szCs w:val="13"/>
            <w:b w:val="1"/>
            <w:bCs w:val="1"/>
            <w:u w:val="single" w:color="auto"/>
            <w:color w:val="0000FF"/>
          </w:rPr>
          <w:t>4.2</w:t>
        </w:r>
      </w:hyperlink>
      <w:r>
        <w:rPr>
          <w:rFonts w:ascii="Arial" w:cs="Arial" w:eastAsia="Arial" w:hAnsi="Arial"/>
          <w:sz w:val="13"/>
          <w:szCs w:val="13"/>
          <w:color w:val="auto"/>
        </w:rPr>
        <w:t xml:space="preserve">, </w:t>
      </w:r>
      <w:hyperlink r:id="rId187">
        <w:r>
          <w:rPr>
            <w:rFonts w:ascii="Arial" w:cs="Arial" w:eastAsia="Arial" w:hAnsi="Arial"/>
            <w:sz w:val="13"/>
            <w:szCs w:val="13"/>
            <w:b w:val="1"/>
            <w:bCs w:val="1"/>
            <w:u w:val="single" w:color="auto"/>
            <w:color w:val="0000FF"/>
          </w:rPr>
          <w:t>4.3</w:t>
        </w:r>
      </w:hyperlink>
      <w:r>
        <w:rPr>
          <w:rFonts w:ascii="Arial" w:cs="Arial" w:eastAsia="Arial" w:hAnsi="Arial"/>
          <w:sz w:val="13"/>
          <w:szCs w:val="13"/>
          <w:color w:val="auto"/>
        </w:rPr>
        <w:t xml:space="preserve">, </w:t>
      </w:r>
      <w:hyperlink r:id="rId188">
        <w:r>
          <w:rPr>
            <w:rFonts w:ascii="Arial" w:cs="Arial" w:eastAsia="Arial" w:hAnsi="Arial"/>
            <w:sz w:val="13"/>
            <w:szCs w:val="13"/>
            <w:b w:val="1"/>
            <w:bCs w:val="1"/>
            <w:u w:val="single" w:color="auto"/>
            <w:color w:val="0000FF"/>
          </w:rPr>
          <w:t>4.4</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 xml:space="preserve">and </w:t>
      </w:r>
      <w:hyperlink r:id="rId189">
        <w:r>
          <w:rPr>
            <w:rFonts w:ascii="Arial" w:cs="Arial" w:eastAsia="Arial" w:hAnsi="Arial"/>
            <w:sz w:val="13"/>
            <w:szCs w:val="13"/>
            <w:b w:val="1"/>
            <w:bCs w:val="1"/>
            <w:u w:val="single" w:color="auto"/>
            <w:color w:val="0000FF"/>
          </w:rPr>
          <w:t>4.5</w:t>
        </w:r>
      </w:hyperlink>
      <w:r>
        <w:rPr>
          <w:rFonts w:ascii="Arial" w:cs="Arial" w:eastAsia="Arial" w:hAnsi="Arial"/>
          <w:sz w:val="13"/>
          <w:szCs w:val="13"/>
          <w:color w:val="auto"/>
        </w:rPr>
        <w:t>, respectively, to the Company’s report on Form S-8 on May 26, 2010, and incorporated herein by reference.</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584200</wp:posOffset>
            </wp:positionH>
            <wp:positionV relativeFrom="paragraph">
              <wp:posOffset>-98425</wp:posOffset>
            </wp:positionV>
            <wp:extent cx="65595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655955" cy="6985"/>
                    </a:xfrm>
                    <a:prstGeom prst="rect">
                      <a:avLst/>
                    </a:prstGeom>
                    <a:noFill/>
                  </pic:spPr>
                </pic:pic>
              </a:graphicData>
            </a:graphic>
          </wp:anchor>
        </w:drawing>
      </w:r>
    </w:p>
    <w:p>
      <w:pPr>
        <w:spacing w:after="0" w:line="73" w:lineRule="exact"/>
        <w:rPr>
          <w:rFonts w:ascii="Arial" w:cs="Arial" w:eastAsia="Arial" w:hAnsi="Arial"/>
          <w:sz w:val="13"/>
          <w:szCs w:val="13"/>
          <w:color w:val="auto"/>
        </w:rPr>
      </w:pPr>
    </w:p>
    <w:p>
      <w:pPr>
        <w:ind w:left="20" w:right="80"/>
        <w:spacing w:after="0" w:line="220" w:lineRule="auto"/>
        <w:rPr>
          <w:rFonts w:ascii="Arial" w:cs="Arial" w:eastAsia="Arial" w:hAnsi="Arial"/>
          <w:sz w:val="13"/>
          <w:szCs w:val="13"/>
          <w:b w:val="1"/>
          <w:bCs w:val="1"/>
          <w:color w:val="0000FF"/>
        </w:rPr>
      </w:pPr>
      <w:hyperlink r:id="rId191">
        <w:r>
          <w:rPr>
            <w:rFonts w:ascii="Arial" w:cs="Arial" w:eastAsia="Arial" w:hAnsi="Arial"/>
            <w:sz w:val="13"/>
            <w:szCs w:val="13"/>
            <w:color w:val="auto"/>
          </w:rPr>
          <w:t xml:space="preserve">Filed as </w:t>
        </w:r>
        <w:r>
          <w:rPr>
            <w:rFonts w:ascii="Arial" w:cs="Arial" w:eastAsia="Arial" w:hAnsi="Arial"/>
            <w:sz w:val="13"/>
            <w:szCs w:val="13"/>
            <w:b w:val="1"/>
            <w:bCs w:val="1"/>
            <w:u w:val="single" w:color="auto"/>
            <w:color w:val="0000FF"/>
          </w:rPr>
          <w:t>Exhibit 10.1 to the Company’s Quarterly Report on Form 10-Q for the quarter ended</w:t>
        </w:r>
      </w:hyperlink>
      <w:r>
        <w:rPr>
          <w:rFonts w:ascii="Arial" w:cs="Arial" w:eastAsia="Arial" w:hAnsi="Arial"/>
          <w:sz w:val="13"/>
          <w:szCs w:val="13"/>
          <w:color w:val="auto"/>
        </w:rPr>
        <w:t xml:space="preserve"> </w:t>
      </w:r>
      <w:hyperlink r:id="rId191">
        <w:r>
          <w:rPr>
            <w:rFonts w:ascii="Arial" w:cs="Arial" w:eastAsia="Arial" w:hAnsi="Arial"/>
            <w:sz w:val="13"/>
            <w:szCs w:val="13"/>
            <w:b w:val="1"/>
            <w:bCs w:val="1"/>
            <w:u w:val="single" w:color="auto"/>
            <w:color w:val="0000FF"/>
          </w:rPr>
          <w:t>March 31, 2020</w:t>
        </w:r>
        <w:r>
          <w:rPr>
            <w:rFonts w:ascii="Arial" w:cs="Arial" w:eastAsia="Arial" w:hAnsi="Arial"/>
            <w:sz w:val="13"/>
            <w:szCs w:val="13"/>
            <w:color w:val="000000"/>
          </w:rPr>
          <w:t>, and incorporated herein by reference.</w:t>
        </w:r>
      </w:hyperlink>
    </w:p>
    <w:p>
      <w:pPr>
        <w:ind w:left="20" w:right="80"/>
        <w:spacing w:after="0" w:line="208" w:lineRule="auto"/>
        <w:rPr>
          <w:rFonts w:ascii="Arial" w:cs="Arial" w:eastAsia="Arial" w:hAnsi="Arial"/>
          <w:sz w:val="13"/>
          <w:szCs w:val="13"/>
          <w:b w:val="1"/>
          <w:bCs w:val="1"/>
          <w:color w:val="0000FF"/>
        </w:rPr>
      </w:pPr>
      <w:hyperlink r:id="rId191">
        <w:r>
          <w:rPr>
            <w:rFonts w:ascii="Arial" w:cs="Arial" w:eastAsia="Arial" w:hAnsi="Arial"/>
            <w:sz w:val="13"/>
            <w:szCs w:val="13"/>
            <w:color w:val="auto"/>
          </w:rPr>
          <w:t xml:space="preserve">Filed as </w:t>
        </w:r>
        <w:r>
          <w:rPr>
            <w:rFonts w:ascii="Arial" w:cs="Arial" w:eastAsia="Arial" w:hAnsi="Arial"/>
            <w:sz w:val="13"/>
            <w:szCs w:val="13"/>
            <w:b w:val="1"/>
            <w:bCs w:val="1"/>
            <w:u w:val="single" w:color="auto"/>
            <w:color w:val="0000FF"/>
          </w:rPr>
          <w:t>Exhibit 10.2 to the Company’s Quarterly Report on Form 10-Q for the quarter ended</w:t>
        </w:r>
      </w:hyperlink>
      <w:r>
        <w:rPr>
          <w:rFonts w:ascii="Arial" w:cs="Arial" w:eastAsia="Arial" w:hAnsi="Arial"/>
          <w:sz w:val="13"/>
          <w:szCs w:val="13"/>
          <w:color w:val="auto"/>
        </w:rPr>
        <w:t xml:space="preserve"> </w:t>
      </w:r>
      <w:hyperlink r:id="rId191">
        <w:r>
          <w:rPr>
            <w:rFonts w:ascii="Arial" w:cs="Arial" w:eastAsia="Arial" w:hAnsi="Arial"/>
            <w:sz w:val="13"/>
            <w:szCs w:val="13"/>
            <w:b w:val="1"/>
            <w:bCs w:val="1"/>
            <w:u w:val="single" w:color="auto"/>
            <w:color w:val="0000FF"/>
          </w:rPr>
          <w:t>March 31, 2020</w:t>
        </w:r>
        <w:r>
          <w:rPr>
            <w:rFonts w:ascii="Arial" w:cs="Arial" w:eastAsia="Arial" w:hAnsi="Arial"/>
            <w:sz w:val="13"/>
            <w:szCs w:val="13"/>
            <w:color w:val="000000"/>
          </w:rPr>
          <w:t>,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-83185</wp:posOffset>
            </wp:positionV>
            <wp:extent cx="303212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3032125"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-635</wp:posOffset>
            </wp:positionV>
            <wp:extent cx="54673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546735" cy="6985"/>
                    </a:xfrm>
                    <a:prstGeom prst="rect">
                      <a:avLst/>
                    </a:prstGeom>
                    <a:noFill/>
                  </pic:spPr>
                </pic:pic>
              </a:graphicData>
            </a:graphic>
          </wp:anchor>
        </w:drawing>
      </w:r>
    </w:p>
    <w:p>
      <w:pPr>
        <w:ind w:left="20" w:right="80"/>
        <w:spacing w:after="0" w:line="217" w:lineRule="auto"/>
        <w:rPr>
          <w:rFonts w:ascii="Arial" w:cs="Arial" w:eastAsia="Arial" w:hAnsi="Arial"/>
          <w:sz w:val="13"/>
          <w:szCs w:val="13"/>
          <w:b w:val="1"/>
          <w:bCs w:val="1"/>
          <w:color w:val="0000FF"/>
        </w:rPr>
      </w:pPr>
      <w:hyperlink r:id="rId191">
        <w:r>
          <w:rPr>
            <w:rFonts w:ascii="Arial" w:cs="Arial" w:eastAsia="Arial" w:hAnsi="Arial"/>
            <w:sz w:val="13"/>
            <w:szCs w:val="13"/>
            <w:color w:val="auto"/>
          </w:rPr>
          <w:t xml:space="preserve">Filed as </w:t>
        </w:r>
        <w:r>
          <w:rPr>
            <w:rFonts w:ascii="Arial" w:cs="Arial" w:eastAsia="Arial" w:hAnsi="Arial"/>
            <w:sz w:val="13"/>
            <w:szCs w:val="13"/>
            <w:b w:val="1"/>
            <w:bCs w:val="1"/>
            <w:u w:val="single" w:color="auto"/>
            <w:color w:val="0000FF"/>
          </w:rPr>
          <w:t>Exhibit 10.3 to the Company’s Quarterly Report on Form 10-Q for the quarter ended</w:t>
        </w:r>
      </w:hyperlink>
      <w:r>
        <w:rPr>
          <w:rFonts w:ascii="Arial" w:cs="Arial" w:eastAsia="Arial" w:hAnsi="Arial"/>
          <w:sz w:val="13"/>
          <w:szCs w:val="13"/>
          <w:color w:val="auto"/>
        </w:rPr>
        <w:t xml:space="preserve"> </w:t>
      </w:r>
      <w:hyperlink r:id="rId191">
        <w:r>
          <w:rPr>
            <w:rFonts w:ascii="Arial" w:cs="Arial" w:eastAsia="Arial" w:hAnsi="Arial"/>
            <w:sz w:val="13"/>
            <w:szCs w:val="13"/>
            <w:b w:val="1"/>
            <w:bCs w:val="1"/>
            <w:u w:val="single" w:color="auto"/>
            <w:color w:val="0000FF"/>
          </w:rPr>
          <w:t>March 31, 2020</w:t>
        </w:r>
        <w:r>
          <w:rPr>
            <w:rFonts w:ascii="Arial" w:cs="Arial" w:eastAsia="Arial" w:hAnsi="Arial"/>
            <w:sz w:val="13"/>
            <w:szCs w:val="13"/>
            <w:color w:val="000000"/>
          </w:rPr>
          <w:t>, and incorporated herein by reference.</w:t>
        </w:r>
      </w:hyperlink>
    </w:p>
    <w:p>
      <w:pPr>
        <w:spacing w:after="0" w:line="1" w:lineRule="exact"/>
        <w:rPr>
          <w:sz w:val="20"/>
          <w:szCs w:val="20"/>
          <w:color w:val="auto"/>
        </w:rPr>
      </w:pPr>
    </w:p>
    <w:p>
      <w:pPr>
        <w:ind w:left="20"/>
        <w:spacing w:after="0"/>
        <w:rPr>
          <w:rFonts w:ascii="Arial" w:cs="Arial" w:eastAsia="Arial" w:hAnsi="Arial"/>
          <w:sz w:val="12"/>
          <w:szCs w:val="12"/>
          <w:color w:val="auto"/>
        </w:rPr>
      </w:pPr>
      <w:r>
        <w:rPr>
          <w:rFonts w:ascii="Arial" w:cs="Arial" w:eastAsia="Arial" w:hAnsi="Arial"/>
          <w:sz w:val="12"/>
          <w:szCs w:val="12"/>
          <w:color w:val="auto"/>
        </w:rPr>
        <w:t xml:space="preserve">Filed as </w:t>
      </w:r>
      <w:hyperlink r:id="rId194">
        <w:r>
          <w:rPr>
            <w:rFonts w:ascii="Arial" w:cs="Arial" w:eastAsia="Arial" w:hAnsi="Arial"/>
            <w:sz w:val="12"/>
            <w:szCs w:val="12"/>
            <w:b w:val="1"/>
            <w:bCs w:val="1"/>
            <w:u w:val="single" w:color="auto"/>
            <w:color w:val="0000FF"/>
          </w:rPr>
          <w:t>Appendix A to the Company’s Proxy Statement filed on November 6, 2020</w:t>
        </w:r>
      </w:hyperlink>
      <w:r>
        <w:rPr>
          <w:rFonts w:ascii="Arial" w:cs="Arial" w:eastAsia="Arial" w:hAnsi="Arial"/>
          <w:sz w:val="12"/>
          <w:szCs w:val="12"/>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-6350</wp:posOffset>
            </wp:positionV>
            <wp:extent cx="261556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2615565" cy="698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incorporated herein by reference.</w:t>
      </w:r>
    </w:p>
    <w:p>
      <w:pPr>
        <w:ind w:left="20" w:right="400"/>
        <w:spacing w:after="0" w:line="208" w:lineRule="auto"/>
        <w:rPr>
          <w:rFonts w:ascii="Arial" w:cs="Arial" w:eastAsia="Arial" w:hAnsi="Arial"/>
          <w:sz w:val="13"/>
          <w:szCs w:val="13"/>
          <w:b w:val="1"/>
          <w:bCs w:val="1"/>
          <w:color w:val="0000FF"/>
        </w:rPr>
      </w:pPr>
      <w:hyperlink r:id="rId196">
        <w:r>
          <w:rPr>
            <w:rFonts w:ascii="Arial" w:cs="Arial" w:eastAsia="Arial" w:hAnsi="Arial"/>
            <w:sz w:val="13"/>
            <w:szCs w:val="13"/>
            <w:color w:val="auto"/>
          </w:rPr>
          <w:t xml:space="preserve">Filed as </w:t>
        </w:r>
        <w:r>
          <w:rPr>
            <w:rFonts w:ascii="Arial" w:cs="Arial" w:eastAsia="Arial" w:hAnsi="Arial"/>
            <w:sz w:val="13"/>
            <w:szCs w:val="13"/>
            <w:b w:val="1"/>
            <w:bCs w:val="1"/>
            <w:u w:val="single" w:color="auto"/>
            <w:color w:val="0000FF"/>
          </w:rPr>
          <w:t>Exhibit 10.7 to the Company’s Annual Report on Form 10-K for the year ended</w:t>
        </w:r>
      </w:hyperlink>
      <w:r>
        <w:rPr>
          <w:rFonts w:ascii="Arial" w:cs="Arial" w:eastAsia="Arial" w:hAnsi="Arial"/>
          <w:sz w:val="13"/>
          <w:szCs w:val="13"/>
          <w:color w:val="auto"/>
        </w:rPr>
        <w:t xml:space="preserve"> </w:t>
      </w:r>
      <w:hyperlink r:id="rId196">
        <w:r>
          <w:rPr>
            <w:rFonts w:ascii="Arial" w:cs="Arial" w:eastAsia="Arial" w:hAnsi="Arial"/>
            <w:sz w:val="13"/>
            <w:szCs w:val="13"/>
            <w:b w:val="1"/>
            <w:bCs w:val="1"/>
            <w:u w:val="single" w:color="auto"/>
            <w:color w:val="0000FF"/>
          </w:rPr>
          <w:t>December 31, 2021</w:t>
        </w:r>
        <w:r>
          <w:rPr>
            <w:rFonts w:ascii="Arial" w:cs="Arial" w:eastAsia="Arial" w:hAnsi="Arial"/>
            <w:sz w:val="13"/>
            <w:szCs w:val="13"/>
            <w:color w:val="000000"/>
          </w:rPr>
          <w:t>, and incorporated herein by reference</w:t>
        </w:r>
      </w:hyperlink>
    </w:p>
    <w:p>
      <w:pPr>
        <w:spacing w:after="0" w:line="1" w:lineRule="exact"/>
        <w:rPr>
          <w:sz w:val="20"/>
          <w:szCs w:val="20"/>
          <w:color w:val="auto"/>
        </w:rPr>
      </w:pPr>
    </w:p>
    <w:p>
      <w:pPr>
        <w:ind w:left="20" w:right="400"/>
        <w:spacing w:after="0" w:line="208" w:lineRule="auto"/>
        <w:rPr>
          <w:rFonts w:ascii="Arial" w:cs="Arial" w:eastAsia="Arial" w:hAnsi="Arial"/>
          <w:sz w:val="13"/>
          <w:szCs w:val="13"/>
          <w:b w:val="1"/>
          <w:bCs w:val="1"/>
          <w:color w:val="0000FF"/>
        </w:rPr>
      </w:pPr>
      <w:hyperlink r:id="rId197">
        <w:r>
          <w:rPr>
            <w:rFonts w:ascii="Arial" w:cs="Arial" w:eastAsia="Arial" w:hAnsi="Arial"/>
            <w:sz w:val="13"/>
            <w:szCs w:val="13"/>
            <w:color w:val="auto"/>
          </w:rPr>
          <w:t xml:space="preserve">Filed as </w:t>
        </w:r>
        <w:r>
          <w:rPr>
            <w:rFonts w:ascii="Arial" w:cs="Arial" w:eastAsia="Arial" w:hAnsi="Arial"/>
            <w:sz w:val="13"/>
            <w:szCs w:val="13"/>
            <w:b w:val="1"/>
            <w:bCs w:val="1"/>
            <w:u w:val="single" w:color="auto"/>
            <w:color w:val="0000FF"/>
          </w:rPr>
          <w:t>Exhibit 10.8 to the Company’s Annual Report on Form 10-K for the year ended</w:t>
        </w:r>
      </w:hyperlink>
      <w:r>
        <w:rPr>
          <w:rFonts w:ascii="Arial" w:cs="Arial" w:eastAsia="Arial" w:hAnsi="Arial"/>
          <w:sz w:val="13"/>
          <w:szCs w:val="13"/>
          <w:color w:val="auto"/>
        </w:rPr>
        <w:t xml:space="preserve"> </w:t>
      </w:r>
      <w:hyperlink r:id="rId197">
        <w:r>
          <w:rPr>
            <w:rFonts w:ascii="Arial" w:cs="Arial" w:eastAsia="Arial" w:hAnsi="Arial"/>
            <w:sz w:val="13"/>
            <w:szCs w:val="13"/>
            <w:b w:val="1"/>
            <w:bCs w:val="1"/>
            <w:u w:val="single" w:color="auto"/>
            <w:color w:val="0000FF"/>
          </w:rPr>
          <w:t>December 31, 2021</w:t>
        </w:r>
        <w:r>
          <w:rPr>
            <w:rFonts w:ascii="Arial" w:cs="Arial" w:eastAsia="Arial" w:hAnsi="Arial"/>
            <w:sz w:val="13"/>
            <w:szCs w:val="13"/>
            <w:color w:val="000000"/>
          </w:rPr>
          <w:t>,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-83185</wp:posOffset>
            </wp:positionV>
            <wp:extent cx="282638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2826385"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-635</wp:posOffset>
            </wp:positionV>
            <wp:extent cx="66738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667385" cy="6985"/>
                    </a:xfrm>
                    <a:prstGeom prst="rect">
                      <a:avLst/>
                    </a:prstGeom>
                    <a:noFill/>
                  </pic:spPr>
                </pic:pic>
              </a:graphicData>
            </a:graphic>
          </wp:anchor>
        </w:drawing>
      </w:r>
    </w:p>
    <w:p>
      <w:pPr>
        <w:ind w:left="20" w:right="400"/>
        <w:spacing w:after="0" w:line="208" w:lineRule="auto"/>
        <w:rPr>
          <w:rFonts w:ascii="Arial" w:cs="Arial" w:eastAsia="Arial" w:hAnsi="Arial"/>
          <w:sz w:val="13"/>
          <w:szCs w:val="13"/>
          <w:b w:val="1"/>
          <w:bCs w:val="1"/>
          <w:color w:val="0000FF"/>
        </w:rPr>
      </w:pPr>
      <w:hyperlink r:id="rId200">
        <w:r>
          <w:rPr>
            <w:rFonts w:ascii="Arial" w:cs="Arial" w:eastAsia="Arial" w:hAnsi="Arial"/>
            <w:sz w:val="13"/>
            <w:szCs w:val="13"/>
            <w:color w:val="auto"/>
          </w:rPr>
          <w:t xml:space="preserve">Filed as </w:t>
        </w:r>
        <w:r>
          <w:rPr>
            <w:rFonts w:ascii="Arial" w:cs="Arial" w:eastAsia="Arial" w:hAnsi="Arial"/>
            <w:sz w:val="13"/>
            <w:szCs w:val="13"/>
            <w:b w:val="1"/>
            <w:bCs w:val="1"/>
            <w:u w:val="single" w:color="auto"/>
            <w:color w:val="0000FF"/>
          </w:rPr>
          <w:t>Exhibit 10.9 to the Company’s Annual Report on Form 10-K for the year ended</w:t>
        </w:r>
      </w:hyperlink>
      <w:r>
        <w:rPr>
          <w:rFonts w:ascii="Arial" w:cs="Arial" w:eastAsia="Arial" w:hAnsi="Arial"/>
          <w:sz w:val="13"/>
          <w:szCs w:val="13"/>
          <w:color w:val="auto"/>
        </w:rPr>
        <w:t xml:space="preserve"> </w:t>
      </w:r>
      <w:hyperlink r:id="rId200">
        <w:r>
          <w:rPr>
            <w:rFonts w:ascii="Arial" w:cs="Arial" w:eastAsia="Arial" w:hAnsi="Arial"/>
            <w:sz w:val="13"/>
            <w:szCs w:val="13"/>
            <w:b w:val="1"/>
            <w:bCs w:val="1"/>
            <w:u w:val="single" w:color="auto"/>
            <w:color w:val="0000FF"/>
          </w:rPr>
          <w:t>December 31, 2021</w:t>
        </w:r>
        <w:r>
          <w:rPr>
            <w:rFonts w:ascii="Arial" w:cs="Arial" w:eastAsia="Arial" w:hAnsi="Arial"/>
            <w:sz w:val="13"/>
            <w:szCs w:val="13"/>
            <w:color w:val="000000"/>
          </w:rPr>
          <w:t>, and incorporated herein by reference.</w:t>
        </w:r>
      </w:hyperlink>
    </w:p>
    <w:p>
      <w:pPr>
        <w:spacing w:after="0" w:line="1" w:lineRule="exact"/>
        <w:rPr>
          <w:sz w:val="20"/>
          <w:szCs w:val="20"/>
          <w:color w:val="auto"/>
        </w:rPr>
      </w:pPr>
    </w:p>
    <w:p>
      <w:pPr>
        <w:ind w:left="20" w:right="420"/>
        <w:spacing w:after="0" w:line="227" w:lineRule="auto"/>
        <w:rPr>
          <w:rFonts w:ascii="Arial" w:cs="Arial" w:eastAsia="Arial" w:hAnsi="Arial"/>
          <w:sz w:val="13"/>
          <w:szCs w:val="13"/>
          <w:color w:val="auto"/>
        </w:rPr>
      </w:pPr>
      <w:r>
        <w:rPr>
          <w:rFonts w:ascii="Arial" w:cs="Arial" w:eastAsia="Arial" w:hAnsi="Arial"/>
          <w:sz w:val="13"/>
          <w:szCs w:val="13"/>
          <w:color w:val="auto"/>
        </w:rPr>
        <w:t xml:space="preserve">Filed as </w:t>
      </w:r>
      <w:hyperlink r:id="rId201">
        <w:r>
          <w:rPr>
            <w:rFonts w:ascii="Arial" w:cs="Arial" w:eastAsia="Arial" w:hAnsi="Arial"/>
            <w:sz w:val="13"/>
            <w:szCs w:val="13"/>
            <w:b w:val="1"/>
            <w:bCs w:val="1"/>
            <w:u w:val="single" w:color="auto"/>
            <w:color w:val="0000FF"/>
          </w:rPr>
          <w:t>Exhibit 10.40 to the Company’s Annual Report on Form 10-K</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for the year ended December 31, 2002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-98425</wp:posOffset>
            </wp:positionV>
            <wp:extent cx="218122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2181225" cy="6985"/>
                    </a:xfrm>
                    <a:prstGeom prst="rect">
                      <a:avLst/>
                    </a:prstGeom>
                    <a:noFill/>
                  </pic:spPr>
                </pic:pic>
              </a:graphicData>
            </a:graphic>
          </wp:anchor>
        </w:drawing>
      </w:r>
    </w:p>
    <w:p>
      <w:pPr>
        <w:spacing w:after="0" w:line="73" w:lineRule="exact"/>
        <w:rPr>
          <w:sz w:val="20"/>
          <w:szCs w:val="20"/>
          <w:color w:val="auto"/>
        </w:rPr>
      </w:pPr>
    </w:p>
    <w:p>
      <w:pPr>
        <w:ind w:left="20" w:right="120"/>
        <w:spacing w:after="0" w:line="220" w:lineRule="auto"/>
        <w:rPr>
          <w:rFonts w:ascii="Arial" w:cs="Arial" w:eastAsia="Arial" w:hAnsi="Arial"/>
          <w:sz w:val="13"/>
          <w:szCs w:val="13"/>
          <w:color w:val="auto"/>
        </w:rPr>
      </w:pPr>
      <w:r>
        <w:rPr>
          <w:rFonts w:ascii="Arial" w:cs="Arial" w:eastAsia="Arial" w:hAnsi="Arial"/>
          <w:sz w:val="13"/>
          <w:szCs w:val="13"/>
          <w:color w:val="auto"/>
        </w:rPr>
        <w:t xml:space="preserve">Filed as </w:t>
      </w:r>
      <w:hyperlink r:id="rId203">
        <w:r>
          <w:rPr>
            <w:rFonts w:ascii="Arial" w:cs="Arial" w:eastAsia="Arial" w:hAnsi="Arial"/>
            <w:sz w:val="13"/>
            <w:szCs w:val="13"/>
            <w:b w:val="1"/>
            <w:bCs w:val="1"/>
            <w:u w:val="single" w:color="auto"/>
            <w:color w:val="0000FF"/>
          </w:rPr>
          <w:t>Exhibit 10.58 to the Company’s report on Form 8-K filed on September 21, 2005</w:t>
        </w:r>
      </w:hyperlink>
      <w:r>
        <w:rPr>
          <w:rFonts w:ascii="Arial" w:cs="Arial" w:eastAsia="Arial" w:hAnsi="Arial"/>
          <w:sz w:val="13"/>
          <w:szCs w:val="13"/>
          <w:color w:val="auto"/>
        </w:rPr>
        <w:t>, and incorporated herein by reference.</w:t>
      </w:r>
    </w:p>
    <w:p>
      <w:pPr>
        <w:ind w:left="20" w:right="120"/>
        <w:spacing w:after="0" w:line="208" w:lineRule="auto"/>
        <w:rPr>
          <w:rFonts w:ascii="Arial" w:cs="Arial" w:eastAsia="Arial" w:hAnsi="Arial"/>
          <w:sz w:val="13"/>
          <w:szCs w:val="13"/>
          <w:color w:val="auto"/>
        </w:rPr>
      </w:pPr>
      <w:r>
        <w:rPr>
          <w:rFonts w:ascii="Arial" w:cs="Arial" w:eastAsia="Arial" w:hAnsi="Arial"/>
          <w:sz w:val="13"/>
          <w:szCs w:val="13"/>
          <w:color w:val="auto"/>
        </w:rPr>
        <w:t xml:space="preserve">Filed as </w:t>
      </w:r>
      <w:hyperlink r:id="rId204">
        <w:r>
          <w:rPr>
            <w:rFonts w:ascii="Arial" w:cs="Arial" w:eastAsia="Arial" w:hAnsi="Arial"/>
            <w:sz w:val="13"/>
            <w:szCs w:val="13"/>
            <w:b w:val="1"/>
            <w:bCs w:val="1"/>
            <w:u w:val="single" w:color="auto"/>
            <w:color w:val="0000FF"/>
          </w:rPr>
          <w:t>Exhibit 10.56 to the Company’s report on Form 8-K filed on September 21, 2005</w:t>
        </w:r>
      </w:hyperlink>
      <w:r>
        <w:rPr>
          <w:rFonts w:ascii="Arial" w:cs="Arial" w:eastAsia="Arial" w:hAnsi="Arial"/>
          <w:sz w:val="13"/>
          <w:szCs w:val="13"/>
          <w:color w:val="auto"/>
        </w:rPr>
        <w:t>,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-83185</wp:posOffset>
            </wp:positionV>
            <wp:extent cx="282765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2827655" cy="6985"/>
                    </a:xfrm>
                    <a:prstGeom prst="rect">
                      <a:avLst/>
                    </a:prstGeom>
                    <a:noFill/>
                  </pic:spPr>
                </pic:pic>
              </a:graphicData>
            </a:graphic>
          </wp:anchor>
        </w:drawing>
      </w:r>
    </w:p>
    <w:p>
      <w:pPr>
        <w:ind w:left="20" w:right="40"/>
        <w:spacing w:after="0" w:line="208" w:lineRule="auto"/>
        <w:rPr>
          <w:rFonts w:ascii="Arial" w:cs="Arial" w:eastAsia="Arial" w:hAnsi="Arial"/>
          <w:sz w:val="13"/>
          <w:szCs w:val="13"/>
          <w:b w:val="1"/>
          <w:bCs w:val="1"/>
          <w:color w:val="0000FF"/>
        </w:rPr>
      </w:pPr>
      <w:hyperlink r:id="rId206">
        <w:r>
          <w:rPr>
            <w:rFonts w:ascii="Arial" w:cs="Arial" w:eastAsia="Arial" w:hAnsi="Arial"/>
            <w:sz w:val="13"/>
            <w:szCs w:val="13"/>
            <w:color w:val="auto"/>
          </w:rPr>
          <w:t xml:space="preserve">Filed as </w:t>
        </w:r>
        <w:r>
          <w:rPr>
            <w:rFonts w:ascii="Arial" w:cs="Arial" w:eastAsia="Arial" w:hAnsi="Arial"/>
            <w:sz w:val="13"/>
            <w:szCs w:val="13"/>
            <w:b w:val="1"/>
            <w:bCs w:val="1"/>
            <w:u w:val="single" w:color="auto"/>
            <w:color w:val="0000FF"/>
          </w:rPr>
          <w:t>Exhibit 10.21 to the Company’s report on Form 10-K for the year ended December 31,</w:t>
        </w:r>
      </w:hyperlink>
      <w:r>
        <w:rPr>
          <w:rFonts w:ascii="Arial" w:cs="Arial" w:eastAsia="Arial" w:hAnsi="Arial"/>
          <w:sz w:val="13"/>
          <w:szCs w:val="13"/>
          <w:color w:val="auto"/>
        </w:rPr>
        <w:t xml:space="preserve"> </w:t>
      </w:r>
      <w:hyperlink r:id="rId206">
        <w:r>
          <w:rPr>
            <w:rFonts w:ascii="Arial" w:cs="Arial" w:eastAsia="Arial" w:hAnsi="Arial"/>
            <w:sz w:val="13"/>
            <w:szCs w:val="13"/>
            <w:b w:val="1"/>
            <w:bCs w:val="1"/>
            <w:u w:val="single" w:color="auto"/>
            <w:color w:val="0000FF"/>
          </w:rPr>
          <w:t>2010</w:t>
        </w:r>
        <w:r>
          <w:rPr>
            <w:rFonts w:ascii="Arial" w:cs="Arial" w:eastAsia="Arial" w:hAnsi="Arial"/>
            <w:sz w:val="13"/>
            <w:szCs w:val="13"/>
            <w:color w:val="000000"/>
          </w:rPr>
          <w:t>, and incorporated herein by reference.</w:t>
        </w:r>
      </w:hyperlink>
    </w:p>
    <w:p>
      <w:pPr>
        <w:spacing w:after="0" w:line="1" w:lineRule="exact"/>
        <w:rPr>
          <w:sz w:val="20"/>
          <w:szCs w:val="20"/>
          <w:color w:val="auto"/>
        </w:rPr>
      </w:pPr>
    </w:p>
    <w:p>
      <w:pPr>
        <w:ind w:left="20" w:right="700"/>
        <w:spacing w:after="0" w:line="227" w:lineRule="auto"/>
        <w:rPr>
          <w:rFonts w:ascii="Arial" w:cs="Arial" w:eastAsia="Arial" w:hAnsi="Arial"/>
          <w:sz w:val="13"/>
          <w:szCs w:val="13"/>
          <w:b w:val="1"/>
          <w:bCs w:val="1"/>
          <w:color w:val="0000FF"/>
        </w:rPr>
      </w:pPr>
      <w:hyperlink r:id="rId207">
        <w:r>
          <w:rPr>
            <w:rFonts w:ascii="Arial" w:cs="Arial" w:eastAsia="Arial" w:hAnsi="Arial"/>
            <w:sz w:val="13"/>
            <w:szCs w:val="13"/>
            <w:color w:val="auto"/>
          </w:rPr>
          <w:t xml:space="preserve">Filed as </w:t>
        </w:r>
        <w:r>
          <w:rPr>
            <w:rFonts w:ascii="Arial" w:cs="Arial" w:eastAsia="Arial" w:hAnsi="Arial"/>
            <w:sz w:val="13"/>
            <w:szCs w:val="13"/>
            <w:b w:val="1"/>
            <w:bCs w:val="1"/>
            <w:u w:val="single" w:color="auto"/>
            <w:color w:val="0000FF"/>
          </w:rPr>
          <w:t>Exhibit 10.49 to the Company’s report on Form 10-Q for the period ended</w:t>
        </w:r>
      </w:hyperlink>
      <w:r>
        <w:rPr>
          <w:rFonts w:ascii="Arial" w:cs="Arial" w:eastAsia="Arial" w:hAnsi="Arial"/>
          <w:sz w:val="13"/>
          <w:szCs w:val="13"/>
          <w:color w:val="auto"/>
        </w:rPr>
        <w:t xml:space="preserve"> </w:t>
      </w:r>
      <w:hyperlink r:id="rId207">
        <w:r>
          <w:rPr>
            <w:rFonts w:ascii="Arial" w:cs="Arial" w:eastAsia="Arial" w:hAnsi="Arial"/>
            <w:sz w:val="13"/>
            <w:szCs w:val="13"/>
            <w:b w:val="1"/>
            <w:bCs w:val="1"/>
            <w:u w:val="single" w:color="auto"/>
            <w:color w:val="0000FF"/>
          </w:rPr>
          <w:t>September 30, 2003</w:t>
        </w:r>
        <w:r>
          <w:rPr>
            <w:rFonts w:ascii="Arial" w:cs="Arial" w:eastAsia="Arial" w:hAnsi="Arial"/>
            <w:sz w:val="13"/>
            <w:szCs w:val="13"/>
            <w:color w:val="000000"/>
          </w:rPr>
          <w:t>,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-98425</wp:posOffset>
            </wp:positionV>
            <wp:extent cx="263398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263398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-15875</wp:posOffset>
            </wp:positionV>
            <wp:extent cx="68897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688975" cy="6985"/>
                    </a:xfrm>
                    <a:prstGeom prst="rect">
                      <a:avLst/>
                    </a:prstGeom>
                    <a:noFill/>
                  </pic:spPr>
                </pic:pic>
              </a:graphicData>
            </a:graphic>
          </wp:anchor>
        </w:drawing>
      </w:r>
    </w:p>
    <w:p>
      <w:pPr>
        <w:sectPr>
          <w:pgSz w:w="11900" w:h="16838" w:orient="portrait"/>
          <w:cols w:equalWidth="0" w:num="2">
            <w:col w:w="5500" w:space="40"/>
            <w:col w:w="5280"/>
          </w:cols>
          <w:pgMar w:left="640" w:top="414" w:right="439" w:bottom="144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149"/>
        </w:trPr>
        <w:tc>
          <w:tcPr>
            <w:tcW w:w="880" w:type="dxa"/>
            <w:vAlign w:val="bottom"/>
            <w:shd w:val="clear" w:color="auto" w:fill="CCEEFF"/>
          </w:tcPr>
          <w:p>
            <w:pPr>
              <w:jc w:val="right"/>
              <w:ind w:right="139"/>
              <w:spacing w:after="0"/>
              <w:rPr>
                <w:sz w:val="20"/>
                <w:szCs w:val="20"/>
                <w:color w:val="auto"/>
              </w:rPr>
            </w:pPr>
            <w:r>
              <w:rPr>
                <w:rFonts w:ascii="Arial" w:cs="Arial" w:eastAsia="Arial" w:hAnsi="Arial"/>
                <w:sz w:val="13"/>
                <w:szCs w:val="13"/>
                <w:color w:val="auto"/>
              </w:rPr>
              <w:t>10.15</w:t>
            </w:r>
          </w:p>
        </w:tc>
        <w:tc>
          <w:tcPr>
            <w:tcW w:w="50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7"/>
              </w:rPr>
              <w:t>Amended and Restated Declaration of Trust, dated February 5, 2007, among Reading</w:t>
            </w:r>
          </w:p>
        </w:tc>
        <w:tc>
          <w:tcPr>
            <w:tcW w:w="860" w:type="dxa"/>
            <w:vAlign w:val="bottom"/>
            <w:gridSpan w:val="4"/>
            <w:shd w:val="clear" w:color="auto" w:fill="CCEEFF"/>
          </w:tcPr>
          <w:p>
            <w:pPr>
              <w:spacing w:after="0"/>
              <w:rPr>
                <w:rFonts w:ascii="Arial" w:cs="Arial" w:eastAsia="Arial" w:hAnsi="Arial"/>
                <w:sz w:val="13"/>
                <w:szCs w:val="13"/>
                <w:color w:val="auto"/>
                <w:w w:val="90"/>
              </w:rPr>
            </w:pPr>
            <w:r>
              <w:rPr>
                <w:rFonts w:ascii="Arial" w:cs="Arial" w:eastAsia="Arial" w:hAnsi="Arial"/>
                <w:sz w:val="13"/>
                <w:szCs w:val="13"/>
                <w:color w:val="auto"/>
                <w:w w:val="90"/>
              </w:rPr>
              <w:t xml:space="preserve">Filed as </w:t>
            </w:r>
            <w:hyperlink r:id="rId210">
              <w:r>
                <w:rPr>
                  <w:rFonts w:ascii="Arial" w:cs="Arial" w:eastAsia="Arial" w:hAnsi="Arial"/>
                  <w:sz w:val="13"/>
                  <w:szCs w:val="13"/>
                  <w:b w:val="1"/>
                  <w:bCs w:val="1"/>
                  <w:color w:val="0000FF"/>
                  <w:w w:val="90"/>
                </w:rPr>
                <w:t>Exhibit</w:t>
              </w:r>
            </w:hyperlink>
          </w:p>
        </w:tc>
        <w:tc>
          <w:tcPr>
            <w:tcW w:w="4520" w:type="dxa"/>
            <w:vAlign w:val="bottom"/>
            <w:gridSpan w:val="7"/>
            <w:shd w:val="clear" w:color="auto" w:fill="CCEEFF"/>
          </w:tcPr>
          <w:p>
            <w:pPr>
              <w:ind w:left="20"/>
              <w:spacing w:after="0"/>
              <w:rPr>
                <w:rFonts w:ascii="Arial" w:cs="Arial" w:eastAsia="Arial" w:hAnsi="Arial"/>
                <w:sz w:val="13"/>
                <w:szCs w:val="13"/>
                <w:b w:val="1"/>
                <w:bCs w:val="1"/>
                <w:color w:val="0000FF"/>
              </w:rPr>
            </w:pPr>
            <w:hyperlink r:id="rId210">
              <w:r>
                <w:rPr>
                  <w:rFonts w:ascii="Arial" w:cs="Arial" w:eastAsia="Arial" w:hAnsi="Arial"/>
                  <w:sz w:val="13"/>
                  <w:szCs w:val="13"/>
                  <w:b w:val="1"/>
                  <w:bCs w:val="1"/>
                  <w:color w:val="0000FF"/>
                </w:rPr>
                <w:t>10.2 to the Company’s report on Form 8-K dated February 5, 2007</w:t>
              </w:r>
            </w:hyperlink>
            <w:r>
              <w:rPr>
                <w:rFonts w:ascii="Arial" w:cs="Arial" w:eastAsia="Arial" w:hAnsi="Arial"/>
                <w:sz w:val="13"/>
                <w:szCs w:val="13"/>
                <w:color w:val="000000"/>
              </w:rPr>
              <w:t>,</w:t>
            </w:r>
            <w:r>
              <w:rPr>
                <w:rFonts w:ascii="Arial" w:cs="Arial" w:eastAsia="Arial" w:hAnsi="Arial"/>
                <w:sz w:val="13"/>
                <w:szCs w:val="13"/>
                <w:b w:val="1"/>
                <w:bCs w:val="1"/>
                <w:color w:val="0000FF"/>
              </w:rPr>
              <w:t xml:space="preserve"> </w:t>
            </w:r>
            <w:r>
              <w:rPr>
                <w:rFonts w:ascii="Arial" w:cs="Arial" w:eastAsia="Arial" w:hAnsi="Arial"/>
                <w:sz w:val="13"/>
                <w:szCs w:val="13"/>
                <w:color w:val="000000"/>
              </w:rPr>
              <w:t>and</w:t>
            </w:r>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5020" w:type="dxa"/>
            <w:vAlign w:val="bottom"/>
            <w:vMerge w:val="restart"/>
            <w:shd w:val="clear" w:color="auto" w:fill="CCEEFF"/>
          </w:tcPr>
          <w:p>
            <w:pPr>
              <w:ind w:left="180"/>
              <w:spacing w:after="0" w:line="124" w:lineRule="exact"/>
              <w:rPr>
                <w:sz w:val="20"/>
                <w:szCs w:val="20"/>
                <w:color w:val="auto"/>
              </w:rPr>
            </w:pPr>
            <w:r>
              <w:rPr>
                <w:rFonts w:ascii="Arial" w:cs="Arial" w:eastAsia="Arial" w:hAnsi="Arial"/>
                <w:sz w:val="13"/>
                <w:szCs w:val="13"/>
                <w:color w:val="auto"/>
                <w:w w:val="95"/>
              </w:rPr>
              <w:t>International Inc., as sponsor, the Administrators named therein, and Wells Fargo Bank,</w:t>
            </w:r>
          </w:p>
        </w:tc>
        <w:tc>
          <w:tcPr>
            <w:tcW w:w="260" w:type="dxa"/>
            <w:vAlign w:val="bottom"/>
            <w:shd w:val="clear" w:color="auto" w:fill="CCEEFF"/>
          </w:tcPr>
          <w:p>
            <w:pPr>
              <w:spacing w:after="0" w:line="20" w:lineRule="exact"/>
              <w:rPr>
                <w:sz w:val="1"/>
                <w:szCs w:val="1"/>
                <w:color w:val="auto"/>
              </w:rPr>
            </w:pPr>
          </w:p>
        </w:tc>
        <w:tc>
          <w:tcPr>
            <w:tcW w:w="200" w:type="dxa"/>
            <w:vAlign w:val="bottom"/>
            <w:tcBorders>
              <w:right w:val="single" w:sz="8" w:color="0000EE"/>
            </w:tcBorders>
            <w:shd w:val="clear" w:color="auto" w:fill="CCEE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80" w:type="dxa"/>
            <w:vAlign w:val="bottom"/>
            <w:shd w:val="clear" w:color="auto" w:fill="CCEEFF"/>
          </w:tcPr>
          <w:p>
            <w:pPr>
              <w:spacing w:after="0"/>
              <w:rPr>
                <w:sz w:val="8"/>
                <w:szCs w:val="8"/>
                <w:color w:val="auto"/>
              </w:rPr>
            </w:pPr>
          </w:p>
        </w:tc>
        <w:tc>
          <w:tcPr>
            <w:tcW w:w="5020" w:type="dxa"/>
            <w:vAlign w:val="bottom"/>
            <w:vMerge w:val="continue"/>
            <w:shd w:val="clear" w:color="auto" w:fill="CCEEFF"/>
          </w:tcPr>
          <w:p>
            <w:pPr>
              <w:spacing w:after="0"/>
              <w:rPr>
                <w:sz w:val="8"/>
                <w:szCs w:val="8"/>
                <w:color w:val="auto"/>
              </w:rPr>
            </w:pPr>
          </w:p>
        </w:tc>
        <w:tc>
          <w:tcPr>
            <w:tcW w:w="4580" w:type="dxa"/>
            <w:vAlign w:val="bottom"/>
            <w:gridSpan w:val="6"/>
            <w:shd w:val="clear" w:color="auto" w:fill="CCEEFF"/>
          </w:tcPr>
          <w:p>
            <w:pPr>
              <w:spacing w:after="0" w:line="104" w:lineRule="exact"/>
              <w:rPr>
                <w:sz w:val="20"/>
                <w:szCs w:val="20"/>
                <w:color w:val="auto"/>
              </w:rPr>
            </w:pPr>
            <w:r>
              <w:rPr>
                <w:rFonts w:ascii="Arial" w:cs="Arial" w:eastAsia="Arial" w:hAnsi="Arial"/>
                <w:sz w:val="11"/>
                <w:szCs w:val="11"/>
                <w:color w:val="auto"/>
              </w:rPr>
              <w:t>incorporated herein by reference.</w:t>
            </w:r>
          </w:p>
        </w:tc>
        <w:tc>
          <w:tcPr>
            <w:tcW w:w="300" w:type="dxa"/>
            <w:vAlign w:val="bottom"/>
            <w:vMerge w:val="continue"/>
            <w:shd w:val="clear" w:color="auto" w:fill="CCEEFF"/>
          </w:tcPr>
          <w:p>
            <w:pPr>
              <w:spacing w:after="0"/>
              <w:rPr>
                <w:sz w:val="8"/>
                <w:szCs w:val="8"/>
                <w:color w:val="auto"/>
              </w:rPr>
            </w:pPr>
          </w:p>
        </w:tc>
        <w:tc>
          <w:tcPr>
            <w:tcW w:w="60" w:type="dxa"/>
            <w:vAlign w:val="bottom"/>
            <w:vMerge w:val="continue"/>
            <w:shd w:val="clear" w:color="auto" w:fill="CCEEFF"/>
          </w:tcPr>
          <w:p>
            <w:pPr>
              <w:spacing w:after="0"/>
              <w:rPr>
                <w:sz w:val="8"/>
                <w:szCs w:val="8"/>
                <w:color w:val="auto"/>
              </w:rPr>
            </w:pPr>
          </w:p>
        </w:tc>
        <w:tc>
          <w:tcPr>
            <w:tcW w:w="260" w:type="dxa"/>
            <w:vAlign w:val="bottom"/>
            <w:vMerge w:val="continue"/>
            <w:shd w:val="clear" w:color="auto" w:fill="CCEEFF"/>
          </w:tcPr>
          <w:p>
            <w:pPr>
              <w:spacing w:after="0"/>
              <w:rPr>
                <w:sz w:val="8"/>
                <w:szCs w:val="8"/>
                <w:color w:val="auto"/>
              </w:rPr>
            </w:pPr>
          </w:p>
        </w:tc>
        <w:tc>
          <w:tcPr>
            <w:tcW w:w="20" w:type="dxa"/>
            <w:vAlign w:val="bottom"/>
            <w:vMerge w:val="continue"/>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880" w:type="dxa"/>
            <w:vAlign w:val="bottom"/>
            <w:shd w:val="clear" w:color="auto" w:fill="CCEEFF"/>
          </w:tcPr>
          <w:p>
            <w:pPr>
              <w:spacing w:after="0"/>
              <w:rPr>
                <w:sz w:val="12"/>
                <w:szCs w:val="12"/>
                <w:color w:val="auto"/>
              </w:rPr>
            </w:pPr>
          </w:p>
        </w:tc>
        <w:tc>
          <w:tcPr>
            <w:tcW w:w="502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color w:val="auto"/>
                <w:w w:val="93"/>
              </w:rPr>
              <w:t>N.A., as property trustee, and Wells Fargo Delaware Trust Company as Delaware trustee</w:t>
            </w: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80" w:type="dxa"/>
            <w:vAlign w:val="bottom"/>
          </w:tcPr>
          <w:p>
            <w:pPr>
              <w:jc w:val="right"/>
              <w:ind w:right="139"/>
              <w:spacing w:after="0" w:line="119" w:lineRule="exact"/>
              <w:rPr>
                <w:sz w:val="20"/>
                <w:szCs w:val="20"/>
                <w:color w:val="auto"/>
              </w:rPr>
            </w:pPr>
            <w:r>
              <w:rPr>
                <w:rFonts w:ascii="Arial" w:cs="Arial" w:eastAsia="Arial" w:hAnsi="Arial"/>
                <w:sz w:val="13"/>
                <w:szCs w:val="13"/>
                <w:color w:val="auto"/>
              </w:rPr>
              <w:t>10.16</w:t>
            </w:r>
          </w:p>
        </w:tc>
        <w:tc>
          <w:tcPr>
            <w:tcW w:w="5020" w:type="dxa"/>
            <w:vAlign w:val="bottom"/>
          </w:tcPr>
          <w:p>
            <w:pPr>
              <w:ind w:left="180"/>
              <w:spacing w:after="0" w:line="119" w:lineRule="exact"/>
              <w:rPr>
                <w:sz w:val="20"/>
                <w:szCs w:val="20"/>
                <w:color w:val="auto"/>
              </w:rPr>
            </w:pPr>
            <w:r>
              <w:rPr>
                <w:rFonts w:ascii="Arial" w:cs="Arial" w:eastAsia="Arial" w:hAnsi="Arial"/>
                <w:sz w:val="13"/>
                <w:szCs w:val="13"/>
                <w:color w:val="auto"/>
                <w:w w:val="95"/>
              </w:rPr>
              <w:t>Amended and Restated Corporate Markets Loan &amp; Bank Guarantee Facility Agreement</w:t>
            </w:r>
          </w:p>
        </w:tc>
        <w:tc>
          <w:tcPr>
            <w:tcW w:w="860" w:type="dxa"/>
            <w:vAlign w:val="bottom"/>
            <w:gridSpan w:val="4"/>
          </w:tcPr>
          <w:p>
            <w:pPr>
              <w:spacing w:after="0" w:line="119" w:lineRule="exact"/>
              <w:rPr>
                <w:rFonts w:ascii="Arial" w:cs="Arial" w:eastAsia="Arial" w:hAnsi="Arial"/>
                <w:sz w:val="13"/>
                <w:szCs w:val="13"/>
                <w:color w:val="auto"/>
                <w:w w:val="90"/>
              </w:rPr>
            </w:pPr>
            <w:hyperlink r:id="rId211">
              <w:r>
                <w:rPr>
                  <w:rFonts w:ascii="Arial" w:cs="Arial" w:eastAsia="Arial" w:hAnsi="Arial"/>
                  <w:sz w:val="13"/>
                  <w:szCs w:val="13"/>
                  <w:color w:val="auto"/>
                  <w:w w:val="90"/>
                </w:rPr>
                <w:t xml:space="preserve">Filed as </w:t>
              </w:r>
              <w:r>
                <w:rPr>
                  <w:rFonts w:ascii="Arial" w:cs="Arial" w:eastAsia="Arial" w:hAnsi="Arial"/>
                  <w:sz w:val="13"/>
                  <w:szCs w:val="13"/>
                  <w:b w:val="1"/>
                  <w:bCs w:val="1"/>
                  <w:color w:val="0000FF"/>
                  <w:w w:val="90"/>
                </w:rPr>
                <w:t>Exhibit</w:t>
              </w:r>
            </w:hyperlink>
          </w:p>
        </w:tc>
        <w:tc>
          <w:tcPr>
            <w:tcW w:w="4520" w:type="dxa"/>
            <w:vAlign w:val="bottom"/>
            <w:gridSpan w:val="7"/>
          </w:tcPr>
          <w:p>
            <w:pPr>
              <w:ind w:left="20"/>
              <w:spacing w:after="0" w:line="119" w:lineRule="exact"/>
              <w:rPr>
                <w:rFonts w:ascii="Arial" w:cs="Arial" w:eastAsia="Arial" w:hAnsi="Arial"/>
                <w:sz w:val="13"/>
                <w:szCs w:val="13"/>
                <w:b w:val="1"/>
                <w:bCs w:val="1"/>
                <w:color w:val="0000FF"/>
              </w:rPr>
            </w:pPr>
            <w:hyperlink r:id="rId211">
              <w:r>
                <w:rPr>
                  <w:rFonts w:ascii="Arial" w:cs="Arial" w:eastAsia="Arial" w:hAnsi="Arial"/>
                  <w:sz w:val="13"/>
                  <w:szCs w:val="13"/>
                  <w:b w:val="1"/>
                  <w:bCs w:val="1"/>
                  <w:color w:val="0000FF"/>
                </w:rPr>
                <w:t>10.9 to the Company’s Annual Report on Form 10-K for the year ended</w:t>
              </w:r>
            </w:hyperlink>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5020" w:type="dxa"/>
            <w:vAlign w:val="bottom"/>
          </w:tcPr>
          <w:p>
            <w:pPr>
              <w:ind w:left="180"/>
              <w:spacing w:after="0" w:line="110" w:lineRule="exact"/>
              <w:rPr>
                <w:sz w:val="20"/>
                <w:szCs w:val="20"/>
                <w:color w:val="auto"/>
              </w:rPr>
            </w:pPr>
            <w:r>
              <w:rPr>
                <w:rFonts w:ascii="Arial" w:cs="Arial" w:eastAsia="Arial" w:hAnsi="Arial"/>
                <w:sz w:val="12"/>
                <w:szCs w:val="12"/>
                <w:color w:val="auto"/>
              </w:rPr>
              <w:t>dated December 23, 2015, among Reading Entertainment Australia Pty Ltd and National</w:t>
            </w:r>
          </w:p>
        </w:tc>
        <w:tc>
          <w:tcPr>
            <w:tcW w:w="460" w:type="dxa"/>
            <w:vAlign w:val="bottom"/>
            <w:gridSpan w:val="2"/>
          </w:tcPr>
          <w:p>
            <w:pPr>
              <w:spacing w:after="0" w:line="110" w:lineRule="exact"/>
              <w:rPr>
                <w:rFonts w:ascii="Arial" w:cs="Arial" w:eastAsia="Arial" w:hAnsi="Arial"/>
                <w:sz w:val="12"/>
                <w:szCs w:val="12"/>
                <w:b w:val="1"/>
                <w:bCs w:val="1"/>
                <w:color w:val="0000FF"/>
                <w:w w:val="72"/>
              </w:rPr>
            </w:pPr>
            <w:hyperlink r:id="rId211">
              <w:r>
                <w:rPr>
                  <w:rFonts w:ascii="Arial" w:cs="Arial" w:eastAsia="Arial" w:hAnsi="Arial"/>
                  <w:sz w:val="12"/>
                  <w:szCs w:val="12"/>
                  <w:b w:val="1"/>
                  <w:bCs w:val="1"/>
                  <w:color w:val="0000FF"/>
                  <w:w w:val="72"/>
                </w:rPr>
                <w:t>December</w:t>
              </w:r>
            </w:hyperlink>
          </w:p>
        </w:tc>
        <w:tc>
          <w:tcPr>
            <w:tcW w:w="4420" w:type="dxa"/>
            <w:vAlign w:val="bottom"/>
            <w:tcBorders>
              <w:top w:val="single" w:sz="8" w:color="0000FF"/>
            </w:tcBorders>
            <w:gridSpan w:val="5"/>
          </w:tcPr>
          <w:p>
            <w:pPr>
              <w:ind w:left="120"/>
              <w:spacing w:after="0" w:line="110" w:lineRule="exact"/>
              <w:rPr>
                <w:rFonts w:ascii="Arial" w:cs="Arial" w:eastAsia="Arial" w:hAnsi="Arial"/>
                <w:sz w:val="12"/>
                <w:szCs w:val="12"/>
                <w:b w:val="1"/>
                <w:bCs w:val="1"/>
                <w:color w:val="0000FF"/>
              </w:rPr>
            </w:pPr>
            <w:hyperlink r:id="rId211">
              <w:r>
                <w:rPr>
                  <w:rFonts w:ascii="Arial" w:cs="Arial" w:eastAsia="Arial" w:hAnsi="Arial"/>
                  <w:sz w:val="12"/>
                  <w:szCs w:val="12"/>
                  <w:b w:val="1"/>
                  <w:bCs w:val="1"/>
                  <w:color w:val="0000FF"/>
                </w:rPr>
                <w:t>31, 2015</w:t>
              </w:r>
              <w:r>
                <w:rPr>
                  <w:rFonts w:ascii="Arial" w:cs="Arial" w:eastAsia="Arial" w:hAnsi="Arial"/>
                  <w:sz w:val="12"/>
                  <w:szCs w:val="12"/>
                  <w:color w:val="000000"/>
                </w:rPr>
                <w:t>, filed on April 29, 2016 and incorporated herein by reference.</w:t>
              </w:r>
            </w:hyperlink>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80" w:type="dxa"/>
            <w:vAlign w:val="bottom"/>
          </w:tcPr>
          <w:p>
            <w:pPr>
              <w:spacing w:after="0"/>
              <w:rPr>
                <w:sz w:val="10"/>
                <w:szCs w:val="10"/>
                <w:color w:val="auto"/>
              </w:rPr>
            </w:pPr>
          </w:p>
        </w:tc>
        <w:tc>
          <w:tcPr>
            <w:tcW w:w="5020" w:type="dxa"/>
            <w:vAlign w:val="bottom"/>
          </w:tcPr>
          <w:p>
            <w:pPr>
              <w:ind w:left="180"/>
              <w:spacing w:after="0" w:line="121" w:lineRule="exact"/>
              <w:rPr>
                <w:sz w:val="20"/>
                <w:szCs w:val="20"/>
                <w:color w:val="auto"/>
              </w:rPr>
            </w:pPr>
            <w:r>
              <w:rPr>
                <w:rFonts w:ascii="Arial" w:cs="Arial" w:eastAsia="Arial" w:hAnsi="Arial"/>
                <w:sz w:val="13"/>
                <w:szCs w:val="13"/>
                <w:color w:val="auto"/>
              </w:rPr>
              <w:t>Australia Bank Limited</w:t>
            </w:r>
          </w:p>
        </w:tc>
        <w:tc>
          <w:tcPr>
            <w:tcW w:w="2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80" w:type="dxa"/>
            <w:vAlign w:val="bottom"/>
            <w:shd w:val="clear" w:color="auto" w:fill="CCEEFF"/>
          </w:tcPr>
          <w:p>
            <w:pPr>
              <w:jc w:val="right"/>
              <w:ind w:right="139"/>
              <w:spacing w:after="0" w:line="119" w:lineRule="exact"/>
              <w:rPr>
                <w:sz w:val="20"/>
                <w:szCs w:val="20"/>
                <w:color w:val="auto"/>
              </w:rPr>
            </w:pPr>
            <w:r>
              <w:rPr>
                <w:rFonts w:ascii="Arial" w:cs="Arial" w:eastAsia="Arial" w:hAnsi="Arial"/>
                <w:sz w:val="13"/>
                <w:szCs w:val="13"/>
                <w:color w:val="auto"/>
              </w:rPr>
              <w:t>10.17</w:t>
            </w:r>
          </w:p>
        </w:tc>
        <w:tc>
          <w:tcPr>
            <w:tcW w:w="5020" w:type="dxa"/>
            <w:vAlign w:val="bottom"/>
            <w:shd w:val="clear" w:color="auto" w:fill="CCEEFF"/>
          </w:tcPr>
          <w:p>
            <w:pPr>
              <w:ind w:left="180"/>
              <w:spacing w:after="0" w:line="119" w:lineRule="exact"/>
              <w:rPr>
                <w:sz w:val="20"/>
                <w:szCs w:val="20"/>
                <w:color w:val="auto"/>
              </w:rPr>
            </w:pPr>
            <w:r>
              <w:rPr>
                <w:rFonts w:ascii="Arial" w:cs="Arial" w:eastAsia="Arial" w:hAnsi="Arial"/>
                <w:sz w:val="13"/>
                <w:szCs w:val="13"/>
                <w:color w:val="auto"/>
                <w:w w:val="98"/>
              </w:rPr>
              <w:t>Amendment Deed dated June 12, 2018 between National Australia Bank Limited and</w:t>
            </w:r>
          </w:p>
        </w:tc>
        <w:tc>
          <w:tcPr>
            <w:tcW w:w="5380" w:type="dxa"/>
            <w:vAlign w:val="bottom"/>
            <w:gridSpan w:val="11"/>
            <w:shd w:val="clear" w:color="auto" w:fill="CCEEFF"/>
          </w:tcPr>
          <w:p>
            <w:pPr>
              <w:spacing w:after="0" w:line="119" w:lineRule="exact"/>
              <w:rPr>
                <w:rFonts w:ascii="Arial" w:cs="Arial" w:eastAsia="Arial" w:hAnsi="Arial"/>
                <w:sz w:val="13"/>
                <w:szCs w:val="13"/>
                <w:color w:val="auto"/>
                <w:w w:val="94"/>
              </w:rPr>
            </w:pPr>
            <w:hyperlink r:id="rId212">
              <w:r>
                <w:rPr>
                  <w:rFonts w:ascii="Arial" w:cs="Arial" w:eastAsia="Arial" w:hAnsi="Arial"/>
                  <w:sz w:val="13"/>
                  <w:szCs w:val="13"/>
                  <w:color w:val="auto"/>
                  <w:w w:val="94"/>
                </w:rPr>
                <w:t xml:space="preserve">Filed as </w:t>
              </w:r>
              <w:r>
                <w:rPr>
                  <w:rFonts w:ascii="Arial" w:cs="Arial" w:eastAsia="Arial" w:hAnsi="Arial"/>
                  <w:sz w:val="13"/>
                  <w:szCs w:val="13"/>
                  <w:b w:val="1"/>
                  <w:bCs w:val="1"/>
                  <w:color w:val="0000FF"/>
                  <w:w w:val="94"/>
                </w:rPr>
                <w:t>Exhibit 10.1.2 to the Company’s report on Form 8-K (file no. 1-8625), filed on June 2,</w:t>
              </w:r>
            </w:hyperlink>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5020" w:type="dxa"/>
            <w:vAlign w:val="bottom"/>
            <w:vMerge w:val="restart"/>
            <w:shd w:val="clear" w:color="auto" w:fill="CCEEFF"/>
          </w:tcPr>
          <w:p>
            <w:pPr>
              <w:ind w:left="180"/>
              <w:spacing w:after="0" w:line="130" w:lineRule="exact"/>
              <w:rPr>
                <w:sz w:val="20"/>
                <w:szCs w:val="20"/>
                <w:color w:val="auto"/>
              </w:rPr>
            </w:pPr>
            <w:r>
              <w:rPr>
                <w:rFonts w:ascii="Arial" w:cs="Arial" w:eastAsia="Arial" w:hAnsi="Arial"/>
                <w:sz w:val="13"/>
                <w:szCs w:val="13"/>
                <w:color w:val="auto"/>
              </w:rPr>
              <w:t>Reading Entertainment Australia Pty Ltd.</w:t>
            </w:r>
          </w:p>
        </w:tc>
        <w:tc>
          <w:tcPr>
            <w:tcW w:w="2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shd w:val="clear" w:color="auto" w:fill="CCEEFF"/>
          </w:tcPr>
          <w:p>
            <w:pPr>
              <w:spacing w:after="0"/>
              <w:rPr>
                <w:sz w:val="9"/>
                <w:szCs w:val="9"/>
                <w:color w:val="auto"/>
              </w:rPr>
            </w:pPr>
          </w:p>
        </w:tc>
        <w:tc>
          <w:tcPr>
            <w:tcW w:w="5020" w:type="dxa"/>
            <w:vAlign w:val="bottom"/>
            <w:vMerge w:val="continue"/>
            <w:shd w:val="clear" w:color="auto" w:fill="CCEEFF"/>
          </w:tcPr>
          <w:p>
            <w:pPr>
              <w:spacing w:after="0"/>
              <w:rPr>
                <w:sz w:val="9"/>
                <w:szCs w:val="9"/>
                <w:color w:val="auto"/>
              </w:rPr>
            </w:pPr>
          </w:p>
        </w:tc>
        <w:tc>
          <w:tcPr>
            <w:tcW w:w="5200" w:type="dxa"/>
            <w:vAlign w:val="bottom"/>
            <w:gridSpan w:val="9"/>
            <w:shd w:val="clear" w:color="auto" w:fill="CCEEFF"/>
          </w:tcPr>
          <w:p>
            <w:pPr>
              <w:spacing w:after="0" w:line="110" w:lineRule="exact"/>
              <w:rPr>
                <w:rFonts w:ascii="Arial" w:cs="Arial" w:eastAsia="Arial" w:hAnsi="Arial"/>
                <w:sz w:val="12"/>
                <w:szCs w:val="12"/>
                <w:b w:val="1"/>
                <w:bCs w:val="1"/>
                <w:color w:val="0000FF"/>
              </w:rPr>
            </w:pPr>
            <w:hyperlink r:id="rId212">
              <w:r>
                <w:rPr>
                  <w:rFonts w:ascii="Arial" w:cs="Arial" w:eastAsia="Arial" w:hAnsi="Arial"/>
                  <w:sz w:val="12"/>
                  <w:szCs w:val="12"/>
                  <w:b w:val="1"/>
                  <w:bCs w:val="1"/>
                  <w:color w:val="0000FF"/>
                </w:rPr>
                <w:t>2020</w:t>
              </w:r>
              <w:r>
                <w:rPr>
                  <w:rFonts w:ascii="Arial" w:cs="Arial" w:eastAsia="Arial" w:hAnsi="Arial"/>
                  <w:sz w:val="12"/>
                  <w:szCs w:val="12"/>
                  <w:color w:val="000000"/>
                </w:rPr>
                <w:t>, and incorporated herein by reference.</w:t>
              </w:r>
            </w:hyperlink>
          </w:p>
        </w:tc>
        <w:tc>
          <w:tcPr>
            <w:tcW w:w="20" w:type="dxa"/>
            <w:vAlign w:val="bottom"/>
            <w:vMerge w:val="continue"/>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tcPr>
          <w:p>
            <w:pPr>
              <w:jc w:val="right"/>
              <w:ind w:right="139"/>
              <w:spacing w:after="0" w:line="110" w:lineRule="exact"/>
              <w:rPr>
                <w:sz w:val="20"/>
                <w:szCs w:val="20"/>
                <w:color w:val="auto"/>
              </w:rPr>
            </w:pPr>
            <w:r>
              <w:rPr>
                <w:rFonts w:ascii="Arial" w:cs="Arial" w:eastAsia="Arial" w:hAnsi="Arial"/>
                <w:sz w:val="12"/>
                <w:szCs w:val="12"/>
                <w:color w:val="auto"/>
              </w:rPr>
              <w:t>10.18</w:t>
            </w:r>
          </w:p>
        </w:tc>
        <w:tc>
          <w:tcPr>
            <w:tcW w:w="5020" w:type="dxa"/>
            <w:vAlign w:val="bottom"/>
          </w:tcPr>
          <w:p>
            <w:pPr>
              <w:ind w:left="180"/>
              <w:spacing w:after="0" w:line="110" w:lineRule="exact"/>
              <w:rPr>
                <w:sz w:val="20"/>
                <w:szCs w:val="20"/>
                <w:color w:val="auto"/>
              </w:rPr>
            </w:pPr>
            <w:r>
              <w:rPr>
                <w:rFonts w:ascii="Arial" w:cs="Arial" w:eastAsia="Arial" w:hAnsi="Arial"/>
                <w:sz w:val="12"/>
                <w:szCs w:val="12"/>
                <w:color w:val="auto"/>
              </w:rPr>
              <w:t>Amendment Deed dated March 27, 2019 between National Australia Bank Limited and</w:t>
            </w:r>
          </w:p>
        </w:tc>
        <w:tc>
          <w:tcPr>
            <w:tcW w:w="5380" w:type="dxa"/>
            <w:vAlign w:val="bottom"/>
            <w:gridSpan w:val="11"/>
          </w:tcPr>
          <w:p>
            <w:pPr>
              <w:spacing w:after="0" w:line="110" w:lineRule="exact"/>
              <w:rPr>
                <w:rFonts w:ascii="Arial" w:cs="Arial" w:eastAsia="Arial" w:hAnsi="Arial"/>
                <w:sz w:val="12"/>
                <w:szCs w:val="12"/>
                <w:color w:val="auto"/>
              </w:rPr>
            </w:pPr>
            <w:hyperlink r:id="rId212">
              <w:r>
                <w:rPr>
                  <w:rFonts w:ascii="Arial" w:cs="Arial" w:eastAsia="Arial" w:hAnsi="Arial"/>
                  <w:sz w:val="12"/>
                  <w:szCs w:val="12"/>
                  <w:color w:val="auto"/>
                </w:rPr>
                <w:t xml:space="preserve">Filed as </w:t>
              </w:r>
              <w:r>
                <w:rPr>
                  <w:rFonts w:ascii="Arial" w:cs="Arial" w:eastAsia="Arial" w:hAnsi="Arial"/>
                  <w:sz w:val="12"/>
                  <w:szCs w:val="12"/>
                  <w:b w:val="1"/>
                  <w:bCs w:val="1"/>
                  <w:color w:val="0000FF"/>
                </w:rPr>
                <w:t>Exhibit 10.1.3 to the Company’s report on Form 8-K (file no. 1-8625), filed on June 2,</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20" w:type="dxa"/>
            <w:vAlign w:val="bottom"/>
            <w:vMerge w:val="restart"/>
          </w:tcPr>
          <w:p>
            <w:pPr>
              <w:ind w:left="180"/>
              <w:spacing w:after="0" w:line="130" w:lineRule="exact"/>
              <w:rPr>
                <w:sz w:val="20"/>
                <w:szCs w:val="20"/>
                <w:color w:val="auto"/>
              </w:rPr>
            </w:pPr>
            <w:r>
              <w:rPr>
                <w:rFonts w:ascii="Arial" w:cs="Arial" w:eastAsia="Arial" w:hAnsi="Arial"/>
                <w:sz w:val="13"/>
                <w:szCs w:val="13"/>
                <w:color w:val="auto"/>
              </w:rPr>
              <w:t>Reading Entertainment Australia Pty Ltd.</w:t>
            </w:r>
          </w:p>
        </w:tc>
        <w:tc>
          <w:tcPr>
            <w:tcW w:w="46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tcPr>
          <w:p>
            <w:pPr>
              <w:spacing w:after="0"/>
              <w:rPr>
                <w:sz w:val="9"/>
                <w:szCs w:val="9"/>
                <w:color w:val="auto"/>
              </w:rPr>
            </w:pPr>
          </w:p>
        </w:tc>
        <w:tc>
          <w:tcPr>
            <w:tcW w:w="5020" w:type="dxa"/>
            <w:vAlign w:val="bottom"/>
            <w:vMerge w:val="continue"/>
          </w:tcPr>
          <w:p>
            <w:pPr>
              <w:spacing w:after="0"/>
              <w:rPr>
                <w:sz w:val="9"/>
                <w:szCs w:val="9"/>
                <w:color w:val="auto"/>
              </w:rPr>
            </w:pPr>
          </w:p>
        </w:tc>
        <w:tc>
          <w:tcPr>
            <w:tcW w:w="5200" w:type="dxa"/>
            <w:vAlign w:val="bottom"/>
            <w:gridSpan w:val="9"/>
          </w:tcPr>
          <w:p>
            <w:pPr>
              <w:spacing w:after="0" w:line="110" w:lineRule="exact"/>
              <w:rPr>
                <w:rFonts w:ascii="Arial" w:cs="Arial" w:eastAsia="Arial" w:hAnsi="Arial"/>
                <w:sz w:val="12"/>
                <w:szCs w:val="12"/>
                <w:b w:val="1"/>
                <w:bCs w:val="1"/>
                <w:color w:val="0000FF"/>
              </w:rPr>
            </w:pPr>
            <w:hyperlink r:id="rId212">
              <w:r>
                <w:rPr>
                  <w:rFonts w:ascii="Arial" w:cs="Arial" w:eastAsia="Arial" w:hAnsi="Arial"/>
                  <w:sz w:val="12"/>
                  <w:szCs w:val="12"/>
                  <w:b w:val="1"/>
                  <w:bCs w:val="1"/>
                  <w:color w:val="0000FF"/>
                </w:rPr>
                <w:t>2020</w:t>
              </w:r>
              <w:r>
                <w:rPr>
                  <w:rFonts w:ascii="Arial" w:cs="Arial" w:eastAsia="Arial" w:hAnsi="Arial"/>
                  <w:sz w:val="12"/>
                  <w:szCs w:val="12"/>
                  <w:color w:val="000000"/>
                </w:rPr>
                <w:t>, and incorporated herein by reference.</w:t>
              </w:r>
            </w:hyperlink>
          </w:p>
        </w:tc>
        <w:tc>
          <w:tcPr>
            <w:tcW w:w="2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shd w:val="clear" w:color="auto" w:fill="CCEEFF"/>
          </w:tcPr>
          <w:p>
            <w:pPr>
              <w:jc w:val="right"/>
              <w:ind w:right="139"/>
              <w:spacing w:after="0" w:line="110" w:lineRule="exact"/>
              <w:rPr>
                <w:sz w:val="20"/>
                <w:szCs w:val="20"/>
                <w:color w:val="auto"/>
              </w:rPr>
            </w:pPr>
            <w:r>
              <w:rPr>
                <w:rFonts w:ascii="Arial" w:cs="Arial" w:eastAsia="Arial" w:hAnsi="Arial"/>
                <w:sz w:val="12"/>
                <w:szCs w:val="12"/>
                <w:color w:val="auto"/>
              </w:rPr>
              <w:t>10.19</w:t>
            </w:r>
          </w:p>
        </w:tc>
        <w:tc>
          <w:tcPr>
            <w:tcW w:w="10400" w:type="dxa"/>
            <w:vAlign w:val="bottom"/>
            <w:gridSpan w:val="12"/>
            <w:shd w:val="clear" w:color="auto" w:fill="CCEEFF"/>
          </w:tcPr>
          <w:p>
            <w:pPr>
              <w:ind w:left="180"/>
              <w:spacing w:after="0" w:line="110" w:lineRule="exact"/>
              <w:rPr>
                <w:rFonts w:ascii="Arial" w:cs="Arial" w:eastAsia="Arial" w:hAnsi="Arial"/>
                <w:sz w:val="12"/>
                <w:szCs w:val="12"/>
                <w:color w:val="auto"/>
              </w:rPr>
            </w:pPr>
            <w:r>
              <w:rPr>
                <w:rFonts w:ascii="Arial" w:cs="Arial" w:eastAsia="Arial" w:hAnsi="Arial"/>
                <w:sz w:val="12"/>
                <w:szCs w:val="12"/>
                <w:color w:val="auto"/>
              </w:rPr>
              <w:t xml:space="preserve">Letter of Waiver dated April 9, 2020 between National Australia Bank Limited and Reading </w:t>
            </w:r>
            <w:hyperlink r:id="rId212">
              <w:r>
                <w:rPr>
                  <w:rFonts w:ascii="Arial" w:cs="Arial" w:eastAsia="Arial" w:hAnsi="Arial"/>
                  <w:sz w:val="12"/>
                  <w:szCs w:val="12"/>
                  <w:color w:val="auto"/>
                </w:rPr>
                <w:t xml:space="preserve">Filed as </w:t>
              </w:r>
              <w:r>
                <w:rPr>
                  <w:rFonts w:ascii="Arial" w:cs="Arial" w:eastAsia="Arial" w:hAnsi="Arial"/>
                  <w:sz w:val="12"/>
                  <w:szCs w:val="12"/>
                  <w:b w:val="1"/>
                  <w:bCs w:val="1"/>
                  <w:color w:val="0000FF"/>
                </w:rPr>
                <w:t>Exhibit 10.1.4 to the Company’s report on Form 8-K (file no. 1-8625), filed on June 2,</w:t>
              </w:r>
            </w:hyperlink>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5020" w:type="dxa"/>
            <w:vAlign w:val="bottom"/>
            <w:vMerge w:val="restart"/>
            <w:shd w:val="clear" w:color="auto" w:fill="CCEEFF"/>
          </w:tcPr>
          <w:p>
            <w:pPr>
              <w:ind w:left="180"/>
              <w:spacing w:after="0" w:line="130" w:lineRule="exact"/>
              <w:rPr>
                <w:sz w:val="20"/>
                <w:szCs w:val="20"/>
                <w:color w:val="auto"/>
              </w:rPr>
            </w:pPr>
            <w:r>
              <w:rPr>
                <w:rFonts w:ascii="Arial" w:cs="Arial" w:eastAsia="Arial" w:hAnsi="Arial"/>
                <w:sz w:val="13"/>
                <w:szCs w:val="13"/>
                <w:color w:val="auto"/>
              </w:rPr>
              <w:t>Entertainment Australia Pty Ltd.</w:t>
            </w:r>
          </w:p>
        </w:tc>
        <w:tc>
          <w:tcPr>
            <w:tcW w:w="460" w:type="dxa"/>
            <w:vAlign w:val="bottom"/>
            <w:tcBorders>
              <w:right w:val="single" w:sz="8" w:color="CCEEFF"/>
            </w:tcBorders>
            <w:gridSpan w:val="2"/>
            <w:shd w:val="clear" w:color="auto" w:fill="CCEE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shd w:val="clear" w:color="auto" w:fill="CCEEFF"/>
          </w:tcPr>
          <w:p>
            <w:pPr>
              <w:spacing w:after="0"/>
              <w:rPr>
                <w:sz w:val="9"/>
                <w:szCs w:val="9"/>
                <w:color w:val="auto"/>
              </w:rPr>
            </w:pPr>
          </w:p>
        </w:tc>
        <w:tc>
          <w:tcPr>
            <w:tcW w:w="5020" w:type="dxa"/>
            <w:vAlign w:val="bottom"/>
            <w:vMerge w:val="continue"/>
            <w:shd w:val="clear" w:color="auto" w:fill="CCEEFF"/>
          </w:tcPr>
          <w:p>
            <w:pPr>
              <w:spacing w:after="0"/>
              <w:rPr>
                <w:sz w:val="9"/>
                <w:szCs w:val="9"/>
                <w:color w:val="auto"/>
              </w:rPr>
            </w:pPr>
          </w:p>
        </w:tc>
        <w:tc>
          <w:tcPr>
            <w:tcW w:w="5200" w:type="dxa"/>
            <w:vAlign w:val="bottom"/>
            <w:gridSpan w:val="9"/>
            <w:shd w:val="clear" w:color="auto" w:fill="CCEEFF"/>
          </w:tcPr>
          <w:p>
            <w:pPr>
              <w:spacing w:after="0" w:line="110" w:lineRule="exact"/>
              <w:rPr>
                <w:rFonts w:ascii="Arial" w:cs="Arial" w:eastAsia="Arial" w:hAnsi="Arial"/>
                <w:sz w:val="12"/>
                <w:szCs w:val="12"/>
                <w:b w:val="1"/>
                <w:bCs w:val="1"/>
                <w:color w:val="0000FF"/>
              </w:rPr>
            </w:pPr>
            <w:hyperlink r:id="rId212">
              <w:r>
                <w:rPr>
                  <w:rFonts w:ascii="Arial" w:cs="Arial" w:eastAsia="Arial" w:hAnsi="Arial"/>
                  <w:sz w:val="12"/>
                  <w:szCs w:val="12"/>
                  <w:b w:val="1"/>
                  <w:bCs w:val="1"/>
                  <w:color w:val="0000FF"/>
                </w:rPr>
                <w:t>2020</w:t>
              </w:r>
              <w:r>
                <w:rPr>
                  <w:rFonts w:ascii="Arial" w:cs="Arial" w:eastAsia="Arial" w:hAnsi="Arial"/>
                  <w:sz w:val="12"/>
                  <w:szCs w:val="12"/>
                  <w:color w:val="000000"/>
                </w:rPr>
                <w:t>, and incorporated herein by reference.</w:t>
              </w:r>
            </w:hyperlink>
          </w:p>
        </w:tc>
        <w:tc>
          <w:tcPr>
            <w:tcW w:w="20" w:type="dxa"/>
            <w:vAlign w:val="bottom"/>
            <w:vMerge w:val="continue"/>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tcPr>
          <w:p>
            <w:pPr>
              <w:jc w:val="right"/>
              <w:ind w:right="139"/>
              <w:spacing w:after="0" w:line="110" w:lineRule="exact"/>
              <w:rPr>
                <w:sz w:val="20"/>
                <w:szCs w:val="20"/>
                <w:color w:val="auto"/>
              </w:rPr>
            </w:pPr>
            <w:r>
              <w:rPr>
                <w:rFonts w:ascii="Arial" w:cs="Arial" w:eastAsia="Arial" w:hAnsi="Arial"/>
                <w:sz w:val="12"/>
                <w:szCs w:val="12"/>
                <w:color w:val="auto"/>
              </w:rPr>
              <w:t>10.20</w:t>
            </w:r>
          </w:p>
        </w:tc>
        <w:tc>
          <w:tcPr>
            <w:tcW w:w="5020" w:type="dxa"/>
            <w:vAlign w:val="bottom"/>
          </w:tcPr>
          <w:p>
            <w:pPr>
              <w:ind w:left="180"/>
              <w:spacing w:after="0" w:line="110" w:lineRule="exact"/>
              <w:rPr>
                <w:sz w:val="20"/>
                <w:szCs w:val="20"/>
                <w:color w:val="auto"/>
              </w:rPr>
            </w:pPr>
            <w:r>
              <w:rPr>
                <w:rFonts w:ascii="Arial" w:cs="Arial" w:eastAsia="Arial" w:hAnsi="Arial"/>
                <w:sz w:val="12"/>
                <w:szCs w:val="12"/>
                <w:color w:val="auto"/>
              </w:rPr>
              <w:t>Amendment Letter dated August 6, 2020 between National Australian Bank Limited and</w:t>
            </w:r>
          </w:p>
        </w:tc>
        <w:tc>
          <w:tcPr>
            <w:tcW w:w="860" w:type="dxa"/>
            <w:vAlign w:val="bottom"/>
            <w:gridSpan w:val="4"/>
          </w:tcPr>
          <w:p>
            <w:pPr>
              <w:spacing w:after="0" w:line="110" w:lineRule="exact"/>
              <w:rPr>
                <w:rFonts w:ascii="Arial" w:cs="Arial" w:eastAsia="Arial" w:hAnsi="Arial"/>
                <w:sz w:val="12"/>
                <w:szCs w:val="12"/>
                <w:color w:val="auto"/>
                <w:w w:val="98"/>
              </w:rPr>
            </w:pPr>
            <w:hyperlink r:id="rId213">
              <w:r>
                <w:rPr>
                  <w:rFonts w:ascii="Arial" w:cs="Arial" w:eastAsia="Arial" w:hAnsi="Arial"/>
                  <w:sz w:val="12"/>
                  <w:szCs w:val="12"/>
                  <w:color w:val="auto"/>
                  <w:w w:val="98"/>
                </w:rPr>
                <w:t xml:space="preserve">Filed as </w:t>
              </w:r>
              <w:r>
                <w:rPr>
                  <w:rFonts w:ascii="Arial" w:cs="Arial" w:eastAsia="Arial" w:hAnsi="Arial"/>
                  <w:sz w:val="12"/>
                  <w:szCs w:val="12"/>
                  <w:b w:val="1"/>
                  <w:bCs w:val="1"/>
                  <w:color w:val="0000FF"/>
                  <w:w w:val="98"/>
                </w:rPr>
                <w:t>Exhibit</w:t>
              </w:r>
            </w:hyperlink>
          </w:p>
        </w:tc>
        <w:tc>
          <w:tcPr>
            <w:tcW w:w="4520" w:type="dxa"/>
            <w:vAlign w:val="bottom"/>
            <w:gridSpan w:val="7"/>
          </w:tcPr>
          <w:p>
            <w:pPr>
              <w:ind w:left="20"/>
              <w:spacing w:after="0" w:line="110" w:lineRule="exact"/>
              <w:rPr>
                <w:rFonts w:ascii="Arial" w:cs="Arial" w:eastAsia="Arial" w:hAnsi="Arial"/>
                <w:sz w:val="12"/>
                <w:szCs w:val="12"/>
                <w:b w:val="1"/>
                <w:bCs w:val="1"/>
                <w:color w:val="0000FF"/>
              </w:rPr>
            </w:pPr>
            <w:hyperlink r:id="rId213">
              <w:r>
                <w:rPr>
                  <w:rFonts w:ascii="Arial" w:cs="Arial" w:eastAsia="Arial" w:hAnsi="Arial"/>
                  <w:sz w:val="12"/>
                  <w:szCs w:val="12"/>
                  <w:b w:val="1"/>
                  <w:bCs w:val="1"/>
                  <w:color w:val="0000FF"/>
                </w:rPr>
                <w:t>10.2 to the Company’s Quarterly Report on Form 10-Q for the quarter ended</w:t>
              </w:r>
            </w:hyperlink>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5020" w:type="dxa"/>
            <w:vAlign w:val="bottom"/>
          </w:tcPr>
          <w:p>
            <w:pPr>
              <w:ind w:left="180"/>
              <w:spacing w:after="0" w:line="110" w:lineRule="exact"/>
              <w:rPr>
                <w:sz w:val="20"/>
                <w:szCs w:val="20"/>
                <w:color w:val="auto"/>
              </w:rPr>
            </w:pPr>
            <w:r>
              <w:rPr>
                <w:rFonts w:ascii="Arial" w:cs="Arial" w:eastAsia="Arial" w:hAnsi="Arial"/>
                <w:sz w:val="12"/>
                <w:szCs w:val="12"/>
                <w:color w:val="auto"/>
              </w:rPr>
              <w:t>Reading Entertainment Australia Pty. Ltd.</w:t>
            </w:r>
          </w:p>
        </w:tc>
        <w:tc>
          <w:tcPr>
            <w:tcW w:w="460" w:type="dxa"/>
            <w:vAlign w:val="bottom"/>
            <w:gridSpan w:val="2"/>
          </w:tcPr>
          <w:p>
            <w:pPr>
              <w:spacing w:after="0" w:line="110" w:lineRule="exact"/>
              <w:rPr>
                <w:rFonts w:ascii="Arial" w:cs="Arial" w:eastAsia="Arial" w:hAnsi="Arial"/>
                <w:sz w:val="12"/>
                <w:szCs w:val="12"/>
                <w:b w:val="1"/>
                <w:bCs w:val="1"/>
                <w:color w:val="0000FF"/>
                <w:w w:val="87"/>
              </w:rPr>
            </w:pPr>
            <w:hyperlink r:id="rId213">
              <w:r>
                <w:rPr>
                  <w:rFonts w:ascii="Arial" w:cs="Arial" w:eastAsia="Arial" w:hAnsi="Arial"/>
                  <w:sz w:val="12"/>
                  <w:szCs w:val="12"/>
                  <w:b w:val="1"/>
                  <w:bCs w:val="1"/>
                  <w:color w:val="0000FF"/>
                  <w:w w:val="87"/>
                </w:rPr>
                <w:t>June 30,</w:t>
              </w:r>
            </w:hyperlink>
          </w:p>
        </w:tc>
        <w:tc>
          <w:tcPr>
            <w:tcW w:w="4760" w:type="dxa"/>
            <w:vAlign w:val="bottom"/>
            <w:tcBorders>
              <w:top w:val="single" w:sz="8" w:color="0000FF"/>
            </w:tcBorders>
            <w:gridSpan w:val="8"/>
          </w:tcPr>
          <w:p>
            <w:pPr>
              <w:ind w:left="20"/>
              <w:spacing w:after="0" w:line="110" w:lineRule="exact"/>
              <w:rPr>
                <w:rFonts w:ascii="Arial" w:cs="Arial" w:eastAsia="Arial" w:hAnsi="Arial"/>
                <w:sz w:val="12"/>
                <w:szCs w:val="12"/>
                <w:b w:val="1"/>
                <w:bCs w:val="1"/>
                <w:color w:val="0000FF"/>
              </w:rPr>
            </w:pPr>
            <w:hyperlink r:id="rId213">
              <w:r>
                <w:rPr>
                  <w:rFonts w:ascii="Arial" w:cs="Arial" w:eastAsia="Arial" w:hAnsi="Arial"/>
                  <w:sz w:val="12"/>
                  <w:szCs w:val="12"/>
                  <w:b w:val="1"/>
                  <w:bCs w:val="1"/>
                  <w:color w:val="0000FF"/>
                </w:rPr>
                <w:t>2020</w:t>
              </w:r>
              <w:r>
                <w:rPr>
                  <w:rFonts w:ascii="Arial" w:cs="Arial" w:eastAsia="Arial" w:hAnsi="Arial"/>
                  <w:sz w:val="12"/>
                  <w:szCs w:val="12"/>
                  <w:b w:val="1"/>
                  <w:bCs w:val="1"/>
                  <w:color w:val="000000"/>
                </w:rPr>
                <w:t>,</w:t>
              </w:r>
              <w:r>
                <w:rPr>
                  <w:rFonts w:ascii="Arial" w:cs="Arial" w:eastAsia="Arial" w:hAnsi="Arial"/>
                  <w:sz w:val="12"/>
                  <w:szCs w:val="12"/>
                  <w:b w:val="1"/>
                  <w:bCs w:val="1"/>
                  <w:color w:val="0000FF"/>
                </w:rPr>
                <w:t xml:space="preserve"> </w:t>
              </w:r>
              <w:r>
                <w:rPr>
                  <w:rFonts w:ascii="Arial" w:cs="Arial" w:eastAsia="Arial" w:hAnsi="Arial"/>
                  <w:sz w:val="12"/>
                  <w:szCs w:val="12"/>
                  <w:color w:val="000000"/>
                </w:rPr>
                <w:t>and incorporated herein by reference.</w:t>
              </w:r>
            </w:hyperlink>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shd w:val="clear" w:color="auto" w:fill="CCEEFF"/>
          </w:tcPr>
          <w:p>
            <w:pPr>
              <w:jc w:val="right"/>
              <w:ind w:right="139"/>
              <w:spacing w:after="0" w:line="110" w:lineRule="exact"/>
              <w:rPr>
                <w:sz w:val="20"/>
                <w:szCs w:val="20"/>
                <w:color w:val="auto"/>
              </w:rPr>
            </w:pPr>
            <w:r>
              <w:rPr>
                <w:rFonts w:ascii="Arial" w:cs="Arial" w:eastAsia="Arial" w:hAnsi="Arial"/>
                <w:sz w:val="12"/>
                <w:szCs w:val="12"/>
                <w:color w:val="auto"/>
              </w:rPr>
              <w:t>10.21</w:t>
            </w:r>
          </w:p>
        </w:tc>
        <w:tc>
          <w:tcPr>
            <w:tcW w:w="5020" w:type="dxa"/>
            <w:vAlign w:val="bottom"/>
            <w:shd w:val="clear" w:color="auto" w:fill="CCEEFF"/>
          </w:tcPr>
          <w:p>
            <w:pPr>
              <w:ind w:left="180"/>
              <w:spacing w:after="0" w:line="110" w:lineRule="exact"/>
              <w:rPr>
                <w:sz w:val="20"/>
                <w:szCs w:val="20"/>
                <w:color w:val="auto"/>
              </w:rPr>
            </w:pPr>
            <w:r>
              <w:rPr>
                <w:rFonts w:ascii="Arial" w:cs="Arial" w:eastAsia="Arial" w:hAnsi="Arial"/>
                <w:sz w:val="12"/>
                <w:szCs w:val="12"/>
                <w:color w:val="auto"/>
              </w:rPr>
              <w:t>Amendment Deed dated June 12, 2018 between National Australia Bank Limited and</w:t>
            </w:r>
          </w:p>
        </w:tc>
        <w:tc>
          <w:tcPr>
            <w:tcW w:w="5380" w:type="dxa"/>
            <w:vAlign w:val="bottom"/>
            <w:gridSpan w:val="11"/>
            <w:shd w:val="clear" w:color="auto" w:fill="CCEEFF"/>
          </w:tcPr>
          <w:p>
            <w:pPr>
              <w:spacing w:after="0" w:line="110" w:lineRule="exact"/>
              <w:rPr>
                <w:rFonts w:ascii="Arial" w:cs="Arial" w:eastAsia="Arial" w:hAnsi="Arial"/>
                <w:sz w:val="12"/>
                <w:szCs w:val="12"/>
                <w:color w:val="auto"/>
              </w:rPr>
            </w:pPr>
            <w:hyperlink r:id="rId212">
              <w:r>
                <w:rPr>
                  <w:rFonts w:ascii="Arial" w:cs="Arial" w:eastAsia="Arial" w:hAnsi="Arial"/>
                  <w:sz w:val="12"/>
                  <w:szCs w:val="12"/>
                  <w:color w:val="auto"/>
                </w:rPr>
                <w:t xml:space="preserve">Filed as </w:t>
              </w:r>
              <w:r>
                <w:rPr>
                  <w:rFonts w:ascii="Arial" w:cs="Arial" w:eastAsia="Arial" w:hAnsi="Arial"/>
                  <w:sz w:val="12"/>
                  <w:szCs w:val="12"/>
                  <w:b w:val="1"/>
                  <w:bCs w:val="1"/>
                  <w:color w:val="0000FF"/>
                </w:rPr>
                <w:t>Exhibit 10.1.2 to the Company’s report on Form 8-K (file no. 1-8625), filed on June 2,</w:t>
              </w:r>
            </w:hyperlink>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5020" w:type="dxa"/>
            <w:vAlign w:val="bottom"/>
            <w:vMerge w:val="restart"/>
            <w:shd w:val="clear" w:color="auto" w:fill="CCEEFF"/>
          </w:tcPr>
          <w:p>
            <w:pPr>
              <w:ind w:left="180"/>
              <w:spacing w:after="0" w:line="130" w:lineRule="exact"/>
              <w:rPr>
                <w:sz w:val="20"/>
                <w:szCs w:val="20"/>
                <w:color w:val="auto"/>
              </w:rPr>
            </w:pPr>
            <w:r>
              <w:rPr>
                <w:rFonts w:ascii="Arial" w:cs="Arial" w:eastAsia="Arial" w:hAnsi="Arial"/>
                <w:sz w:val="13"/>
                <w:szCs w:val="13"/>
                <w:color w:val="auto"/>
              </w:rPr>
              <w:t>Reading Entertainment Australia Pty Ltd.</w:t>
            </w:r>
          </w:p>
        </w:tc>
        <w:tc>
          <w:tcPr>
            <w:tcW w:w="460" w:type="dxa"/>
            <w:vAlign w:val="bottom"/>
            <w:tcBorders>
              <w:right w:val="single" w:sz="8" w:color="CCEEFF"/>
            </w:tcBorders>
            <w:gridSpan w:val="2"/>
            <w:shd w:val="clear" w:color="auto" w:fill="CCEE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38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2"/>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shd w:val="clear" w:color="auto" w:fill="CCEEFF"/>
          </w:tcPr>
          <w:p>
            <w:pPr>
              <w:spacing w:after="0"/>
              <w:rPr>
                <w:sz w:val="9"/>
                <w:szCs w:val="9"/>
                <w:color w:val="auto"/>
              </w:rPr>
            </w:pPr>
          </w:p>
        </w:tc>
        <w:tc>
          <w:tcPr>
            <w:tcW w:w="5020" w:type="dxa"/>
            <w:vAlign w:val="bottom"/>
            <w:vMerge w:val="continue"/>
            <w:shd w:val="clear" w:color="auto" w:fill="CCEEFF"/>
          </w:tcPr>
          <w:p>
            <w:pPr>
              <w:spacing w:after="0"/>
              <w:rPr>
                <w:sz w:val="9"/>
                <w:szCs w:val="9"/>
                <w:color w:val="auto"/>
              </w:rPr>
            </w:pPr>
          </w:p>
        </w:tc>
        <w:tc>
          <w:tcPr>
            <w:tcW w:w="5200" w:type="dxa"/>
            <w:vAlign w:val="bottom"/>
            <w:gridSpan w:val="9"/>
            <w:shd w:val="clear" w:color="auto" w:fill="CCEEFF"/>
          </w:tcPr>
          <w:p>
            <w:pPr>
              <w:spacing w:after="0" w:line="110" w:lineRule="exact"/>
              <w:rPr>
                <w:rFonts w:ascii="Arial" w:cs="Arial" w:eastAsia="Arial" w:hAnsi="Arial"/>
                <w:sz w:val="12"/>
                <w:szCs w:val="12"/>
                <w:b w:val="1"/>
                <w:bCs w:val="1"/>
                <w:color w:val="0000FF"/>
              </w:rPr>
            </w:pPr>
            <w:hyperlink r:id="rId212">
              <w:r>
                <w:rPr>
                  <w:rFonts w:ascii="Arial" w:cs="Arial" w:eastAsia="Arial" w:hAnsi="Arial"/>
                  <w:sz w:val="12"/>
                  <w:szCs w:val="12"/>
                  <w:b w:val="1"/>
                  <w:bCs w:val="1"/>
                  <w:color w:val="0000FF"/>
                </w:rPr>
                <w:t>2020</w:t>
              </w:r>
              <w:r>
                <w:rPr>
                  <w:rFonts w:ascii="Arial" w:cs="Arial" w:eastAsia="Arial" w:hAnsi="Arial"/>
                  <w:sz w:val="12"/>
                  <w:szCs w:val="12"/>
                  <w:color w:val="000000"/>
                </w:rPr>
                <w:t>, and incorporated herein by reference.</w:t>
              </w:r>
            </w:hyperlink>
          </w:p>
        </w:tc>
        <w:tc>
          <w:tcPr>
            <w:tcW w:w="1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tcPr>
          <w:p>
            <w:pPr>
              <w:jc w:val="right"/>
              <w:ind w:right="139"/>
              <w:spacing w:after="0" w:line="110" w:lineRule="exact"/>
              <w:rPr>
                <w:sz w:val="20"/>
                <w:szCs w:val="20"/>
                <w:color w:val="auto"/>
              </w:rPr>
            </w:pPr>
            <w:r>
              <w:rPr>
                <w:rFonts w:ascii="Arial" w:cs="Arial" w:eastAsia="Arial" w:hAnsi="Arial"/>
                <w:sz w:val="12"/>
                <w:szCs w:val="12"/>
                <w:color w:val="auto"/>
              </w:rPr>
              <w:t>10.22</w:t>
            </w:r>
          </w:p>
        </w:tc>
        <w:tc>
          <w:tcPr>
            <w:tcW w:w="5880" w:type="dxa"/>
            <w:vAlign w:val="bottom"/>
            <w:gridSpan w:val="5"/>
          </w:tcPr>
          <w:p>
            <w:pPr>
              <w:ind w:left="180"/>
              <w:spacing w:after="0" w:line="110" w:lineRule="exact"/>
              <w:rPr>
                <w:rFonts w:ascii="Arial" w:cs="Arial" w:eastAsia="Arial" w:hAnsi="Arial"/>
                <w:sz w:val="12"/>
                <w:szCs w:val="12"/>
                <w:color w:val="auto"/>
                <w:w w:val="97"/>
              </w:rPr>
            </w:pPr>
            <w:r>
              <w:rPr>
                <w:rFonts w:ascii="Arial" w:cs="Arial" w:eastAsia="Arial" w:hAnsi="Arial"/>
                <w:sz w:val="12"/>
                <w:szCs w:val="12"/>
                <w:color w:val="auto"/>
                <w:w w:val="97"/>
              </w:rPr>
              <w:t xml:space="preserve">Amendment Deed dated June 8, 2021, by and between Reading Entertainment Australia Pty </w:t>
            </w:r>
            <w:hyperlink r:id="rId214">
              <w:r>
                <w:rPr>
                  <w:rFonts w:ascii="Arial" w:cs="Arial" w:eastAsia="Arial" w:hAnsi="Arial"/>
                  <w:sz w:val="12"/>
                  <w:szCs w:val="12"/>
                  <w:color w:val="auto"/>
                  <w:w w:val="97"/>
                </w:rPr>
                <w:t xml:space="preserve">Filed as </w:t>
              </w:r>
              <w:r>
                <w:rPr>
                  <w:rFonts w:ascii="Arial" w:cs="Arial" w:eastAsia="Arial" w:hAnsi="Arial"/>
                  <w:sz w:val="12"/>
                  <w:szCs w:val="12"/>
                  <w:b w:val="1"/>
                  <w:bCs w:val="1"/>
                  <w:color w:val="0000FF"/>
                  <w:w w:val="97"/>
                </w:rPr>
                <w:t>Exhibit</w:t>
              </w:r>
            </w:hyperlink>
          </w:p>
        </w:tc>
        <w:tc>
          <w:tcPr>
            <w:tcW w:w="4520" w:type="dxa"/>
            <w:vAlign w:val="bottom"/>
            <w:gridSpan w:val="7"/>
          </w:tcPr>
          <w:p>
            <w:pPr>
              <w:ind w:left="20"/>
              <w:spacing w:after="0" w:line="110" w:lineRule="exact"/>
              <w:rPr>
                <w:rFonts w:ascii="Arial" w:cs="Arial" w:eastAsia="Arial" w:hAnsi="Arial"/>
                <w:sz w:val="12"/>
                <w:szCs w:val="12"/>
                <w:b w:val="1"/>
                <w:bCs w:val="1"/>
                <w:color w:val="0000FF"/>
              </w:rPr>
            </w:pPr>
            <w:hyperlink r:id="rId214">
              <w:r>
                <w:rPr>
                  <w:rFonts w:ascii="Arial" w:cs="Arial" w:eastAsia="Arial" w:hAnsi="Arial"/>
                  <w:sz w:val="12"/>
                  <w:szCs w:val="12"/>
                  <w:b w:val="1"/>
                  <w:bCs w:val="1"/>
                  <w:color w:val="0000FF"/>
                </w:rPr>
                <w:t>10.2 to the Company’s Quarterly Report on Form 10-Q for the quarter ended</w:t>
              </w:r>
            </w:hyperlink>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5020" w:type="dxa"/>
            <w:vAlign w:val="bottom"/>
          </w:tcPr>
          <w:p>
            <w:pPr>
              <w:ind w:left="180"/>
              <w:spacing w:after="0" w:line="110" w:lineRule="exact"/>
              <w:rPr>
                <w:sz w:val="20"/>
                <w:szCs w:val="20"/>
                <w:color w:val="auto"/>
              </w:rPr>
            </w:pPr>
            <w:r>
              <w:rPr>
                <w:rFonts w:ascii="Arial" w:cs="Arial" w:eastAsia="Arial" w:hAnsi="Arial"/>
                <w:sz w:val="12"/>
                <w:szCs w:val="12"/>
                <w:color w:val="auto"/>
              </w:rPr>
              <w:t>Ltd and National Australia Bank Limited.</w:t>
            </w:r>
          </w:p>
        </w:tc>
        <w:tc>
          <w:tcPr>
            <w:tcW w:w="460" w:type="dxa"/>
            <w:vAlign w:val="bottom"/>
            <w:gridSpan w:val="2"/>
          </w:tcPr>
          <w:p>
            <w:pPr>
              <w:spacing w:after="0" w:line="110" w:lineRule="exact"/>
              <w:rPr>
                <w:rFonts w:ascii="Arial" w:cs="Arial" w:eastAsia="Arial" w:hAnsi="Arial"/>
                <w:sz w:val="12"/>
                <w:szCs w:val="12"/>
                <w:b w:val="1"/>
                <w:bCs w:val="1"/>
                <w:color w:val="0000FF"/>
                <w:w w:val="87"/>
              </w:rPr>
            </w:pPr>
            <w:hyperlink r:id="rId214">
              <w:r>
                <w:rPr>
                  <w:rFonts w:ascii="Arial" w:cs="Arial" w:eastAsia="Arial" w:hAnsi="Arial"/>
                  <w:sz w:val="12"/>
                  <w:szCs w:val="12"/>
                  <w:b w:val="1"/>
                  <w:bCs w:val="1"/>
                  <w:color w:val="0000FF"/>
                  <w:w w:val="87"/>
                </w:rPr>
                <w:t>June 30,</w:t>
              </w:r>
            </w:hyperlink>
          </w:p>
        </w:tc>
        <w:tc>
          <w:tcPr>
            <w:tcW w:w="4760" w:type="dxa"/>
            <w:vAlign w:val="bottom"/>
            <w:tcBorders>
              <w:top w:val="single" w:sz="8" w:color="0000FF"/>
            </w:tcBorders>
            <w:gridSpan w:val="8"/>
          </w:tcPr>
          <w:p>
            <w:pPr>
              <w:ind w:left="20"/>
              <w:spacing w:after="0" w:line="110" w:lineRule="exact"/>
              <w:rPr>
                <w:rFonts w:ascii="Arial" w:cs="Arial" w:eastAsia="Arial" w:hAnsi="Arial"/>
                <w:sz w:val="12"/>
                <w:szCs w:val="12"/>
                <w:b w:val="1"/>
                <w:bCs w:val="1"/>
                <w:color w:val="0000FF"/>
              </w:rPr>
            </w:pPr>
            <w:hyperlink r:id="rId214">
              <w:r>
                <w:rPr>
                  <w:rFonts w:ascii="Arial" w:cs="Arial" w:eastAsia="Arial" w:hAnsi="Arial"/>
                  <w:sz w:val="12"/>
                  <w:szCs w:val="12"/>
                  <w:b w:val="1"/>
                  <w:bCs w:val="1"/>
                  <w:color w:val="0000FF"/>
                </w:rPr>
                <w:t>2021</w:t>
              </w:r>
              <w:r>
                <w:rPr>
                  <w:rFonts w:ascii="Arial" w:cs="Arial" w:eastAsia="Arial" w:hAnsi="Arial"/>
                  <w:sz w:val="12"/>
                  <w:szCs w:val="12"/>
                  <w:color w:val="000000"/>
                </w:rPr>
                <w:t>, and incorporated herein by reference.in by reference.</w:t>
              </w:r>
            </w:hyperlink>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shd w:val="clear" w:color="auto" w:fill="CCEEFF"/>
          </w:tcPr>
          <w:p>
            <w:pPr>
              <w:jc w:val="right"/>
              <w:ind w:right="139"/>
              <w:spacing w:after="0" w:line="110" w:lineRule="exact"/>
              <w:rPr>
                <w:sz w:val="20"/>
                <w:szCs w:val="20"/>
                <w:color w:val="auto"/>
              </w:rPr>
            </w:pPr>
            <w:r>
              <w:rPr>
                <w:rFonts w:ascii="Arial" w:cs="Arial" w:eastAsia="Arial" w:hAnsi="Arial"/>
                <w:sz w:val="12"/>
                <w:szCs w:val="12"/>
                <w:color w:val="auto"/>
              </w:rPr>
              <w:t>10.23</w:t>
            </w:r>
          </w:p>
        </w:tc>
        <w:tc>
          <w:tcPr>
            <w:tcW w:w="5020" w:type="dxa"/>
            <w:vAlign w:val="bottom"/>
            <w:shd w:val="clear" w:color="auto" w:fill="CCEEFF"/>
          </w:tcPr>
          <w:p>
            <w:pPr>
              <w:ind w:left="180"/>
              <w:spacing w:after="0" w:line="110" w:lineRule="exact"/>
              <w:rPr>
                <w:sz w:val="20"/>
                <w:szCs w:val="20"/>
                <w:color w:val="auto"/>
              </w:rPr>
            </w:pPr>
            <w:r>
              <w:rPr>
                <w:rFonts w:ascii="Arial" w:cs="Arial" w:eastAsia="Arial" w:hAnsi="Arial"/>
                <w:sz w:val="12"/>
                <w:szCs w:val="12"/>
                <w:color w:val="auto"/>
                <w:w w:val="99"/>
              </w:rPr>
              <w:t>Corporate Markets Loan &amp; Bank Guarantee Facility Agreement dated June 8, 2021, by and</w:t>
            </w:r>
          </w:p>
        </w:tc>
        <w:tc>
          <w:tcPr>
            <w:tcW w:w="860" w:type="dxa"/>
            <w:vAlign w:val="bottom"/>
            <w:gridSpan w:val="4"/>
            <w:shd w:val="clear" w:color="auto" w:fill="CCEEFF"/>
          </w:tcPr>
          <w:p>
            <w:pPr>
              <w:spacing w:after="0" w:line="110" w:lineRule="exact"/>
              <w:rPr>
                <w:rFonts w:ascii="Arial" w:cs="Arial" w:eastAsia="Arial" w:hAnsi="Arial"/>
                <w:sz w:val="12"/>
                <w:szCs w:val="12"/>
                <w:color w:val="auto"/>
                <w:w w:val="98"/>
              </w:rPr>
            </w:pPr>
            <w:hyperlink r:id="rId214">
              <w:r>
                <w:rPr>
                  <w:rFonts w:ascii="Arial" w:cs="Arial" w:eastAsia="Arial" w:hAnsi="Arial"/>
                  <w:sz w:val="12"/>
                  <w:szCs w:val="12"/>
                  <w:color w:val="auto"/>
                  <w:w w:val="98"/>
                </w:rPr>
                <w:t xml:space="preserve">Filed as </w:t>
              </w:r>
              <w:r>
                <w:rPr>
                  <w:rFonts w:ascii="Arial" w:cs="Arial" w:eastAsia="Arial" w:hAnsi="Arial"/>
                  <w:sz w:val="12"/>
                  <w:szCs w:val="12"/>
                  <w:b w:val="1"/>
                  <w:bCs w:val="1"/>
                  <w:color w:val="0000FF"/>
                  <w:w w:val="98"/>
                </w:rPr>
                <w:t>Exhibit</w:t>
              </w:r>
            </w:hyperlink>
          </w:p>
        </w:tc>
        <w:tc>
          <w:tcPr>
            <w:tcW w:w="4520" w:type="dxa"/>
            <w:vAlign w:val="bottom"/>
            <w:gridSpan w:val="7"/>
            <w:shd w:val="clear" w:color="auto" w:fill="CCEEFF"/>
          </w:tcPr>
          <w:p>
            <w:pPr>
              <w:ind w:left="20"/>
              <w:spacing w:after="0" w:line="110" w:lineRule="exact"/>
              <w:rPr>
                <w:rFonts w:ascii="Arial" w:cs="Arial" w:eastAsia="Arial" w:hAnsi="Arial"/>
                <w:sz w:val="12"/>
                <w:szCs w:val="12"/>
                <w:b w:val="1"/>
                <w:bCs w:val="1"/>
                <w:color w:val="0000FF"/>
              </w:rPr>
            </w:pPr>
            <w:hyperlink r:id="rId214">
              <w:r>
                <w:rPr>
                  <w:rFonts w:ascii="Arial" w:cs="Arial" w:eastAsia="Arial" w:hAnsi="Arial"/>
                  <w:sz w:val="12"/>
                  <w:szCs w:val="12"/>
                  <w:b w:val="1"/>
                  <w:bCs w:val="1"/>
                  <w:color w:val="0000FF"/>
                </w:rPr>
                <w:t>10.3 to the Company’s Quarterly Report on Form 10-Q for the quarter ended</w:t>
              </w:r>
            </w:hyperlink>
          </w:p>
        </w:tc>
        <w:tc>
          <w:tcPr>
            <w:tcW w:w="0" w:type="dxa"/>
            <w:vAlign w:val="bottom"/>
          </w:tcPr>
          <w:p>
            <w:pPr>
              <w:spacing w:after="0"/>
              <w:rPr>
                <w:sz w:val="1"/>
                <w:szCs w:val="1"/>
                <w:color w:val="auto"/>
              </w:rPr>
            </w:pPr>
          </w:p>
        </w:tc>
      </w:tr>
      <w:tr>
        <w:trPr>
          <w:trHeight w:val="110"/>
        </w:trPr>
        <w:tc>
          <w:tcPr>
            <w:tcW w:w="880" w:type="dxa"/>
            <w:vAlign w:val="bottom"/>
            <w:tcBorders>
              <w:top w:val="single" w:sz="8" w:color="CCEEFF"/>
            </w:tcBorders>
            <w:shd w:val="clear" w:color="auto" w:fill="CCEEFF"/>
          </w:tcPr>
          <w:p>
            <w:pPr>
              <w:spacing w:after="0"/>
              <w:rPr>
                <w:sz w:val="9"/>
                <w:szCs w:val="9"/>
                <w:color w:val="auto"/>
              </w:rPr>
            </w:pPr>
          </w:p>
        </w:tc>
        <w:tc>
          <w:tcPr>
            <w:tcW w:w="5020" w:type="dxa"/>
            <w:vAlign w:val="bottom"/>
            <w:tcBorders>
              <w:top w:val="single" w:sz="8" w:color="CCEEFF"/>
            </w:tcBorders>
            <w:shd w:val="clear" w:color="auto" w:fill="CCEEFF"/>
          </w:tcPr>
          <w:p>
            <w:pPr>
              <w:ind w:left="180"/>
              <w:spacing w:after="0" w:line="110" w:lineRule="exact"/>
              <w:rPr>
                <w:sz w:val="20"/>
                <w:szCs w:val="20"/>
                <w:color w:val="auto"/>
              </w:rPr>
            </w:pPr>
            <w:r>
              <w:rPr>
                <w:rFonts w:ascii="Arial" w:cs="Arial" w:eastAsia="Arial" w:hAnsi="Arial"/>
                <w:sz w:val="12"/>
                <w:szCs w:val="12"/>
                <w:color w:val="auto"/>
              </w:rPr>
              <w:t>between Reading Entertainment Australia Pty Ltd and National Australia Bank Limited.</w:t>
            </w:r>
          </w:p>
        </w:tc>
        <w:tc>
          <w:tcPr>
            <w:tcW w:w="460" w:type="dxa"/>
            <w:vAlign w:val="bottom"/>
            <w:tcBorders>
              <w:top w:val="single" w:sz="8" w:color="CCEEFF"/>
              <w:right w:val="single" w:sz="8" w:color="CCEEFF"/>
            </w:tcBorders>
            <w:gridSpan w:val="2"/>
            <w:shd w:val="clear" w:color="auto" w:fill="CCEEFF"/>
          </w:tcPr>
          <w:p>
            <w:pPr>
              <w:spacing w:after="0" w:line="110" w:lineRule="exact"/>
              <w:rPr>
                <w:rFonts w:ascii="Arial" w:cs="Arial" w:eastAsia="Arial" w:hAnsi="Arial"/>
                <w:sz w:val="12"/>
                <w:szCs w:val="12"/>
                <w:b w:val="1"/>
                <w:bCs w:val="1"/>
                <w:color w:val="0000FF"/>
                <w:w w:val="87"/>
              </w:rPr>
            </w:pPr>
            <w:hyperlink r:id="rId214">
              <w:r>
                <w:rPr>
                  <w:rFonts w:ascii="Arial" w:cs="Arial" w:eastAsia="Arial" w:hAnsi="Arial"/>
                  <w:sz w:val="12"/>
                  <w:szCs w:val="12"/>
                  <w:b w:val="1"/>
                  <w:bCs w:val="1"/>
                  <w:color w:val="0000FF"/>
                  <w:w w:val="87"/>
                </w:rPr>
                <w:t>June 30,</w:t>
              </w:r>
            </w:hyperlink>
          </w:p>
        </w:tc>
        <w:tc>
          <w:tcPr>
            <w:tcW w:w="4760" w:type="dxa"/>
            <w:vAlign w:val="bottom"/>
            <w:tcBorders>
              <w:top w:val="single" w:sz="8" w:color="0000FF"/>
            </w:tcBorders>
            <w:gridSpan w:val="8"/>
            <w:shd w:val="clear" w:color="auto" w:fill="CCEEFF"/>
          </w:tcPr>
          <w:p>
            <w:pPr>
              <w:ind w:left="20"/>
              <w:spacing w:after="0" w:line="110" w:lineRule="exact"/>
              <w:rPr>
                <w:rFonts w:ascii="Arial" w:cs="Arial" w:eastAsia="Arial" w:hAnsi="Arial"/>
                <w:sz w:val="12"/>
                <w:szCs w:val="12"/>
                <w:b w:val="1"/>
                <w:bCs w:val="1"/>
                <w:color w:val="0000FF"/>
              </w:rPr>
            </w:pPr>
            <w:hyperlink r:id="rId214">
              <w:r>
                <w:rPr>
                  <w:rFonts w:ascii="Arial" w:cs="Arial" w:eastAsia="Arial" w:hAnsi="Arial"/>
                  <w:sz w:val="12"/>
                  <w:szCs w:val="12"/>
                  <w:b w:val="1"/>
                  <w:bCs w:val="1"/>
                  <w:color w:val="0000FF"/>
                </w:rPr>
                <w:t>2021</w:t>
              </w:r>
              <w:r>
                <w:rPr>
                  <w:rFonts w:ascii="Arial" w:cs="Arial" w:eastAsia="Arial" w:hAnsi="Arial"/>
                  <w:sz w:val="12"/>
                  <w:szCs w:val="12"/>
                  <w:color w:val="000000"/>
                </w:rPr>
                <w:t>, and incorporated herein by reference.in by reference.</w:t>
              </w:r>
            </w:hyperlink>
          </w:p>
        </w:tc>
        <w:tc>
          <w:tcPr>
            <w:tcW w:w="1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tcPr>
          <w:p>
            <w:pPr>
              <w:jc w:val="right"/>
              <w:ind w:right="139"/>
              <w:spacing w:after="0" w:line="110" w:lineRule="exact"/>
              <w:rPr>
                <w:sz w:val="20"/>
                <w:szCs w:val="20"/>
                <w:color w:val="auto"/>
              </w:rPr>
            </w:pPr>
            <w:r>
              <w:rPr>
                <w:rFonts w:ascii="Arial" w:cs="Arial" w:eastAsia="Arial" w:hAnsi="Arial"/>
                <w:sz w:val="12"/>
                <w:szCs w:val="12"/>
                <w:color w:val="auto"/>
              </w:rPr>
              <w:t>10.24</w:t>
            </w:r>
          </w:p>
        </w:tc>
        <w:tc>
          <w:tcPr>
            <w:tcW w:w="5020" w:type="dxa"/>
            <w:vAlign w:val="bottom"/>
          </w:tcPr>
          <w:p>
            <w:pPr>
              <w:ind w:left="180"/>
              <w:spacing w:after="0" w:line="110" w:lineRule="exact"/>
              <w:rPr>
                <w:sz w:val="20"/>
                <w:szCs w:val="20"/>
                <w:color w:val="auto"/>
              </w:rPr>
            </w:pPr>
            <w:r>
              <w:rPr>
                <w:rFonts w:ascii="Arial" w:cs="Arial" w:eastAsia="Arial" w:hAnsi="Arial"/>
                <w:sz w:val="12"/>
                <w:szCs w:val="12"/>
                <w:color w:val="auto"/>
              </w:rPr>
              <w:t>Amendment Deed dated November 2, 2021, by and between Reading Entertainment</w:t>
            </w:r>
          </w:p>
        </w:tc>
        <w:tc>
          <w:tcPr>
            <w:tcW w:w="860" w:type="dxa"/>
            <w:vAlign w:val="bottom"/>
            <w:gridSpan w:val="4"/>
          </w:tcPr>
          <w:p>
            <w:pPr>
              <w:spacing w:after="0" w:line="110" w:lineRule="exact"/>
              <w:rPr>
                <w:rFonts w:ascii="Arial" w:cs="Arial" w:eastAsia="Arial" w:hAnsi="Arial"/>
                <w:sz w:val="12"/>
                <w:szCs w:val="12"/>
                <w:color w:val="auto"/>
                <w:w w:val="98"/>
              </w:rPr>
            </w:pPr>
            <w:hyperlink r:id="rId215">
              <w:r>
                <w:rPr>
                  <w:rFonts w:ascii="Arial" w:cs="Arial" w:eastAsia="Arial" w:hAnsi="Arial"/>
                  <w:sz w:val="12"/>
                  <w:szCs w:val="12"/>
                  <w:color w:val="auto"/>
                  <w:w w:val="98"/>
                </w:rPr>
                <w:t xml:space="preserve">Filed as </w:t>
              </w:r>
              <w:r>
                <w:rPr>
                  <w:rFonts w:ascii="Arial" w:cs="Arial" w:eastAsia="Arial" w:hAnsi="Arial"/>
                  <w:sz w:val="12"/>
                  <w:szCs w:val="12"/>
                  <w:b w:val="1"/>
                  <w:bCs w:val="1"/>
                  <w:color w:val="0000FF"/>
                  <w:w w:val="98"/>
                </w:rPr>
                <w:t>Exhibit</w:t>
              </w:r>
            </w:hyperlink>
          </w:p>
        </w:tc>
        <w:tc>
          <w:tcPr>
            <w:tcW w:w="4520" w:type="dxa"/>
            <w:vAlign w:val="bottom"/>
            <w:gridSpan w:val="7"/>
          </w:tcPr>
          <w:p>
            <w:pPr>
              <w:ind w:left="20"/>
              <w:spacing w:after="0" w:line="110" w:lineRule="exact"/>
              <w:rPr>
                <w:rFonts w:ascii="Arial" w:cs="Arial" w:eastAsia="Arial" w:hAnsi="Arial"/>
                <w:sz w:val="12"/>
                <w:szCs w:val="12"/>
                <w:b w:val="1"/>
                <w:bCs w:val="1"/>
                <w:color w:val="0000FF"/>
              </w:rPr>
            </w:pPr>
            <w:hyperlink r:id="rId215">
              <w:r>
                <w:rPr>
                  <w:rFonts w:ascii="Arial" w:cs="Arial" w:eastAsia="Arial" w:hAnsi="Arial"/>
                  <w:sz w:val="12"/>
                  <w:szCs w:val="12"/>
                  <w:b w:val="1"/>
                  <w:bCs w:val="1"/>
                  <w:color w:val="0000FF"/>
                </w:rPr>
                <w:t>10.1 to the Company’s Quarterly Report on Form 10-Q for the quarter ended</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20" w:type="dxa"/>
            <w:vAlign w:val="bottom"/>
            <w:vMerge w:val="restart"/>
          </w:tcPr>
          <w:p>
            <w:pPr>
              <w:ind w:left="180"/>
              <w:spacing w:after="0" w:line="130" w:lineRule="exact"/>
              <w:rPr>
                <w:sz w:val="20"/>
                <w:szCs w:val="20"/>
                <w:color w:val="auto"/>
              </w:rPr>
            </w:pPr>
            <w:r>
              <w:rPr>
                <w:rFonts w:ascii="Arial" w:cs="Arial" w:eastAsia="Arial" w:hAnsi="Arial"/>
                <w:sz w:val="13"/>
                <w:szCs w:val="13"/>
                <w:color w:val="auto"/>
              </w:rPr>
              <w:t>Australia Pty Ltd and National Australia Bank Limited.</w:t>
            </w:r>
          </w:p>
        </w:tc>
        <w:tc>
          <w:tcPr>
            <w:tcW w:w="460" w:type="dxa"/>
            <w:vAlign w:val="bottom"/>
            <w:gridSpan w:val="2"/>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386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tcPr>
          <w:p>
            <w:pPr>
              <w:spacing w:after="0"/>
              <w:rPr>
                <w:sz w:val="9"/>
                <w:szCs w:val="9"/>
                <w:color w:val="auto"/>
              </w:rPr>
            </w:pPr>
          </w:p>
        </w:tc>
        <w:tc>
          <w:tcPr>
            <w:tcW w:w="5020" w:type="dxa"/>
            <w:vAlign w:val="bottom"/>
            <w:vMerge w:val="continue"/>
          </w:tcPr>
          <w:p>
            <w:pPr>
              <w:spacing w:after="0"/>
              <w:rPr>
                <w:sz w:val="9"/>
                <w:szCs w:val="9"/>
                <w:color w:val="auto"/>
              </w:rPr>
            </w:pPr>
          </w:p>
        </w:tc>
        <w:tc>
          <w:tcPr>
            <w:tcW w:w="5220" w:type="dxa"/>
            <w:vAlign w:val="bottom"/>
            <w:gridSpan w:val="10"/>
          </w:tcPr>
          <w:p>
            <w:pPr>
              <w:spacing w:after="0" w:line="110" w:lineRule="exact"/>
              <w:rPr>
                <w:rFonts w:ascii="Arial" w:cs="Arial" w:eastAsia="Arial" w:hAnsi="Arial"/>
                <w:sz w:val="12"/>
                <w:szCs w:val="12"/>
                <w:b w:val="1"/>
                <w:bCs w:val="1"/>
                <w:color w:val="0000FF"/>
              </w:rPr>
            </w:pPr>
            <w:hyperlink r:id="rId215">
              <w:r>
                <w:rPr>
                  <w:rFonts w:ascii="Arial" w:cs="Arial" w:eastAsia="Arial" w:hAnsi="Arial"/>
                  <w:sz w:val="12"/>
                  <w:szCs w:val="12"/>
                  <w:b w:val="1"/>
                  <w:bCs w:val="1"/>
                  <w:color w:val="0000FF"/>
                </w:rPr>
                <w:t>September 30, 2021</w:t>
              </w:r>
              <w:r>
                <w:rPr>
                  <w:rFonts w:ascii="Arial" w:cs="Arial" w:eastAsia="Arial" w:hAnsi="Arial"/>
                  <w:sz w:val="12"/>
                  <w:szCs w:val="12"/>
                  <w:color w:val="000000"/>
                </w:rPr>
                <w:t>, and incorporated herein by reference.in by reference.</w:t>
              </w:r>
            </w:hyperlink>
          </w:p>
        </w:tc>
        <w:tc>
          <w:tcPr>
            <w:tcW w:w="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shd w:val="clear" w:color="auto" w:fill="CCEEFF"/>
          </w:tcPr>
          <w:p>
            <w:pPr>
              <w:jc w:val="right"/>
              <w:ind w:right="139"/>
              <w:spacing w:after="0" w:line="110" w:lineRule="exact"/>
              <w:rPr>
                <w:sz w:val="20"/>
                <w:szCs w:val="20"/>
                <w:color w:val="auto"/>
              </w:rPr>
            </w:pPr>
            <w:r>
              <w:rPr>
                <w:rFonts w:ascii="Arial" w:cs="Arial" w:eastAsia="Arial" w:hAnsi="Arial"/>
                <w:sz w:val="12"/>
                <w:szCs w:val="12"/>
                <w:color w:val="auto"/>
              </w:rPr>
              <w:t>10.25</w:t>
            </w:r>
          </w:p>
        </w:tc>
        <w:tc>
          <w:tcPr>
            <w:tcW w:w="5020" w:type="dxa"/>
            <w:vAlign w:val="bottom"/>
            <w:shd w:val="clear" w:color="auto" w:fill="CCEEFF"/>
          </w:tcPr>
          <w:p>
            <w:pPr>
              <w:ind w:left="180"/>
              <w:spacing w:after="0" w:line="110" w:lineRule="exact"/>
              <w:rPr>
                <w:sz w:val="20"/>
                <w:szCs w:val="20"/>
                <w:color w:val="auto"/>
              </w:rPr>
            </w:pPr>
            <w:r>
              <w:rPr>
                <w:rFonts w:ascii="Arial" w:cs="Arial" w:eastAsia="Arial" w:hAnsi="Arial"/>
                <w:sz w:val="12"/>
                <w:szCs w:val="12"/>
                <w:color w:val="auto"/>
              </w:rPr>
              <w:t>Wholesale Term Loan Facility dated May 21, 2015, among Reading Courtenay Central</w:t>
            </w:r>
          </w:p>
        </w:tc>
        <w:tc>
          <w:tcPr>
            <w:tcW w:w="860" w:type="dxa"/>
            <w:vAlign w:val="bottom"/>
            <w:gridSpan w:val="4"/>
            <w:shd w:val="clear" w:color="auto" w:fill="CCEEFF"/>
          </w:tcPr>
          <w:p>
            <w:pPr>
              <w:spacing w:after="0" w:line="110" w:lineRule="exact"/>
              <w:rPr>
                <w:rFonts w:ascii="Arial" w:cs="Arial" w:eastAsia="Arial" w:hAnsi="Arial"/>
                <w:sz w:val="12"/>
                <w:szCs w:val="12"/>
                <w:color w:val="auto"/>
                <w:w w:val="98"/>
              </w:rPr>
            </w:pPr>
            <w:hyperlink r:id="rId216">
              <w:r>
                <w:rPr>
                  <w:rFonts w:ascii="Arial" w:cs="Arial" w:eastAsia="Arial" w:hAnsi="Arial"/>
                  <w:sz w:val="12"/>
                  <w:szCs w:val="12"/>
                  <w:color w:val="auto"/>
                  <w:w w:val="98"/>
                </w:rPr>
                <w:t xml:space="preserve">Filed as </w:t>
              </w:r>
              <w:r>
                <w:rPr>
                  <w:rFonts w:ascii="Arial" w:cs="Arial" w:eastAsia="Arial" w:hAnsi="Arial"/>
                  <w:sz w:val="12"/>
                  <w:szCs w:val="12"/>
                  <w:b w:val="1"/>
                  <w:bCs w:val="1"/>
                  <w:color w:val="0000FF"/>
                  <w:w w:val="98"/>
                </w:rPr>
                <w:t>Exhibit</w:t>
              </w:r>
            </w:hyperlink>
          </w:p>
        </w:tc>
        <w:tc>
          <w:tcPr>
            <w:tcW w:w="4520" w:type="dxa"/>
            <w:vAlign w:val="bottom"/>
            <w:gridSpan w:val="7"/>
            <w:shd w:val="clear" w:color="auto" w:fill="CCEEFF"/>
          </w:tcPr>
          <w:p>
            <w:pPr>
              <w:ind w:left="20"/>
              <w:spacing w:after="0" w:line="110" w:lineRule="exact"/>
              <w:rPr>
                <w:rFonts w:ascii="Arial" w:cs="Arial" w:eastAsia="Arial" w:hAnsi="Arial"/>
                <w:sz w:val="12"/>
                <w:szCs w:val="12"/>
                <w:b w:val="1"/>
                <w:bCs w:val="1"/>
                <w:color w:val="0000FF"/>
              </w:rPr>
            </w:pPr>
            <w:hyperlink r:id="rId216">
              <w:r>
                <w:rPr>
                  <w:rFonts w:ascii="Arial" w:cs="Arial" w:eastAsia="Arial" w:hAnsi="Arial"/>
                  <w:sz w:val="12"/>
                  <w:szCs w:val="12"/>
                  <w:b w:val="1"/>
                  <w:bCs w:val="1"/>
                  <w:color w:val="0000FF"/>
                </w:rPr>
                <w:t>10.10 to the Company’s Annual Report on Form 10-K for the year ended</w:t>
              </w:r>
            </w:hyperlink>
          </w:p>
        </w:tc>
        <w:tc>
          <w:tcPr>
            <w:tcW w:w="0" w:type="dxa"/>
            <w:vAlign w:val="bottom"/>
          </w:tcPr>
          <w:p>
            <w:pPr>
              <w:spacing w:after="0"/>
              <w:rPr>
                <w:sz w:val="1"/>
                <w:szCs w:val="1"/>
                <w:color w:val="auto"/>
              </w:rPr>
            </w:pPr>
          </w:p>
        </w:tc>
      </w:tr>
      <w:tr>
        <w:trPr>
          <w:trHeight w:val="110"/>
        </w:trPr>
        <w:tc>
          <w:tcPr>
            <w:tcW w:w="880" w:type="dxa"/>
            <w:vAlign w:val="bottom"/>
            <w:tcBorders>
              <w:top w:val="single" w:sz="8" w:color="CCEEFF"/>
            </w:tcBorders>
            <w:shd w:val="clear" w:color="auto" w:fill="CCEEFF"/>
          </w:tcPr>
          <w:p>
            <w:pPr>
              <w:spacing w:after="0"/>
              <w:rPr>
                <w:sz w:val="9"/>
                <w:szCs w:val="9"/>
                <w:color w:val="auto"/>
              </w:rPr>
            </w:pPr>
          </w:p>
        </w:tc>
        <w:tc>
          <w:tcPr>
            <w:tcW w:w="5020" w:type="dxa"/>
            <w:vAlign w:val="bottom"/>
            <w:tcBorders>
              <w:top w:val="single" w:sz="8" w:color="CCEEFF"/>
            </w:tcBorders>
            <w:shd w:val="clear" w:color="auto" w:fill="CCEEFF"/>
          </w:tcPr>
          <w:p>
            <w:pPr>
              <w:ind w:left="180"/>
              <w:spacing w:after="0" w:line="110" w:lineRule="exact"/>
              <w:rPr>
                <w:sz w:val="20"/>
                <w:szCs w:val="20"/>
                <w:color w:val="auto"/>
              </w:rPr>
            </w:pPr>
            <w:r>
              <w:rPr>
                <w:rFonts w:ascii="Arial" w:cs="Arial" w:eastAsia="Arial" w:hAnsi="Arial"/>
                <w:sz w:val="12"/>
                <w:szCs w:val="12"/>
                <w:color w:val="auto"/>
              </w:rPr>
              <w:t>Limited and Westpac New Zealand Limited</w:t>
            </w:r>
          </w:p>
        </w:tc>
        <w:tc>
          <w:tcPr>
            <w:tcW w:w="460" w:type="dxa"/>
            <w:vAlign w:val="bottom"/>
            <w:tcBorders>
              <w:top w:val="single" w:sz="8" w:color="CCEEFF"/>
              <w:right w:val="single" w:sz="8" w:color="CCEEFF"/>
            </w:tcBorders>
            <w:gridSpan w:val="2"/>
            <w:shd w:val="clear" w:color="auto" w:fill="CCEEFF"/>
          </w:tcPr>
          <w:p>
            <w:pPr>
              <w:spacing w:after="0" w:line="110" w:lineRule="exact"/>
              <w:rPr>
                <w:rFonts w:ascii="Arial" w:cs="Arial" w:eastAsia="Arial" w:hAnsi="Arial"/>
                <w:sz w:val="12"/>
                <w:szCs w:val="12"/>
                <w:b w:val="1"/>
                <w:bCs w:val="1"/>
                <w:color w:val="0000FF"/>
                <w:w w:val="72"/>
              </w:rPr>
            </w:pPr>
            <w:hyperlink r:id="rId216">
              <w:r>
                <w:rPr>
                  <w:rFonts w:ascii="Arial" w:cs="Arial" w:eastAsia="Arial" w:hAnsi="Arial"/>
                  <w:sz w:val="12"/>
                  <w:szCs w:val="12"/>
                  <w:b w:val="1"/>
                  <w:bCs w:val="1"/>
                  <w:color w:val="0000FF"/>
                  <w:w w:val="72"/>
                </w:rPr>
                <w:t>December</w:t>
              </w:r>
            </w:hyperlink>
          </w:p>
        </w:tc>
        <w:tc>
          <w:tcPr>
            <w:tcW w:w="4480" w:type="dxa"/>
            <w:vAlign w:val="bottom"/>
            <w:tcBorders>
              <w:top w:val="single" w:sz="8" w:color="0000FF"/>
            </w:tcBorders>
            <w:gridSpan w:val="6"/>
            <w:shd w:val="clear" w:color="auto" w:fill="CCEEFF"/>
          </w:tcPr>
          <w:p>
            <w:pPr>
              <w:ind w:left="120"/>
              <w:spacing w:after="0" w:line="110" w:lineRule="exact"/>
              <w:rPr>
                <w:rFonts w:ascii="Arial" w:cs="Arial" w:eastAsia="Arial" w:hAnsi="Arial"/>
                <w:sz w:val="12"/>
                <w:szCs w:val="12"/>
                <w:b w:val="1"/>
                <w:bCs w:val="1"/>
                <w:color w:val="0000FF"/>
              </w:rPr>
            </w:pPr>
            <w:hyperlink r:id="rId216">
              <w:r>
                <w:rPr>
                  <w:rFonts w:ascii="Arial" w:cs="Arial" w:eastAsia="Arial" w:hAnsi="Arial"/>
                  <w:sz w:val="12"/>
                  <w:szCs w:val="12"/>
                  <w:b w:val="1"/>
                  <w:bCs w:val="1"/>
                  <w:color w:val="0000FF"/>
                </w:rPr>
                <w:t>31, 2015</w:t>
              </w:r>
              <w:r>
                <w:rPr>
                  <w:rFonts w:ascii="Arial" w:cs="Arial" w:eastAsia="Arial" w:hAnsi="Arial"/>
                  <w:sz w:val="12"/>
                  <w:szCs w:val="12"/>
                  <w:color w:val="000000"/>
                </w:rPr>
                <w:t>, filed on April 29, 2016 and incorporated herein by reference.</w:t>
              </w:r>
            </w:hyperlink>
          </w:p>
        </w:tc>
        <w:tc>
          <w:tcPr>
            <w:tcW w:w="440" w:type="dxa"/>
            <w:vAlign w:val="bottom"/>
            <w:tcBorders>
              <w:top w:val="single" w:sz="8" w:color="CCEEFF"/>
            </w:tcBorders>
            <w:gridSpan w:val="3"/>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CCEEFF"/>
            </w:tcBorders>
            <w:shd w:val="clear" w:color="auto" w:fill="0000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tcPr>
          <w:p>
            <w:pPr>
              <w:jc w:val="right"/>
              <w:ind w:right="139"/>
              <w:spacing w:after="0" w:line="110" w:lineRule="exact"/>
              <w:rPr>
                <w:sz w:val="20"/>
                <w:szCs w:val="20"/>
                <w:color w:val="auto"/>
              </w:rPr>
            </w:pPr>
            <w:r>
              <w:rPr>
                <w:rFonts w:ascii="Arial" w:cs="Arial" w:eastAsia="Arial" w:hAnsi="Arial"/>
                <w:sz w:val="12"/>
                <w:szCs w:val="12"/>
                <w:color w:val="auto"/>
              </w:rPr>
              <w:t>10.26</w:t>
            </w:r>
          </w:p>
        </w:tc>
        <w:tc>
          <w:tcPr>
            <w:tcW w:w="5020" w:type="dxa"/>
            <w:vAlign w:val="bottom"/>
          </w:tcPr>
          <w:p>
            <w:pPr>
              <w:ind w:left="180"/>
              <w:spacing w:after="0" w:line="110" w:lineRule="exact"/>
              <w:rPr>
                <w:sz w:val="20"/>
                <w:szCs w:val="20"/>
                <w:color w:val="auto"/>
              </w:rPr>
            </w:pPr>
            <w:r>
              <w:rPr>
                <w:rFonts w:ascii="Arial" w:cs="Arial" w:eastAsia="Arial" w:hAnsi="Arial"/>
                <w:sz w:val="12"/>
                <w:szCs w:val="12"/>
                <w:color w:val="auto"/>
              </w:rPr>
              <w:t>Guarantee &amp; Indemnity dated May 21, 2015, among certain affiliates of the Company in</w:t>
            </w:r>
          </w:p>
        </w:tc>
        <w:tc>
          <w:tcPr>
            <w:tcW w:w="5380" w:type="dxa"/>
            <w:vAlign w:val="bottom"/>
            <w:gridSpan w:val="11"/>
          </w:tcPr>
          <w:p>
            <w:pPr>
              <w:spacing w:after="0" w:line="110" w:lineRule="exact"/>
              <w:rPr>
                <w:rFonts w:ascii="Arial" w:cs="Arial" w:eastAsia="Arial" w:hAnsi="Arial"/>
                <w:sz w:val="12"/>
                <w:szCs w:val="12"/>
                <w:color w:val="auto"/>
              </w:rPr>
            </w:pPr>
            <w:hyperlink r:id="rId212">
              <w:r>
                <w:rPr>
                  <w:rFonts w:ascii="Arial" w:cs="Arial" w:eastAsia="Arial" w:hAnsi="Arial"/>
                  <w:sz w:val="12"/>
                  <w:szCs w:val="12"/>
                  <w:color w:val="auto"/>
                </w:rPr>
                <w:t xml:space="preserve">Filed as </w:t>
              </w:r>
              <w:r>
                <w:rPr>
                  <w:rFonts w:ascii="Arial" w:cs="Arial" w:eastAsia="Arial" w:hAnsi="Arial"/>
                  <w:sz w:val="12"/>
                  <w:szCs w:val="12"/>
                  <w:b w:val="1"/>
                  <w:bCs w:val="1"/>
                  <w:color w:val="0000FF"/>
                </w:rPr>
                <w:t>Exhibit 10.3.2 to the Company’s report on Form 8-K (file no. 1-8625), filed on June 2,</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20" w:type="dxa"/>
            <w:vAlign w:val="bottom"/>
            <w:vMerge w:val="restart"/>
          </w:tcPr>
          <w:p>
            <w:pPr>
              <w:ind w:left="180"/>
              <w:spacing w:after="0" w:line="130" w:lineRule="exact"/>
              <w:rPr>
                <w:sz w:val="20"/>
                <w:szCs w:val="20"/>
                <w:color w:val="auto"/>
              </w:rPr>
            </w:pPr>
            <w:r>
              <w:rPr>
                <w:rFonts w:ascii="Arial" w:cs="Arial" w:eastAsia="Arial" w:hAnsi="Arial"/>
                <w:sz w:val="13"/>
                <w:szCs w:val="13"/>
                <w:color w:val="auto"/>
              </w:rPr>
              <w:t>favor of Westpac New Zealand Limited.</w:t>
            </w:r>
          </w:p>
        </w:tc>
        <w:tc>
          <w:tcPr>
            <w:tcW w:w="460" w:type="dxa"/>
            <w:vAlign w:val="bottom"/>
            <w:gridSpan w:val="2"/>
          </w:tcPr>
          <w:p>
            <w:pPr>
              <w:spacing w:after="0" w:line="20" w:lineRule="exact"/>
              <w:rPr>
                <w:sz w:val="1"/>
                <w:szCs w:val="1"/>
                <w:color w:val="auto"/>
              </w:rPr>
            </w:pPr>
          </w:p>
        </w:tc>
        <w:tc>
          <w:tcPr>
            <w:tcW w:w="4740" w:type="dxa"/>
            <w:vAlign w:val="bottom"/>
            <w:gridSpan w:val="7"/>
            <w:shd w:val="clear" w:color="auto" w:fill="0000FF"/>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tcPr>
          <w:p>
            <w:pPr>
              <w:spacing w:after="0"/>
              <w:rPr>
                <w:sz w:val="9"/>
                <w:szCs w:val="9"/>
                <w:color w:val="auto"/>
              </w:rPr>
            </w:pPr>
          </w:p>
        </w:tc>
        <w:tc>
          <w:tcPr>
            <w:tcW w:w="5020" w:type="dxa"/>
            <w:vAlign w:val="bottom"/>
            <w:vMerge w:val="continue"/>
          </w:tcPr>
          <w:p>
            <w:pPr>
              <w:spacing w:after="0"/>
              <w:rPr>
                <w:sz w:val="9"/>
                <w:szCs w:val="9"/>
                <w:color w:val="auto"/>
              </w:rPr>
            </w:pPr>
          </w:p>
        </w:tc>
        <w:tc>
          <w:tcPr>
            <w:tcW w:w="5200" w:type="dxa"/>
            <w:vAlign w:val="bottom"/>
            <w:gridSpan w:val="9"/>
          </w:tcPr>
          <w:p>
            <w:pPr>
              <w:spacing w:after="0" w:line="110" w:lineRule="exact"/>
              <w:rPr>
                <w:rFonts w:ascii="Arial" w:cs="Arial" w:eastAsia="Arial" w:hAnsi="Arial"/>
                <w:sz w:val="12"/>
                <w:szCs w:val="12"/>
                <w:b w:val="1"/>
                <w:bCs w:val="1"/>
                <w:color w:val="0000FF"/>
              </w:rPr>
            </w:pPr>
            <w:hyperlink r:id="rId212">
              <w:r>
                <w:rPr>
                  <w:rFonts w:ascii="Arial" w:cs="Arial" w:eastAsia="Arial" w:hAnsi="Arial"/>
                  <w:sz w:val="12"/>
                  <w:szCs w:val="12"/>
                  <w:b w:val="1"/>
                  <w:bCs w:val="1"/>
                  <w:color w:val="0000FF"/>
                </w:rPr>
                <w:t>2020</w:t>
              </w:r>
              <w:r>
                <w:rPr>
                  <w:rFonts w:ascii="Arial" w:cs="Arial" w:eastAsia="Arial" w:hAnsi="Arial"/>
                  <w:sz w:val="12"/>
                  <w:szCs w:val="12"/>
                  <w:color w:val="000000"/>
                </w:rPr>
                <w:t>, and incorporated herein by reference.</w:t>
              </w:r>
            </w:hyperlink>
          </w:p>
        </w:tc>
        <w:tc>
          <w:tcPr>
            <w:tcW w:w="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shd w:val="clear" w:color="auto" w:fill="CCEEFF"/>
          </w:tcPr>
          <w:p>
            <w:pPr>
              <w:jc w:val="right"/>
              <w:ind w:right="139"/>
              <w:spacing w:after="0" w:line="110" w:lineRule="exact"/>
              <w:rPr>
                <w:sz w:val="20"/>
                <w:szCs w:val="20"/>
                <w:color w:val="auto"/>
              </w:rPr>
            </w:pPr>
            <w:r>
              <w:rPr>
                <w:rFonts w:ascii="Arial" w:cs="Arial" w:eastAsia="Arial" w:hAnsi="Arial"/>
                <w:sz w:val="12"/>
                <w:szCs w:val="12"/>
                <w:color w:val="auto"/>
              </w:rPr>
              <w:t>10.27</w:t>
            </w:r>
          </w:p>
        </w:tc>
        <w:tc>
          <w:tcPr>
            <w:tcW w:w="5020" w:type="dxa"/>
            <w:vAlign w:val="bottom"/>
            <w:shd w:val="clear" w:color="auto" w:fill="CCEEFF"/>
          </w:tcPr>
          <w:p>
            <w:pPr>
              <w:ind w:left="180"/>
              <w:spacing w:after="0" w:line="110" w:lineRule="exact"/>
              <w:rPr>
                <w:sz w:val="20"/>
                <w:szCs w:val="20"/>
                <w:color w:val="auto"/>
              </w:rPr>
            </w:pPr>
            <w:r>
              <w:rPr>
                <w:rFonts w:ascii="Arial" w:cs="Arial" w:eastAsia="Arial" w:hAnsi="Arial"/>
                <w:sz w:val="12"/>
                <w:szCs w:val="12"/>
                <w:color w:val="auto"/>
              </w:rPr>
              <w:t>Westpac Corporate Credit Facility Extension Letter dated December 20, 2018, among</w:t>
            </w:r>
          </w:p>
        </w:tc>
        <w:tc>
          <w:tcPr>
            <w:tcW w:w="5380" w:type="dxa"/>
            <w:vAlign w:val="bottom"/>
            <w:gridSpan w:val="11"/>
            <w:shd w:val="clear" w:color="auto" w:fill="CCEEFF"/>
          </w:tcPr>
          <w:p>
            <w:pPr>
              <w:spacing w:after="0" w:line="110" w:lineRule="exact"/>
              <w:rPr>
                <w:rFonts w:ascii="Arial" w:cs="Arial" w:eastAsia="Arial" w:hAnsi="Arial"/>
                <w:sz w:val="12"/>
                <w:szCs w:val="12"/>
                <w:color w:val="auto"/>
              </w:rPr>
            </w:pPr>
            <w:hyperlink r:id="rId212">
              <w:r>
                <w:rPr>
                  <w:rFonts w:ascii="Arial" w:cs="Arial" w:eastAsia="Arial" w:hAnsi="Arial"/>
                  <w:sz w:val="12"/>
                  <w:szCs w:val="12"/>
                  <w:color w:val="auto"/>
                </w:rPr>
                <w:t xml:space="preserve">Filed as </w:t>
              </w:r>
              <w:r>
                <w:rPr>
                  <w:rFonts w:ascii="Arial" w:cs="Arial" w:eastAsia="Arial" w:hAnsi="Arial"/>
                  <w:sz w:val="12"/>
                  <w:szCs w:val="12"/>
                  <w:b w:val="1"/>
                  <w:bCs w:val="1"/>
                  <w:color w:val="0000FF"/>
                </w:rPr>
                <w:t>Exhibit 10.3.3 to the Company’s report on Form 8-K (file no. 1-8625), filed on June 2,</w:t>
              </w:r>
            </w:hyperlink>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5480" w:type="dxa"/>
            <w:vAlign w:val="bottom"/>
            <w:tcBorders>
              <w:right w:val="single" w:sz="8" w:color="CCEEFF"/>
            </w:tcBorders>
            <w:gridSpan w:val="3"/>
            <w:shd w:val="clear" w:color="auto" w:fill="CCEEFF"/>
          </w:tcPr>
          <w:p>
            <w:pPr>
              <w:spacing w:after="0" w:line="20" w:lineRule="exact"/>
              <w:rPr>
                <w:sz w:val="1"/>
                <w:szCs w:val="1"/>
                <w:color w:val="auto"/>
              </w:rPr>
            </w:pPr>
          </w:p>
        </w:tc>
        <w:tc>
          <w:tcPr>
            <w:tcW w:w="4740" w:type="dxa"/>
            <w:vAlign w:val="bottom"/>
            <w:gridSpan w:val="7"/>
            <w:shd w:val="clear" w:color="auto" w:fill="0000FF"/>
          </w:tcPr>
          <w:p>
            <w:pPr>
              <w:spacing w:after="0" w:line="20" w:lineRule="exact"/>
              <w:rPr>
                <w:sz w:val="1"/>
                <w:szCs w:val="1"/>
                <w:color w:val="auto"/>
              </w:rPr>
            </w:pPr>
          </w:p>
        </w:tc>
        <w:tc>
          <w:tcPr>
            <w:tcW w:w="180" w:type="dxa"/>
            <w:vAlign w:val="bottom"/>
            <w:gridSpan w:val="2"/>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shd w:val="clear" w:color="auto" w:fill="CCEEFF"/>
          </w:tcPr>
          <w:p>
            <w:pPr>
              <w:spacing w:after="0"/>
              <w:rPr>
                <w:sz w:val="9"/>
                <w:szCs w:val="9"/>
                <w:color w:val="auto"/>
              </w:rPr>
            </w:pPr>
          </w:p>
        </w:tc>
        <w:tc>
          <w:tcPr>
            <w:tcW w:w="10220" w:type="dxa"/>
            <w:vAlign w:val="bottom"/>
            <w:gridSpan w:val="10"/>
            <w:shd w:val="clear" w:color="auto" w:fill="CCEEFF"/>
          </w:tcPr>
          <w:p>
            <w:pPr>
              <w:ind w:left="180"/>
              <w:spacing w:after="0" w:line="110" w:lineRule="exact"/>
              <w:rPr>
                <w:rFonts w:ascii="Arial" w:cs="Arial" w:eastAsia="Arial" w:hAnsi="Arial"/>
                <w:sz w:val="12"/>
                <w:szCs w:val="12"/>
                <w:color w:val="auto"/>
              </w:rPr>
            </w:pPr>
            <w:r>
              <w:rPr>
                <w:rFonts w:ascii="Arial" w:cs="Arial" w:eastAsia="Arial" w:hAnsi="Arial"/>
                <w:sz w:val="12"/>
                <w:szCs w:val="12"/>
                <w:color w:val="auto"/>
              </w:rPr>
              <w:t xml:space="preserve">Westpac New Zealand Limited, Reading Courtenay Central Limited and certain affiliates of </w:t>
            </w:r>
            <w:hyperlink r:id="rId212">
              <w:r>
                <w:rPr>
                  <w:rFonts w:ascii="Arial" w:cs="Arial" w:eastAsia="Arial" w:hAnsi="Arial"/>
                  <w:sz w:val="12"/>
                  <w:szCs w:val="12"/>
                  <w:b w:val="1"/>
                  <w:bCs w:val="1"/>
                  <w:color w:val="0000FF"/>
                </w:rPr>
                <w:t>2020</w:t>
              </w:r>
              <w:r>
                <w:rPr>
                  <w:rFonts w:ascii="Arial" w:cs="Arial" w:eastAsia="Arial" w:hAnsi="Arial"/>
                  <w:sz w:val="12"/>
                  <w:szCs w:val="12"/>
                  <w:color w:val="auto"/>
                </w:rPr>
                <w:t>, and incorporated herein by reference.</w:t>
              </w:r>
            </w:hyperlink>
          </w:p>
        </w:tc>
        <w:tc>
          <w:tcPr>
            <w:tcW w:w="1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80" w:type="dxa"/>
            <w:vAlign w:val="bottom"/>
            <w:tcBorders>
              <w:top w:val="single" w:sz="8" w:color="CCEEFF"/>
            </w:tcBorders>
            <w:shd w:val="clear" w:color="auto" w:fill="CCEEFF"/>
          </w:tcPr>
          <w:p>
            <w:pPr>
              <w:spacing w:after="0"/>
              <w:rPr>
                <w:sz w:val="10"/>
                <w:szCs w:val="10"/>
                <w:color w:val="auto"/>
              </w:rPr>
            </w:pPr>
          </w:p>
        </w:tc>
        <w:tc>
          <w:tcPr>
            <w:tcW w:w="5020" w:type="dxa"/>
            <w:vAlign w:val="bottom"/>
            <w:tcBorders>
              <w:top w:val="single" w:sz="8" w:color="CCEEFF"/>
            </w:tcBorders>
            <w:shd w:val="clear" w:color="auto" w:fill="CCEEFF"/>
          </w:tcPr>
          <w:p>
            <w:pPr>
              <w:ind w:left="180"/>
              <w:spacing w:after="0" w:line="121" w:lineRule="exact"/>
              <w:rPr>
                <w:sz w:val="20"/>
                <w:szCs w:val="20"/>
                <w:color w:val="auto"/>
              </w:rPr>
            </w:pPr>
            <w:r>
              <w:rPr>
                <w:rFonts w:ascii="Arial" w:cs="Arial" w:eastAsia="Arial" w:hAnsi="Arial"/>
                <w:sz w:val="13"/>
                <w:szCs w:val="13"/>
                <w:color w:val="auto"/>
              </w:rPr>
              <w:t>the Company.</w:t>
            </w:r>
          </w:p>
        </w:tc>
        <w:tc>
          <w:tcPr>
            <w:tcW w:w="26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CCEEFF"/>
              <w:right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right w:val="single" w:sz="8" w:color="CCEEFF"/>
            </w:tcBorders>
            <w:shd w:val="clear" w:color="auto" w:fill="CCEEFF"/>
          </w:tcPr>
          <w:p>
            <w:pPr>
              <w:spacing w:after="0"/>
              <w:rPr>
                <w:sz w:val="10"/>
                <w:szCs w:val="10"/>
                <w:color w:val="auto"/>
              </w:rPr>
            </w:pPr>
          </w:p>
        </w:tc>
        <w:tc>
          <w:tcPr>
            <w:tcW w:w="35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80" w:type="dxa"/>
            <w:vAlign w:val="bottom"/>
          </w:tcPr>
          <w:p>
            <w:pPr>
              <w:jc w:val="right"/>
              <w:ind w:right="139"/>
              <w:spacing w:after="0" w:line="119" w:lineRule="exact"/>
              <w:rPr>
                <w:sz w:val="20"/>
                <w:szCs w:val="20"/>
                <w:color w:val="auto"/>
              </w:rPr>
            </w:pPr>
            <w:r>
              <w:rPr>
                <w:rFonts w:ascii="Arial" w:cs="Arial" w:eastAsia="Arial" w:hAnsi="Arial"/>
                <w:sz w:val="13"/>
                <w:szCs w:val="13"/>
                <w:color w:val="auto"/>
              </w:rPr>
              <w:t>10.28</w:t>
            </w:r>
          </w:p>
        </w:tc>
        <w:tc>
          <w:tcPr>
            <w:tcW w:w="5020" w:type="dxa"/>
            <w:vAlign w:val="bottom"/>
          </w:tcPr>
          <w:p>
            <w:pPr>
              <w:ind w:left="180"/>
              <w:spacing w:after="0" w:line="119" w:lineRule="exact"/>
              <w:rPr>
                <w:sz w:val="20"/>
                <w:szCs w:val="20"/>
                <w:color w:val="auto"/>
              </w:rPr>
            </w:pPr>
            <w:r>
              <w:rPr>
                <w:rFonts w:ascii="Arial" w:cs="Arial" w:eastAsia="Arial" w:hAnsi="Arial"/>
                <w:sz w:val="13"/>
                <w:szCs w:val="13"/>
                <w:color w:val="auto"/>
              </w:rPr>
              <w:t>Letter of Variation dated July 27, 2020 between Westpac New Zealand Limited and</w:t>
            </w:r>
          </w:p>
        </w:tc>
        <w:tc>
          <w:tcPr>
            <w:tcW w:w="860" w:type="dxa"/>
            <w:vAlign w:val="bottom"/>
            <w:gridSpan w:val="4"/>
          </w:tcPr>
          <w:p>
            <w:pPr>
              <w:spacing w:after="0" w:line="119" w:lineRule="exact"/>
              <w:rPr>
                <w:rFonts w:ascii="Arial" w:cs="Arial" w:eastAsia="Arial" w:hAnsi="Arial"/>
                <w:sz w:val="13"/>
                <w:szCs w:val="13"/>
                <w:color w:val="auto"/>
                <w:w w:val="90"/>
              </w:rPr>
            </w:pPr>
            <w:hyperlink r:id="rId213">
              <w:r>
                <w:rPr>
                  <w:rFonts w:ascii="Arial" w:cs="Arial" w:eastAsia="Arial" w:hAnsi="Arial"/>
                  <w:sz w:val="13"/>
                  <w:szCs w:val="13"/>
                  <w:color w:val="auto"/>
                  <w:w w:val="90"/>
                </w:rPr>
                <w:t xml:space="preserve">Filed as </w:t>
              </w:r>
              <w:r>
                <w:rPr>
                  <w:rFonts w:ascii="Arial" w:cs="Arial" w:eastAsia="Arial" w:hAnsi="Arial"/>
                  <w:sz w:val="13"/>
                  <w:szCs w:val="13"/>
                  <w:b w:val="1"/>
                  <w:bCs w:val="1"/>
                  <w:color w:val="0000FF"/>
                  <w:w w:val="90"/>
                </w:rPr>
                <w:t>Exhibit</w:t>
              </w:r>
            </w:hyperlink>
          </w:p>
        </w:tc>
        <w:tc>
          <w:tcPr>
            <w:tcW w:w="4520" w:type="dxa"/>
            <w:vAlign w:val="bottom"/>
            <w:gridSpan w:val="7"/>
          </w:tcPr>
          <w:p>
            <w:pPr>
              <w:ind w:left="20"/>
              <w:spacing w:after="0" w:line="119" w:lineRule="exact"/>
              <w:rPr>
                <w:rFonts w:ascii="Arial" w:cs="Arial" w:eastAsia="Arial" w:hAnsi="Arial"/>
                <w:sz w:val="13"/>
                <w:szCs w:val="13"/>
                <w:b w:val="1"/>
                <w:bCs w:val="1"/>
                <w:color w:val="0000FF"/>
                <w:w w:val="95"/>
              </w:rPr>
            </w:pPr>
            <w:hyperlink r:id="rId213">
              <w:r>
                <w:rPr>
                  <w:rFonts w:ascii="Arial" w:cs="Arial" w:eastAsia="Arial" w:hAnsi="Arial"/>
                  <w:sz w:val="13"/>
                  <w:szCs w:val="13"/>
                  <w:b w:val="1"/>
                  <w:bCs w:val="1"/>
                  <w:color w:val="0000FF"/>
                  <w:w w:val="95"/>
                </w:rPr>
                <w:t>10.1 to the Company’s Quarterly Report on Form 10-Q for the quarter ended</w:t>
              </w:r>
            </w:hyperlink>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5020" w:type="dxa"/>
            <w:vAlign w:val="bottom"/>
          </w:tcPr>
          <w:p>
            <w:pPr>
              <w:ind w:left="180"/>
              <w:spacing w:after="0" w:line="110" w:lineRule="exact"/>
              <w:rPr>
                <w:sz w:val="20"/>
                <w:szCs w:val="20"/>
                <w:color w:val="auto"/>
              </w:rPr>
            </w:pPr>
            <w:r>
              <w:rPr>
                <w:rFonts w:ascii="Arial" w:cs="Arial" w:eastAsia="Arial" w:hAnsi="Arial"/>
                <w:sz w:val="12"/>
                <w:szCs w:val="12"/>
                <w:color w:val="auto"/>
              </w:rPr>
              <w:t>Reading Courtenay Central Limited</w:t>
            </w:r>
          </w:p>
        </w:tc>
        <w:tc>
          <w:tcPr>
            <w:tcW w:w="460" w:type="dxa"/>
            <w:vAlign w:val="bottom"/>
            <w:gridSpan w:val="2"/>
          </w:tcPr>
          <w:p>
            <w:pPr>
              <w:spacing w:after="0" w:line="110" w:lineRule="exact"/>
              <w:rPr>
                <w:rFonts w:ascii="Arial" w:cs="Arial" w:eastAsia="Arial" w:hAnsi="Arial"/>
                <w:sz w:val="12"/>
                <w:szCs w:val="12"/>
                <w:b w:val="1"/>
                <w:bCs w:val="1"/>
                <w:color w:val="0000FF"/>
                <w:w w:val="87"/>
              </w:rPr>
            </w:pPr>
            <w:hyperlink r:id="rId213">
              <w:r>
                <w:rPr>
                  <w:rFonts w:ascii="Arial" w:cs="Arial" w:eastAsia="Arial" w:hAnsi="Arial"/>
                  <w:sz w:val="12"/>
                  <w:szCs w:val="12"/>
                  <w:b w:val="1"/>
                  <w:bCs w:val="1"/>
                  <w:color w:val="0000FF"/>
                  <w:w w:val="87"/>
                </w:rPr>
                <w:t>June 30,</w:t>
              </w:r>
            </w:hyperlink>
          </w:p>
        </w:tc>
        <w:tc>
          <w:tcPr>
            <w:tcW w:w="4760" w:type="dxa"/>
            <w:vAlign w:val="bottom"/>
            <w:tcBorders>
              <w:top w:val="single" w:sz="8" w:color="0000FF"/>
            </w:tcBorders>
            <w:gridSpan w:val="8"/>
          </w:tcPr>
          <w:p>
            <w:pPr>
              <w:ind w:left="20"/>
              <w:spacing w:after="0" w:line="110" w:lineRule="exact"/>
              <w:rPr>
                <w:rFonts w:ascii="Arial" w:cs="Arial" w:eastAsia="Arial" w:hAnsi="Arial"/>
                <w:sz w:val="12"/>
                <w:szCs w:val="12"/>
                <w:b w:val="1"/>
                <w:bCs w:val="1"/>
                <w:color w:val="0000FF"/>
              </w:rPr>
            </w:pPr>
            <w:hyperlink r:id="rId213">
              <w:r>
                <w:rPr>
                  <w:rFonts w:ascii="Arial" w:cs="Arial" w:eastAsia="Arial" w:hAnsi="Arial"/>
                  <w:sz w:val="12"/>
                  <w:szCs w:val="12"/>
                  <w:b w:val="1"/>
                  <w:bCs w:val="1"/>
                  <w:color w:val="0000FF"/>
                </w:rPr>
                <w:t>2020</w:t>
              </w:r>
              <w:r>
                <w:rPr>
                  <w:rFonts w:ascii="Arial" w:cs="Arial" w:eastAsia="Arial" w:hAnsi="Arial"/>
                  <w:sz w:val="12"/>
                  <w:szCs w:val="12"/>
                  <w:color w:val="000000"/>
                </w:rPr>
                <w:t>, and incorporated herein by reference.</w:t>
              </w:r>
            </w:hyperlink>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shd w:val="clear" w:color="auto" w:fill="CCEEFF"/>
          </w:tcPr>
          <w:p>
            <w:pPr>
              <w:jc w:val="right"/>
              <w:ind w:right="139"/>
              <w:spacing w:after="0" w:line="110" w:lineRule="exact"/>
              <w:rPr>
                <w:sz w:val="20"/>
                <w:szCs w:val="20"/>
                <w:color w:val="auto"/>
              </w:rPr>
            </w:pPr>
            <w:r>
              <w:rPr>
                <w:rFonts w:ascii="Arial" w:cs="Arial" w:eastAsia="Arial" w:hAnsi="Arial"/>
                <w:sz w:val="12"/>
                <w:szCs w:val="12"/>
                <w:color w:val="auto"/>
              </w:rPr>
              <w:t>10.29</w:t>
            </w:r>
          </w:p>
        </w:tc>
        <w:tc>
          <w:tcPr>
            <w:tcW w:w="5020" w:type="dxa"/>
            <w:vAlign w:val="bottom"/>
            <w:shd w:val="clear" w:color="auto" w:fill="CCEEFF"/>
          </w:tcPr>
          <w:p>
            <w:pPr>
              <w:ind w:left="180"/>
              <w:spacing w:after="0" w:line="110" w:lineRule="exact"/>
              <w:rPr>
                <w:sz w:val="20"/>
                <w:szCs w:val="20"/>
                <w:color w:val="auto"/>
              </w:rPr>
            </w:pPr>
            <w:r>
              <w:rPr>
                <w:rFonts w:ascii="Arial" w:cs="Arial" w:eastAsia="Arial" w:hAnsi="Arial"/>
                <w:sz w:val="12"/>
                <w:szCs w:val="12"/>
                <w:color w:val="auto"/>
              </w:rPr>
              <w:t>Letter of Variation dated September 15, 2020 between Westpac New Zealand Limited and</w:t>
            </w:r>
          </w:p>
        </w:tc>
        <w:tc>
          <w:tcPr>
            <w:tcW w:w="860" w:type="dxa"/>
            <w:vAlign w:val="bottom"/>
            <w:gridSpan w:val="4"/>
            <w:shd w:val="clear" w:color="auto" w:fill="CCEEFF"/>
          </w:tcPr>
          <w:p>
            <w:pPr>
              <w:spacing w:after="0" w:line="110" w:lineRule="exact"/>
              <w:rPr>
                <w:rFonts w:ascii="Arial" w:cs="Arial" w:eastAsia="Arial" w:hAnsi="Arial"/>
                <w:sz w:val="12"/>
                <w:szCs w:val="12"/>
                <w:color w:val="auto"/>
                <w:w w:val="98"/>
              </w:rPr>
            </w:pPr>
            <w:hyperlink r:id="rId217">
              <w:r>
                <w:rPr>
                  <w:rFonts w:ascii="Arial" w:cs="Arial" w:eastAsia="Arial" w:hAnsi="Arial"/>
                  <w:sz w:val="12"/>
                  <w:szCs w:val="12"/>
                  <w:color w:val="auto"/>
                  <w:w w:val="98"/>
                </w:rPr>
                <w:t xml:space="preserve">Filed as </w:t>
              </w:r>
              <w:r>
                <w:rPr>
                  <w:rFonts w:ascii="Arial" w:cs="Arial" w:eastAsia="Arial" w:hAnsi="Arial"/>
                  <w:sz w:val="12"/>
                  <w:szCs w:val="12"/>
                  <w:b w:val="1"/>
                  <w:bCs w:val="1"/>
                  <w:color w:val="0000FF"/>
                  <w:w w:val="98"/>
                </w:rPr>
                <w:t>Exhibit</w:t>
              </w:r>
            </w:hyperlink>
          </w:p>
        </w:tc>
        <w:tc>
          <w:tcPr>
            <w:tcW w:w="4520" w:type="dxa"/>
            <w:vAlign w:val="bottom"/>
            <w:gridSpan w:val="7"/>
            <w:shd w:val="clear" w:color="auto" w:fill="CCEEFF"/>
          </w:tcPr>
          <w:p>
            <w:pPr>
              <w:ind w:left="20"/>
              <w:spacing w:after="0" w:line="110" w:lineRule="exact"/>
              <w:rPr>
                <w:rFonts w:ascii="Arial" w:cs="Arial" w:eastAsia="Arial" w:hAnsi="Arial"/>
                <w:sz w:val="12"/>
                <w:szCs w:val="12"/>
                <w:b w:val="1"/>
                <w:bCs w:val="1"/>
                <w:color w:val="0000FF"/>
              </w:rPr>
            </w:pPr>
            <w:hyperlink r:id="rId217">
              <w:r>
                <w:rPr>
                  <w:rFonts w:ascii="Arial" w:cs="Arial" w:eastAsia="Arial" w:hAnsi="Arial"/>
                  <w:sz w:val="12"/>
                  <w:szCs w:val="12"/>
                  <w:b w:val="1"/>
                  <w:bCs w:val="1"/>
                  <w:color w:val="0000FF"/>
                </w:rPr>
                <w:t>10.1 to the Company’s Quarterly Report on Form 10-Q for the quarter ended</w:t>
              </w:r>
            </w:hyperlink>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5020" w:type="dxa"/>
            <w:vAlign w:val="bottom"/>
            <w:vMerge w:val="restart"/>
            <w:shd w:val="clear" w:color="auto" w:fill="CCEEFF"/>
          </w:tcPr>
          <w:p>
            <w:pPr>
              <w:ind w:left="180"/>
              <w:spacing w:after="0" w:line="130" w:lineRule="exact"/>
              <w:rPr>
                <w:sz w:val="20"/>
                <w:szCs w:val="20"/>
                <w:color w:val="auto"/>
              </w:rPr>
            </w:pPr>
            <w:r>
              <w:rPr>
                <w:rFonts w:ascii="Arial" w:cs="Arial" w:eastAsia="Arial" w:hAnsi="Arial"/>
                <w:sz w:val="13"/>
                <w:szCs w:val="13"/>
                <w:color w:val="auto"/>
              </w:rPr>
              <w:t>Reading Courtenay Central Limited, filed herewith.</w:t>
            </w:r>
          </w:p>
        </w:tc>
        <w:tc>
          <w:tcPr>
            <w:tcW w:w="460" w:type="dxa"/>
            <w:vAlign w:val="bottom"/>
            <w:tcBorders>
              <w:right w:val="single" w:sz="8" w:color="CCEEFF"/>
            </w:tcBorders>
            <w:gridSpan w:val="2"/>
            <w:shd w:val="clear" w:color="auto" w:fill="CCEEFF"/>
          </w:tcPr>
          <w:p>
            <w:pPr>
              <w:spacing w:after="0" w:line="20" w:lineRule="exact"/>
              <w:rPr>
                <w:sz w:val="1"/>
                <w:szCs w:val="1"/>
                <w:color w:val="auto"/>
              </w:rPr>
            </w:pPr>
          </w:p>
        </w:tc>
        <w:tc>
          <w:tcPr>
            <w:tcW w:w="4760" w:type="dxa"/>
            <w:vAlign w:val="bottom"/>
            <w:gridSpan w:val="8"/>
            <w:shd w:val="clear" w:color="auto" w:fill="0000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shd w:val="clear" w:color="auto" w:fill="CCEEFF"/>
          </w:tcPr>
          <w:p>
            <w:pPr>
              <w:spacing w:after="0"/>
              <w:rPr>
                <w:sz w:val="9"/>
                <w:szCs w:val="9"/>
                <w:color w:val="auto"/>
              </w:rPr>
            </w:pPr>
          </w:p>
        </w:tc>
        <w:tc>
          <w:tcPr>
            <w:tcW w:w="5020" w:type="dxa"/>
            <w:vAlign w:val="bottom"/>
            <w:vMerge w:val="continue"/>
            <w:shd w:val="clear" w:color="auto" w:fill="CCEEFF"/>
          </w:tcPr>
          <w:p>
            <w:pPr>
              <w:spacing w:after="0"/>
              <w:rPr>
                <w:sz w:val="9"/>
                <w:szCs w:val="9"/>
                <w:color w:val="auto"/>
              </w:rPr>
            </w:pPr>
          </w:p>
        </w:tc>
        <w:tc>
          <w:tcPr>
            <w:tcW w:w="5220" w:type="dxa"/>
            <w:vAlign w:val="bottom"/>
            <w:gridSpan w:val="10"/>
            <w:shd w:val="clear" w:color="auto" w:fill="CCEEFF"/>
          </w:tcPr>
          <w:p>
            <w:pPr>
              <w:spacing w:after="0" w:line="110" w:lineRule="exact"/>
              <w:rPr>
                <w:rFonts w:ascii="Arial" w:cs="Arial" w:eastAsia="Arial" w:hAnsi="Arial"/>
                <w:sz w:val="12"/>
                <w:szCs w:val="12"/>
                <w:b w:val="1"/>
                <w:bCs w:val="1"/>
                <w:color w:val="0000FF"/>
              </w:rPr>
            </w:pPr>
            <w:hyperlink r:id="rId217">
              <w:r>
                <w:rPr>
                  <w:rFonts w:ascii="Arial" w:cs="Arial" w:eastAsia="Arial" w:hAnsi="Arial"/>
                  <w:sz w:val="12"/>
                  <w:szCs w:val="12"/>
                  <w:b w:val="1"/>
                  <w:bCs w:val="1"/>
                  <w:color w:val="0000FF"/>
                </w:rPr>
                <w:t>September 30, 2020</w:t>
              </w:r>
              <w:r>
                <w:rPr>
                  <w:rFonts w:ascii="Arial" w:cs="Arial" w:eastAsia="Arial" w:hAnsi="Arial"/>
                  <w:sz w:val="12"/>
                  <w:szCs w:val="12"/>
                  <w:color w:val="000000"/>
                </w:rPr>
                <w:t>, and incorporated herein by reference.in by reference.</w:t>
              </w:r>
            </w:hyperlink>
          </w:p>
        </w:tc>
        <w:tc>
          <w:tcPr>
            <w:tcW w:w="1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tcPr>
          <w:p>
            <w:pPr>
              <w:jc w:val="right"/>
              <w:ind w:right="139"/>
              <w:spacing w:after="0" w:line="110" w:lineRule="exact"/>
              <w:rPr>
                <w:sz w:val="20"/>
                <w:szCs w:val="20"/>
                <w:color w:val="auto"/>
              </w:rPr>
            </w:pPr>
            <w:r>
              <w:rPr>
                <w:rFonts w:ascii="Arial" w:cs="Arial" w:eastAsia="Arial" w:hAnsi="Arial"/>
                <w:sz w:val="12"/>
                <w:szCs w:val="12"/>
                <w:color w:val="auto"/>
              </w:rPr>
              <w:t>10.30</w:t>
            </w:r>
          </w:p>
        </w:tc>
        <w:tc>
          <w:tcPr>
            <w:tcW w:w="5020" w:type="dxa"/>
            <w:vAlign w:val="bottom"/>
          </w:tcPr>
          <w:p>
            <w:pPr>
              <w:ind w:left="180"/>
              <w:spacing w:after="0" w:line="110" w:lineRule="exact"/>
              <w:rPr>
                <w:sz w:val="20"/>
                <w:szCs w:val="20"/>
                <w:color w:val="auto"/>
              </w:rPr>
            </w:pPr>
            <w:r>
              <w:rPr>
                <w:rFonts w:ascii="Arial" w:cs="Arial" w:eastAsia="Arial" w:hAnsi="Arial"/>
                <w:sz w:val="12"/>
                <w:szCs w:val="12"/>
                <w:color w:val="auto"/>
              </w:rPr>
              <w:t>Letter of Variation dated April 29, 2021 between Westpac New Zealand Limited and</w:t>
            </w:r>
          </w:p>
        </w:tc>
        <w:tc>
          <w:tcPr>
            <w:tcW w:w="860" w:type="dxa"/>
            <w:vAlign w:val="bottom"/>
            <w:gridSpan w:val="4"/>
          </w:tcPr>
          <w:p>
            <w:pPr>
              <w:spacing w:after="0" w:line="110" w:lineRule="exact"/>
              <w:rPr>
                <w:rFonts w:ascii="Arial" w:cs="Arial" w:eastAsia="Arial" w:hAnsi="Arial"/>
                <w:sz w:val="12"/>
                <w:szCs w:val="12"/>
                <w:color w:val="auto"/>
                <w:w w:val="98"/>
              </w:rPr>
            </w:pPr>
            <w:hyperlink r:id="rId218">
              <w:r>
                <w:rPr>
                  <w:rFonts w:ascii="Arial" w:cs="Arial" w:eastAsia="Arial" w:hAnsi="Arial"/>
                  <w:sz w:val="12"/>
                  <w:szCs w:val="12"/>
                  <w:color w:val="auto"/>
                  <w:w w:val="98"/>
                </w:rPr>
                <w:t xml:space="preserve">Filed as </w:t>
              </w:r>
              <w:r>
                <w:rPr>
                  <w:rFonts w:ascii="Arial" w:cs="Arial" w:eastAsia="Arial" w:hAnsi="Arial"/>
                  <w:sz w:val="12"/>
                  <w:szCs w:val="12"/>
                  <w:b w:val="1"/>
                  <w:bCs w:val="1"/>
                  <w:color w:val="0000FF"/>
                  <w:w w:val="98"/>
                </w:rPr>
                <w:t>Exhibit</w:t>
              </w:r>
            </w:hyperlink>
          </w:p>
        </w:tc>
        <w:tc>
          <w:tcPr>
            <w:tcW w:w="4520" w:type="dxa"/>
            <w:vAlign w:val="bottom"/>
            <w:gridSpan w:val="7"/>
          </w:tcPr>
          <w:p>
            <w:pPr>
              <w:ind w:left="20"/>
              <w:spacing w:after="0" w:line="110" w:lineRule="exact"/>
              <w:rPr>
                <w:rFonts w:ascii="Arial" w:cs="Arial" w:eastAsia="Arial" w:hAnsi="Arial"/>
                <w:sz w:val="12"/>
                <w:szCs w:val="12"/>
                <w:b w:val="1"/>
                <w:bCs w:val="1"/>
                <w:color w:val="0000FF"/>
              </w:rPr>
            </w:pPr>
            <w:hyperlink r:id="rId218">
              <w:r>
                <w:rPr>
                  <w:rFonts w:ascii="Arial" w:cs="Arial" w:eastAsia="Arial" w:hAnsi="Arial"/>
                  <w:sz w:val="12"/>
                  <w:szCs w:val="12"/>
                  <w:b w:val="1"/>
                  <w:bCs w:val="1"/>
                  <w:color w:val="0000FF"/>
                </w:rPr>
                <w:t>10.1 to the Company’s Quarterly Report on Form 10-Q for the quarter ended</w:t>
              </w:r>
            </w:hyperlink>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5020" w:type="dxa"/>
            <w:vAlign w:val="bottom"/>
          </w:tcPr>
          <w:p>
            <w:pPr>
              <w:ind w:left="180"/>
              <w:spacing w:after="0" w:line="110" w:lineRule="exact"/>
              <w:rPr>
                <w:sz w:val="20"/>
                <w:szCs w:val="20"/>
                <w:color w:val="auto"/>
              </w:rPr>
            </w:pPr>
            <w:r>
              <w:rPr>
                <w:rFonts w:ascii="Arial" w:cs="Arial" w:eastAsia="Arial" w:hAnsi="Arial"/>
                <w:sz w:val="12"/>
                <w:szCs w:val="12"/>
                <w:color w:val="auto"/>
              </w:rPr>
              <w:t>Reading Courtenay Central Limited, filed herewith.</w:t>
            </w:r>
          </w:p>
        </w:tc>
        <w:tc>
          <w:tcPr>
            <w:tcW w:w="460" w:type="dxa"/>
            <w:vAlign w:val="bottom"/>
            <w:gridSpan w:val="2"/>
          </w:tcPr>
          <w:p>
            <w:pPr>
              <w:spacing w:after="0" w:line="110" w:lineRule="exact"/>
              <w:rPr>
                <w:rFonts w:ascii="Arial" w:cs="Arial" w:eastAsia="Arial" w:hAnsi="Arial"/>
                <w:sz w:val="12"/>
                <w:szCs w:val="12"/>
                <w:b w:val="1"/>
                <w:bCs w:val="1"/>
                <w:color w:val="0000FF"/>
              </w:rPr>
            </w:pPr>
            <w:hyperlink r:id="rId218">
              <w:r>
                <w:rPr>
                  <w:rFonts w:ascii="Arial" w:cs="Arial" w:eastAsia="Arial" w:hAnsi="Arial"/>
                  <w:sz w:val="12"/>
                  <w:szCs w:val="12"/>
                  <w:b w:val="1"/>
                  <w:bCs w:val="1"/>
                  <w:color w:val="0000FF"/>
                </w:rPr>
                <w:t>March</w:t>
              </w:r>
            </w:hyperlink>
          </w:p>
        </w:tc>
        <w:tc>
          <w:tcPr>
            <w:tcW w:w="4760" w:type="dxa"/>
            <w:vAlign w:val="bottom"/>
            <w:tcBorders>
              <w:top w:val="single" w:sz="8" w:color="0000FF"/>
            </w:tcBorders>
            <w:gridSpan w:val="8"/>
          </w:tcPr>
          <w:p>
            <w:pPr>
              <w:spacing w:after="0" w:line="110" w:lineRule="exact"/>
              <w:rPr>
                <w:rFonts w:ascii="Arial" w:cs="Arial" w:eastAsia="Arial" w:hAnsi="Arial"/>
                <w:sz w:val="12"/>
                <w:szCs w:val="12"/>
                <w:b w:val="1"/>
                <w:bCs w:val="1"/>
                <w:color w:val="0000FF"/>
              </w:rPr>
            </w:pPr>
            <w:hyperlink r:id="rId218">
              <w:r>
                <w:rPr>
                  <w:rFonts w:ascii="Arial" w:cs="Arial" w:eastAsia="Arial" w:hAnsi="Arial"/>
                  <w:sz w:val="12"/>
                  <w:szCs w:val="12"/>
                  <w:b w:val="1"/>
                  <w:bCs w:val="1"/>
                  <w:color w:val="0000FF"/>
                </w:rPr>
                <w:t>31, 2021</w:t>
              </w:r>
              <w:r>
                <w:rPr>
                  <w:rFonts w:ascii="Arial" w:cs="Arial" w:eastAsia="Arial" w:hAnsi="Arial"/>
                  <w:sz w:val="12"/>
                  <w:szCs w:val="12"/>
                  <w:color w:val="000000"/>
                </w:rPr>
                <w:t>, and incorporated herein by reference.in by reference.</w:t>
              </w:r>
            </w:hyperlink>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shd w:val="clear" w:color="auto" w:fill="CCEEFF"/>
          </w:tcPr>
          <w:p>
            <w:pPr>
              <w:jc w:val="right"/>
              <w:ind w:right="139"/>
              <w:spacing w:after="0" w:line="110" w:lineRule="exact"/>
              <w:rPr>
                <w:sz w:val="20"/>
                <w:szCs w:val="20"/>
                <w:color w:val="auto"/>
              </w:rPr>
            </w:pPr>
            <w:r>
              <w:rPr>
                <w:rFonts w:ascii="Arial" w:cs="Arial" w:eastAsia="Arial" w:hAnsi="Arial"/>
                <w:sz w:val="12"/>
                <w:szCs w:val="12"/>
                <w:color w:val="auto"/>
              </w:rPr>
              <w:t>10.31</w:t>
            </w:r>
          </w:p>
        </w:tc>
        <w:tc>
          <w:tcPr>
            <w:tcW w:w="5020" w:type="dxa"/>
            <w:vAlign w:val="bottom"/>
            <w:shd w:val="clear" w:color="auto" w:fill="CCEEFF"/>
          </w:tcPr>
          <w:p>
            <w:pPr>
              <w:ind w:left="180"/>
              <w:spacing w:after="0" w:line="110" w:lineRule="exact"/>
              <w:rPr>
                <w:sz w:val="20"/>
                <w:szCs w:val="20"/>
                <w:color w:val="auto"/>
              </w:rPr>
            </w:pPr>
            <w:r>
              <w:rPr>
                <w:rFonts w:ascii="Arial" w:cs="Arial" w:eastAsia="Arial" w:hAnsi="Arial"/>
                <w:sz w:val="12"/>
                <w:szCs w:val="12"/>
                <w:color w:val="auto"/>
              </w:rPr>
              <w:t>Second Amended and Restated Credit Agreement dated March 6, 2020, among</w:t>
            </w:r>
          </w:p>
        </w:tc>
        <w:tc>
          <w:tcPr>
            <w:tcW w:w="5380" w:type="dxa"/>
            <w:vAlign w:val="bottom"/>
            <w:gridSpan w:val="11"/>
            <w:shd w:val="clear" w:color="auto" w:fill="CCEEFF"/>
          </w:tcPr>
          <w:p>
            <w:pPr>
              <w:spacing w:after="0" w:line="110" w:lineRule="exact"/>
              <w:rPr>
                <w:rFonts w:ascii="Arial" w:cs="Arial" w:eastAsia="Arial" w:hAnsi="Arial"/>
                <w:sz w:val="12"/>
                <w:szCs w:val="12"/>
                <w:color w:val="auto"/>
              </w:rPr>
            </w:pPr>
            <w:hyperlink r:id="rId212">
              <w:r>
                <w:rPr>
                  <w:rFonts w:ascii="Arial" w:cs="Arial" w:eastAsia="Arial" w:hAnsi="Arial"/>
                  <w:sz w:val="12"/>
                  <w:szCs w:val="12"/>
                  <w:color w:val="auto"/>
                </w:rPr>
                <w:t xml:space="preserve">Filed as </w:t>
              </w:r>
              <w:r>
                <w:rPr>
                  <w:rFonts w:ascii="Arial" w:cs="Arial" w:eastAsia="Arial" w:hAnsi="Arial"/>
                  <w:sz w:val="12"/>
                  <w:szCs w:val="12"/>
                  <w:b w:val="1"/>
                  <w:bCs w:val="1"/>
                  <w:color w:val="0000FF"/>
                </w:rPr>
                <w:t>Exhibit 10.2.1 to the Company’s report on Form 8-K (file no. 1-8625), filed on June 2,</w:t>
              </w:r>
            </w:hyperlink>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5020" w:type="dxa"/>
            <w:vAlign w:val="bottom"/>
            <w:vMerge w:val="restart"/>
            <w:shd w:val="clear" w:color="auto" w:fill="CCEEFF"/>
          </w:tcPr>
          <w:p>
            <w:pPr>
              <w:ind w:left="180"/>
              <w:spacing w:after="0" w:line="130" w:lineRule="exact"/>
              <w:rPr>
                <w:sz w:val="20"/>
                <w:szCs w:val="20"/>
                <w:color w:val="auto"/>
              </w:rPr>
            </w:pPr>
            <w:r>
              <w:rPr>
                <w:rFonts w:ascii="Arial" w:cs="Arial" w:eastAsia="Arial" w:hAnsi="Arial"/>
                <w:sz w:val="13"/>
                <w:szCs w:val="13"/>
                <w:color w:val="auto"/>
                <w:w w:val="95"/>
              </w:rPr>
              <w:t>Consolidated Amusement Holdings, LLC, certain affiliates of the Company, the financial</w:t>
            </w:r>
          </w:p>
        </w:tc>
        <w:tc>
          <w:tcPr>
            <w:tcW w:w="460" w:type="dxa"/>
            <w:vAlign w:val="bottom"/>
            <w:tcBorders>
              <w:right w:val="single" w:sz="8" w:color="CCEEFF"/>
            </w:tcBorders>
            <w:gridSpan w:val="2"/>
            <w:shd w:val="clear" w:color="auto" w:fill="CCEEFF"/>
          </w:tcPr>
          <w:p>
            <w:pPr>
              <w:spacing w:after="0" w:line="20" w:lineRule="exact"/>
              <w:rPr>
                <w:sz w:val="1"/>
                <w:szCs w:val="1"/>
                <w:color w:val="auto"/>
              </w:rPr>
            </w:pPr>
          </w:p>
        </w:tc>
        <w:tc>
          <w:tcPr>
            <w:tcW w:w="4740" w:type="dxa"/>
            <w:vAlign w:val="bottom"/>
            <w:gridSpan w:val="7"/>
            <w:shd w:val="clear" w:color="auto" w:fill="0000FF"/>
          </w:tcPr>
          <w:p>
            <w:pPr>
              <w:spacing w:after="0" w:line="20" w:lineRule="exact"/>
              <w:rPr>
                <w:sz w:val="1"/>
                <w:szCs w:val="1"/>
                <w:color w:val="auto"/>
              </w:rPr>
            </w:pPr>
          </w:p>
        </w:tc>
        <w:tc>
          <w:tcPr>
            <w:tcW w:w="180" w:type="dxa"/>
            <w:vAlign w:val="bottom"/>
            <w:gridSpan w:val="2"/>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shd w:val="clear" w:color="auto" w:fill="CCEEFF"/>
          </w:tcPr>
          <w:p>
            <w:pPr>
              <w:spacing w:after="0"/>
              <w:rPr>
                <w:sz w:val="9"/>
                <w:szCs w:val="9"/>
                <w:color w:val="auto"/>
              </w:rPr>
            </w:pPr>
          </w:p>
        </w:tc>
        <w:tc>
          <w:tcPr>
            <w:tcW w:w="5020" w:type="dxa"/>
            <w:vAlign w:val="bottom"/>
            <w:vMerge w:val="continue"/>
            <w:shd w:val="clear" w:color="auto" w:fill="CCEEFF"/>
          </w:tcPr>
          <w:p>
            <w:pPr>
              <w:spacing w:after="0"/>
              <w:rPr>
                <w:sz w:val="9"/>
                <w:szCs w:val="9"/>
                <w:color w:val="auto"/>
              </w:rPr>
            </w:pPr>
          </w:p>
        </w:tc>
        <w:tc>
          <w:tcPr>
            <w:tcW w:w="5200" w:type="dxa"/>
            <w:vAlign w:val="bottom"/>
            <w:gridSpan w:val="9"/>
            <w:shd w:val="clear" w:color="auto" w:fill="CCEEFF"/>
          </w:tcPr>
          <w:p>
            <w:pPr>
              <w:spacing w:after="0" w:line="110" w:lineRule="exact"/>
              <w:rPr>
                <w:rFonts w:ascii="Arial" w:cs="Arial" w:eastAsia="Arial" w:hAnsi="Arial"/>
                <w:sz w:val="12"/>
                <w:szCs w:val="12"/>
                <w:b w:val="1"/>
                <w:bCs w:val="1"/>
                <w:color w:val="0000FF"/>
              </w:rPr>
            </w:pPr>
            <w:hyperlink r:id="rId212">
              <w:r>
                <w:rPr>
                  <w:rFonts w:ascii="Arial" w:cs="Arial" w:eastAsia="Arial" w:hAnsi="Arial"/>
                  <w:sz w:val="12"/>
                  <w:szCs w:val="12"/>
                  <w:b w:val="1"/>
                  <w:bCs w:val="1"/>
                  <w:color w:val="0000FF"/>
                </w:rPr>
                <w:t>2020</w:t>
              </w:r>
              <w:r>
                <w:rPr>
                  <w:rFonts w:ascii="Arial" w:cs="Arial" w:eastAsia="Arial" w:hAnsi="Arial"/>
                  <w:sz w:val="12"/>
                  <w:szCs w:val="12"/>
                  <w:color w:val="000000"/>
                </w:rPr>
                <w:t>, and incorporated herein by reference.</w:t>
              </w:r>
            </w:hyperlink>
          </w:p>
        </w:tc>
        <w:tc>
          <w:tcPr>
            <w:tcW w:w="1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80" w:type="dxa"/>
            <w:vAlign w:val="bottom"/>
            <w:tcBorders>
              <w:top w:val="single" w:sz="8" w:color="CCEEFF"/>
            </w:tcBorders>
            <w:shd w:val="clear" w:color="auto" w:fill="CCEEFF"/>
          </w:tcPr>
          <w:p>
            <w:pPr>
              <w:spacing w:after="0"/>
              <w:rPr>
                <w:sz w:val="10"/>
                <w:szCs w:val="10"/>
                <w:color w:val="auto"/>
              </w:rPr>
            </w:pPr>
          </w:p>
        </w:tc>
        <w:tc>
          <w:tcPr>
            <w:tcW w:w="5020" w:type="dxa"/>
            <w:vAlign w:val="bottom"/>
            <w:tcBorders>
              <w:top w:val="single" w:sz="8" w:color="CCEEFF"/>
            </w:tcBorders>
            <w:shd w:val="clear" w:color="auto" w:fill="CCEEFF"/>
          </w:tcPr>
          <w:p>
            <w:pPr>
              <w:ind w:left="180"/>
              <w:spacing w:after="0" w:line="121" w:lineRule="exact"/>
              <w:rPr>
                <w:sz w:val="20"/>
                <w:szCs w:val="20"/>
                <w:color w:val="auto"/>
              </w:rPr>
            </w:pPr>
            <w:r>
              <w:rPr>
                <w:rFonts w:ascii="Arial" w:cs="Arial" w:eastAsia="Arial" w:hAnsi="Arial"/>
                <w:sz w:val="13"/>
                <w:szCs w:val="13"/>
                <w:color w:val="auto"/>
              </w:rPr>
              <w:t>institutions party thereto and Bank of America, N.A., as administrative agent.</w:t>
            </w:r>
          </w:p>
        </w:tc>
        <w:tc>
          <w:tcPr>
            <w:tcW w:w="26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CCEEFF"/>
              <w:right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right w:val="single" w:sz="8" w:color="CCEEFF"/>
            </w:tcBorders>
            <w:shd w:val="clear" w:color="auto" w:fill="CCEEFF"/>
          </w:tcPr>
          <w:p>
            <w:pPr>
              <w:spacing w:after="0"/>
              <w:rPr>
                <w:sz w:val="10"/>
                <w:szCs w:val="10"/>
                <w:color w:val="auto"/>
              </w:rPr>
            </w:pPr>
          </w:p>
        </w:tc>
        <w:tc>
          <w:tcPr>
            <w:tcW w:w="35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80" w:type="dxa"/>
            <w:vAlign w:val="bottom"/>
          </w:tcPr>
          <w:p>
            <w:pPr>
              <w:jc w:val="right"/>
              <w:ind w:right="139"/>
              <w:spacing w:after="0" w:line="119" w:lineRule="exact"/>
              <w:rPr>
                <w:sz w:val="20"/>
                <w:szCs w:val="20"/>
                <w:color w:val="auto"/>
              </w:rPr>
            </w:pPr>
            <w:r>
              <w:rPr>
                <w:rFonts w:ascii="Arial" w:cs="Arial" w:eastAsia="Arial" w:hAnsi="Arial"/>
                <w:sz w:val="13"/>
                <w:szCs w:val="13"/>
                <w:color w:val="auto"/>
              </w:rPr>
              <w:t>10.32</w:t>
            </w:r>
          </w:p>
        </w:tc>
        <w:tc>
          <w:tcPr>
            <w:tcW w:w="5020" w:type="dxa"/>
            <w:vAlign w:val="bottom"/>
          </w:tcPr>
          <w:p>
            <w:pPr>
              <w:ind w:left="180"/>
              <w:spacing w:after="0" w:line="119" w:lineRule="exact"/>
              <w:rPr>
                <w:sz w:val="20"/>
                <w:szCs w:val="20"/>
                <w:color w:val="auto"/>
              </w:rPr>
            </w:pPr>
            <w:r>
              <w:rPr>
                <w:rFonts w:ascii="Arial" w:cs="Arial" w:eastAsia="Arial" w:hAnsi="Arial"/>
                <w:sz w:val="13"/>
                <w:szCs w:val="13"/>
                <w:color w:val="auto"/>
                <w:w w:val="94"/>
              </w:rPr>
              <w:t>Waiver and First Amendment to Second Amended and Restated Credit Agreement dated</w:t>
            </w:r>
          </w:p>
        </w:tc>
        <w:tc>
          <w:tcPr>
            <w:tcW w:w="5380" w:type="dxa"/>
            <w:vAlign w:val="bottom"/>
            <w:gridSpan w:val="11"/>
          </w:tcPr>
          <w:p>
            <w:pPr>
              <w:spacing w:after="0" w:line="119" w:lineRule="exact"/>
              <w:rPr>
                <w:rFonts w:ascii="Arial" w:cs="Arial" w:eastAsia="Arial" w:hAnsi="Arial"/>
                <w:sz w:val="13"/>
                <w:szCs w:val="13"/>
                <w:color w:val="auto"/>
                <w:w w:val="94"/>
              </w:rPr>
            </w:pPr>
            <w:hyperlink r:id="rId212">
              <w:r>
                <w:rPr>
                  <w:rFonts w:ascii="Arial" w:cs="Arial" w:eastAsia="Arial" w:hAnsi="Arial"/>
                  <w:sz w:val="13"/>
                  <w:szCs w:val="13"/>
                  <w:color w:val="auto"/>
                  <w:w w:val="94"/>
                </w:rPr>
                <w:t xml:space="preserve">Filed as </w:t>
              </w:r>
              <w:r>
                <w:rPr>
                  <w:rFonts w:ascii="Arial" w:cs="Arial" w:eastAsia="Arial" w:hAnsi="Arial"/>
                  <w:sz w:val="13"/>
                  <w:szCs w:val="13"/>
                  <w:b w:val="1"/>
                  <w:bCs w:val="1"/>
                  <w:color w:val="0000FF"/>
                  <w:w w:val="94"/>
                </w:rPr>
                <w:t>Exhibit 10.2.2 to the Company’s report on Form 8-K (file no. 1-8625), filed on June 2,</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20" w:type="dxa"/>
            <w:vAlign w:val="bottom"/>
            <w:vMerge w:val="restart"/>
          </w:tcPr>
          <w:p>
            <w:pPr>
              <w:ind w:left="180"/>
              <w:spacing w:after="0" w:line="130" w:lineRule="exact"/>
              <w:rPr>
                <w:sz w:val="20"/>
                <w:szCs w:val="20"/>
                <w:color w:val="auto"/>
              </w:rPr>
            </w:pPr>
            <w:r>
              <w:rPr>
                <w:rFonts w:ascii="Arial" w:cs="Arial" w:eastAsia="Arial" w:hAnsi="Arial"/>
                <w:sz w:val="13"/>
                <w:szCs w:val="13"/>
                <w:color w:val="auto"/>
                <w:w w:val="96"/>
              </w:rPr>
              <w:t>May 15, 2020, among Consolidated Amusement Holdings, LLC, certain affiliates of the</w:t>
            </w:r>
          </w:p>
        </w:tc>
        <w:tc>
          <w:tcPr>
            <w:tcW w:w="460" w:type="dxa"/>
            <w:vAlign w:val="bottom"/>
            <w:gridSpan w:val="2"/>
          </w:tcPr>
          <w:p>
            <w:pPr>
              <w:spacing w:after="0" w:line="20" w:lineRule="exact"/>
              <w:rPr>
                <w:sz w:val="1"/>
                <w:szCs w:val="1"/>
                <w:color w:val="auto"/>
              </w:rPr>
            </w:pPr>
          </w:p>
        </w:tc>
        <w:tc>
          <w:tcPr>
            <w:tcW w:w="4740" w:type="dxa"/>
            <w:vAlign w:val="bottom"/>
            <w:gridSpan w:val="7"/>
            <w:shd w:val="clear" w:color="auto" w:fill="0000FF"/>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80" w:type="dxa"/>
            <w:vAlign w:val="bottom"/>
          </w:tcPr>
          <w:p>
            <w:pPr>
              <w:spacing w:after="0"/>
              <w:rPr>
                <w:sz w:val="9"/>
                <w:szCs w:val="9"/>
                <w:color w:val="auto"/>
              </w:rPr>
            </w:pPr>
          </w:p>
        </w:tc>
        <w:tc>
          <w:tcPr>
            <w:tcW w:w="5020" w:type="dxa"/>
            <w:vAlign w:val="bottom"/>
            <w:vMerge w:val="continue"/>
          </w:tcPr>
          <w:p>
            <w:pPr>
              <w:spacing w:after="0"/>
              <w:rPr>
                <w:sz w:val="9"/>
                <w:szCs w:val="9"/>
                <w:color w:val="auto"/>
              </w:rPr>
            </w:pPr>
          </w:p>
        </w:tc>
        <w:tc>
          <w:tcPr>
            <w:tcW w:w="5200" w:type="dxa"/>
            <w:vAlign w:val="bottom"/>
            <w:gridSpan w:val="9"/>
          </w:tcPr>
          <w:p>
            <w:pPr>
              <w:spacing w:after="0" w:line="110" w:lineRule="exact"/>
              <w:rPr>
                <w:rFonts w:ascii="Arial" w:cs="Arial" w:eastAsia="Arial" w:hAnsi="Arial"/>
                <w:sz w:val="12"/>
                <w:szCs w:val="12"/>
                <w:b w:val="1"/>
                <w:bCs w:val="1"/>
                <w:color w:val="0000FF"/>
              </w:rPr>
            </w:pPr>
            <w:hyperlink r:id="rId212">
              <w:r>
                <w:rPr>
                  <w:rFonts w:ascii="Arial" w:cs="Arial" w:eastAsia="Arial" w:hAnsi="Arial"/>
                  <w:sz w:val="12"/>
                  <w:szCs w:val="12"/>
                  <w:b w:val="1"/>
                  <w:bCs w:val="1"/>
                  <w:color w:val="0000FF"/>
                </w:rPr>
                <w:t>2020</w:t>
              </w:r>
              <w:r>
                <w:rPr>
                  <w:rFonts w:ascii="Arial" w:cs="Arial" w:eastAsia="Arial" w:hAnsi="Arial"/>
                  <w:sz w:val="12"/>
                  <w:szCs w:val="12"/>
                  <w:color w:val="000000"/>
                </w:rPr>
                <w:t>, and incorporated herein by reference.</w:t>
              </w:r>
            </w:hyperlink>
          </w:p>
        </w:tc>
        <w:tc>
          <w:tcPr>
            <w:tcW w:w="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880" w:type="dxa"/>
            <w:vAlign w:val="bottom"/>
          </w:tcPr>
          <w:p>
            <w:pPr>
              <w:spacing w:after="0"/>
              <w:rPr>
                <w:sz w:val="8"/>
                <w:szCs w:val="8"/>
                <w:color w:val="auto"/>
              </w:rPr>
            </w:pPr>
          </w:p>
        </w:tc>
        <w:tc>
          <w:tcPr>
            <w:tcW w:w="5020" w:type="dxa"/>
            <w:vAlign w:val="bottom"/>
          </w:tcPr>
          <w:p>
            <w:pPr>
              <w:ind w:left="180"/>
              <w:spacing w:after="0" w:line="104" w:lineRule="exact"/>
              <w:rPr>
                <w:sz w:val="20"/>
                <w:szCs w:val="20"/>
                <w:color w:val="auto"/>
              </w:rPr>
            </w:pPr>
            <w:r>
              <w:rPr>
                <w:rFonts w:ascii="Arial" w:cs="Arial" w:eastAsia="Arial" w:hAnsi="Arial"/>
                <w:sz w:val="11"/>
                <w:szCs w:val="11"/>
                <w:color w:val="auto"/>
              </w:rPr>
              <w:t>Company, the financial institutions party thereto and Bank of America, N.A., as</w:t>
            </w:r>
          </w:p>
        </w:tc>
        <w:tc>
          <w:tcPr>
            <w:tcW w:w="260" w:type="dxa"/>
            <w:vAlign w:val="bottom"/>
            <w:tcBorders>
              <w:top w:val="single" w:sz="8" w:color="0000FF"/>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880" w:type="dxa"/>
            <w:vAlign w:val="bottom"/>
            <w:vMerge w:val="restart"/>
          </w:tcPr>
          <w:p>
            <w:pPr>
              <w:jc w:val="right"/>
              <w:ind w:right="139"/>
              <w:spacing w:after="0"/>
              <w:rPr>
                <w:sz w:val="20"/>
                <w:szCs w:val="20"/>
                <w:color w:val="auto"/>
              </w:rPr>
            </w:pPr>
            <w:r>
              <w:rPr>
                <w:rFonts w:ascii="Arial" w:cs="Arial" w:eastAsia="Arial" w:hAnsi="Arial"/>
                <w:sz w:val="13"/>
                <w:szCs w:val="13"/>
                <w:color w:val="auto"/>
              </w:rPr>
              <w:t>10.33</w:t>
            </w:r>
          </w:p>
        </w:tc>
        <w:tc>
          <w:tcPr>
            <w:tcW w:w="5020" w:type="dxa"/>
            <w:vAlign w:val="bottom"/>
          </w:tcPr>
          <w:p>
            <w:pPr>
              <w:ind w:left="180"/>
              <w:spacing w:after="0" w:line="130" w:lineRule="exact"/>
              <w:rPr>
                <w:sz w:val="20"/>
                <w:szCs w:val="20"/>
                <w:color w:val="auto"/>
              </w:rPr>
            </w:pPr>
            <w:r>
              <w:rPr>
                <w:rFonts w:ascii="Arial" w:cs="Arial" w:eastAsia="Arial" w:hAnsi="Arial"/>
                <w:sz w:val="13"/>
                <w:szCs w:val="13"/>
                <w:color w:val="auto"/>
              </w:rPr>
              <w:t>administrative agent.</w:t>
            </w:r>
          </w:p>
        </w:tc>
        <w:tc>
          <w:tcPr>
            <w:tcW w:w="860" w:type="dxa"/>
            <w:vAlign w:val="bottom"/>
            <w:gridSpan w:val="4"/>
            <w:vMerge w:val="restart"/>
          </w:tcPr>
          <w:p>
            <w:pPr>
              <w:spacing w:after="0"/>
              <w:rPr>
                <w:rFonts w:ascii="Arial" w:cs="Arial" w:eastAsia="Arial" w:hAnsi="Arial"/>
                <w:sz w:val="13"/>
                <w:szCs w:val="13"/>
                <w:color w:val="auto"/>
                <w:w w:val="90"/>
              </w:rPr>
            </w:pPr>
            <w:hyperlink r:id="rId213">
              <w:r>
                <w:rPr>
                  <w:rFonts w:ascii="Arial" w:cs="Arial" w:eastAsia="Arial" w:hAnsi="Arial"/>
                  <w:sz w:val="13"/>
                  <w:szCs w:val="13"/>
                  <w:color w:val="auto"/>
                  <w:w w:val="90"/>
                </w:rPr>
                <w:t xml:space="preserve">Filed as </w:t>
              </w:r>
              <w:r>
                <w:rPr>
                  <w:rFonts w:ascii="Arial" w:cs="Arial" w:eastAsia="Arial" w:hAnsi="Arial"/>
                  <w:sz w:val="13"/>
                  <w:szCs w:val="13"/>
                  <w:b w:val="1"/>
                  <w:bCs w:val="1"/>
                  <w:color w:val="0000FF"/>
                  <w:w w:val="90"/>
                </w:rPr>
                <w:t>Exhibit</w:t>
              </w:r>
            </w:hyperlink>
          </w:p>
        </w:tc>
        <w:tc>
          <w:tcPr>
            <w:tcW w:w="4520" w:type="dxa"/>
            <w:vAlign w:val="bottom"/>
            <w:gridSpan w:val="7"/>
            <w:vMerge w:val="restart"/>
          </w:tcPr>
          <w:p>
            <w:pPr>
              <w:ind w:left="20"/>
              <w:spacing w:after="0"/>
              <w:rPr>
                <w:rFonts w:ascii="Arial" w:cs="Arial" w:eastAsia="Arial" w:hAnsi="Arial"/>
                <w:sz w:val="13"/>
                <w:szCs w:val="13"/>
                <w:b w:val="1"/>
                <w:bCs w:val="1"/>
                <w:color w:val="0000FF"/>
                <w:w w:val="95"/>
              </w:rPr>
            </w:pPr>
            <w:hyperlink r:id="rId213">
              <w:r>
                <w:rPr>
                  <w:rFonts w:ascii="Arial" w:cs="Arial" w:eastAsia="Arial" w:hAnsi="Arial"/>
                  <w:sz w:val="13"/>
                  <w:szCs w:val="13"/>
                  <w:b w:val="1"/>
                  <w:bCs w:val="1"/>
                  <w:color w:val="0000FF"/>
                  <w:w w:val="95"/>
                </w:rPr>
                <w:t>10.3 to the Company’s Quarterly Report on Form 10-Q for the quarter ended</w:t>
              </w:r>
            </w:hyperlink>
          </w:p>
        </w:tc>
        <w:tc>
          <w:tcPr>
            <w:tcW w:w="0" w:type="dxa"/>
            <w:vAlign w:val="bottom"/>
          </w:tcPr>
          <w:p>
            <w:pPr>
              <w:spacing w:after="0"/>
              <w:rPr>
                <w:sz w:val="1"/>
                <w:szCs w:val="1"/>
                <w:color w:val="auto"/>
              </w:rPr>
            </w:pPr>
          </w:p>
        </w:tc>
      </w:tr>
      <w:tr>
        <w:trPr>
          <w:trHeight w:val="137"/>
        </w:trPr>
        <w:tc>
          <w:tcPr>
            <w:tcW w:w="880" w:type="dxa"/>
            <w:vAlign w:val="bottom"/>
            <w:vMerge w:val="continue"/>
          </w:tcPr>
          <w:p>
            <w:pPr>
              <w:spacing w:after="0"/>
              <w:rPr>
                <w:sz w:val="11"/>
                <w:szCs w:val="11"/>
                <w:color w:val="auto"/>
              </w:rPr>
            </w:pPr>
          </w:p>
        </w:tc>
        <w:tc>
          <w:tcPr>
            <w:tcW w:w="5020" w:type="dxa"/>
            <w:vAlign w:val="bottom"/>
          </w:tcPr>
          <w:p>
            <w:pPr>
              <w:ind w:left="180"/>
              <w:spacing w:after="0" w:line="137" w:lineRule="exact"/>
              <w:rPr>
                <w:sz w:val="20"/>
                <w:szCs w:val="20"/>
                <w:color w:val="auto"/>
              </w:rPr>
            </w:pPr>
            <w:r>
              <w:rPr>
                <w:rFonts w:ascii="Arial" w:cs="Arial" w:eastAsia="Arial" w:hAnsi="Arial"/>
                <w:sz w:val="13"/>
                <w:szCs w:val="13"/>
                <w:color w:val="auto"/>
                <w:w w:val="90"/>
              </w:rPr>
              <w:t>Waiver and Second Amendment to Second Amended and Restated Credit Agreement dated</w:t>
            </w:r>
          </w:p>
        </w:tc>
        <w:tc>
          <w:tcPr>
            <w:tcW w:w="860" w:type="dxa"/>
            <w:vAlign w:val="bottom"/>
            <w:gridSpan w:val="4"/>
            <w:vMerge w:val="continue"/>
          </w:tcPr>
          <w:p>
            <w:pPr>
              <w:spacing w:after="0"/>
              <w:rPr>
                <w:sz w:val="11"/>
                <w:szCs w:val="11"/>
                <w:color w:val="auto"/>
              </w:rPr>
            </w:pPr>
          </w:p>
        </w:tc>
        <w:tc>
          <w:tcPr>
            <w:tcW w:w="45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5020" w:type="dxa"/>
            <w:vAlign w:val="bottom"/>
          </w:tcPr>
          <w:p>
            <w:pPr>
              <w:ind w:left="180"/>
              <w:spacing w:after="0" w:line="110" w:lineRule="exact"/>
              <w:rPr>
                <w:sz w:val="20"/>
                <w:szCs w:val="20"/>
                <w:color w:val="auto"/>
              </w:rPr>
            </w:pPr>
            <w:r>
              <w:rPr>
                <w:rFonts w:ascii="Arial" w:cs="Arial" w:eastAsia="Arial" w:hAnsi="Arial"/>
                <w:sz w:val="12"/>
                <w:szCs w:val="12"/>
                <w:color w:val="auto"/>
              </w:rPr>
              <w:t>August 7, 2020 between Consolidated Amusement Holdings, LLC, and Bank of America,</w:t>
            </w:r>
          </w:p>
        </w:tc>
        <w:tc>
          <w:tcPr>
            <w:tcW w:w="460" w:type="dxa"/>
            <w:vAlign w:val="bottom"/>
            <w:gridSpan w:val="2"/>
          </w:tcPr>
          <w:p>
            <w:pPr>
              <w:spacing w:after="0" w:line="110" w:lineRule="exact"/>
              <w:rPr>
                <w:rFonts w:ascii="Arial" w:cs="Arial" w:eastAsia="Arial" w:hAnsi="Arial"/>
                <w:sz w:val="12"/>
                <w:szCs w:val="12"/>
                <w:b w:val="1"/>
                <w:bCs w:val="1"/>
                <w:color w:val="0000FF"/>
                <w:w w:val="87"/>
              </w:rPr>
            </w:pPr>
            <w:hyperlink r:id="rId213">
              <w:r>
                <w:rPr>
                  <w:rFonts w:ascii="Arial" w:cs="Arial" w:eastAsia="Arial" w:hAnsi="Arial"/>
                  <w:sz w:val="12"/>
                  <w:szCs w:val="12"/>
                  <w:b w:val="1"/>
                  <w:bCs w:val="1"/>
                  <w:color w:val="0000FF"/>
                  <w:w w:val="87"/>
                </w:rPr>
                <w:t>June 30,</w:t>
              </w:r>
            </w:hyperlink>
          </w:p>
        </w:tc>
        <w:tc>
          <w:tcPr>
            <w:tcW w:w="4760" w:type="dxa"/>
            <w:vAlign w:val="bottom"/>
            <w:tcBorders>
              <w:top w:val="single" w:sz="8" w:color="0000FF"/>
            </w:tcBorders>
            <w:gridSpan w:val="8"/>
          </w:tcPr>
          <w:p>
            <w:pPr>
              <w:ind w:left="20"/>
              <w:spacing w:after="0" w:line="110" w:lineRule="exact"/>
              <w:rPr>
                <w:rFonts w:ascii="Arial" w:cs="Arial" w:eastAsia="Arial" w:hAnsi="Arial"/>
                <w:sz w:val="12"/>
                <w:szCs w:val="12"/>
                <w:b w:val="1"/>
                <w:bCs w:val="1"/>
                <w:color w:val="0000FF"/>
              </w:rPr>
            </w:pPr>
            <w:hyperlink r:id="rId213">
              <w:r>
                <w:rPr>
                  <w:rFonts w:ascii="Arial" w:cs="Arial" w:eastAsia="Arial" w:hAnsi="Arial"/>
                  <w:sz w:val="12"/>
                  <w:szCs w:val="12"/>
                  <w:b w:val="1"/>
                  <w:bCs w:val="1"/>
                  <w:color w:val="0000FF"/>
                </w:rPr>
                <w:t>2020</w:t>
              </w:r>
              <w:r>
                <w:rPr>
                  <w:rFonts w:ascii="Arial" w:cs="Arial" w:eastAsia="Arial" w:hAnsi="Arial"/>
                  <w:sz w:val="12"/>
                  <w:szCs w:val="12"/>
                  <w:color w:val="000000"/>
                </w:rPr>
                <w:t>, and incorporated herein by reference.</w:t>
              </w:r>
            </w:hyperlink>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880" w:type="dxa"/>
            <w:vAlign w:val="bottom"/>
          </w:tcPr>
          <w:p>
            <w:pPr>
              <w:spacing w:after="0"/>
              <w:rPr>
                <w:sz w:val="9"/>
                <w:szCs w:val="9"/>
                <w:color w:val="auto"/>
              </w:rPr>
            </w:pPr>
          </w:p>
        </w:tc>
        <w:tc>
          <w:tcPr>
            <w:tcW w:w="5020" w:type="dxa"/>
            <w:vAlign w:val="bottom"/>
          </w:tcPr>
          <w:p>
            <w:pPr>
              <w:ind w:left="180"/>
              <w:spacing w:after="0" w:line="111" w:lineRule="exact"/>
              <w:rPr>
                <w:sz w:val="20"/>
                <w:szCs w:val="20"/>
                <w:color w:val="auto"/>
              </w:rPr>
            </w:pPr>
            <w:r>
              <w:rPr>
                <w:rFonts w:ascii="Arial" w:cs="Arial" w:eastAsia="Arial" w:hAnsi="Arial"/>
                <w:sz w:val="12"/>
                <w:szCs w:val="12"/>
                <w:color w:val="auto"/>
              </w:rPr>
              <w:t>N.A.</w:t>
            </w:r>
          </w:p>
        </w:tc>
        <w:tc>
          <w:tcPr>
            <w:tcW w:w="26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-241300</wp:posOffset>
            </wp:positionV>
            <wp:extent cx="7159625" cy="2476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7159625" cy="2476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- 115 -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61" w:right="31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49"/>
        </w:trPr>
        <w:tc>
          <w:tcPr>
            <w:tcW w:w="1060" w:type="dxa"/>
            <w:vAlign w:val="bottom"/>
          </w:tcPr>
          <w:p>
            <w:pPr>
              <w:jc w:val="center"/>
              <w:spacing w:after="0"/>
              <w:rPr>
                <w:sz w:val="20"/>
                <w:szCs w:val="20"/>
                <w:color w:val="auto"/>
              </w:rPr>
            </w:pPr>
            <w:r>
              <w:rPr>
                <w:rFonts w:ascii="Arial" w:cs="Arial" w:eastAsia="Arial" w:hAnsi="Arial"/>
                <w:sz w:val="13"/>
                <w:szCs w:val="13"/>
                <w:color w:val="auto"/>
                <w:w w:val="92"/>
              </w:rPr>
              <w:t>10.34</w:t>
            </w:r>
          </w:p>
        </w:tc>
        <w:tc>
          <w:tcPr>
            <w:tcW w:w="4840" w:type="dxa"/>
            <w:vAlign w:val="bottom"/>
            <w:gridSpan w:val="10"/>
          </w:tcPr>
          <w:p>
            <w:pPr>
              <w:spacing w:after="0"/>
              <w:rPr>
                <w:sz w:val="20"/>
                <w:szCs w:val="20"/>
                <w:color w:val="auto"/>
              </w:rPr>
            </w:pPr>
            <w:r>
              <w:rPr>
                <w:rFonts w:ascii="Arial" w:cs="Arial" w:eastAsia="Arial" w:hAnsi="Arial"/>
                <w:sz w:val="13"/>
                <w:szCs w:val="13"/>
                <w:color w:val="auto"/>
                <w:w w:val="92"/>
              </w:rPr>
              <w:t>Waiver and Third Amendment to Second Amended and Restated Credit Agreement, dated</w:t>
            </w:r>
          </w:p>
        </w:tc>
        <w:tc>
          <w:tcPr>
            <w:tcW w:w="5380" w:type="dxa"/>
            <w:vAlign w:val="bottom"/>
            <w:gridSpan w:val="9"/>
          </w:tcPr>
          <w:p>
            <w:pPr>
              <w:spacing w:after="0"/>
              <w:rPr>
                <w:rFonts w:ascii="Arial" w:cs="Arial" w:eastAsia="Arial" w:hAnsi="Arial"/>
                <w:sz w:val="13"/>
                <w:szCs w:val="13"/>
                <w:color w:val="auto"/>
                <w:w w:val="95"/>
              </w:rPr>
            </w:pPr>
            <w:hyperlink r:id="rId221">
              <w:r>
                <w:rPr>
                  <w:rFonts w:ascii="Arial" w:cs="Arial" w:eastAsia="Arial" w:hAnsi="Arial"/>
                  <w:sz w:val="13"/>
                  <w:szCs w:val="13"/>
                  <w:color w:val="auto"/>
                  <w:w w:val="95"/>
                </w:rPr>
                <w:t xml:space="preserve">Filed as </w:t>
              </w:r>
              <w:r>
                <w:rPr>
                  <w:rFonts w:ascii="Arial" w:cs="Arial" w:eastAsia="Arial" w:hAnsi="Arial"/>
                  <w:sz w:val="13"/>
                  <w:szCs w:val="13"/>
                  <w:b w:val="1"/>
                  <w:bCs w:val="1"/>
                  <w:color w:val="0000FF"/>
                  <w:w w:val="95"/>
                </w:rPr>
                <w:t>Exhibit 10.2 to the Company’s Quarterly Report on Form 10-Q for the quarter ended</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840" w:type="dxa"/>
            <w:vAlign w:val="bottom"/>
            <w:gridSpan w:val="10"/>
            <w:vMerge w:val="restart"/>
          </w:tcPr>
          <w:p>
            <w:pPr>
              <w:spacing w:after="0" w:line="130" w:lineRule="exact"/>
              <w:rPr>
                <w:sz w:val="20"/>
                <w:szCs w:val="20"/>
                <w:color w:val="auto"/>
              </w:rPr>
            </w:pPr>
            <w:r>
              <w:rPr>
                <w:rFonts w:ascii="Arial" w:cs="Arial" w:eastAsia="Arial" w:hAnsi="Arial"/>
                <w:sz w:val="13"/>
                <w:szCs w:val="13"/>
                <w:color w:val="auto"/>
                <w:w w:val="93"/>
              </w:rPr>
              <w:t>August 8, 2021, between Consolidated Amusement Holdings, LLC, and Bank of America,</w:t>
            </w: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tcPr>
          <w:p>
            <w:pPr>
              <w:spacing w:after="0"/>
              <w:rPr>
                <w:sz w:val="9"/>
                <w:szCs w:val="9"/>
                <w:color w:val="auto"/>
              </w:rPr>
            </w:pPr>
          </w:p>
        </w:tc>
        <w:tc>
          <w:tcPr>
            <w:tcW w:w="4840" w:type="dxa"/>
            <w:vAlign w:val="bottom"/>
            <w:gridSpan w:val="10"/>
            <w:vMerge w:val="continue"/>
          </w:tcPr>
          <w:p>
            <w:pPr>
              <w:spacing w:after="0"/>
              <w:rPr>
                <w:sz w:val="9"/>
                <w:szCs w:val="9"/>
                <w:color w:val="auto"/>
              </w:rPr>
            </w:pPr>
          </w:p>
        </w:tc>
        <w:tc>
          <w:tcPr>
            <w:tcW w:w="5200" w:type="dxa"/>
            <w:vAlign w:val="bottom"/>
            <w:gridSpan w:val="8"/>
          </w:tcPr>
          <w:p>
            <w:pPr>
              <w:spacing w:after="0" w:line="110" w:lineRule="exact"/>
              <w:rPr>
                <w:rFonts w:ascii="Arial" w:cs="Arial" w:eastAsia="Arial" w:hAnsi="Arial"/>
                <w:sz w:val="12"/>
                <w:szCs w:val="12"/>
                <w:b w:val="1"/>
                <w:bCs w:val="1"/>
                <w:color w:val="0000FF"/>
              </w:rPr>
            </w:pPr>
            <w:hyperlink r:id="rId221">
              <w:r>
                <w:rPr>
                  <w:rFonts w:ascii="Arial" w:cs="Arial" w:eastAsia="Arial" w:hAnsi="Arial"/>
                  <w:sz w:val="12"/>
                  <w:szCs w:val="12"/>
                  <w:b w:val="1"/>
                  <w:bCs w:val="1"/>
                  <w:color w:val="0000FF"/>
                </w:rPr>
                <w:t>September 30, 2021</w:t>
              </w:r>
              <w:r>
                <w:rPr>
                  <w:rFonts w:ascii="Arial" w:cs="Arial" w:eastAsia="Arial" w:hAnsi="Arial"/>
                  <w:sz w:val="12"/>
                  <w:szCs w:val="12"/>
                  <w:color w:val="000000"/>
                </w:rPr>
                <w:t>, and incorporated herein by reference.in by reference.</w:t>
              </w:r>
            </w:hyperlink>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4840" w:type="dxa"/>
            <w:vAlign w:val="bottom"/>
            <w:gridSpan w:val="10"/>
          </w:tcPr>
          <w:p>
            <w:pPr>
              <w:spacing w:after="0" w:line="121" w:lineRule="exact"/>
              <w:rPr>
                <w:sz w:val="20"/>
                <w:szCs w:val="20"/>
                <w:color w:val="auto"/>
              </w:rPr>
            </w:pPr>
            <w:r>
              <w:rPr>
                <w:rFonts w:ascii="Arial" w:cs="Arial" w:eastAsia="Arial" w:hAnsi="Arial"/>
                <w:sz w:val="13"/>
                <w:szCs w:val="13"/>
                <w:color w:val="auto"/>
              </w:rPr>
              <w:t>N.A.</w:t>
            </w:r>
          </w:p>
        </w:tc>
        <w:tc>
          <w:tcPr>
            <w:tcW w:w="2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6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color w:val="auto"/>
                <w:w w:val="92"/>
              </w:rPr>
              <w:t>10.35</w:t>
            </w:r>
          </w:p>
        </w:tc>
        <w:tc>
          <w:tcPr>
            <w:tcW w:w="4840" w:type="dxa"/>
            <w:vAlign w:val="bottom"/>
            <w:gridSpan w:val="10"/>
            <w:shd w:val="clear" w:color="auto" w:fill="CCEEFF"/>
          </w:tcPr>
          <w:p>
            <w:pPr>
              <w:spacing w:after="0" w:line="119" w:lineRule="exact"/>
              <w:rPr>
                <w:sz w:val="20"/>
                <w:szCs w:val="20"/>
                <w:color w:val="auto"/>
              </w:rPr>
            </w:pPr>
            <w:r>
              <w:rPr>
                <w:rFonts w:ascii="Arial" w:cs="Arial" w:eastAsia="Arial" w:hAnsi="Arial"/>
                <w:sz w:val="13"/>
                <w:szCs w:val="13"/>
                <w:color w:val="auto"/>
                <w:w w:val="94"/>
              </w:rPr>
              <w:t>Consolidated, Amended and Restated Mortgage Promissory Note dated March 13, 2020,</w:t>
            </w:r>
          </w:p>
        </w:tc>
        <w:tc>
          <w:tcPr>
            <w:tcW w:w="5380" w:type="dxa"/>
            <w:vAlign w:val="bottom"/>
            <w:gridSpan w:val="9"/>
            <w:shd w:val="clear" w:color="auto" w:fill="CCEEFF"/>
          </w:tcPr>
          <w:p>
            <w:pPr>
              <w:spacing w:after="0" w:line="119" w:lineRule="exact"/>
              <w:rPr>
                <w:rFonts w:ascii="Arial" w:cs="Arial" w:eastAsia="Arial" w:hAnsi="Arial"/>
                <w:sz w:val="13"/>
                <w:szCs w:val="13"/>
                <w:color w:val="auto"/>
                <w:w w:val="94"/>
              </w:rPr>
            </w:pPr>
            <w:hyperlink r:id="rId212">
              <w:r>
                <w:rPr>
                  <w:rFonts w:ascii="Arial" w:cs="Arial" w:eastAsia="Arial" w:hAnsi="Arial"/>
                  <w:sz w:val="13"/>
                  <w:szCs w:val="13"/>
                  <w:color w:val="auto"/>
                  <w:w w:val="94"/>
                </w:rPr>
                <w:t xml:space="preserve">Filed as </w:t>
              </w:r>
              <w:r>
                <w:rPr>
                  <w:rFonts w:ascii="Arial" w:cs="Arial" w:eastAsia="Arial" w:hAnsi="Arial"/>
                  <w:sz w:val="13"/>
                  <w:szCs w:val="13"/>
                  <w:b w:val="1"/>
                  <w:bCs w:val="1"/>
                  <w:color w:val="0000FF"/>
                  <w:w w:val="94"/>
                </w:rPr>
                <w:t>Exhibit 10.4.1 to the Company’s report on Form 8-K (file no. 1-8625), filed on June 2,</w:t>
              </w:r>
            </w:hyperlink>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4840" w:type="dxa"/>
            <w:vAlign w:val="bottom"/>
            <w:gridSpan w:val="10"/>
            <w:vMerge w:val="restart"/>
            <w:shd w:val="clear" w:color="auto" w:fill="CCEEFF"/>
          </w:tcPr>
          <w:p>
            <w:pPr>
              <w:spacing w:after="0" w:line="130" w:lineRule="exact"/>
              <w:rPr>
                <w:sz w:val="20"/>
                <w:szCs w:val="20"/>
                <w:color w:val="auto"/>
              </w:rPr>
            </w:pPr>
            <w:r>
              <w:rPr>
                <w:rFonts w:ascii="Arial" w:cs="Arial" w:eastAsia="Arial" w:hAnsi="Arial"/>
                <w:sz w:val="13"/>
                <w:szCs w:val="13"/>
                <w:color w:val="auto"/>
              </w:rPr>
              <w:t>between Sutton Hill Properties, LLC and Valley National Bank.</w:t>
            </w: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shd w:val="clear" w:color="auto" w:fill="CCEEFF"/>
          </w:tcPr>
          <w:p>
            <w:pPr>
              <w:spacing w:after="0"/>
              <w:rPr>
                <w:sz w:val="9"/>
                <w:szCs w:val="9"/>
                <w:color w:val="auto"/>
              </w:rPr>
            </w:pPr>
          </w:p>
        </w:tc>
        <w:tc>
          <w:tcPr>
            <w:tcW w:w="4840" w:type="dxa"/>
            <w:vAlign w:val="bottom"/>
            <w:gridSpan w:val="10"/>
            <w:vMerge w:val="continue"/>
            <w:shd w:val="clear" w:color="auto" w:fill="CCEEFF"/>
          </w:tcPr>
          <w:p>
            <w:pPr>
              <w:spacing w:after="0"/>
              <w:rPr>
                <w:sz w:val="9"/>
                <w:szCs w:val="9"/>
                <w:color w:val="auto"/>
              </w:rPr>
            </w:pPr>
          </w:p>
        </w:tc>
        <w:tc>
          <w:tcPr>
            <w:tcW w:w="5200" w:type="dxa"/>
            <w:vAlign w:val="bottom"/>
            <w:gridSpan w:val="8"/>
            <w:shd w:val="clear" w:color="auto" w:fill="CCEEFF"/>
          </w:tcPr>
          <w:p>
            <w:pPr>
              <w:spacing w:after="0" w:line="110" w:lineRule="exact"/>
              <w:rPr>
                <w:rFonts w:ascii="Arial" w:cs="Arial" w:eastAsia="Arial" w:hAnsi="Arial"/>
                <w:sz w:val="12"/>
                <w:szCs w:val="12"/>
                <w:b w:val="1"/>
                <w:bCs w:val="1"/>
                <w:color w:val="0000FF"/>
              </w:rPr>
            </w:pPr>
            <w:hyperlink r:id="rId212">
              <w:r>
                <w:rPr>
                  <w:rFonts w:ascii="Arial" w:cs="Arial" w:eastAsia="Arial" w:hAnsi="Arial"/>
                  <w:sz w:val="12"/>
                  <w:szCs w:val="12"/>
                  <w:b w:val="1"/>
                  <w:bCs w:val="1"/>
                  <w:color w:val="0000FF"/>
                </w:rPr>
                <w:t>2020</w:t>
              </w:r>
              <w:r>
                <w:rPr>
                  <w:rFonts w:ascii="Arial" w:cs="Arial" w:eastAsia="Arial" w:hAnsi="Arial"/>
                  <w:sz w:val="12"/>
                  <w:szCs w:val="12"/>
                  <w:color w:val="000000"/>
                </w:rPr>
                <w:t>, and incorporated herein by reference.</w:t>
              </w:r>
            </w:hyperlink>
          </w:p>
        </w:tc>
        <w:tc>
          <w:tcPr>
            <w:tcW w:w="180" w:type="dxa"/>
            <w:vAlign w:val="bottom"/>
            <w:tcBorders>
              <w:left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tcPr>
          <w:p>
            <w:pPr>
              <w:jc w:val="center"/>
              <w:spacing w:after="0" w:line="110" w:lineRule="exact"/>
              <w:rPr>
                <w:sz w:val="20"/>
                <w:szCs w:val="20"/>
                <w:color w:val="auto"/>
              </w:rPr>
            </w:pPr>
            <w:r>
              <w:rPr>
                <w:rFonts w:ascii="Arial" w:cs="Arial" w:eastAsia="Arial" w:hAnsi="Arial"/>
                <w:sz w:val="12"/>
                <w:szCs w:val="12"/>
                <w:color w:val="auto"/>
                <w:w w:val="99"/>
              </w:rPr>
              <w:t>10.36</w:t>
            </w:r>
          </w:p>
        </w:tc>
        <w:tc>
          <w:tcPr>
            <w:tcW w:w="4840" w:type="dxa"/>
            <w:vAlign w:val="bottom"/>
            <w:gridSpan w:val="10"/>
          </w:tcPr>
          <w:p>
            <w:pPr>
              <w:spacing w:after="0" w:line="110" w:lineRule="exact"/>
              <w:rPr>
                <w:sz w:val="20"/>
                <w:szCs w:val="20"/>
                <w:color w:val="auto"/>
              </w:rPr>
            </w:pPr>
            <w:r>
              <w:rPr>
                <w:rFonts w:ascii="Arial" w:cs="Arial" w:eastAsia="Arial" w:hAnsi="Arial"/>
                <w:sz w:val="12"/>
                <w:szCs w:val="12"/>
                <w:color w:val="auto"/>
              </w:rPr>
              <w:t>Mortgage Consolidation, Modification and Extension Agreement dated March 13, 2020,</w:t>
            </w:r>
          </w:p>
        </w:tc>
        <w:tc>
          <w:tcPr>
            <w:tcW w:w="5380" w:type="dxa"/>
            <w:vAlign w:val="bottom"/>
            <w:gridSpan w:val="9"/>
          </w:tcPr>
          <w:p>
            <w:pPr>
              <w:spacing w:after="0" w:line="110" w:lineRule="exact"/>
              <w:rPr>
                <w:rFonts w:ascii="Arial" w:cs="Arial" w:eastAsia="Arial" w:hAnsi="Arial"/>
                <w:sz w:val="12"/>
                <w:szCs w:val="12"/>
                <w:color w:val="auto"/>
              </w:rPr>
            </w:pPr>
            <w:hyperlink r:id="rId212">
              <w:r>
                <w:rPr>
                  <w:rFonts w:ascii="Arial" w:cs="Arial" w:eastAsia="Arial" w:hAnsi="Arial"/>
                  <w:sz w:val="12"/>
                  <w:szCs w:val="12"/>
                  <w:color w:val="auto"/>
                </w:rPr>
                <w:t xml:space="preserve">Filed as </w:t>
              </w:r>
              <w:r>
                <w:rPr>
                  <w:rFonts w:ascii="Arial" w:cs="Arial" w:eastAsia="Arial" w:hAnsi="Arial"/>
                  <w:sz w:val="12"/>
                  <w:szCs w:val="12"/>
                  <w:b w:val="1"/>
                  <w:bCs w:val="1"/>
                  <w:color w:val="0000FF"/>
                </w:rPr>
                <w:t>Exhibit 10.4.2 to the Company’s report on Form 8-K (file no. 1-8625), filed on June 2,</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840" w:type="dxa"/>
            <w:vAlign w:val="bottom"/>
            <w:gridSpan w:val="10"/>
            <w:vMerge w:val="restart"/>
          </w:tcPr>
          <w:p>
            <w:pPr>
              <w:spacing w:after="0" w:line="130" w:lineRule="exact"/>
              <w:rPr>
                <w:sz w:val="20"/>
                <w:szCs w:val="20"/>
                <w:color w:val="auto"/>
              </w:rPr>
            </w:pPr>
            <w:r>
              <w:rPr>
                <w:rFonts w:ascii="Arial" w:cs="Arial" w:eastAsia="Arial" w:hAnsi="Arial"/>
                <w:sz w:val="13"/>
                <w:szCs w:val="13"/>
                <w:color w:val="auto"/>
              </w:rPr>
              <w:t>between Sutton Hill Properties, LLC and Valley National Bank.</w:t>
            </w:r>
          </w:p>
        </w:tc>
        <w:tc>
          <w:tcPr>
            <w:tcW w:w="4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tcPr>
          <w:p>
            <w:pPr>
              <w:spacing w:after="0"/>
              <w:rPr>
                <w:sz w:val="9"/>
                <w:szCs w:val="9"/>
                <w:color w:val="auto"/>
              </w:rPr>
            </w:pPr>
          </w:p>
        </w:tc>
        <w:tc>
          <w:tcPr>
            <w:tcW w:w="4840" w:type="dxa"/>
            <w:vAlign w:val="bottom"/>
            <w:gridSpan w:val="10"/>
            <w:vMerge w:val="continue"/>
          </w:tcPr>
          <w:p>
            <w:pPr>
              <w:spacing w:after="0"/>
              <w:rPr>
                <w:sz w:val="9"/>
                <w:szCs w:val="9"/>
                <w:color w:val="auto"/>
              </w:rPr>
            </w:pPr>
          </w:p>
        </w:tc>
        <w:tc>
          <w:tcPr>
            <w:tcW w:w="5200" w:type="dxa"/>
            <w:vAlign w:val="bottom"/>
            <w:gridSpan w:val="8"/>
          </w:tcPr>
          <w:p>
            <w:pPr>
              <w:spacing w:after="0" w:line="110" w:lineRule="exact"/>
              <w:rPr>
                <w:rFonts w:ascii="Arial" w:cs="Arial" w:eastAsia="Arial" w:hAnsi="Arial"/>
                <w:sz w:val="12"/>
                <w:szCs w:val="12"/>
                <w:b w:val="1"/>
                <w:bCs w:val="1"/>
                <w:color w:val="0000FF"/>
              </w:rPr>
            </w:pPr>
            <w:hyperlink r:id="rId212">
              <w:r>
                <w:rPr>
                  <w:rFonts w:ascii="Arial" w:cs="Arial" w:eastAsia="Arial" w:hAnsi="Arial"/>
                  <w:sz w:val="12"/>
                  <w:szCs w:val="12"/>
                  <w:b w:val="1"/>
                  <w:bCs w:val="1"/>
                  <w:color w:val="0000FF"/>
                </w:rPr>
                <w:t>2020</w:t>
              </w:r>
              <w:r>
                <w:rPr>
                  <w:rFonts w:ascii="Arial" w:cs="Arial" w:eastAsia="Arial" w:hAnsi="Arial"/>
                  <w:sz w:val="12"/>
                  <w:szCs w:val="12"/>
                  <w:color w:val="000000"/>
                </w:rPr>
                <w:t>, and incorporated herein by reference.</w:t>
              </w:r>
            </w:hyperlink>
          </w:p>
        </w:tc>
        <w:tc>
          <w:tcPr>
            <w:tcW w:w="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shd w:val="clear" w:color="auto" w:fill="CCEEFF"/>
          </w:tcPr>
          <w:p>
            <w:pPr>
              <w:jc w:val="center"/>
              <w:spacing w:after="0" w:line="110" w:lineRule="exact"/>
              <w:rPr>
                <w:sz w:val="20"/>
                <w:szCs w:val="20"/>
                <w:color w:val="auto"/>
              </w:rPr>
            </w:pPr>
            <w:r>
              <w:rPr>
                <w:rFonts w:ascii="Arial" w:cs="Arial" w:eastAsia="Arial" w:hAnsi="Arial"/>
                <w:sz w:val="12"/>
                <w:szCs w:val="12"/>
                <w:color w:val="auto"/>
                <w:w w:val="99"/>
              </w:rPr>
              <w:t>10.37</w:t>
            </w:r>
          </w:p>
        </w:tc>
        <w:tc>
          <w:tcPr>
            <w:tcW w:w="10220" w:type="dxa"/>
            <w:vAlign w:val="bottom"/>
            <w:gridSpan w:val="19"/>
            <w:shd w:val="clear" w:color="auto" w:fill="CCEEFF"/>
          </w:tcPr>
          <w:p>
            <w:pPr>
              <w:spacing w:after="0" w:line="110" w:lineRule="exact"/>
              <w:rPr>
                <w:rFonts w:ascii="Arial" w:cs="Arial" w:eastAsia="Arial" w:hAnsi="Arial"/>
                <w:sz w:val="12"/>
                <w:szCs w:val="12"/>
                <w:color w:val="auto"/>
              </w:rPr>
            </w:pPr>
            <w:r>
              <w:rPr>
                <w:rFonts w:ascii="Arial" w:cs="Arial" w:eastAsia="Arial" w:hAnsi="Arial"/>
                <w:sz w:val="12"/>
                <w:szCs w:val="12"/>
                <w:color w:val="auto"/>
              </w:rPr>
              <w:t xml:space="preserve">Pledge and Security Agreement dated March 13, 2020, between Sutton Hill Properties, LLC </w:t>
            </w:r>
            <w:hyperlink r:id="rId212">
              <w:r>
                <w:rPr>
                  <w:rFonts w:ascii="Arial" w:cs="Arial" w:eastAsia="Arial" w:hAnsi="Arial"/>
                  <w:sz w:val="12"/>
                  <w:szCs w:val="12"/>
                  <w:color w:val="auto"/>
                </w:rPr>
                <w:t xml:space="preserve">Filed as </w:t>
              </w:r>
              <w:r>
                <w:rPr>
                  <w:rFonts w:ascii="Arial" w:cs="Arial" w:eastAsia="Arial" w:hAnsi="Arial"/>
                  <w:sz w:val="12"/>
                  <w:szCs w:val="12"/>
                  <w:b w:val="1"/>
                  <w:bCs w:val="1"/>
                  <w:color w:val="0000FF"/>
                </w:rPr>
                <w:t>Exhibit 10.4.3 to the Company’s report on Form 8-K (file no. 1-8625), filed on June 2,</w:t>
              </w:r>
            </w:hyperlink>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4840" w:type="dxa"/>
            <w:vAlign w:val="bottom"/>
            <w:gridSpan w:val="10"/>
            <w:vMerge w:val="restart"/>
            <w:shd w:val="clear" w:color="auto" w:fill="CCEEFF"/>
          </w:tcPr>
          <w:p>
            <w:pPr>
              <w:spacing w:after="0" w:line="130" w:lineRule="exact"/>
              <w:rPr>
                <w:sz w:val="20"/>
                <w:szCs w:val="20"/>
                <w:color w:val="auto"/>
              </w:rPr>
            </w:pPr>
            <w:r>
              <w:rPr>
                <w:rFonts w:ascii="Arial" w:cs="Arial" w:eastAsia="Arial" w:hAnsi="Arial"/>
                <w:sz w:val="13"/>
                <w:szCs w:val="13"/>
                <w:color w:val="auto"/>
              </w:rPr>
              <w:t>and Valley National Bank.</w:t>
            </w:r>
          </w:p>
        </w:tc>
        <w:tc>
          <w:tcPr>
            <w:tcW w:w="440" w:type="dxa"/>
            <w:vAlign w:val="bottom"/>
            <w:gridSpan w:val="2"/>
            <w:shd w:val="clear" w:color="auto" w:fill="CCEE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shd w:val="clear" w:color="auto" w:fill="CCEEFF"/>
          </w:tcPr>
          <w:p>
            <w:pPr>
              <w:spacing w:after="0"/>
              <w:rPr>
                <w:sz w:val="9"/>
                <w:szCs w:val="9"/>
                <w:color w:val="auto"/>
              </w:rPr>
            </w:pPr>
          </w:p>
        </w:tc>
        <w:tc>
          <w:tcPr>
            <w:tcW w:w="4840" w:type="dxa"/>
            <w:vAlign w:val="bottom"/>
            <w:gridSpan w:val="10"/>
            <w:vMerge w:val="continue"/>
            <w:shd w:val="clear" w:color="auto" w:fill="CCEEFF"/>
          </w:tcPr>
          <w:p>
            <w:pPr>
              <w:spacing w:after="0"/>
              <w:rPr>
                <w:sz w:val="9"/>
                <w:szCs w:val="9"/>
                <w:color w:val="auto"/>
              </w:rPr>
            </w:pPr>
          </w:p>
        </w:tc>
        <w:tc>
          <w:tcPr>
            <w:tcW w:w="5200" w:type="dxa"/>
            <w:vAlign w:val="bottom"/>
            <w:gridSpan w:val="8"/>
            <w:shd w:val="clear" w:color="auto" w:fill="CCEEFF"/>
          </w:tcPr>
          <w:p>
            <w:pPr>
              <w:spacing w:after="0" w:line="110" w:lineRule="exact"/>
              <w:rPr>
                <w:rFonts w:ascii="Arial" w:cs="Arial" w:eastAsia="Arial" w:hAnsi="Arial"/>
                <w:sz w:val="12"/>
                <w:szCs w:val="12"/>
                <w:b w:val="1"/>
                <w:bCs w:val="1"/>
                <w:color w:val="0000FF"/>
              </w:rPr>
            </w:pPr>
            <w:hyperlink r:id="rId212">
              <w:r>
                <w:rPr>
                  <w:rFonts w:ascii="Arial" w:cs="Arial" w:eastAsia="Arial" w:hAnsi="Arial"/>
                  <w:sz w:val="12"/>
                  <w:szCs w:val="12"/>
                  <w:b w:val="1"/>
                  <w:bCs w:val="1"/>
                  <w:color w:val="0000FF"/>
                </w:rPr>
                <w:t>2020</w:t>
              </w:r>
              <w:r>
                <w:rPr>
                  <w:rFonts w:ascii="Arial" w:cs="Arial" w:eastAsia="Arial" w:hAnsi="Arial"/>
                  <w:sz w:val="12"/>
                  <w:szCs w:val="12"/>
                  <w:color w:val="000000"/>
                </w:rPr>
                <w:t>, and incorporated herein by reference.</w:t>
              </w:r>
            </w:hyperlink>
          </w:p>
        </w:tc>
        <w:tc>
          <w:tcPr>
            <w:tcW w:w="180" w:type="dxa"/>
            <w:vAlign w:val="bottom"/>
            <w:tcBorders>
              <w:left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tcPr>
          <w:p>
            <w:pPr>
              <w:jc w:val="center"/>
              <w:spacing w:after="0" w:line="110" w:lineRule="exact"/>
              <w:rPr>
                <w:sz w:val="20"/>
                <w:szCs w:val="20"/>
                <w:color w:val="auto"/>
              </w:rPr>
            </w:pPr>
            <w:r>
              <w:rPr>
                <w:rFonts w:ascii="Arial" w:cs="Arial" w:eastAsia="Arial" w:hAnsi="Arial"/>
                <w:sz w:val="12"/>
                <w:szCs w:val="12"/>
                <w:color w:val="auto"/>
                <w:w w:val="99"/>
              </w:rPr>
              <w:t>10.38</w:t>
            </w:r>
          </w:p>
        </w:tc>
        <w:tc>
          <w:tcPr>
            <w:tcW w:w="4840" w:type="dxa"/>
            <w:vAlign w:val="bottom"/>
            <w:gridSpan w:val="10"/>
          </w:tcPr>
          <w:p>
            <w:pPr>
              <w:spacing w:after="0" w:line="110" w:lineRule="exact"/>
              <w:rPr>
                <w:sz w:val="20"/>
                <w:szCs w:val="20"/>
                <w:color w:val="auto"/>
              </w:rPr>
            </w:pPr>
            <w:r>
              <w:rPr>
                <w:rFonts w:ascii="Arial" w:cs="Arial" w:eastAsia="Arial" w:hAnsi="Arial"/>
                <w:sz w:val="12"/>
                <w:szCs w:val="12"/>
                <w:color w:val="auto"/>
              </w:rPr>
              <w:t>ADA and Environmental Indemnity Agreement dated March 13, 2020, executed by Sutton</w:t>
            </w:r>
          </w:p>
        </w:tc>
        <w:tc>
          <w:tcPr>
            <w:tcW w:w="5380" w:type="dxa"/>
            <w:vAlign w:val="bottom"/>
            <w:gridSpan w:val="9"/>
          </w:tcPr>
          <w:p>
            <w:pPr>
              <w:spacing w:after="0" w:line="110" w:lineRule="exact"/>
              <w:rPr>
                <w:rFonts w:ascii="Arial" w:cs="Arial" w:eastAsia="Arial" w:hAnsi="Arial"/>
                <w:sz w:val="12"/>
                <w:szCs w:val="12"/>
                <w:color w:val="auto"/>
              </w:rPr>
            </w:pPr>
            <w:hyperlink r:id="rId212">
              <w:r>
                <w:rPr>
                  <w:rFonts w:ascii="Arial" w:cs="Arial" w:eastAsia="Arial" w:hAnsi="Arial"/>
                  <w:sz w:val="12"/>
                  <w:szCs w:val="12"/>
                  <w:color w:val="auto"/>
                </w:rPr>
                <w:t xml:space="preserve">Filed as </w:t>
              </w:r>
              <w:r>
                <w:rPr>
                  <w:rFonts w:ascii="Arial" w:cs="Arial" w:eastAsia="Arial" w:hAnsi="Arial"/>
                  <w:sz w:val="12"/>
                  <w:szCs w:val="12"/>
                  <w:b w:val="1"/>
                  <w:bCs w:val="1"/>
                  <w:color w:val="0000FF"/>
                </w:rPr>
                <w:t>Exhibit 10.4.4 to the Company’s report on Form 8-K (file no. 1-8625), filed on June 2,</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840" w:type="dxa"/>
            <w:vAlign w:val="bottom"/>
            <w:gridSpan w:val="10"/>
            <w:vMerge w:val="restart"/>
          </w:tcPr>
          <w:p>
            <w:pPr>
              <w:spacing w:after="0" w:line="130" w:lineRule="exact"/>
              <w:rPr>
                <w:sz w:val="20"/>
                <w:szCs w:val="20"/>
                <w:color w:val="auto"/>
              </w:rPr>
            </w:pPr>
            <w:r>
              <w:rPr>
                <w:rFonts w:ascii="Arial" w:cs="Arial" w:eastAsia="Arial" w:hAnsi="Arial"/>
                <w:sz w:val="13"/>
                <w:szCs w:val="13"/>
                <w:color w:val="auto"/>
              </w:rPr>
              <w:t>Hill Properties, LLC and Reading International, Inc. in favor of Valley National Bank.</w:t>
            </w:r>
          </w:p>
        </w:tc>
        <w:tc>
          <w:tcPr>
            <w:tcW w:w="4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tcPr>
          <w:p>
            <w:pPr>
              <w:spacing w:after="0"/>
              <w:rPr>
                <w:sz w:val="9"/>
                <w:szCs w:val="9"/>
                <w:color w:val="auto"/>
              </w:rPr>
            </w:pPr>
          </w:p>
        </w:tc>
        <w:tc>
          <w:tcPr>
            <w:tcW w:w="4840" w:type="dxa"/>
            <w:vAlign w:val="bottom"/>
            <w:gridSpan w:val="10"/>
            <w:vMerge w:val="continue"/>
          </w:tcPr>
          <w:p>
            <w:pPr>
              <w:spacing w:after="0"/>
              <w:rPr>
                <w:sz w:val="9"/>
                <w:szCs w:val="9"/>
                <w:color w:val="auto"/>
              </w:rPr>
            </w:pPr>
          </w:p>
        </w:tc>
        <w:tc>
          <w:tcPr>
            <w:tcW w:w="5200" w:type="dxa"/>
            <w:vAlign w:val="bottom"/>
            <w:gridSpan w:val="8"/>
          </w:tcPr>
          <w:p>
            <w:pPr>
              <w:spacing w:after="0" w:line="110" w:lineRule="exact"/>
              <w:rPr>
                <w:rFonts w:ascii="Arial" w:cs="Arial" w:eastAsia="Arial" w:hAnsi="Arial"/>
                <w:sz w:val="12"/>
                <w:szCs w:val="12"/>
                <w:b w:val="1"/>
                <w:bCs w:val="1"/>
                <w:color w:val="0000FF"/>
              </w:rPr>
            </w:pPr>
            <w:hyperlink r:id="rId212">
              <w:r>
                <w:rPr>
                  <w:rFonts w:ascii="Arial" w:cs="Arial" w:eastAsia="Arial" w:hAnsi="Arial"/>
                  <w:sz w:val="12"/>
                  <w:szCs w:val="12"/>
                  <w:b w:val="1"/>
                  <w:bCs w:val="1"/>
                  <w:color w:val="0000FF"/>
                </w:rPr>
                <w:t>2020</w:t>
              </w:r>
              <w:r>
                <w:rPr>
                  <w:rFonts w:ascii="Arial" w:cs="Arial" w:eastAsia="Arial" w:hAnsi="Arial"/>
                  <w:sz w:val="12"/>
                  <w:szCs w:val="12"/>
                  <w:color w:val="000000"/>
                </w:rPr>
                <w:t>, and incorporated herein by reference.</w:t>
              </w:r>
            </w:hyperlink>
          </w:p>
        </w:tc>
        <w:tc>
          <w:tcPr>
            <w:tcW w:w="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shd w:val="clear" w:color="auto" w:fill="CCEEFF"/>
          </w:tcPr>
          <w:p>
            <w:pPr>
              <w:jc w:val="center"/>
              <w:spacing w:after="0" w:line="110" w:lineRule="exact"/>
              <w:rPr>
                <w:sz w:val="20"/>
                <w:szCs w:val="20"/>
                <w:color w:val="auto"/>
              </w:rPr>
            </w:pPr>
            <w:r>
              <w:rPr>
                <w:rFonts w:ascii="Arial" w:cs="Arial" w:eastAsia="Arial" w:hAnsi="Arial"/>
                <w:sz w:val="12"/>
                <w:szCs w:val="12"/>
                <w:color w:val="auto"/>
                <w:w w:val="99"/>
              </w:rPr>
              <w:t>10.39</w:t>
            </w:r>
          </w:p>
        </w:tc>
        <w:tc>
          <w:tcPr>
            <w:tcW w:w="4840" w:type="dxa"/>
            <w:vAlign w:val="bottom"/>
            <w:gridSpan w:val="10"/>
            <w:shd w:val="clear" w:color="auto" w:fill="CCEEFF"/>
          </w:tcPr>
          <w:p>
            <w:pPr>
              <w:spacing w:after="0" w:line="110" w:lineRule="exact"/>
              <w:rPr>
                <w:sz w:val="20"/>
                <w:szCs w:val="20"/>
                <w:color w:val="auto"/>
              </w:rPr>
            </w:pPr>
            <w:r>
              <w:rPr>
                <w:rFonts w:ascii="Arial" w:cs="Arial" w:eastAsia="Arial" w:hAnsi="Arial"/>
                <w:sz w:val="12"/>
                <w:szCs w:val="12"/>
                <w:color w:val="auto"/>
                <w:w w:val="98"/>
              </w:rPr>
              <w:t>Assignment of Rents and Leases dated March 13, 2020, executed by Sutton Hill Properties,</w:t>
            </w:r>
          </w:p>
        </w:tc>
        <w:tc>
          <w:tcPr>
            <w:tcW w:w="5380" w:type="dxa"/>
            <w:vAlign w:val="bottom"/>
            <w:gridSpan w:val="9"/>
            <w:shd w:val="clear" w:color="auto" w:fill="CCEEFF"/>
          </w:tcPr>
          <w:p>
            <w:pPr>
              <w:spacing w:after="0" w:line="110" w:lineRule="exact"/>
              <w:rPr>
                <w:rFonts w:ascii="Arial" w:cs="Arial" w:eastAsia="Arial" w:hAnsi="Arial"/>
                <w:sz w:val="12"/>
                <w:szCs w:val="12"/>
                <w:color w:val="auto"/>
              </w:rPr>
            </w:pPr>
            <w:hyperlink r:id="rId212">
              <w:r>
                <w:rPr>
                  <w:rFonts w:ascii="Arial" w:cs="Arial" w:eastAsia="Arial" w:hAnsi="Arial"/>
                  <w:sz w:val="12"/>
                  <w:szCs w:val="12"/>
                  <w:color w:val="auto"/>
                </w:rPr>
                <w:t xml:space="preserve">Filed as </w:t>
              </w:r>
              <w:r>
                <w:rPr>
                  <w:rFonts w:ascii="Arial" w:cs="Arial" w:eastAsia="Arial" w:hAnsi="Arial"/>
                  <w:sz w:val="12"/>
                  <w:szCs w:val="12"/>
                  <w:b w:val="1"/>
                  <w:bCs w:val="1"/>
                  <w:color w:val="0000FF"/>
                </w:rPr>
                <w:t>Exhibit 10.4.5 to the Company’s report on Form 8-K (file no. 1-8625), filed on June 2,</w:t>
              </w:r>
            </w:hyperlink>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4840" w:type="dxa"/>
            <w:vAlign w:val="bottom"/>
            <w:gridSpan w:val="10"/>
            <w:vMerge w:val="restart"/>
            <w:shd w:val="clear" w:color="auto" w:fill="CCEEFF"/>
          </w:tcPr>
          <w:p>
            <w:pPr>
              <w:spacing w:after="0" w:line="130" w:lineRule="exact"/>
              <w:rPr>
                <w:sz w:val="20"/>
                <w:szCs w:val="20"/>
                <w:color w:val="auto"/>
              </w:rPr>
            </w:pPr>
            <w:r>
              <w:rPr>
                <w:rFonts w:ascii="Arial" w:cs="Arial" w:eastAsia="Arial" w:hAnsi="Arial"/>
                <w:sz w:val="13"/>
                <w:szCs w:val="13"/>
                <w:color w:val="auto"/>
              </w:rPr>
              <w:t>LLC in favor of Valley National Bank.</w:t>
            </w:r>
          </w:p>
        </w:tc>
        <w:tc>
          <w:tcPr>
            <w:tcW w:w="440" w:type="dxa"/>
            <w:vAlign w:val="bottom"/>
            <w:gridSpan w:val="2"/>
            <w:shd w:val="clear" w:color="auto" w:fill="CCEE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shd w:val="clear" w:color="auto" w:fill="CCEEFF"/>
          </w:tcPr>
          <w:p>
            <w:pPr>
              <w:spacing w:after="0"/>
              <w:rPr>
                <w:sz w:val="9"/>
                <w:szCs w:val="9"/>
                <w:color w:val="auto"/>
              </w:rPr>
            </w:pPr>
          </w:p>
        </w:tc>
        <w:tc>
          <w:tcPr>
            <w:tcW w:w="4840" w:type="dxa"/>
            <w:vAlign w:val="bottom"/>
            <w:gridSpan w:val="10"/>
            <w:vMerge w:val="continue"/>
            <w:shd w:val="clear" w:color="auto" w:fill="CCEEFF"/>
          </w:tcPr>
          <w:p>
            <w:pPr>
              <w:spacing w:after="0"/>
              <w:rPr>
                <w:sz w:val="9"/>
                <w:szCs w:val="9"/>
                <w:color w:val="auto"/>
              </w:rPr>
            </w:pPr>
          </w:p>
        </w:tc>
        <w:tc>
          <w:tcPr>
            <w:tcW w:w="5200" w:type="dxa"/>
            <w:vAlign w:val="bottom"/>
            <w:gridSpan w:val="8"/>
            <w:shd w:val="clear" w:color="auto" w:fill="CCEEFF"/>
          </w:tcPr>
          <w:p>
            <w:pPr>
              <w:spacing w:after="0" w:line="110" w:lineRule="exact"/>
              <w:rPr>
                <w:rFonts w:ascii="Arial" w:cs="Arial" w:eastAsia="Arial" w:hAnsi="Arial"/>
                <w:sz w:val="12"/>
                <w:szCs w:val="12"/>
                <w:b w:val="1"/>
                <w:bCs w:val="1"/>
                <w:color w:val="0000FF"/>
              </w:rPr>
            </w:pPr>
            <w:hyperlink r:id="rId212">
              <w:r>
                <w:rPr>
                  <w:rFonts w:ascii="Arial" w:cs="Arial" w:eastAsia="Arial" w:hAnsi="Arial"/>
                  <w:sz w:val="12"/>
                  <w:szCs w:val="12"/>
                  <w:b w:val="1"/>
                  <w:bCs w:val="1"/>
                  <w:color w:val="0000FF"/>
                </w:rPr>
                <w:t>2020</w:t>
              </w:r>
              <w:r>
                <w:rPr>
                  <w:rFonts w:ascii="Arial" w:cs="Arial" w:eastAsia="Arial" w:hAnsi="Arial"/>
                  <w:sz w:val="12"/>
                  <w:szCs w:val="12"/>
                  <w:color w:val="000000"/>
                </w:rPr>
                <w:t>, and incorporated herein by reference.</w:t>
              </w:r>
            </w:hyperlink>
          </w:p>
        </w:tc>
        <w:tc>
          <w:tcPr>
            <w:tcW w:w="180" w:type="dxa"/>
            <w:vAlign w:val="bottom"/>
            <w:tcBorders>
              <w:left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tcPr>
          <w:p>
            <w:pPr>
              <w:jc w:val="center"/>
              <w:spacing w:after="0" w:line="110" w:lineRule="exact"/>
              <w:rPr>
                <w:sz w:val="20"/>
                <w:szCs w:val="20"/>
                <w:color w:val="auto"/>
              </w:rPr>
            </w:pPr>
            <w:r>
              <w:rPr>
                <w:rFonts w:ascii="Arial" w:cs="Arial" w:eastAsia="Arial" w:hAnsi="Arial"/>
                <w:sz w:val="12"/>
                <w:szCs w:val="12"/>
                <w:color w:val="auto"/>
                <w:w w:val="99"/>
              </w:rPr>
              <w:t>10.40</w:t>
            </w:r>
          </w:p>
        </w:tc>
        <w:tc>
          <w:tcPr>
            <w:tcW w:w="4840" w:type="dxa"/>
            <w:vAlign w:val="bottom"/>
            <w:gridSpan w:val="10"/>
          </w:tcPr>
          <w:p>
            <w:pPr>
              <w:spacing w:after="0" w:line="110" w:lineRule="exact"/>
              <w:rPr>
                <w:sz w:val="20"/>
                <w:szCs w:val="20"/>
                <w:color w:val="auto"/>
              </w:rPr>
            </w:pPr>
            <w:r>
              <w:rPr>
                <w:rFonts w:ascii="Arial" w:cs="Arial" w:eastAsia="Arial" w:hAnsi="Arial"/>
                <w:sz w:val="12"/>
                <w:szCs w:val="12"/>
                <w:color w:val="auto"/>
              </w:rPr>
              <w:t>Guaranty of Payment and Performance dated March 13, 2020 executed by Reading</w:t>
            </w:r>
          </w:p>
        </w:tc>
        <w:tc>
          <w:tcPr>
            <w:tcW w:w="5380" w:type="dxa"/>
            <w:vAlign w:val="bottom"/>
            <w:gridSpan w:val="9"/>
          </w:tcPr>
          <w:p>
            <w:pPr>
              <w:spacing w:after="0" w:line="110" w:lineRule="exact"/>
              <w:rPr>
                <w:rFonts w:ascii="Arial" w:cs="Arial" w:eastAsia="Arial" w:hAnsi="Arial"/>
                <w:sz w:val="12"/>
                <w:szCs w:val="12"/>
                <w:color w:val="auto"/>
              </w:rPr>
            </w:pPr>
            <w:hyperlink r:id="rId212">
              <w:r>
                <w:rPr>
                  <w:rFonts w:ascii="Arial" w:cs="Arial" w:eastAsia="Arial" w:hAnsi="Arial"/>
                  <w:sz w:val="12"/>
                  <w:szCs w:val="12"/>
                  <w:color w:val="auto"/>
                </w:rPr>
                <w:t xml:space="preserve">Filed as </w:t>
              </w:r>
              <w:r>
                <w:rPr>
                  <w:rFonts w:ascii="Arial" w:cs="Arial" w:eastAsia="Arial" w:hAnsi="Arial"/>
                  <w:sz w:val="12"/>
                  <w:szCs w:val="12"/>
                  <w:b w:val="1"/>
                  <w:bCs w:val="1"/>
                  <w:color w:val="0000FF"/>
                </w:rPr>
                <w:t>Exhibit 10.4.6 to the Company’s report on Form 8-K (file no. 1-8625), filed on June 2,</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840" w:type="dxa"/>
            <w:vAlign w:val="bottom"/>
            <w:gridSpan w:val="10"/>
            <w:vMerge w:val="restart"/>
          </w:tcPr>
          <w:p>
            <w:pPr>
              <w:spacing w:after="0" w:line="130" w:lineRule="exact"/>
              <w:rPr>
                <w:sz w:val="20"/>
                <w:szCs w:val="20"/>
                <w:color w:val="auto"/>
              </w:rPr>
            </w:pPr>
            <w:r>
              <w:rPr>
                <w:rFonts w:ascii="Arial" w:cs="Arial" w:eastAsia="Arial" w:hAnsi="Arial"/>
                <w:sz w:val="13"/>
                <w:szCs w:val="13"/>
                <w:color w:val="auto"/>
              </w:rPr>
              <w:t>International, Inc. in favor of Valley National Bank.</w:t>
            </w:r>
          </w:p>
        </w:tc>
        <w:tc>
          <w:tcPr>
            <w:tcW w:w="4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tcPr>
          <w:p>
            <w:pPr>
              <w:spacing w:after="0"/>
              <w:rPr>
                <w:sz w:val="9"/>
                <w:szCs w:val="9"/>
                <w:color w:val="auto"/>
              </w:rPr>
            </w:pPr>
          </w:p>
        </w:tc>
        <w:tc>
          <w:tcPr>
            <w:tcW w:w="4840" w:type="dxa"/>
            <w:vAlign w:val="bottom"/>
            <w:gridSpan w:val="10"/>
            <w:vMerge w:val="continue"/>
          </w:tcPr>
          <w:p>
            <w:pPr>
              <w:spacing w:after="0"/>
              <w:rPr>
                <w:sz w:val="9"/>
                <w:szCs w:val="9"/>
                <w:color w:val="auto"/>
              </w:rPr>
            </w:pPr>
          </w:p>
        </w:tc>
        <w:tc>
          <w:tcPr>
            <w:tcW w:w="5200" w:type="dxa"/>
            <w:vAlign w:val="bottom"/>
            <w:gridSpan w:val="8"/>
          </w:tcPr>
          <w:p>
            <w:pPr>
              <w:spacing w:after="0" w:line="110" w:lineRule="exact"/>
              <w:rPr>
                <w:rFonts w:ascii="Arial" w:cs="Arial" w:eastAsia="Arial" w:hAnsi="Arial"/>
                <w:sz w:val="12"/>
                <w:szCs w:val="12"/>
                <w:b w:val="1"/>
                <w:bCs w:val="1"/>
                <w:color w:val="0000FF"/>
              </w:rPr>
            </w:pPr>
            <w:hyperlink r:id="rId212">
              <w:r>
                <w:rPr>
                  <w:rFonts w:ascii="Arial" w:cs="Arial" w:eastAsia="Arial" w:hAnsi="Arial"/>
                  <w:sz w:val="12"/>
                  <w:szCs w:val="12"/>
                  <w:b w:val="1"/>
                  <w:bCs w:val="1"/>
                  <w:color w:val="0000FF"/>
                </w:rPr>
                <w:t>2020</w:t>
              </w:r>
              <w:r>
                <w:rPr>
                  <w:rFonts w:ascii="Arial" w:cs="Arial" w:eastAsia="Arial" w:hAnsi="Arial"/>
                  <w:sz w:val="12"/>
                  <w:szCs w:val="12"/>
                  <w:color w:val="000000"/>
                </w:rPr>
                <w:t>, and incorporated herein by reference.</w:t>
              </w:r>
            </w:hyperlink>
          </w:p>
        </w:tc>
        <w:tc>
          <w:tcPr>
            <w:tcW w:w="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shd w:val="clear" w:color="auto" w:fill="CCEEFF"/>
          </w:tcPr>
          <w:p>
            <w:pPr>
              <w:jc w:val="center"/>
              <w:spacing w:after="0" w:line="110" w:lineRule="exact"/>
              <w:rPr>
                <w:sz w:val="20"/>
                <w:szCs w:val="20"/>
                <w:color w:val="auto"/>
              </w:rPr>
            </w:pPr>
            <w:r>
              <w:rPr>
                <w:rFonts w:ascii="Arial" w:cs="Arial" w:eastAsia="Arial" w:hAnsi="Arial"/>
                <w:sz w:val="12"/>
                <w:szCs w:val="12"/>
                <w:color w:val="auto"/>
                <w:w w:val="99"/>
              </w:rPr>
              <w:t>10.41</w:t>
            </w:r>
          </w:p>
        </w:tc>
        <w:tc>
          <w:tcPr>
            <w:tcW w:w="4840" w:type="dxa"/>
            <w:vAlign w:val="bottom"/>
            <w:gridSpan w:val="10"/>
            <w:shd w:val="clear" w:color="auto" w:fill="CCEEFF"/>
          </w:tcPr>
          <w:p>
            <w:pPr>
              <w:spacing w:after="0" w:line="110" w:lineRule="exact"/>
              <w:rPr>
                <w:sz w:val="20"/>
                <w:szCs w:val="20"/>
                <w:color w:val="auto"/>
              </w:rPr>
            </w:pPr>
            <w:r>
              <w:rPr>
                <w:rFonts w:ascii="Arial" w:cs="Arial" w:eastAsia="Arial" w:hAnsi="Arial"/>
                <w:sz w:val="12"/>
                <w:szCs w:val="12"/>
                <w:color w:val="auto"/>
              </w:rPr>
              <w:t>Carveout Guaranty dated March 13, 2020 executed by Reading International, Inc. in favor</w:t>
            </w:r>
          </w:p>
        </w:tc>
        <w:tc>
          <w:tcPr>
            <w:tcW w:w="5380" w:type="dxa"/>
            <w:vAlign w:val="bottom"/>
            <w:gridSpan w:val="9"/>
            <w:shd w:val="clear" w:color="auto" w:fill="CCEEFF"/>
          </w:tcPr>
          <w:p>
            <w:pPr>
              <w:spacing w:after="0" w:line="110" w:lineRule="exact"/>
              <w:rPr>
                <w:rFonts w:ascii="Arial" w:cs="Arial" w:eastAsia="Arial" w:hAnsi="Arial"/>
                <w:sz w:val="12"/>
                <w:szCs w:val="12"/>
                <w:color w:val="auto"/>
              </w:rPr>
            </w:pPr>
            <w:hyperlink r:id="rId212">
              <w:r>
                <w:rPr>
                  <w:rFonts w:ascii="Arial" w:cs="Arial" w:eastAsia="Arial" w:hAnsi="Arial"/>
                  <w:sz w:val="12"/>
                  <w:szCs w:val="12"/>
                  <w:color w:val="auto"/>
                </w:rPr>
                <w:t xml:space="preserve">Filed as </w:t>
              </w:r>
              <w:r>
                <w:rPr>
                  <w:rFonts w:ascii="Arial" w:cs="Arial" w:eastAsia="Arial" w:hAnsi="Arial"/>
                  <w:sz w:val="12"/>
                  <w:szCs w:val="12"/>
                  <w:b w:val="1"/>
                  <w:bCs w:val="1"/>
                  <w:color w:val="0000FF"/>
                </w:rPr>
                <w:t>Exhibit 10.4.7 to the Company’s report on Form 8-K (file no. 1-8625), filed on June 2,</w:t>
              </w:r>
            </w:hyperlink>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4840" w:type="dxa"/>
            <w:vAlign w:val="bottom"/>
            <w:gridSpan w:val="10"/>
            <w:vMerge w:val="restart"/>
            <w:shd w:val="clear" w:color="auto" w:fill="CCEEFF"/>
          </w:tcPr>
          <w:p>
            <w:pPr>
              <w:spacing w:after="0" w:line="130" w:lineRule="exact"/>
              <w:rPr>
                <w:sz w:val="20"/>
                <w:szCs w:val="20"/>
                <w:color w:val="auto"/>
              </w:rPr>
            </w:pPr>
            <w:r>
              <w:rPr>
                <w:rFonts w:ascii="Arial" w:cs="Arial" w:eastAsia="Arial" w:hAnsi="Arial"/>
                <w:sz w:val="13"/>
                <w:szCs w:val="13"/>
                <w:color w:val="auto"/>
              </w:rPr>
              <w:t>of Valley National Bank.</w:t>
            </w:r>
          </w:p>
        </w:tc>
        <w:tc>
          <w:tcPr>
            <w:tcW w:w="440" w:type="dxa"/>
            <w:vAlign w:val="bottom"/>
            <w:gridSpan w:val="2"/>
            <w:shd w:val="clear" w:color="auto" w:fill="CCEE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shd w:val="clear" w:color="auto" w:fill="CCEEFF"/>
          </w:tcPr>
          <w:p>
            <w:pPr>
              <w:spacing w:after="0"/>
              <w:rPr>
                <w:sz w:val="9"/>
                <w:szCs w:val="9"/>
                <w:color w:val="auto"/>
              </w:rPr>
            </w:pPr>
          </w:p>
        </w:tc>
        <w:tc>
          <w:tcPr>
            <w:tcW w:w="4840" w:type="dxa"/>
            <w:vAlign w:val="bottom"/>
            <w:gridSpan w:val="10"/>
            <w:vMerge w:val="continue"/>
            <w:shd w:val="clear" w:color="auto" w:fill="CCEEFF"/>
          </w:tcPr>
          <w:p>
            <w:pPr>
              <w:spacing w:after="0"/>
              <w:rPr>
                <w:sz w:val="9"/>
                <w:szCs w:val="9"/>
                <w:color w:val="auto"/>
              </w:rPr>
            </w:pPr>
          </w:p>
        </w:tc>
        <w:tc>
          <w:tcPr>
            <w:tcW w:w="5200" w:type="dxa"/>
            <w:vAlign w:val="bottom"/>
            <w:gridSpan w:val="8"/>
            <w:shd w:val="clear" w:color="auto" w:fill="CCEEFF"/>
          </w:tcPr>
          <w:p>
            <w:pPr>
              <w:spacing w:after="0" w:line="110" w:lineRule="exact"/>
              <w:rPr>
                <w:rFonts w:ascii="Arial" w:cs="Arial" w:eastAsia="Arial" w:hAnsi="Arial"/>
                <w:sz w:val="12"/>
                <w:szCs w:val="12"/>
                <w:b w:val="1"/>
                <w:bCs w:val="1"/>
                <w:color w:val="0000FF"/>
              </w:rPr>
            </w:pPr>
            <w:hyperlink r:id="rId212">
              <w:r>
                <w:rPr>
                  <w:rFonts w:ascii="Arial" w:cs="Arial" w:eastAsia="Arial" w:hAnsi="Arial"/>
                  <w:sz w:val="12"/>
                  <w:szCs w:val="12"/>
                  <w:b w:val="1"/>
                  <w:bCs w:val="1"/>
                  <w:color w:val="0000FF"/>
                </w:rPr>
                <w:t>2020</w:t>
              </w:r>
              <w:r>
                <w:rPr>
                  <w:rFonts w:ascii="Arial" w:cs="Arial" w:eastAsia="Arial" w:hAnsi="Arial"/>
                  <w:sz w:val="12"/>
                  <w:szCs w:val="12"/>
                  <w:color w:val="000000"/>
                </w:rPr>
                <w:t>, and incorporated herein by reference.</w:t>
              </w:r>
            </w:hyperlink>
          </w:p>
        </w:tc>
        <w:tc>
          <w:tcPr>
            <w:tcW w:w="180" w:type="dxa"/>
            <w:vAlign w:val="bottom"/>
            <w:tcBorders>
              <w:left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tcPr>
          <w:p>
            <w:pPr>
              <w:jc w:val="center"/>
              <w:spacing w:after="0" w:line="110" w:lineRule="exact"/>
              <w:rPr>
                <w:sz w:val="20"/>
                <w:szCs w:val="20"/>
                <w:color w:val="auto"/>
              </w:rPr>
            </w:pPr>
            <w:r>
              <w:rPr>
                <w:rFonts w:ascii="Arial" w:cs="Arial" w:eastAsia="Arial" w:hAnsi="Arial"/>
                <w:sz w:val="12"/>
                <w:szCs w:val="12"/>
                <w:color w:val="auto"/>
                <w:w w:val="99"/>
              </w:rPr>
              <w:t>10.42</w:t>
            </w:r>
          </w:p>
        </w:tc>
        <w:tc>
          <w:tcPr>
            <w:tcW w:w="4840" w:type="dxa"/>
            <w:vAlign w:val="bottom"/>
            <w:gridSpan w:val="10"/>
          </w:tcPr>
          <w:p>
            <w:pPr>
              <w:spacing w:after="0" w:line="110" w:lineRule="exact"/>
              <w:rPr>
                <w:sz w:val="20"/>
                <w:szCs w:val="20"/>
                <w:color w:val="auto"/>
              </w:rPr>
            </w:pPr>
            <w:r>
              <w:rPr>
                <w:rFonts w:ascii="Arial" w:cs="Arial" w:eastAsia="Arial" w:hAnsi="Arial"/>
                <w:sz w:val="12"/>
                <w:szCs w:val="12"/>
                <w:color w:val="auto"/>
              </w:rPr>
              <w:t>Guaranty dated March 13, 2020 executed by Reading International, Inc. in favor of Valley</w:t>
            </w:r>
          </w:p>
        </w:tc>
        <w:tc>
          <w:tcPr>
            <w:tcW w:w="5380" w:type="dxa"/>
            <w:vAlign w:val="bottom"/>
            <w:gridSpan w:val="9"/>
          </w:tcPr>
          <w:p>
            <w:pPr>
              <w:spacing w:after="0" w:line="110" w:lineRule="exact"/>
              <w:rPr>
                <w:rFonts w:ascii="Arial" w:cs="Arial" w:eastAsia="Arial" w:hAnsi="Arial"/>
                <w:sz w:val="12"/>
                <w:szCs w:val="12"/>
                <w:color w:val="auto"/>
              </w:rPr>
            </w:pPr>
            <w:hyperlink r:id="rId212">
              <w:r>
                <w:rPr>
                  <w:rFonts w:ascii="Arial" w:cs="Arial" w:eastAsia="Arial" w:hAnsi="Arial"/>
                  <w:sz w:val="12"/>
                  <w:szCs w:val="12"/>
                  <w:color w:val="auto"/>
                </w:rPr>
                <w:t xml:space="preserve">Filed as </w:t>
              </w:r>
              <w:r>
                <w:rPr>
                  <w:rFonts w:ascii="Arial" w:cs="Arial" w:eastAsia="Arial" w:hAnsi="Arial"/>
                  <w:sz w:val="12"/>
                  <w:szCs w:val="12"/>
                  <w:b w:val="1"/>
                  <w:bCs w:val="1"/>
                  <w:color w:val="0000FF"/>
                </w:rPr>
                <w:t>Exhibit 10.4.8 to the Company’s report on Form 8-K (file no. 1-8625), filed on June 2,</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840" w:type="dxa"/>
            <w:vAlign w:val="bottom"/>
            <w:gridSpan w:val="10"/>
            <w:vMerge w:val="restart"/>
          </w:tcPr>
          <w:p>
            <w:pPr>
              <w:spacing w:after="0" w:line="130" w:lineRule="exact"/>
              <w:rPr>
                <w:sz w:val="20"/>
                <w:szCs w:val="20"/>
                <w:color w:val="auto"/>
              </w:rPr>
            </w:pPr>
            <w:r>
              <w:rPr>
                <w:rFonts w:ascii="Arial" w:cs="Arial" w:eastAsia="Arial" w:hAnsi="Arial"/>
                <w:sz w:val="13"/>
                <w:szCs w:val="13"/>
                <w:color w:val="auto"/>
              </w:rPr>
              <w:t>National Bank.</w:t>
            </w:r>
          </w:p>
        </w:tc>
        <w:tc>
          <w:tcPr>
            <w:tcW w:w="4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tcPr>
          <w:p>
            <w:pPr>
              <w:spacing w:after="0"/>
              <w:rPr>
                <w:sz w:val="9"/>
                <w:szCs w:val="9"/>
                <w:color w:val="auto"/>
              </w:rPr>
            </w:pPr>
          </w:p>
        </w:tc>
        <w:tc>
          <w:tcPr>
            <w:tcW w:w="4840" w:type="dxa"/>
            <w:vAlign w:val="bottom"/>
            <w:gridSpan w:val="10"/>
            <w:vMerge w:val="continue"/>
          </w:tcPr>
          <w:p>
            <w:pPr>
              <w:spacing w:after="0"/>
              <w:rPr>
                <w:sz w:val="9"/>
                <w:szCs w:val="9"/>
                <w:color w:val="auto"/>
              </w:rPr>
            </w:pPr>
          </w:p>
        </w:tc>
        <w:tc>
          <w:tcPr>
            <w:tcW w:w="5200" w:type="dxa"/>
            <w:vAlign w:val="bottom"/>
            <w:gridSpan w:val="8"/>
          </w:tcPr>
          <w:p>
            <w:pPr>
              <w:spacing w:after="0" w:line="110" w:lineRule="exact"/>
              <w:rPr>
                <w:rFonts w:ascii="Arial" w:cs="Arial" w:eastAsia="Arial" w:hAnsi="Arial"/>
                <w:sz w:val="12"/>
                <w:szCs w:val="12"/>
                <w:b w:val="1"/>
                <w:bCs w:val="1"/>
                <w:color w:val="0000FF"/>
              </w:rPr>
            </w:pPr>
            <w:hyperlink r:id="rId212">
              <w:r>
                <w:rPr>
                  <w:rFonts w:ascii="Arial" w:cs="Arial" w:eastAsia="Arial" w:hAnsi="Arial"/>
                  <w:sz w:val="12"/>
                  <w:szCs w:val="12"/>
                  <w:b w:val="1"/>
                  <w:bCs w:val="1"/>
                  <w:color w:val="0000FF"/>
                </w:rPr>
                <w:t>2020</w:t>
              </w:r>
              <w:r>
                <w:rPr>
                  <w:rFonts w:ascii="Arial" w:cs="Arial" w:eastAsia="Arial" w:hAnsi="Arial"/>
                  <w:sz w:val="12"/>
                  <w:szCs w:val="12"/>
                  <w:color w:val="000000"/>
                </w:rPr>
                <w:t>, and incorporated herein by reference.</w:t>
              </w:r>
            </w:hyperlink>
          </w:p>
        </w:tc>
        <w:tc>
          <w:tcPr>
            <w:tcW w:w="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shd w:val="clear" w:color="auto" w:fill="CCEEFF"/>
          </w:tcPr>
          <w:p>
            <w:pPr>
              <w:jc w:val="center"/>
              <w:spacing w:after="0" w:line="110" w:lineRule="exact"/>
              <w:rPr>
                <w:sz w:val="20"/>
                <w:szCs w:val="20"/>
                <w:color w:val="auto"/>
              </w:rPr>
            </w:pPr>
            <w:r>
              <w:rPr>
                <w:rFonts w:ascii="Arial" w:cs="Arial" w:eastAsia="Arial" w:hAnsi="Arial"/>
                <w:sz w:val="12"/>
                <w:szCs w:val="12"/>
                <w:color w:val="auto"/>
                <w:w w:val="99"/>
              </w:rPr>
              <w:t>10.43</w:t>
            </w:r>
          </w:p>
        </w:tc>
        <w:tc>
          <w:tcPr>
            <w:tcW w:w="4840" w:type="dxa"/>
            <w:vAlign w:val="bottom"/>
            <w:gridSpan w:val="10"/>
            <w:shd w:val="clear" w:color="auto" w:fill="CCEEFF"/>
          </w:tcPr>
          <w:p>
            <w:pPr>
              <w:spacing w:after="0" w:line="110" w:lineRule="exact"/>
              <w:rPr>
                <w:sz w:val="20"/>
                <w:szCs w:val="20"/>
                <w:color w:val="auto"/>
              </w:rPr>
            </w:pPr>
            <w:r>
              <w:rPr>
                <w:rFonts w:ascii="Arial" w:cs="Arial" w:eastAsia="Arial" w:hAnsi="Arial"/>
                <w:sz w:val="12"/>
                <w:szCs w:val="12"/>
                <w:color w:val="auto"/>
              </w:rPr>
              <w:t>Loan Agreement dated as of May 7, 2021, by and between Reading Tammany Owner LLC</w:t>
            </w:r>
          </w:p>
        </w:tc>
        <w:tc>
          <w:tcPr>
            <w:tcW w:w="5380" w:type="dxa"/>
            <w:vAlign w:val="bottom"/>
            <w:gridSpan w:val="9"/>
            <w:shd w:val="clear" w:color="auto" w:fill="CCEEFF"/>
          </w:tcPr>
          <w:p>
            <w:pPr>
              <w:spacing w:after="0" w:line="110" w:lineRule="exact"/>
              <w:rPr>
                <w:rFonts w:ascii="Arial" w:cs="Arial" w:eastAsia="Arial" w:hAnsi="Arial"/>
                <w:sz w:val="12"/>
                <w:szCs w:val="12"/>
                <w:color w:val="auto"/>
              </w:rPr>
            </w:pPr>
            <w:hyperlink r:id="rId222">
              <w:r>
                <w:rPr>
                  <w:rFonts w:ascii="Arial" w:cs="Arial" w:eastAsia="Arial" w:hAnsi="Arial"/>
                  <w:sz w:val="12"/>
                  <w:szCs w:val="12"/>
                  <w:color w:val="auto"/>
                </w:rPr>
                <w:t xml:space="preserve">Filed as </w:t>
              </w:r>
              <w:r>
                <w:rPr>
                  <w:rFonts w:ascii="Arial" w:cs="Arial" w:eastAsia="Arial" w:hAnsi="Arial"/>
                  <w:sz w:val="12"/>
                  <w:szCs w:val="12"/>
                  <w:b w:val="1"/>
                  <w:bCs w:val="1"/>
                  <w:color w:val="0000FF"/>
                </w:rPr>
                <w:t>Exhibit 10.1 to the Company’s Quarterly Report on Form 10-Q for the quarter ended</w:t>
              </w:r>
            </w:hyperlink>
          </w:p>
        </w:tc>
        <w:tc>
          <w:tcPr>
            <w:tcW w:w="0" w:type="dxa"/>
            <w:vAlign w:val="bottom"/>
          </w:tcPr>
          <w:p>
            <w:pPr>
              <w:spacing w:after="0"/>
              <w:rPr>
                <w:sz w:val="1"/>
                <w:szCs w:val="1"/>
                <w:color w:val="auto"/>
              </w:rPr>
            </w:pPr>
          </w:p>
        </w:tc>
      </w:tr>
      <w:tr>
        <w:trPr>
          <w:trHeight w:val="110"/>
        </w:trPr>
        <w:tc>
          <w:tcPr>
            <w:tcW w:w="1060" w:type="dxa"/>
            <w:vAlign w:val="bottom"/>
            <w:tcBorders>
              <w:top w:val="single" w:sz="8" w:color="CCEEFF"/>
            </w:tcBorders>
            <w:shd w:val="clear" w:color="auto" w:fill="CCEEFF"/>
          </w:tcPr>
          <w:p>
            <w:pPr>
              <w:spacing w:after="0"/>
              <w:rPr>
                <w:sz w:val="9"/>
                <w:szCs w:val="9"/>
                <w:color w:val="auto"/>
              </w:rPr>
            </w:pPr>
          </w:p>
        </w:tc>
        <w:tc>
          <w:tcPr>
            <w:tcW w:w="4840" w:type="dxa"/>
            <w:vAlign w:val="bottom"/>
            <w:tcBorders>
              <w:top w:val="single" w:sz="8" w:color="CCEEFF"/>
            </w:tcBorders>
            <w:gridSpan w:val="10"/>
            <w:shd w:val="clear" w:color="auto" w:fill="CCEEFF"/>
          </w:tcPr>
          <w:p>
            <w:pPr>
              <w:spacing w:after="0" w:line="110" w:lineRule="exact"/>
              <w:rPr>
                <w:sz w:val="20"/>
                <w:szCs w:val="20"/>
                <w:color w:val="auto"/>
              </w:rPr>
            </w:pPr>
            <w:r>
              <w:rPr>
                <w:rFonts w:ascii="Arial" w:cs="Arial" w:eastAsia="Arial" w:hAnsi="Arial"/>
                <w:sz w:val="12"/>
                <w:szCs w:val="12"/>
                <w:color w:val="auto"/>
              </w:rPr>
              <w:t>and US Development, LLC, collectively as borrower, and Emerald Creek Capital 3, LLC,</w:t>
            </w:r>
          </w:p>
        </w:tc>
        <w:tc>
          <w:tcPr>
            <w:tcW w:w="440" w:type="dxa"/>
            <w:vAlign w:val="bottom"/>
            <w:tcBorders>
              <w:top w:val="single" w:sz="8" w:color="CCEEFF"/>
            </w:tcBorders>
            <w:gridSpan w:val="2"/>
            <w:shd w:val="clear" w:color="auto" w:fill="CCEEFF"/>
          </w:tcPr>
          <w:p>
            <w:pPr>
              <w:spacing w:after="0" w:line="110" w:lineRule="exact"/>
              <w:rPr>
                <w:rFonts w:ascii="Arial" w:cs="Arial" w:eastAsia="Arial" w:hAnsi="Arial"/>
                <w:sz w:val="12"/>
                <w:szCs w:val="12"/>
                <w:b w:val="1"/>
                <w:bCs w:val="1"/>
                <w:color w:val="0000FF"/>
                <w:w w:val="87"/>
              </w:rPr>
            </w:pPr>
            <w:hyperlink r:id="rId222">
              <w:r>
                <w:rPr>
                  <w:rFonts w:ascii="Arial" w:cs="Arial" w:eastAsia="Arial" w:hAnsi="Arial"/>
                  <w:sz w:val="12"/>
                  <w:szCs w:val="12"/>
                  <w:b w:val="1"/>
                  <w:bCs w:val="1"/>
                  <w:color w:val="0000FF"/>
                  <w:w w:val="87"/>
                </w:rPr>
                <w:t>June 30,</w:t>
              </w:r>
            </w:hyperlink>
          </w:p>
        </w:tc>
        <w:tc>
          <w:tcPr>
            <w:tcW w:w="4760" w:type="dxa"/>
            <w:vAlign w:val="bottom"/>
            <w:tcBorders>
              <w:top w:val="single" w:sz="8" w:color="0000FF"/>
            </w:tcBorders>
            <w:gridSpan w:val="6"/>
            <w:shd w:val="clear" w:color="auto" w:fill="CCEEFF"/>
          </w:tcPr>
          <w:p>
            <w:pPr>
              <w:ind w:left="40"/>
              <w:spacing w:after="0" w:line="110" w:lineRule="exact"/>
              <w:rPr>
                <w:rFonts w:ascii="Arial" w:cs="Arial" w:eastAsia="Arial" w:hAnsi="Arial"/>
                <w:sz w:val="12"/>
                <w:szCs w:val="12"/>
                <w:b w:val="1"/>
                <w:bCs w:val="1"/>
                <w:color w:val="0000FF"/>
              </w:rPr>
            </w:pPr>
            <w:hyperlink r:id="rId222">
              <w:r>
                <w:rPr>
                  <w:rFonts w:ascii="Arial" w:cs="Arial" w:eastAsia="Arial" w:hAnsi="Arial"/>
                  <w:sz w:val="12"/>
                  <w:szCs w:val="12"/>
                  <w:b w:val="1"/>
                  <w:bCs w:val="1"/>
                  <w:color w:val="0000FF"/>
                </w:rPr>
                <w:t>2021</w:t>
              </w:r>
              <w:r>
                <w:rPr>
                  <w:rFonts w:ascii="Arial" w:cs="Arial" w:eastAsia="Arial" w:hAnsi="Arial"/>
                  <w:sz w:val="12"/>
                  <w:szCs w:val="12"/>
                  <w:color w:val="000000"/>
                </w:rPr>
                <w:t>, and incorporated herein by reference.in by reference.</w:t>
              </w:r>
            </w:hyperlink>
          </w:p>
        </w:tc>
        <w:tc>
          <w:tcPr>
            <w:tcW w:w="180" w:type="dxa"/>
            <w:vAlign w:val="bottom"/>
            <w:tcBorders>
              <w:top w:val="single" w:sz="8" w:color="CCEEFF"/>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060" w:type="dxa"/>
            <w:vAlign w:val="bottom"/>
            <w:tcBorders>
              <w:top w:val="single" w:sz="8" w:color="CCEEFF"/>
            </w:tcBorders>
            <w:shd w:val="clear" w:color="auto" w:fill="CCEEFF"/>
          </w:tcPr>
          <w:p>
            <w:pPr>
              <w:spacing w:after="0"/>
              <w:rPr>
                <w:sz w:val="10"/>
                <w:szCs w:val="10"/>
                <w:color w:val="auto"/>
              </w:rPr>
            </w:pPr>
          </w:p>
        </w:tc>
        <w:tc>
          <w:tcPr>
            <w:tcW w:w="4840" w:type="dxa"/>
            <w:vAlign w:val="bottom"/>
            <w:tcBorders>
              <w:top w:val="single" w:sz="8" w:color="CCEEFF"/>
            </w:tcBorders>
            <w:gridSpan w:val="10"/>
            <w:shd w:val="clear" w:color="auto" w:fill="CCEEFF"/>
          </w:tcPr>
          <w:p>
            <w:pPr>
              <w:spacing w:after="0" w:line="121" w:lineRule="exact"/>
              <w:rPr>
                <w:sz w:val="20"/>
                <w:szCs w:val="20"/>
                <w:color w:val="auto"/>
              </w:rPr>
            </w:pPr>
            <w:r>
              <w:rPr>
                <w:rFonts w:ascii="Arial" w:cs="Arial" w:eastAsia="Arial" w:hAnsi="Arial"/>
                <w:sz w:val="13"/>
                <w:szCs w:val="13"/>
                <w:color w:val="auto"/>
              </w:rPr>
              <w:t>as administrative agent and collateral agent for the lender.</w:t>
            </w:r>
          </w:p>
        </w:tc>
        <w:tc>
          <w:tcPr>
            <w:tcW w:w="260" w:type="dxa"/>
            <w:vAlign w:val="bottom"/>
            <w:tcBorders>
              <w:top w:val="single" w:sz="8" w:color="0000FF"/>
            </w:tcBorders>
            <w:shd w:val="clear" w:color="auto" w:fill="CCEEFF"/>
          </w:tcPr>
          <w:p>
            <w:pPr>
              <w:spacing w:after="0"/>
              <w:rPr>
                <w:sz w:val="10"/>
                <w:szCs w:val="10"/>
                <w:color w:val="auto"/>
              </w:rPr>
            </w:pPr>
          </w:p>
        </w:tc>
        <w:tc>
          <w:tcPr>
            <w:tcW w:w="180" w:type="dxa"/>
            <w:vAlign w:val="bottom"/>
            <w:tcBorders>
              <w:top w:val="single" w:sz="8" w:color="0000FF"/>
            </w:tcBorders>
            <w:shd w:val="clear" w:color="auto" w:fill="CCEEFF"/>
          </w:tcPr>
          <w:p>
            <w:pPr>
              <w:spacing w:after="0"/>
              <w:rPr>
                <w:sz w:val="10"/>
                <w:szCs w:val="10"/>
                <w:color w:val="auto"/>
              </w:rPr>
            </w:pPr>
          </w:p>
        </w:tc>
        <w:tc>
          <w:tcPr>
            <w:tcW w:w="30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7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60" w:type="dxa"/>
            <w:vAlign w:val="bottom"/>
          </w:tcPr>
          <w:p>
            <w:pPr>
              <w:jc w:val="center"/>
              <w:spacing w:after="0" w:line="119" w:lineRule="exact"/>
              <w:rPr>
                <w:sz w:val="20"/>
                <w:szCs w:val="20"/>
                <w:color w:val="auto"/>
              </w:rPr>
            </w:pPr>
            <w:r>
              <w:rPr>
                <w:rFonts w:ascii="Arial" w:cs="Arial" w:eastAsia="Arial" w:hAnsi="Arial"/>
                <w:sz w:val="13"/>
                <w:szCs w:val="13"/>
                <w:color w:val="auto"/>
                <w:w w:val="95"/>
              </w:rPr>
              <w:t>10.44*</w:t>
            </w:r>
          </w:p>
        </w:tc>
        <w:tc>
          <w:tcPr>
            <w:tcW w:w="4840" w:type="dxa"/>
            <w:vAlign w:val="bottom"/>
            <w:gridSpan w:val="10"/>
          </w:tcPr>
          <w:p>
            <w:pPr>
              <w:spacing w:after="0" w:line="119" w:lineRule="exact"/>
              <w:rPr>
                <w:sz w:val="20"/>
                <w:szCs w:val="20"/>
                <w:color w:val="auto"/>
              </w:rPr>
            </w:pPr>
            <w:r>
              <w:rPr>
                <w:rFonts w:ascii="Arial" w:cs="Arial" w:eastAsia="Arial" w:hAnsi="Arial"/>
                <w:sz w:val="13"/>
                <w:szCs w:val="13"/>
                <w:color w:val="auto"/>
                <w:w w:val="95"/>
              </w:rPr>
              <w:t>Form of Indemnification Agreement, as routinely granted to the Company’s Officers and</w:t>
            </w:r>
          </w:p>
        </w:tc>
        <w:tc>
          <w:tcPr>
            <w:tcW w:w="5380" w:type="dxa"/>
            <w:vAlign w:val="bottom"/>
            <w:gridSpan w:val="9"/>
          </w:tcPr>
          <w:p>
            <w:pPr>
              <w:spacing w:after="0" w:line="119" w:lineRule="exact"/>
              <w:rPr>
                <w:rFonts w:ascii="Arial" w:cs="Arial" w:eastAsia="Arial" w:hAnsi="Arial"/>
                <w:sz w:val="13"/>
                <w:szCs w:val="13"/>
                <w:color w:val="auto"/>
                <w:w w:val="95"/>
              </w:rPr>
            </w:pPr>
            <w:hyperlink r:id="rId191">
              <w:r>
                <w:rPr>
                  <w:rFonts w:ascii="Arial" w:cs="Arial" w:eastAsia="Arial" w:hAnsi="Arial"/>
                  <w:sz w:val="13"/>
                  <w:szCs w:val="13"/>
                  <w:color w:val="auto"/>
                  <w:w w:val="95"/>
                </w:rPr>
                <w:t xml:space="preserve">Filed as </w:t>
              </w:r>
              <w:r>
                <w:rPr>
                  <w:rFonts w:ascii="Arial" w:cs="Arial" w:eastAsia="Arial" w:hAnsi="Arial"/>
                  <w:sz w:val="13"/>
                  <w:szCs w:val="13"/>
                  <w:b w:val="1"/>
                  <w:bCs w:val="1"/>
                  <w:color w:val="0000FF"/>
                  <w:w w:val="95"/>
                </w:rPr>
                <w:t>Exhibit 10.4 to the Company’s Quarterly Report on Form 10-Q for the quarter ended</w:t>
              </w:r>
            </w:hyperlink>
          </w:p>
        </w:tc>
        <w:tc>
          <w:tcPr>
            <w:tcW w:w="0" w:type="dxa"/>
            <w:vAlign w:val="bottom"/>
          </w:tcPr>
          <w:p>
            <w:pPr>
              <w:spacing w:after="0"/>
              <w:rPr>
                <w:sz w:val="1"/>
                <w:szCs w:val="1"/>
                <w:color w:val="auto"/>
              </w:rPr>
            </w:pPr>
          </w:p>
        </w:tc>
      </w:tr>
      <w:tr>
        <w:trPr>
          <w:trHeight w:val="110"/>
        </w:trPr>
        <w:tc>
          <w:tcPr>
            <w:tcW w:w="1060" w:type="dxa"/>
            <w:vAlign w:val="bottom"/>
          </w:tcPr>
          <w:p>
            <w:pPr>
              <w:spacing w:after="0"/>
              <w:rPr>
                <w:sz w:val="9"/>
                <w:szCs w:val="9"/>
                <w:color w:val="auto"/>
              </w:rPr>
            </w:pPr>
          </w:p>
        </w:tc>
        <w:tc>
          <w:tcPr>
            <w:tcW w:w="4840" w:type="dxa"/>
            <w:vAlign w:val="bottom"/>
            <w:gridSpan w:val="10"/>
          </w:tcPr>
          <w:p>
            <w:pPr>
              <w:spacing w:after="0" w:line="110" w:lineRule="exact"/>
              <w:rPr>
                <w:sz w:val="20"/>
                <w:szCs w:val="20"/>
                <w:color w:val="auto"/>
              </w:rPr>
            </w:pPr>
            <w:r>
              <w:rPr>
                <w:rFonts w:ascii="Arial" w:cs="Arial" w:eastAsia="Arial" w:hAnsi="Arial"/>
                <w:sz w:val="12"/>
                <w:szCs w:val="12"/>
                <w:color w:val="auto"/>
              </w:rPr>
              <w:t>Directors</w:t>
            </w:r>
          </w:p>
        </w:tc>
        <w:tc>
          <w:tcPr>
            <w:tcW w:w="440" w:type="dxa"/>
            <w:vAlign w:val="bottom"/>
            <w:gridSpan w:val="2"/>
          </w:tcPr>
          <w:p>
            <w:pPr>
              <w:spacing w:after="0" w:line="110" w:lineRule="exact"/>
              <w:rPr>
                <w:rFonts w:ascii="Arial" w:cs="Arial" w:eastAsia="Arial" w:hAnsi="Arial"/>
                <w:sz w:val="12"/>
                <w:szCs w:val="12"/>
                <w:b w:val="1"/>
                <w:bCs w:val="1"/>
                <w:color w:val="0000FF"/>
              </w:rPr>
            </w:pPr>
            <w:hyperlink r:id="rId191">
              <w:r>
                <w:rPr>
                  <w:rFonts w:ascii="Arial" w:cs="Arial" w:eastAsia="Arial" w:hAnsi="Arial"/>
                  <w:sz w:val="12"/>
                  <w:szCs w:val="12"/>
                  <w:b w:val="1"/>
                  <w:bCs w:val="1"/>
                  <w:color w:val="0000FF"/>
                </w:rPr>
                <w:t>March</w:t>
              </w:r>
            </w:hyperlink>
          </w:p>
        </w:tc>
        <w:tc>
          <w:tcPr>
            <w:tcW w:w="4760" w:type="dxa"/>
            <w:vAlign w:val="bottom"/>
            <w:tcBorders>
              <w:top w:val="single" w:sz="8" w:color="0000FF"/>
            </w:tcBorders>
            <w:gridSpan w:val="6"/>
          </w:tcPr>
          <w:p>
            <w:pPr>
              <w:spacing w:after="0" w:line="110" w:lineRule="exact"/>
              <w:rPr>
                <w:rFonts w:ascii="Arial" w:cs="Arial" w:eastAsia="Arial" w:hAnsi="Arial"/>
                <w:sz w:val="12"/>
                <w:szCs w:val="12"/>
                <w:b w:val="1"/>
                <w:bCs w:val="1"/>
                <w:color w:val="0000FF"/>
              </w:rPr>
            </w:pPr>
            <w:hyperlink r:id="rId191">
              <w:r>
                <w:rPr>
                  <w:rFonts w:ascii="Arial" w:cs="Arial" w:eastAsia="Arial" w:hAnsi="Arial"/>
                  <w:sz w:val="12"/>
                  <w:szCs w:val="12"/>
                  <w:b w:val="1"/>
                  <w:bCs w:val="1"/>
                  <w:color w:val="0000FF"/>
                </w:rPr>
                <w:t>31, 2020</w:t>
              </w:r>
              <w:r>
                <w:rPr>
                  <w:rFonts w:ascii="Arial" w:cs="Arial" w:eastAsia="Arial" w:hAnsi="Arial"/>
                  <w:sz w:val="12"/>
                  <w:szCs w:val="12"/>
                  <w:color w:val="000000"/>
                </w:rPr>
                <w:t>, and incorporated herein by reference.</w:t>
              </w:r>
            </w:hyperlink>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060" w:type="dxa"/>
            <w:vAlign w:val="bottom"/>
            <w:shd w:val="clear" w:color="auto" w:fill="CCEEFF"/>
          </w:tcPr>
          <w:p>
            <w:pPr>
              <w:jc w:val="center"/>
              <w:spacing w:after="0" w:line="110" w:lineRule="exact"/>
              <w:rPr>
                <w:sz w:val="20"/>
                <w:szCs w:val="20"/>
                <w:color w:val="auto"/>
              </w:rPr>
            </w:pPr>
            <w:r>
              <w:rPr>
                <w:rFonts w:ascii="Arial" w:cs="Arial" w:eastAsia="Arial" w:hAnsi="Arial"/>
                <w:sz w:val="12"/>
                <w:szCs w:val="12"/>
                <w:color w:val="auto"/>
                <w:w w:val="95"/>
              </w:rPr>
              <w:t>10.45+†</w:t>
            </w:r>
          </w:p>
        </w:tc>
        <w:tc>
          <w:tcPr>
            <w:tcW w:w="4840" w:type="dxa"/>
            <w:vAlign w:val="bottom"/>
            <w:gridSpan w:val="10"/>
            <w:shd w:val="clear" w:color="auto" w:fill="CCEEFF"/>
          </w:tcPr>
          <w:p>
            <w:pPr>
              <w:spacing w:after="0" w:line="110" w:lineRule="exact"/>
              <w:rPr>
                <w:rFonts w:ascii="Arial" w:cs="Arial" w:eastAsia="Arial" w:hAnsi="Arial"/>
                <w:sz w:val="12"/>
                <w:szCs w:val="12"/>
                <w:b w:val="1"/>
                <w:bCs w:val="1"/>
                <w:color w:val="0000FF"/>
              </w:rPr>
            </w:pPr>
            <w:hyperlink w:anchor="page119">
              <w:r>
                <w:rPr>
                  <w:rFonts w:ascii="Arial" w:cs="Arial" w:eastAsia="Arial" w:hAnsi="Arial"/>
                  <w:sz w:val="12"/>
                  <w:szCs w:val="12"/>
                  <w:b w:val="1"/>
                  <w:bCs w:val="1"/>
                  <w:color w:val="0000FF"/>
                </w:rPr>
                <w:t>Transactional Facility Side Letter dated November 3, 2021 between Reading</w:t>
              </w:r>
            </w:hyperlink>
          </w:p>
        </w:tc>
        <w:tc>
          <w:tcPr>
            <w:tcW w:w="860" w:type="dxa"/>
            <w:vAlign w:val="bottom"/>
            <w:tcBorders>
              <w:top w:val="single" w:sz="8" w:color="0000FF"/>
            </w:tcBorders>
            <w:gridSpan w:val="4"/>
            <w:shd w:val="clear" w:color="auto" w:fill="CCEEFF"/>
          </w:tcPr>
          <w:p>
            <w:pPr>
              <w:spacing w:after="0" w:line="110" w:lineRule="exact"/>
              <w:rPr>
                <w:sz w:val="20"/>
                <w:szCs w:val="20"/>
                <w:color w:val="auto"/>
              </w:rPr>
            </w:pPr>
            <w:r>
              <w:rPr>
                <w:rFonts w:ascii="Arial" w:cs="Arial" w:eastAsia="Arial" w:hAnsi="Arial"/>
                <w:sz w:val="12"/>
                <w:szCs w:val="12"/>
                <w:color w:val="auto"/>
              </w:rPr>
              <w:t>N/A</w:t>
            </w:r>
          </w:p>
        </w:tc>
        <w:tc>
          <w:tcPr>
            <w:tcW w:w="4520" w:type="dxa"/>
            <w:vAlign w:val="bottom"/>
            <w:gridSpan w:val="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060" w:type="dxa"/>
            <w:vAlign w:val="bottom"/>
            <w:tcBorders>
              <w:top w:val="single" w:sz="8" w:color="CCEEFF"/>
            </w:tcBorders>
            <w:shd w:val="clear" w:color="auto" w:fill="CCEEFF"/>
          </w:tcPr>
          <w:p>
            <w:pPr>
              <w:spacing w:after="0"/>
              <w:rPr>
                <w:sz w:val="9"/>
                <w:szCs w:val="9"/>
                <w:color w:val="auto"/>
              </w:rPr>
            </w:pPr>
          </w:p>
        </w:tc>
        <w:tc>
          <w:tcPr>
            <w:tcW w:w="4260" w:type="dxa"/>
            <w:vAlign w:val="bottom"/>
            <w:tcBorders>
              <w:top w:val="single" w:sz="8" w:color="0000FF"/>
            </w:tcBorders>
            <w:gridSpan w:val="5"/>
            <w:shd w:val="clear" w:color="auto" w:fill="CCEEFF"/>
          </w:tcPr>
          <w:p>
            <w:pPr>
              <w:spacing w:after="0" w:line="110" w:lineRule="exact"/>
              <w:rPr>
                <w:rFonts w:ascii="Arial" w:cs="Arial" w:eastAsia="Arial" w:hAnsi="Arial"/>
                <w:sz w:val="12"/>
                <w:szCs w:val="12"/>
                <w:b w:val="1"/>
                <w:bCs w:val="1"/>
                <w:color w:val="0000FF"/>
              </w:rPr>
            </w:pPr>
            <w:hyperlink w:anchor="page119">
              <w:r>
                <w:rPr>
                  <w:rFonts w:ascii="Arial" w:cs="Arial" w:eastAsia="Arial" w:hAnsi="Arial"/>
                  <w:sz w:val="12"/>
                  <w:szCs w:val="12"/>
                  <w:b w:val="1"/>
                  <w:bCs w:val="1"/>
                  <w:color w:val="0000FF"/>
                </w:rPr>
                <w:t>Entertainment Australia Pty Ltd and National Australia Bank Limited</w:t>
              </w:r>
              <w:r>
                <w:rPr>
                  <w:rFonts w:ascii="Arial" w:cs="Arial" w:eastAsia="Arial" w:hAnsi="Arial"/>
                  <w:sz w:val="12"/>
                  <w:szCs w:val="12"/>
                  <w:color w:val="000000"/>
                </w:rPr>
                <w:t>.</w:t>
              </w:r>
            </w:hyperlink>
          </w:p>
        </w:tc>
        <w:tc>
          <w:tcPr>
            <w:tcW w:w="3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37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tcPr>
          <w:p>
            <w:pPr>
              <w:jc w:val="center"/>
              <w:spacing w:after="0" w:line="110" w:lineRule="exact"/>
              <w:rPr>
                <w:sz w:val="20"/>
                <w:szCs w:val="20"/>
                <w:color w:val="auto"/>
              </w:rPr>
            </w:pPr>
            <w:r>
              <w:rPr>
                <w:rFonts w:ascii="Arial" w:cs="Arial" w:eastAsia="Arial" w:hAnsi="Arial"/>
                <w:sz w:val="12"/>
                <w:szCs w:val="12"/>
                <w:color w:val="auto"/>
              </w:rPr>
              <w:t>18</w:t>
            </w:r>
          </w:p>
        </w:tc>
        <w:tc>
          <w:tcPr>
            <w:tcW w:w="4840" w:type="dxa"/>
            <w:vAlign w:val="bottom"/>
            <w:gridSpan w:val="10"/>
          </w:tcPr>
          <w:p>
            <w:pPr>
              <w:spacing w:after="0" w:line="110" w:lineRule="exact"/>
              <w:rPr>
                <w:sz w:val="20"/>
                <w:szCs w:val="20"/>
                <w:color w:val="auto"/>
              </w:rPr>
            </w:pPr>
            <w:r>
              <w:rPr>
                <w:rFonts w:ascii="Arial" w:cs="Arial" w:eastAsia="Arial" w:hAnsi="Arial"/>
                <w:sz w:val="12"/>
                <w:szCs w:val="12"/>
                <w:color w:val="auto"/>
              </w:rPr>
              <w:t>Preferability Letter from Independent Registered Public Accounting Firm, Grant Thornton</w:t>
            </w:r>
          </w:p>
        </w:tc>
        <w:tc>
          <w:tcPr>
            <w:tcW w:w="5380" w:type="dxa"/>
            <w:vAlign w:val="bottom"/>
            <w:gridSpan w:val="9"/>
          </w:tcPr>
          <w:p>
            <w:pPr>
              <w:spacing w:after="0" w:line="110" w:lineRule="exact"/>
              <w:rPr>
                <w:rFonts w:ascii="Arial" w:cs="Arial" w:eastAsia="Arial" w:hAnsi="Arial"/>
                <w:sz w:val="12"/>
                <w:szCs w:val="12"/>
                <w:color w:val="auto"/>
              </w:rPr>
            </w:pPr>
            <w:hyperlink r:id="rId223">
              <w:r>
                <w:rPr>
                  <w:rFonts w:ascii="Arial" w:cs="Arial" w:eastAsia="Arial" w:hAnsi="Arial"/>
                  <w:sz w:val="12"/>
                  <w:szCs w:val="12"/>
                  <w:color w:val="auto"/>
                </w:rPr>
                <w:t xml:space="preserve">Filed as </w:t>
              </w:r>
              <w:r>
                <w:rPr>
                  <w:rFonts w:ascii="Arial" w:cs="Arial" w:eastAsia="Arial" w:hAnsi="Arial"/>
                  <w:sz w:val="12"/>
                  <w:szCs w:val="12"/>
                  <w:b w:val="1"/>
                  <w:bCs w:val="1"/>
                  <w:color w:val="0000FF"/>
                </w:rPr>
                <w:t>Exhibit 18 to the Company’s Annual Report on Form 10-K for the year ended</w:t>
              </w:r>
            </w:hyperlink>
          </w:p>
        </w:tc>
        <w:tc>
          <w:tcPr>
            <w:tcW w:w="0" w:type="dxa"/>
            <w:vAlign w:val="bottom"/>
          </w:tcPr>
          <w:p>
            <w:pPr>
              <w:spacing w:after="0"/>
              <w:rPr>
                <w:sz w:val="1"/>
                <w:szCs w:val="1"/>
                <w:color w:val="auto"/>
              </w:rPr>
            </w:pPr>
          </w:p>
        </w:tc>
      </w:tr>
      <w:tr>
        <w:trPr>
          <w:trHeight w:val="110"/>
        </w:trPr>
        <w:tc>
          <w:tcPr>
            <w:tcW w:w="1060" w:type="dxa"/>
            <w:vAlign w:val="bottom"/>
          </w:tcPr>
          <w:p>
            <w:pPr>
              <w:spacing w:after="0"/>
              <w:rPr>
                <w:sz w:val="9"/>
                <w:szCs w:val="9"/>
                <w:color w:val="auto"/>
              </w:rPr>
            </w:pPr>
          </w:p>
        </w:tc>
        <w:tc>
          <w:tcPr>
            <w:tcW w:w="4840" w:type="dxa"/>
            <w:vAlign w:val="bottom"/>
            <w:gridSpan w:val="10"/>
          </w:tcPr>
          <w:p>
            <w:pPr>
              <w:spacing w:after="0" w:line="110" w:lineRule="exact"/>
              <w:rPr>
                <w:sz w:val="20"/>
                <w:szCs w:val="20"/>
                <w:color w:val="auto"/>
              </w:rPr>
            </w:pPr>
            <w:r>
              <w:rPr>
                <w:rFonts w:ascii="Arial" w:cs="Arial" w:eastAsia="Arial" w:hAnsi="Arial"/>
                <w:sz w:val="12"/>
                <w:szCs w:val="12"/>
                <w:color w:val="auto"/>
              </w:rPr>
              <w:t>LLP.</w:t>
            </w:r>
          </w:p>
        </w:tc>
        <w:tc>
          <w:tcPr>
            <w:tcW w:w="440" w:type="dxa"/>
            <w:vAlign w:val="bottom"/>
            <w:gridSpan w:val="2"/>
          </w:tcPr>
          <w:p>
            <w:pPr>
              <w:spacing w:after="0" w:line="110" w:lineRule="exact"/>
              <w:rPr>
                <w:rFonts w:ascii="Arial" w:cs="Arial" w:eastAsia="Arial" w:hAnsi="Arial"/>
                <w:sz w:val="12"/>
                <w:szCs w:val="12"/>
                <w:b w:val="1"/>
                <w:bCs w:val="1"/>
                <w:color w:val="0000FF"/>
                <w:w w:val="72"/>
              </w:rPr>
            </w:pPr>
            <w:hyperlink r:id="rId223">
              <w:r>
                <w:rPr>
                  <w:rFonts w:ascii="Arial" w:cs="Arial" w:eastAsia="Arial" w:hAnsi="Arial"/>
                  <w:sz w:val="12"/>
                  <w:szCs w:val="12"/>
                  <w:b w:val="1"/>
                  <w:bCs w:val="1"/>
                  <w:color w:val="0000FF"/>
                  <w:w w:val="72"/>
                </w:rPr>
                <w:t>December</w:t>
              </w:r>
            </w:hyperlink>
          </w:p>
        </w:tc>
        <w:tc>
          <w:tcPr>
            <w:tcW w:w="4340" w:type="dxa"/>
            <w:vAlign w:val="bottom"/>
            <w:tcBorders>
              <w:top w:val="single" w:sz="8" w:color="0000FF"/>
            </w:tcBorders>
            <w:gridSpan w:val="5"/>
          </w:tcPr>
          <w:p>
            <w:pPr>
              <w:ind w:left="140"/>
              <w:spacing w:after="0" w:line="110" w:lineRule="exact"/>
              <w:rPr>
                <w:rFonts w:ascii="Arial" w:cs="Arial" w:eastAsia="Arial" w:hAnsi="Arial"/>
                <w:sz w:val="12"/>
                <w:szCs w:val="12"/>
                <w:b w:val="1"/>
                <w:bCs w:val="1"/>
                <w:color w:val="0000FF"/>
              </w:rPr>
            </w:pPr>
            <w:hyperlink r:id="rId223">
              <w:r>
                <w:rPr>
                  <w:rFonts w:ascii="Arial" w:cs="Arial" w:eastAsia="Arial" w:hAnsi="Arial"/>
                  <w:sz w:val="12"/>
                  <w:szCs w:val="12"/>
                  <w:b w:val="1"/>
                  <w:bCs w:val="1"/>
                  <w:color w:val="0000FF"/>
                </w:rPr>
                <w:t xml:space="preserve">31, 2016 </w:t>
              </w:r>
              <w:r>
                <w:rPr>
                  <w:rFonts w:ascii="Arial" w:cs="Arial" w:eastAsia="Arial" w:hAnsi="Arial"/>
                  <w:sz w:val="12"/>
                  <w:szCs w:val="12"/>
                  <w:color w:val="000000"/>
                </w:rPr>
                <w:t>filed on March 13, 2017 and incorporated herein by reference</w:t>
              </w:r>
            </w:hyperlink>
          </w:p>
        </w:tc>
        <w:tc>
          <w:tcPr>
            <w:tcW w:w="6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060" w:type="dxa"/>
            <w:vAlign w:val="bottom"/>
            <w:shd w:val="clear" w:color="auto" w:fill="CCEEFF"/>
          </w:tcPr>
          <w:p>
            <w:pPr>
              <w:jc w:val="center"/>
              <w:spacing w:after="0" w:line="110" w:lineRule="exact"/>
              <w:rPr>
                <w:sz w:val="20"/>
                <w:szCs w:val="20"/>
                <w:color w:val="auto"/>
              </w:rPr>
            </w:pPr>
            <w:r>
              <w:rPr>
                <w:rFonts w:ascii="Arial" w:cs="Arial" w:eastAsia="Arial" w:hAnsi="Arial"/>
                <w:sz w:val="12"/>
                <w:szCs w:val="12"/>
                <w:color w:val="auto"/>
                <w:w w:val="98"/>
              </w:rPr>
              <w:t>21+</w:t>
            </w:r>
          </w:p>
        </w:tc>
        <w:tc>
          <w:tcPr>
            <w:tcW w:w="4840" w:type="dxa"/>
            <w:vAlign w:val="bottom"/>
            <w:gridSpan w:val="10"/>
            <w:shd w:val="clear" w:color="auto" w:fill="CCEEFF"/>
          </w:tcPr>
          <w:p>
            <w:pPr>
              <w:spacing w:after="0" w:line="110" w:lineRule="exact"/>
              <w:rPr>
                <w:rFonts w:ascii="Arial" w:cs="Arial" w:eastAsia="Arial" w:hAnsi="Arial"/>
                <w:sz w:val="12"/>
                <w:szCs w:val="12"/>
                <w:b w:val="1"/>
                <w:bCs w:val="1"/>
                <w:color w:val="0000FF"/>
              </w:rPr>
            </w:pPr>
            <w:hyperlink w:anchor="page123">
              <w:r>
                <w:rPr>
                  <w:rFonts w:ascii="Arial" w:cs="Arial" w:eastAsia="Arial" w:hAnsi="Arial"/>
                  <w:sz w:val="12"/>
                  <w:szCs w:val="12"/>
                  <w:b w:val="1"/>
                  <w:bCs w:val="1"/>
                  <w:color w:val="0000FF"/>
                </w:rPr>
                <w:t>List of Subsidiaries</w:t>
              </w:r>
            </w:hyperlink>
            <w:r>
              <w:rPr>
                <w:rFonts w:ascii="Arial" w:cs="Arial" w:eastAsia="Arial" w:hAnsi="Arial"/>
                <w:sz w:val="12"/>
                <w:szCs w:val="12"/>
                <w:color w:val="000000"/>
              </w:rPr>
              <w:t>,</w:t>
            </w:r>
          </w:p>
        </w:tc>
        <w:tc>
          <w:tcPr>
            <w:tcW w:w="1040" w:type="dxa"/>
            <w:vAlign w:val="bottom"/>
            <w:tcBorders>
              <w:top w:val="single" w:sz="8" w:color="0000FF"/>
            </w:tcBorders>
            <w:gridSpan w:val="5"/>
            <w:shd w:val="clear" w:color="auto" w:fill="CCEEFF"/>
          </w:tcPr>
          <w:p>
            <w:pPr>
              <w:spacing w:after="0" w:line="110" w:lineRule="exact"/>
              <w:rPr>
                <w:sz w:val="20"/>
                <w:szCs w:val="20"/>
                <w:color w:val="auto"/>
              </w:rPr>
            </w:pPr>
            <w:r>
              <w:rPr>
                <w:rFonts w:ascii="Arial" w:cs="Arial" w:eastAsia="Arial" w:hAnsi="Arial"/>
                <w:sz w:val="12"/>
                <w:szCs w:val="12"/>
                <w:color w:val="auto"/>
              </w:rPr>
              <w:t>N/A</w:t>
            </w:r>
          </w:p>
        </w:tc>
        <w:tc>
          <w:tcPr>
            <w:tcW w:w="4340" w:type="dxa"/>
            <w:vAlign w:val="bottom"/>
            <w:gridSpan w:val="4"/>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tcPr>
          <w:p>
            <w:pPr>
              <w:jc w:val="center"/>
              <w:spacing w:after="0" w:line="110" w:lineRule="exact"/>
              <w:rPr>
                <w:sz w:val="20"/>
                <w:szCs w:val="20"/>
                <w:color w:val="auto"/>
              </w:rPr>
            </w:pPr>
            <w:r>
              <w:rPr>
                <w:rFonts w:ascii="Arial" w:cs="Arial" w:eastAsia="Arial" w:hAnsi="Arial"/>
                <w:sz w:val="12"/>
                <w:szCs w:val="12"/>
                <w:color w:val="auto"/>
                <w:w w:val="98"/>
              </w:rPr>
              <w:t>23.1+</w:t>
            </w:r>
          </w:p>
        </w:tc>
        <w:tc>
          <w:tcPr>
            <w:tcW w:w="4840" w:type="dxa"/>
            <w:vAlign w:val="bottom"/>
            <w:gridSpan w:val="10"/>
          </w:tcPr>
          <w:p>
            <w:pPr>
              <w:spacing w:after="0" w:line="110" w:lineRule="exact"/>
              <w:rPr>
                <w:rFonts w:ascii="Arial" w:cs="Arial" w:eastAsia="Arial" w:hAnsi="Arial"/>
                <w:sz w:val="12"/>
                <w:szCs w:val="12"/>
                <w:b w:val="1"/>
                <w:bCs w:val="1"/>
                <w:color w:val="0000FF"/>
              </w:rPr>
            </w:pPr>
            <w:hyperlink w:anchor="page127">
              <w:r>
                <w:rPr>
                  <w:rFonts w:ascii="Arial" w:cs="Arial" w:eastAsia="Arial" w:hAnsi="Arial"/>
                  <w:sz w:val="12"/>
                  <w:szCs w:val="12"/>
                  <w:b w:val="1"/>
                  <w:bCs w:val="1"/>
                  <w:color w:val="0000FF"/>
                </w:rPr>
                <w:t>Consent of Independent Registered Public Accounting Firm, Grant Thornton LLP</w:t>
              </w:r>
            </w:hyperlink>
            <w:r>
              <w:rPr>
                <w:rFonts w:ascii="Arial" w:cs="Arial" w:eastAsia="Arial" w:hAnsi="Arial"/>
                <w:sz w:val="12"/>
                <w:szCs w:val="12"/>
                <w:color w:val="000000"/>
              </w:rPr>
              <w:t>.</w:t>
            </w:r>
          </w:p>
        </w:tc>
        <w:tc>
          <w:tcPr>
            <w:tcW w:w="5380" w:type="dxa"/>
            <w:vAlign w:val="bottom"/>
            <w:gridSpan w:val="9"/>
          </w:tcPr>
          <w:p>
            <w:pPr>
              <w:spacing w:after="0" w:line="110" w:lineRule="exact"/>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shd w:val="clear" w:color="auto" w:fill="CCEEFF"/>
          </w:tcPr>
          <w:p>
            <w:pPr>
              <w:jc w:val="center"/>
              <w:spacing w:after="0" w:line="110" w:lineRule="exact"/>
              <w:rPr>
                <w:sz w:val="20"/>
                <w:szCs w:val="20"/>
                <w:color w:val="auto"/>
              </w:rPr>
            </w:pPr>
            <w:r>
              <w:rPr>
                <w:rFonts w:ascii="Arial" w:cs="Arial" w:eastAsia="Arial" w:hAnsi="Arial"/>
                <w:sz w:val="12"/>
                <w:szCs w:val="12"/>
                <w:color w:val="auto"/>
                <w:w w:val="98"/>
              </w:rPr>
              <w:t>31.1+</w:t>
            </w:r>
          </w:p>
        </w:tc>
        <w:tc>
          <w:tcPr>
            <w:tcW w:w="4840" w:type="dxa"/>
            <w:vAlign w:val="bottom"/>
            <w:gridSpan w:val="10"/>
            <w:shd w:val="clear" w:color="auto" w:fill="CCEEFF"/>
          </w:tcPr>
          <w:p>
            <w:pPr>
              <w:spacing w:after="0" w:line="110" w:lineRule="exact"/>
              <w:rPr>
                <w:rFonts w:ascii="Arial" w:cs="Arial" w:eastAsia="Arial" w:hAnsi="Arial"/>
                <w:sz w:val="12"/>
                <w:szCs w:val="12"/>
                <w:b w:val="1"/>
                <w:bCs w:val="1"/>
                <w:color w:val="0000FF"/>
              </w:rPr>
            </w:pPr>
            <w:hyperlink w:anchor="page128">
              <w:r>
                <w:rPr>
                  <w:rFonts w:ascii="Arial" w:cs="Arial" w:eastAsia="Arial" w:hAnsi="Arial"/>
                  <w:sz w:val="12"/>
                  <w:szCs w:val="12"/>
                  <w:b w:val="1"/>
                  <w:bCs w:val="1"/>
                  <w:color w:val="0000FF"/>
                </w:rPr>
                <w:t>Certification of Principal Executive Officer pursuant to Section 302 of the Sarbanes-</w:t>
              </w:r>
            </w:hyperlink>
          </w:p>
        </w:tc>
        <w:tc>
          <w:tcPr>
            <w:tcW w:w="5380" w:type="dxa"/>
            <w:vAlign w:val="bottom"/>
            <w:gridSpan w:val="9"/>
            <w:shd w:val="clear" w:color="auto" w:fill="CCEEFF"/>
          </w:tcPr>
          <w:p>
            <w:pPr>
              <w:spacing w:after="0" w:line="110" w:lineRule="exact"/>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10"/>
        </w:trPr>
        <w:tc>
          <w:tcPr>
            <w:tcW w:w="1060" w:type="dxa"/>
            <w:vAlign w:val="bottom"/>
            <w:tcBorders>
              <w:top w:val="single" w:sz="8" w:color="CCEEFF"/>
            </w:tcBorders>
            <w:shd w:val="clear" w:color="auto" w:fill="CCEEFF"/>
          </w:tcPr>
          <w:p>
            <w:pPr>
              <w:spacing w:after="0"/>
              <w:rPr>
                <w:sz w:val="9"/>
                <w:szCs w:val="9"/>
                <w:color w:val="auto"/>
              </w:rPr>
            </w:pPr>
          </w:p>
        </w:tc>
        <w:tc>
          <w:tcPr>
            <w:tcW w:w="4680" w:type="dxa"/>
            <w:vAlign w:val="bottom"/>
            <w:tcBorders>
              <w:top w:val="single" w:sz="8" w:color="0000FF"/>
            </w:tcBorders>
            <w:gridSpan w:val="9"/>
            <w:shd w:val="clear" w:color="auto" w:fill="CCEEFF"/>
          </w:tcPr>
          <w:p>
            <w:pPr>
              <w:spacing w:after="0" w:line="110" w:lineRule="exact"/>
              <w:rPr>
                <w:rFonts w:ascii="Arial" w:cs="Arial" w:eastAsia="Arial" w:hAnsi="Arial"/>
                <w:sz w:val="12"/>
                <w:szCs w:val="12"/>
                <w:b w:val="1"/>
                <w:bCs w:val="1"/>
                <w:color w:val="0000FF"/>
              </w:rPr>
            </w:pPr>
            <w:hyperlink w:anchor="page128">
              <w:r>
                <w:rPr>
                  <w:rFonts w:ascii="Arial" w:cs="Arial" w:eastAsia="Arial" w:hAnsi="Arial"/>
                  <w:sz w:val="12"/>
                  <w:szCs w:val="12"/>
                  <w:b w:val="1"/>
                  <w:bCs w:val="1"/>
                  <w:color w:val="0000FF"/>
                </w:rPr>
                <w:t>Oxley Act of 2002</w:t>
              </w:r>
              <w:r>
                <w:rPr>
                  <w:rFonts w:ascii="Arial" w:cs="Arial" w:eastAsia="Arial" w:hAnsi="Arial"/>
                  <w:sz w:val="12"/>
                  <w:szCs w:val="12"/>
                  <w:color w:val="000000"/>
                </w:rPr>
                <w:t>,</w:t>
              </w:r>
            </w:hyperlink>
          </w:p>
        </w:tc>
        <w:tc>
          <w:tcPr>
            <w:tcW w:w="16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37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tcPr>
          <w:p>
            <w:pPr>
              <w:jc w:val="center"/>
              <w:spacing w:after="0" w:line="110" w:lineRule="exact"/>
              <w:rPr>
                <w:sz w:val="20"/>
                <w:szCs w:val="20"/>
                <w:color w:val="auto"/>
              </w:rPr>
            </w:pPr>
            <w:r>
              <w:rPr>
                <w:rFonts w:ascii="Arial" w:cs="Arial" w:eastAsia="Arial" w:hAnsi="Arial"/>
                <w:sz w:val="12"/>
                <w:szCs w:val="12"/>
                <w:color w:val="auto"/>
                <w:w w:val="98"/>
              </w:rPr>
              <w:t>31.2+</w:t>
            </w:r>
          </w:p>
        </w:tc>
        <w:tc>
          <w:tcPr>
            <w:tcW w:w="4840" w:type="dxa"/>
            <w:vAlign w:val="bottom"/>
            <w:gridSpan w:val="10"/>
          </w:tcPr>
          <w:p>
            <w:pPr>
              <w:spacing w:after="0" w:line="110" w:lineRule="exact"/>
              <w:rPr>
                <w:rFonts w:ascii="Arial" w:cs="Arial" w:eastAsia="Arial" w:hAnsi="Arial"/>
                <w:sz w:val="12"/>
                <w:szCs w:val="12"/>
                <w:b w:val="1"/>
                <w:bCs w:val="1"/>
                <w:color w:val="0000FF"/>
              </w:rPr>
            </w:pPr>
            <w:hyperlink w:anchor="page129">
              <w:r>
                <w:rPr>
                  <w:rFonts w:ascii="Arial" w:cs="Arial" w:eastAsia="Arial" w:hAnsi="Arial"/>
                  <w:sz w:val="12"/>
                  <w:szCs w:val="12"/>
                  <w:b w:val="1"/>
                  <w:bCs w:val="1"/>
                  <w:color w:val="0000FF"/>
                </w:rPr>
                <w:t>Certification of Principal Financial Officer pursuant to Section 302 of the Sarbanes-</w:t>
              </w:r>
            </w:hyperlink>
          </w:p>
        </w:tc>
        <w:tc>
          <w:tcPr>
            <w:tcW w:w="5380" w:type="dxa"/>
            <w:vAlign w:val="bottom"/>
            <w:gridSpan w:val="9"/>
          </w:tcPr>
          <w:p>
            <w:pPr>
              <w:spacing w:after="0" w:line="110" w:lineRule="exact"/>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10"/>
        </w:trPr>
        <w:tc>
          <w:tcPr>
            <w:tcW w:w="1060" w:type="dxa"/>
            <w:vAlign w:val="bottom"/>
          </w:tcPr>
          <w:p>
            <w:pPr>
              <w:spacing w:after="0"/>
              <w:rPr>
                <w:sz w:val="9"/>
                <w:szCs w:val="9"/>
                <w:color w:val="auto"/>
              </w:rPr>
            </w:pPr>
          </w:p>
        </w:tc>
        <w:tc>
          <w:tcPr>
            <w:tcW w:w="4660" w:type="dxa"/>
            <w:vAlign w:val="bottom"/>
            <w:tcBorders>
              <w:top w:val="single" w:sz="8" w:color="0000FF"/>
            </w:tcBorders>
            <w:gridSpan w:val="8"/>
          </w:tcPr>
          <w:p>
            <w:pPr>
              <w:spacing w:after="0" w:line="110" w:lineRule="exact"/>
              <w:rPr>
                <w:rFonts w:ascii="Arial" w:cs="Arial" w:eastAsia="Arial" w:hAnsi="Arial"/>
                <w:sz w:val="12"/>
                <w:szCs w:val="12"/>
                <w:b w:val="1"/>
                <w:bCs w:val="1"/>
                <w:color w:val="0000FF"/>
              </w:rPr>
            </w:pPr>
            <w:hyperlink w:anchor="page129">
              <w:r>
                <w:rPr>
                  <w:rFonts w:ascii="Arial" w:cs="Arial" w:eastAsia="Arial" w:hAnsi="Arial"/>
                  <w:sz w:val="12"/>
                  <w:szCs w:val="12"/>
                  <w:b w:val="1"/>
                  <w:bCs w:val="1"/>
                  <w:color w:val="0000FF"/>
                </w:rPr>
                <w:t>Oxley Act of 2002</w:t>
              </w:r>
              <w:r>
                <w:rPr>
                  <w:rFonts w:ascii="Arial" w:cs="Arial" w:eastAsia="Arial" w:hAnsi="Arial"/>
                  <w:sz w:val="12"/>
                  <w:szCs w:val="12"/>
                  <w:color w:val="000000"/>
                </w:rPr>
                <w:t>,</w:t>
              </w:r>
            </w:hyperlink>
          </w:p>
        </w:tc>
        <w:tc>
          <w:tcPr>
            <w:tcW w:w="18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shd w:val="clear" w:color="auto" w:fill="CCEEFF"/>
          </w:tcPr>
          <w:p>
            <w:pPr>
              <w:jc w:val="center"/>
              <w:spacing w:after="0" w:line="110" w:lineRule="exact"/>
              <w:rPr>
                <w:sz w:val="20"/>
                <w:szCs w:val="20"/>
                <w:color w:val="auto"/>
              </w:rPr>
            </w:pPr>
            <w:r>
              <w:rPr>
                <w:rFonts w:ascii="Arial" w:cs="Arial" w:eastAsia="Arial" w:hAnsi="Arial"/>
                <w:sz w:val="12"/>
                <w:szCs w:val="12"/>
                <w:color w:val="auto"/>
                <w:w w:val="98"/>
              </w:rPr>
              <w:t>32.1+</w:t>
            </w:r>
          </w:p>
        </w:tc>
        <w:tc>
          <w:tcPr>
            <w:tcW w:w="4840" w:type="dxa"/>
            <w:vAlign w:val="bottom"/>
            <w:gridSpan w:val="10"/>
            <w:shd w:val="clear" w:color="auto" w:fill="CCEEFF"/>
          </w:tcPr>
          <w:p>
            <w:pPr>
              <w:spacing w:after="0" w:line="110" w:lineRule="exact"/>
              <w:rPr>
                <w:rFonts w:ascii="Arial" w:cs="Arial" w:eastAsia="Arial" w:hAnsi="Arial"/>
                <w:sz w:val="12"/>
                <w:szCs w:val="12"/>
                <w:b w:val="1"/>
                <w:bCs w:val="1"/>
                <w:color w:val="0000FF"/>
              </w:rPr>
            </w:pPr>
            <w:hyperlink w:anchor="page130">
              <w:r>
                <w:rPr>
                  <w:rFonts w:ascii="Arial" w:cs="Arial" w:eastAsia="Arial" w:hAnsi="Arial"/>
                  <w:sz w:val="12"/>
                  <w:szCs w:val="12"/>
                  <w:b w:val="1"/>
                  <w:bCs w:val="1"/>
                  <w:color w:val="0000FF"/>
                </w:rPr>
                <w:t>Certification of Principal Executive Officer pursuant to 18 U.S.C. Section 1350, as</w:t>
              </w:r>
            </w:hyperlink>
          </w:p>
        </w:tc>
        <w:tc>
          <w:tcPr>
            <w:tcW w:w="5380" w:type="dxa"/>
            <w:vAlign w:val="bottom"/>
            <w:gridSpan w:val="9"/>
            <w:shd w:val="clear" w:color="auto" w:fill="CCEEFF"/>
          </w:tcPr>
          <w:p>
            <w:pPr>
              <w:spacing w:after="0" w:line="110" w:lineRule="exact"/>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10"/>
        </w:trPr>
        <w:tc>
          <w:tcPr>
            <w:tcW w:w="1060" w:type="dxa"/>
            <w:vAlign w:val="bottom"/>
            <w:tcBorders>
              <w:top w:val="single" w:sz="8" w:color="CCEEFF"/>
            </w:tcBorders>
            <w:shd w:val="clear" w:color="auto" w:fill="CCEEFF"/>
          </w:tcPr>
          <w:p>
            <w:pPr>
              <w:spacing w:after="0"/>
              <w:rPr>
                <w:sz w:val="9"/>
                <w:szCs w:val="9"/>
                <w:color w:val="auto"/>
              </w:rPr>
            </w:pPr>
          </w:p>
        </w:tc>
        <w:tc>
          <w:tcPr>
            <w:tcW w:w="4600" w:type="dxa"/>
            <w:vAlign w:val="bottom"/>
            <w:tcBorders>
              <w:top w:val="single" w:sz="8" w:color="0000FF"/>
              <w:right w:val="single" w:sz="8" w:color="CCEEFF"/>
            </w:tcBorders>
            <w:gridSpan w:val="7"/>
            <w:shd w:val="clear" w:color="auto" w:fill="CCEEFF"/>
          </w:tcPr>
          <w:p>
            <w:pPr>
              <w:spacing w:after="0" w:line="110" w:lineRule="exact"/>
              <w:rPr>
                <w:rFonts w:ascii="Arial" w:cs="Arial" w:eastAsia="Arial" w:hAnsi="Arial"/>
                <w:sz w:val="12"/>
                <w:szCs w:val="12"/>
                <w:b w:val="1"/>
                <w:bCs w:val="1"/>
                <w:color w:val="0000FF"/>
              </w:rPr>
            </w:pPr>
            <w:hyperlink w:anchor="page130">
              <w:r>
                <w:rPr>
                  <w:rFonts w:ascii="Arial" w:cs="Arial" w:eastAsia="Arial" w:hAnsi="Arial"/>
                  <w:sz w:val="12"/>
                  <w:szCs w:val="12"/>
                  <w:b w:val="1"/>
                  <w:bCs w:val="1"/>
                  <w:color w:val="0000FF"/>
                </w:rPr>
                <w:t>adopted pursuant to Section 906 of the Sarbanes-Oxley Act of 2002</w:t>
              </w:r>
              <w:r>
                <w:rPr>
                  <w:rFonts w:ascii="Arial" w:cs="Arial" w:eastAsia="Arial" w:hAnsi="Arial"/>
                  <w:sz w:val="12"/>
                  <w:szCs w:val="12"/>
                  <w:color w:val="000000"/>
                </w:rPr>
                <w:t>.</w:t>
              </w:r>
            </w:hyperlink>
          </w:p>
        </w:tc>
        <w:tc>
          <w:tcPr>
            <w:tcW w:w="240" w:type="dxa"/>
            <w:vAlign w:val="bottom"/>
            <w:tcBorders>
              <w:top w:val="single" w:sz="8" w:color="CCEEFF"/>
            </w:tcBorders>
            <w:gridSpan w:val="3"/>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37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60" w:type="dxa"/>
            <w:vAlign w:val="bottom"/>
          </w:tcPr>
          <w:p>
            <w:pPr>
              <w:jc w:val="center"/>
              <w:spacing w:after="0" w:line="110" w:lineRule="exact"/>
              <w:rPr>
                <w:sz w:val="20"/>
                <w:szCs w:val="20"/>
                <w:color w:val="auto"/>
              </w:rPr>
            </w:pPr>
            <w:r>
              <w:rPr>
                <w:rFonts w:ascii="Arial" w:cs="Arial" w:eastAsia="Arial" w:hAnsi="Arial"/>
                <w:sz w:val="12"/>
                <w:szCs w:val="12"/>
                <w:color w:val="auto"/>
                <w:w w:val="98"/>
              </w:rPr>
              <w:t>32.2+</w:t>
            </w:r>
          </w:p>
        </w:tc>
        <w:tc>
          <w:tcPr>
            <w:tcW w:w="4840" w:type="dxa"/>
            <w:vAlign w:val="bottom"/>
            <w:gridSpan w:val="10"/>
          </w:tcPr>
          <w:p>
            <w:pPr>
              <w:spacing w:after="0" w:line="110" w:lineRule="exact"/>
              <w:rPr>
                <w:rFonts w:ascii="Arial" w:cs="Arial" w:eastAsia="Arial" w:hAnsi="Arial"/>
                <w:sz w:val="12"/>
                <w:szCs w:val="12"/>
                <w:b w:val="1"/>
                <w:bCs w:val="1"/>
                <w:color w:val="0000FF"/>
              </w:rPr>
            </w:pPr>
            <w:hyperlink w:anchor="page131">
              <w:r>
                <w:rPr>
                  <w:rFonts w:ascii="Arial" w:cs="Arial" w:eastAsia="Arial" w:hAnsi="Arial"/>
                  <w:sz w:val="12"/>
                  <w:szCs w:val="12"/>
                  <w:b w:val="1"/>
                  <w:bCs w:val="1"/>
                  <w:color w:val="0000FF"/>
                </w:rPr>
                <w:t>Certification of Principal Financial Officer pursuant to 18 U.S.C. Section 1350, as</w:t>
              </w:r>
            </w:hyperlink>
          </w:p>
        </w:tc>
        <w:tc>
          <w:tcPr>
            <w:tcW w:w="5380" w:type="dxa"/>
            <w:vAlign w:val="bottom"/>
            <w:gridSpan w:val="9"/>
          </w:tcPr>
          <w:p>
            <w:pPr>
              <w:spacing w:after="0" w:line="110" w:lineRule="exact"/>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13"/>
        </w:trPr>
        <w:tc>
          <w:tcPr>
            <w:tcW w:w="1060" w:type="dxa"/>
            <w:vAlign w:val="bottom"/>
          </w:tcPr>
          <w:p>
            <w:pPr>
              <w:spacing w:after="0"/>
              <w:rPr>
                <w:sz w:val="9"/>
                <w:szCs w:val="9"/>
                <w:color w:val="auto"/>
              </w:rPr>
            </w:pPr>
          </w:p>
        </w:tc>
        <w:tc>
          <w:tcPr>
            <w:tcW w:w="4560" w:type="dxa"/>
            <w:vAlign w:val="bottom"/>
            <w:tcBorders>
              <w:top w:val="single" w:sz="8" w:color="0000FF"/>
            </w:tcBorders>
            <w:gridSpan w:val="6"/>
          </w:tcPr>
          <w:p>
            <w:pPr>
              <w:spacing w:after="0" w:line="114" w:lineRule="exact"/>
              <w:rPr>
                <w:rFonts w:ascii="Arial" w:cs="Arial" w:eastAsia="Arial" w:hAnsi="Arial"/>
                <w:sz w:val="13"/>
                <w:szCs w:val="13"/>
                <w:b w:val="1"/>
                <w:bCs w:val="1"/>
                <w:color w:val="0000FF"/>
              </w:rPr>
            </w:pPr>
            <w:hyperlink w:anchor="page131">
              <w:r>
                <w:rPr>
                  <w:rFonts w:ascii="Arial" w:cs="Arial" w:eastAsia="Arial" w:hAnsi="Arial"/>
                  <w:sz w:val="13"/>
                  <w:szCs w:val="13"/>
                  <w:b w:val="1"/>
                  <w:bCs w:val="1"/>
                  <w:u w:val="single" w:color="auto"/>
                  <w:color w:val="0000FF"/>
                </w:rPr>
                <w:t>adopted pursuant to Section 906 of the Sarbanes-Oxley Act of 2002</w:t>
              </w:r>
              <w:r>
                <w:rPr>
                  <w:rFonts w:ascii="Arial" w:cs="Arial" w:eastAsia="Arial" w:hAnsi="Arial"/>
                  <w:sz w:val="13"/>
                  <w:szCs w:val="13"/>
                  <w:color w:val="000000"/>
                </w:rPr>
                <w:t>.</w:t>
              </w:r>
            </w:hyperlink>
          </w:p>
        </w:tc>
        <w:tc>
          <w:tcPr>
            <w:tcW w:w="280" w:type="dxa"/>
            <w:vAlign w:val="bottom"/>
            <w:gridSpan w:val="4"/>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wp:posOffset>
            </wp:positionH>
            <wp:positionV relativeFrom="paragraph">
              <wp:posOffset>-1270</wp:posOffset>
            </wp:positionV>
            <wp:extent cx="235902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2359025" cy="6985"/>
                    </a:xfrm>
                    <a:prstGeom prst="rect">
                      <a:avLst/>
                    </a:prstGeom>
                    <a:noFill/>
                  </pic:spPr>
                </pic:pic>
              </a:graphicData>
            </a:graphic>
          </wp:anchor>
        </w:drawing>
      </w:r>
    </w:p>
    <w:p>
      <w:pPr>
        <w:ind w:left="1060" w:right="5500" w:hanging="625"/>
        <w:spacing w:after="0" w:line="246" w:lineRule="auto"/>
        <w:tabs>
          <w:tab w:leader="none" w:pos="10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The following material from our Company’s Annal Report on Form 10-K for the year ended December 31, 2020, formatted in iXBRL (Inline Extensible Business Reporting Language): (i) Consolidated Balance Sheets, (ii) Consolidated Statements of Income, (iii) Consolidated Statements of Comprehensive Income, (iv) Consolidated Statements of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-323850</wp:posOffset>
            </wp:positionV>
            <wp:extent cx="7159625" cy="4127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7159625" cy="41275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122"/>
        </w:trPr>
        <w:tc>
          <w:tcPr>
            <w:tcW w:w="400" w:type="dxa"/>
            <w:vAlign w:val="bottom"/>
            <w:vMerge w:val="restart"/>
          </w:tcPr>
          <w:p>
            <w:pPr>
              <w:jc w:val="right"/>
              <w:ind w:right="135"/>
              <w:spacing w:after="0"/>
              <w:rPr>
                <w:sz w:val="20"/>
                <w:szCs w:val="20"/>
                <w:color w:val="auto"/>
              </w:rPr>
            </w:pPr>
            <w:r>
              <w:rPr>
                <w:rFonts w:ascii="Arial" w:cs="Arial" w:eastAsia="Arial" w:hAnsi="Arial"/>
                <w:sz w:val="13"/>
                <w:szCs w:val="13"/>
                <w:color w:val="auto"/>
                <w:w w:val="82"/>
              </w:rPr>
              <w:t>104</w:t>
            </w:r>
          </w:p>
        </w:tc>
        <w:tc>
          <w:tcPr>
            <w:tcW w:w="5280" w:type="dxa"/>
            <w:vAlign w:val="bottom"/>
          </w:tcPr>
          <w:p>
            <w:pPr>
              <w:ind w:left="220"/>
              <w:spacing w:after="0" w:line="122" w:lineRule="exact"/>
              <w:rPr>
                <w:sz w:val="20"/>
                <w:szCs w:val="20"/>
                <w:color w:val="auto"/>
              </w:rPr>
            </w:pPr>
            <w:r>
              <w:rPr>
                <w:rFonts w:ascii="Arial" w:cs="Arial" w:eastAsia="Arial" w:hAnsi="Arial"/>
                <w:sz w:val="13"/>
                <w:szCs w:val="13"/>
                <w:color w:val="auto"/>
              </w:rPr>
              <w:t>Flows, and (v) the Notes to the Consolidated Financial Statements.</w:t>
            </w:r>
          </w:p>
        </w:tc>
        <w:tc>
          <w:tcPr>
            <w:tcW w:w="0" w:type="dxa"/>
            <w:vAlign w:val="bottom"/>
          </w:tcPr>
          <w:p>
            <w:pPr>
              <w:spacing w:after="0"/>
              <w:rPr>
                <w:sz w:val="1"/>
                <w:szCs w:val="1"/>
                <w:color w:val="auto"/>
              </w:rPr>
            </w:pPr>
          </w:p>
        </w:tc>
      </w:tr>
      <w:tr>
        <w:trPr>
          <w:trHeight w:val="138"/>
        </w:trPr>
        <w:tc>
          <w:tcPr>
            <w:tcW w:w="400" w:type="dxa"/>
            <w:vAlign w:val="bottom"/>
            <w:vMerge w:val="continue"/>
          </w:tcPr>
          <w:p>
            <w:pPr>
              <w:spacing w:after="0"/>
              <w:rPr>
                <w:sz w:val="12"/>
                <w:szCs w:val="12"/>
                <w:color w:val="auto"/>
              </w:rPr>
            </w:pPr>
          </w:p>
        </w:tc>
        <w:tc>
          <w:tcPr>
            <w:tcW w:w="5280" w:type="dxa"/>
            <w:vAlign w:val="bottom"/>
          </w:tcPr>
          <w:p>
            <w:pPr>
              <w:ind w:left="220"/>
              <w:spacing w:after="0" w:line="138" w:lineRule="exact"/>
              <w:rPr>
                <w:sz w:val="20"/>
                <w:szCs w:val="20"/>
                <w:color w:val="auto"/>
              </w:rPr>
            </w:pPr>
            <w:r>
              <w:rPr>
                <w:rFonts w:ascii="Arial" w:cs="Arial" w:eastAsia="Arial" w:hAnsi="Arial"/>
                <w:sz w:val="13"/>
                <w:szCs w:val="13"/>
                <w:color w:val="auto"/>
                <w:w w:val="93"/>
              </w:rPr>
              <w:t>Cover Page Interactive Data File (formatted as inline XBRL and contained in Exhibit 101)  N/A</w:t>
            </w:r>
          </w:p>
        </w:tc>
        <w:tc>
          <w:tcPr>
            <w:tcW w:w="0" w:type="dxa"/>
            <w:vAlign w:val="bottom"/>
          </w:tcPr>
          <w:p>
            <w:pPr>
              <w:spacing w:after="0"/>
              <w:rPr>
                <w:sz w:val="1"/>
                <w:szCs w:val="1"/>
                <w:color w:val="auto"/>
              </w:rPr>
            </w:pPr>
          </w:p>
        </w:tc>
      </w:tr>
    </w:tbl>
    <w:p>
      <w:pPr>
        <w:spacing w:after="0" w:line="229" w:lineRule="auto"/>
        <w:rPr>
          <w:sz w:val="20"/>
          <w:szCs w:val="20"/>
          <w:color w:val="auto"/>
        </w:rPr>
      </w:pPr>
      <w:r>
        <w:rPr>
          <w:rFonts w:ascii="Arial" w:cs="Arial" w:eastAsia="Arial" w:hAnsi="Arial"/>
          <w:sz w:val="14"/>
          <w:szCs w:val="14"/>
          <w:color w:val="auto"/>
        </w:rPr>
        <w:t>_______________________</w:t>
      </w:r>
    </w:p>
    <w:p>
      <w:pPr>
        <w:spacing w:after="0" w:line="209" w:lineRule="auto"/>
        <w:rPr>
          <w:sz w:val="20"/>
          <w:szCs w:val="20"/>
          <w:color w:val="auto"/>
        </w:rPr>
      </w:pPr>
      <w:r>
        <w:rPr>
          <w:rFonts w:ascii="Arial" w:cs="Arial" w:eastAsia="Arial" w:hAnsi="Arial"/>
          <w:sz w:val="13"/>
          <w:szCs w:val="13"/>
          <w:color w:val="auto"/>
        </w:rPr>
        <w:t>+ Filed or furnished herewith</w:t>
      </w:r>
    </w:p>
    <w:p>
      <w:pPr>
        <w:ind w:firstLine="7"/>
        <w:spacing w:after="0" w:line="207" w:lineRule="auto"/>
        <w:tabs>
          <w:tab w:leader="none" w:pos="127" w:val="left"/>
        </w:tabs>
        <w:numPr>
          <w:ilvl w:val="0"/>
          <w:numId w:val="31"/>
        </w:numPr>
        <w:rPr>
          <w:rFonts w:ascii="Arial" w:cs="Arial" w:eastAsia="Arial" w:hAnsi="Arial"/>
          <w:sz w:val="13"/>
          <w:szCs w:val="13"/>
          <w:color w:val="auto"/>
        </w:rPr>
      </w:pPr>
      <w:r>
        <w:rPr>
          <w:rFonts w:ascii="Arial" w:cs="Arial" w:eastAsia="Arial" w:hAnsi="Arial"/>
          <w:sz w:val="13"/>
          <w:szCs w:val="13"/>
          <w:color w:val="auto"/>
        </w:rPr>
        <w:t>Certain portions of this exhibit have been omitted pursuant to Items 601(a)(5) and 601(b)(10)(iv) of Regulation S-K. Information in this exhibit that has been omitted has been noted in this document with a placeholder identified by the mark “[***]”. The Company hereby agrees to furnish a copy of any omitted schedules or exhibits to the SEC upon request.”</w:t>
      </w:r>
    </w:p>
    <w:p>
      <w:pPr>
        <w:ind w:left="5540" w:hanging="86"/>
        <w:spacing w:after="0"/>
        <w:tabs>
          <w:tab w:leader="none" w:pos="5540" w:val="left"/>
        </w:tabs>
        <w:numPr>
          <w:ilvl w:val="1"/>
          <w:numId w:val="31"/>
        </w:numPr>
        <w:rPr>
          <w:rFonts w:ascii="Arial" w:cs="Arial" w:eastAsia="Arial" w:hAnsi="Arial"/>
          <w:sz w:val="14"/>
          <w:szCs w:val="14"/>
          <w:color w:val="auto"/>
        </w:rPr>
      </w:pPr>
      <w:r>
        <w:rPr>
          <w:rFonts w:ascii="Arial" w:cs="Arial" w:eastAsia="Arial" w:hAnsi="Arial"/>
          <w:sz w:val="14"/>
          <w:szCs w:val="14"/>
          <w:color w:val="auto"/>
        </w:rPr>
        <w:t>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85025" cy="393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261" w:right="319"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color w:val="auto"/>
        </w:rPr>
        <w:t>* Indicates a management contract or compensatory plan or arrangement.</w:t>
      </w:r>
    </w:p>
    <w:p>
      <w:pPr>
        <w:spacing w:after="0" w:line="1" w:lineRule="exact"/>
        <w:rPr>
          <w:sz w:val="20"/>
          <w:szCs w:val="20"/>
          <w:color w:val="auto"/>
        </w:rPr>
      </w:pPr>
    </w:p>
    <w:p>
      <w:pPr>
        <w:ind w:left="200" w:hanging="193"/>
        <w:spacing w:after="0"/>
        <w:tabs>
          <w:tab w:leader="none" w:pos="200" w:val="left"/>
        </w:tabs>
        <w:numPr>
          <w:ilvl w:val="0"/>
          <w:numId w:val="32"/>
        </w:numPr>
        <w:rPr>
          <w:rFonts w:ascii="Arial" w:cs="Arial" w:eastAsia="Arial" w:hAnsi="Arial"/>
          <w:sz w:val="11"/>
          <w:szCs w:val="11"/>
          <w:color w:val="auto"/>
        </w:rPr>
      </w:pPr>
      <w:r>
        <w:rPr>
          <w:rFonts w:ascii="Arial" w:cs="Arial" w:eastAsia="Arial" w:hAnsi="Arial"/>
          <w:sz w:val="11"/>
          <w:szCs w:val="11"/>
          <w:color w:val="auto"/>
        </w:rPr>
        <w:t>Included is the amended and restated version of this exhibit, redlined to show the amendment adopted on November 7, 2017.</w:t>
      </w:r>
    </w:p>
    <w:p>
      <w:pPr>
        <w:spacing w:after="0" w:line="152" w:lineRule="exact"/>
        <w:rPr>
          <w:rFonts w:ascii="Arial" w:cs="Arial" w:eastAsia="Arial" w:hAnsi="Arial"/>
          <w:sz w:val="11"/>
          <w:szCs w:val="11"/>
          <w:color w:val="auto"/>
        </w:rPr>
      </w:pPr>
    </w:p>
    <w:p>
      <w:pPr>
        <w:ind w:left="5540" w:hanging="86"/>
        <w:spacing w:after="0"/>
        <w:tabs>
          <w:tab w:leader="none" w:pos="5540" w:val="left"/>
        </w:tabs>
        <w:numPr>
          <w:ilvl w:val="1"/>
          <w:numId w:val="32"/>
        </w:numPr>
        <w:rPr>
          <w:rFonts w:ascii="Arial" w:cs="Arial" w:eastAsia="Arial" w:hAnsi="Arial"/>
          <w:sz w:val="14"/>
          <w:szCs w:val="14"/>
          <w:color w:val="auto"/>
        </w:rPr>
      </w:pPr>
      <w:r>
        <w:rPr>
          <w:rFonts w:ascii="Arial" w:cs="Arial" w:eastAsia="Arial" w:hAnsi="Arial"/>
          <w:sz w:val="14"/>
          <w:szCs w:val="14"/>
          <w:color w:val="auto"/>
        </w:rPr>
        <w:t>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7185025" cy="393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0159"/>
          </w:cols>
          <w:pgMar w:left="300" w:top="426" w:right="1440" w:bottom="1440" w:gutter="0" w:footer="0" w:header="0"/>
        </w:sectPr>
      </w:pPr>
    </w:p>
    <w:bookmarkStart w:id="117" w:name="page118"/>
    <w:bookmarkEnd w:id="117"/>
    <w:p>
      <w:pPr>
        <w:jc w:val="center"/>
        <w:ind w:right="-179"/>
        <w:spacing w:after="0"/>
        <w:rPr>
          <w:sz w:val="20"/>
          <w:szCs w:val="20"/>
          <w:color w:val="auto"/>
        </w:rPr>
      </w:pPr>
      <w:r>
        <w:rPr>
          <w:rFonts w:ascii="Arial" w:cs="Arial" w:eastAsia="Arial" w:hAnsi="Arial"/>
          <w:sz w:val="20"/>
          <w:szCs w:val="20"/>
          <w:b w:val="1"/>
          <w:bCs w:val="1"/>
          <w:u w:val="single" w:color="auto"/>
          <w:color w:val="auto"/>
        </w:rPr>
        <w:t>SIGNATURES</w:t>
      </w:r>
    </w:p>
    <w:p>
      <w:pPr>
        <w:spacing w:after="0" w:line="207" w:lineRule="exact"/>
        <w:rPr>
          <w:sz w:val="20"/>
          <w:szCs w:val="20"/>
          <w:color w:val="auto"/>
        </w:rPr>
      </w:pPr>
    </w:p>
    <w:p>
      <w:pPr>
        <w:ind w:right="180"/>
        <w:spacing w:after="0" w:line="264" w:lineRule="auto"/>
        <w:rPr>
          <w:sz w:val="20"/>
          <w:szCs w:val="20"/>
          <w:color w:val="auto"/>
        </w:rPr>
      </w:pPr>
      <w:r>
        <w:rPr>
          <w:rFonts w:ascii="Arial" w:cs="Arial" w:eastAsia="Arial" w:hAnsi="Arial"/>
          <w:sz w:val="14"/>
          <w:szCs w:val="14"/>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READING INTERNATIONAL, INC.</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(Registrant)</w:t>
      </w:r>
    </w:p>
    <w:p>
      <w:pPr>
        <w:spacing w:after="0" w:line="294" w:lineRule="exact"/>
        <w:rPr>
          <w:sz w:val="20"/>
          <w:szCs w:val="20"/>
          <w:color w:val="auto"/>
        </w:rPr>
      </w:pPr>
    </w:p>
    <w:p>
      <w:pPr>
        <w:ind w:left="780" w:right="4380" w:hanging="5701"/>
        <w:spacing w:after="0" w:line="243" w:lineRule="auto"/>
        <w:tabs>
          <w:tab w:leader="none" w:pos="76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March 16, 2022 By: /s/ Gilbert Avanes Gilbert Avanes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3625215</wp:posOffset>
            </wp:positionH>
            <wp:positionV relativeFrom="paragraph">
              <wp:posOffset>-5080</wp:posOffset>
            </wp:positionV>
            <wp:extent cx="353822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3538220" cy="6985"/>
                    </a:xfrm>
                    <a:prstGeom prst="rect">
                      <a:avLst/>
                    </a:prstGeom>
                    <a:noFill/>
                  </pic:spPr>
                </pic:pic>
              </a:graphicData>
            </a:graphic>
          </wp:anchor>
        </w:drawing>
      </w:r>
    </w:p>
    <w:p>
      <w:pPr>
        <w:spacing w:after="0" w:line="114"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Executive Vice President, Chief Financial Officer and Treasurer</w:t>
      </w:r>
    </w:p>
    <w:p>
      <w:pPr>
        <w:ind w:left="5700"/>
        <w:spacing w:after="0"/>
        <w:rPr>
          <w:sz w:val="20"/>
          <w:szCs w:val="20"/>
          <w:color w:val="auto"/>
        </w:rPr>
      </w:pPr>
      <w:r>
        <w:rPr>
          <w:rFonts w:ascii="Arial" w:cs="Arial" w:eastAsia="Arial" w:hAnsi="Arial"/>
          <w:sz w:val="14"/>
          <w:szCs w:val="14"/>
          <w:color w:val="auto"/>
        </w:rPr>
        <w:t>(Principal Financial Officer)</w:t>
      </w:r>
    </w:p>
    <w:p>
      <w:pPr>
        <w:spacing w:after="0" w:line="127" w:lineRule="exact"/>
        <w:rPr>
          <w:sz w:val="20"/>
          <w:szCs w:val="20"/>
          <w:color w:val="auto"/>
        </w:rPr>
      </w:pPr>
    </w:p>
    <w:p>
      <w:pPr>
        <w:spacing w:after="0" w:line="264" w:lineRule="auto"/>
        <w:rPr>
          <w:sz w:val="20"/>
          <w:szCs w:val="20"/>
          <w:color w:val="auto"/>
        </w:rPr>
      </w:pPr>
      <w:r>
        <w:rPr>
          <w:rFonts w:ascii="Arial" w:cs="Arial" w:eastAsia="Arial" w:hAnsi="Arial"/>
          <w:sz w:val="14"/>
          <w:szCs w:val="14"/>
          <w:b w:val="1"/>
          <w:bCs w:val="1"/>
          <w:color w:val="auto"/>
        </w:rPr>
        <w:t>Pursuant to the requirements of the Securities and Exchange Act of 1934, this report has been signed below by the following persons on behalf of Registrant and in capacities and on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328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Title(s)</w:t>
            </w:r>
          </w:p>
        </w:tc>
        <w:tc>
          <w:tcPr>
            <w:tcW w:w="1820" w:type="dxa"/>
            <w:vAlign w:val="bottom"/>
          </w:tcPr>
          <w:p>
            <w:pPr>
              <w:spacing w:after="0"/>
              <w:rPr>
                <w:sz w:val="14"/>
                <w:szCs w:val="1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6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3"/>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Ellen M. Cotter</w:t>
            </w:r>
          </w:p>
        </w:tc>
        <w:tc>
          <w:tcPr>
            <w:tcW w:w="5800" w:type="dxa"/>
            <w:vAlign w:val="bottom"/>
            <w:gridSpan w:val="3"/>
          </w:tcPr>
          <w:p>
            <w:pPr>
              <w:spacing w:after="0"/>
              <w:rPr>
                <w:sz w:val="20"/>
                <w:szCs w:val="20"/>
                <w:color w:val="auto"/>
              </w:rPr>
            </w:pPr>
            <w:r>
              <w:rPr>
                <w:rFonts w:ascii="Arial" w:cs="Arial" w:eastAsia="Arial" w:hAnsi="Arial"/>
                <w:sz w:val="14"/>
                <w:szCs w:val="14"/>
                <w:color w:val="auto"/>
              </w:rPr>
              <w:t>President, Chief Executive Officer and Vice Chair of Board and Director</w:t>
            </w:r>
          </w:p>
        </w:tc>
        <w:tc>
          <w:tcPr>
            <w:tcW w:w="2420" w:type="dxa"/>
            <w:vAlign w:val="bottom"/>
            <w:gridSpan w:val="3"/>
          </w:tcPr>
          <w:p>
            <w:pPr>
              <w:jc w:val="center"/>
              <w:ind w:left="1448"/>
              <w:spacing w:after="0"/>
              <w:rPr>
                <w:sz w:val="20"/>
                <w:szCs w:val="20"/>
                <w:color w:val="auto"/>
              </w:rPr>
            </w:pPr>
            <w:r>
              <w:rPr>
                <w:rFonts w:ascii="Arial" w:cs="Arial" w:eastAsia="Arial" w:hAnsi="Arial"/>
                <w:sz w:val="14"/>
                <w:szCs w:val="14"/>
                <w:color w:val="auto"/>
                <w:w w:val="92"/>
              </w:rPr>
              <w:t>March 16, 2022</w:t>
            </w:r>
          </w:p>
        </w:tc>
      </w:tr>
      <w:tr>
        <w:trPr>
          <w:trHeight w:val="174"/>
        </w:trPr>
        <w:tc>
          <w:tcPr>
            <w:tcW w:w="2720" w:type="dxa"/>
            <w:vAlign w:val="bottom"/>
            <w:gridSpan w:val="2"/>
          </w:tcPr>
          <w:p>
            <w:pPr>
              <w:spacing w:after="0"/>
              <w:rPr>
                <w:sz w:val="20"/>
                <w:szCs w:val="20"/>
                <w:color w:val="auto"/>
              </w:rPr>
            </w:pPr>
            <w:r>
              <w:rPr>
                <w:rFonts w:ascii="Arial" w:cs="Arial" w:eastAsia="Arial" w:hAnsi="Arial"/>
                <w:sz w:val="14"/>
                <w:szCs w:val="14"/>
                <w:color w:val="auto"/>
              </w:rPr>
              <w:t>Ellen M. Cotter</w:t>
            </w:r>
          </w:p>
        </w:tc>
        <w:tc>
          <w:tcPr>
            <w:tcW w:w="5800" w:type="dxa"/>
            <w:vAlign w:val="bottom"/>
            <w:gridSpan w:val="3"/>
          </w:tcPr>
          <w:p>
            <w:pPr>
              <w:spacing w:after="0"/>
              <w:rPr>
                <w:sz w:val="20"/>
                <w:szCs w:val="20"/>
                <w:color w:val="auto"/>
              </w:rPr>
            </w:pPr>
            <w:r>
              <w:rPr>
                <w:rFonts w:ascii="Arial" w:cs="Arial" w:eastAsia="Arial" w:hAnsi="Arial"/>
                <w:sz w:val="14"/>
                <w:szCs w:val="14"/>
                <w:i w:val="1"/>
                <w:iCs w:val="1"/>
                <w:color w:val="auto"/>
              </w:rPr>
              <w:t>(Principal Executive Officer)</w:t>
            </w:r>
          </w:p>
        </w:tc>
        <w:tc>
          <w:tcPr>
            <w:tcW w:w="1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62"/>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Gilbert Avanes</w:t>
            </w:r>
          </w:p>
        </w:tc>
        <w:tc>
          <w:tcPr>
            <w:tcW w:w="5800" w:type="dxa"/>
            <w:vAlign w:val="bottom"/>
            <w:gridSpan w:val="3"/>
          </w:tcPr>
          <w:p>
            <w:pPr>
              <w:spacing w:after="0"/>
              <w:rPr>
                <w:sz w:val="20"/>
                <w:szCs w:val="20"/>
                <w:color w:val="auto"/>
              </w:rPr>
            </w:pPr>
            <w:r>
              <w:rPr>
                <w:rFonts w:ascii="Arial" w:cs="Arial" w:eastAsia="Arial" w:hAnsi="Arial"/>
                <w:sz w:val="14"/>
                <w:szCs w:val="14"/>
                <w:color w:val="auto"/>
              </w:rPr>
              <w:t>Executive Vice President, Chief Financial Officer and Treasurer</w:t>
            </w:r>
          </w:p>
        </w:tc>
        <w:tc>
          <w:tcPr>
            <w:tcW w:w="2420" w:type="dxa"/>
            <w:vAlign w:val="bottom"/>
            <w:gridSpan w:val="3"/>
          </w:tcPr>
          <w:p>
            <w:pPr>
              <w:jc w:val="center"/>
              <w:ind w:left="1448"/>
              <w:spacing w:after="0"/>
              <w:rPr>
                <w:sz w:val="20"/>
                <w:szCs w:val="20"/>
                <w:color w:val="auto"/>
              </w:rPr>
            </w:pPr>
            <w:r>
              <w:rPr>
                <w:rFonts w:ascii="Arial" w:cs="Arial" w:eastAsia="Arial" w:hAnsi="Arial"/>
                <w:sz w:val="14"/>
                <w:szCs w:val="14"/>
                <w:color w:val="auto"/>
                <w:w w:val="92"/>
              </w:rPr>
              <w:t>March 16, 2022</w:t>
            </w:r>
          </w:p>
        </w:tc>
      </w:tr>
      <w:tr>
        <w:trPr>
          <w:trHeight w:val="174"/>
        </w:trPr>
        <w:tc>
          <w:tcPr>
            <w:tcW w:w="2720" w:type="dxa"/>
            <w:vAlign w:val="bottom"/>
            <w:gridSpan w:val="2"/>
          </w:tcPr>
          <w:p>
            <w:pPr>
              <w:spacing w:after="0"/>
              <w:rPr>
                <w:sz w:val="20"/>
                <w:szCs w:val="20"/>
                <w:color w:val="auto"/>
              </w:rPr>
            </w:pPr>
            <w:r>
              <w:rPr>
                <w:rFonts w:ascii="Arial" w:cs="Arial" w:eastAsia="Arial" w:hAnsi="Arial"/>
                <w:sz w:val="14"/>
                <w:szCs w:val="14"/>
                <w:color w:val="auto"/>
              </w:rPr>
              <w:t>Gilbert Avanes</w:t>
            </w:r>
          </w:p>
        </w:tc>
        <w:tc>
          <w:tcPr>
            <w:tcW w:w="5800" w:type="dxa"/>
            <w:vAlign w:val="bottom"/>
            <w:gridSpan w:val="3"/>
          </w:tcPr>
          <w:p>
            <w:pPr>
              <w:spacing w:after="0"/>
              <w:rPr>
                <w:sz w:val="20"/>
                <w:szCs w:val="20"/>
                <w:color w:val="auto"/>
              </w:rPr>
            </w:pPr>
            <w:r>
              <w:rPr>
                <w:rFonts w:ascii="Arial" w:cs="Arial" w:eastAsia="Arial" w:hAnsi="Arial"/>
                <w:sz w:val="14"/>
                <w:szCs w:val="14"/>
                <w:i w:val="1"/>
                <w:iCs w:val="1"/>
                <w:color w:val="auto"/>
              </w:rPr>
              <w:t>(Principal Financial Officer)</w:t>
            </w:r>
          </w:p>
        </w:tc>
        <w:tc>
          <w:tcPr>
            <w:tcW w:w="1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62"/>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Steve Lucas</w:t>
            </w:r>
          </w:p>
        </w:tc>
        <w:tc>
          <w:tcPr>
            <w:tcW w:w="5800" w:type="dxa"/>
            <w:vAlign w:val="bottom"/>
            <w:gridSpan w:val="3"/>
          </w:tcPr>
          <w:p>
            <w:pPr>
              <w:spacing w:after="0"/>
              <w:rPr>
                <w:sz w:val="20"/>
                <w:szCs w:val="20"/>
                <w:color w:val="auto"/>
              </w:rPr>
            </w:pPr>
            <w:r>
              <w:rPr>
                <w:rFonts w:ascii="Arial" w:cs="Arial" w:eastAsia="Arial" w:hAnsi="Arial"/>
                <w:sz w:val="14"/>
                <w:szCs w:val="14"/>
                <w:color w:val="auto"/>
              </w:rPr>
              <w:t>Vice President, Controller and Chief Accounting Officer</w:t>
            </w:r>
          </w:p>
        </w:tc>
        <w:tc>
          <w:tcPr>
            <w:tcW w:w="2420" w:type="dxa"/>
            <w:vAlign w:val="bottom"/>
            <w:gridSpan w:val="3"/>
          </w:tcPr>
          <w:p>
            <w:pPr>
              <w:jc w:val="center"/>
              <w:ind w:left="1448"/>
              <w:spacing w:after="0"/>
              <w:rPr>
                <w:sz w:val="20"/>
                <w:szCs w:val="20"/>
                <w:color w:val="auto"/>
              </w:rPr>
            </w:pPr>
            <w:r>
              <w:rPr>
                <w:rFonts w:ascii="Arial" w:cs="Arial" w:eastAsia="Arial" w:hAnsi="Arial"/>
                <w:sz w:val="14"/>
                <w:szCs w:val="14"/>
                <w:color w:val="auto"/>
                <w:w w:val="92"/>
              </w:rPr>
              <w:t>March 16, 2022</w:t>
            </w:r>
          </w:p>
        </w:tc>
      </w:tr>
      <w:tr>
        <w:trPr>
          <w:trHeight w:val="174"/>
        </w:trPr>
        <w:tc>
          <w:tcPr>
            <w:tcW w:w="2720" w:type="dxa"/>
            <w:vAlign w:val="bottom"/>
            <w:gridSpan w:val="2"/>
          </w:tcPr>
          <w:p>
            <w:pPr>
              <w:spacing w:after="0"/>
              <w:rPr>
                <w:sz w:val="20"/>
                <w:szCs w:val="20"/>
                <w:color w:val="auto"/>
              </w:rPr>
            </w:pPr>
            <w:r>
              <w:rPr>
                <w:rFonts w:ascii="Arial" w:cs="Arial" w:eastAsia="Arial" w:hAnsi="Arial"/>
                <w:sz w:val="14"/>
                <w:szCs w:val="14"/>
                <w:color w:val="auto"/>
              </w:rPr>
              <w:t>Steve Lucas</w:t>
            </w:r>
          </w:p>
        </w:tc>
        <w:tc>
          <w:tcPr>
            <w:tcW w:w="5800" w:type="dxa"/>
            <w:vAlign w:val="bottom"/>
            <w:gridSpan w:val="3"/>
          </w:tcPr>
          <w:p>
            <w:pPr>
              <w:spacing w:after="0"/>
              <w:rPr>
                <w:sz w:val="20"/>
                <w:szCs w:val="20"/>
                <w:color w:val="auto"/>
              </w:rPr>
            </w:pPr>
            <w:r>
              <w:rPr>
                <w:rFonts w:ascii="Arial" w:cs="Arial" w:eastAsia="Arial" w:hAnsi="Arial"/>
                <w:sz w:val="14"/>
                <w:szCs w:val="14"/>
                <w:i w:val="1"/>
                <w:iCs w:val="1"/>
                <w:color w:val="auto"/>
              </w:rPr>
              <w:t>(Principal Accounting Officer)</w:t>
            </w:r>
          </w:p>
        </w:tc>
        <w:tc>
          <w:tcPr>
            <w:tcW w:w="1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62"/>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Margaret Cotter</w:t>
            </w:r>
          </w:p>
        </w:tc>
        <w:tc>
          <w:tcPr>
            <w:tcW w:w="5800" w:type="dxa"/>
            <w:vAlign w:val="bottom"/>
            <w:gridSpan w:val="3"/>
          </w:tcPr>
          <w:p>
            <w:pPr>
              <w:spacing w:after="0"/>
              <w:rPr>
                <w:sz w:val="20"/>
                <w:szCs w:val="20"/>
                <w:color w:val="auto"/>
              </w:rPr>
            </w:pPr>
            <w:r>
              <w:rPr>
                <w:rFonts w:ascii="Arial" w:cs="Arial" w:eastAsia="Arial" w:hAnsi="Arial"/>
                <w:sz w:val="14"/>
                <w:szCs w:val="14"/>
                <w:color w:val="auto"/>
              </w:rPr>
              <w:t>Executive Vice President Real Estate and Chair of the Board and Director</w:t>
            </w:r>
          </w:p>
        </w:tc>
        <w:tc>
          <w:tcPr>
            <w:tcW w:w="2420" w:type="dxa"/>
            <w:vAlign w:val="bottom"/>
            <w:gridSpan w:val="3"/>
          </w:tcPr>
          <w:p>
            <w:pPr>
              <w:jc w:val="center"/>
              <w:ind w:left="1448"/>
              <w:spacing w:after="0"/>
              <w:rPr>
                <w:sz w:val="20"/>
                <w:szCs w:val="20"/>
                <w:color w:val="auto"/>
              </w:rPr>
            </w:pPr>
            <w:r>
              <w:rPr>
                <w:rFonts w:ascii="Arial" w:cs="Arial" w:eastAsia="Arial" w:hAnsi="Arial"/>
                <w:sz w:val="14"/>
                <w:szCs w:val="14"/>
                <w:color w:val="auto"/>
                <w:w w:val="92"/>
              </w:rPr>
              <w:t>March 16, 2022</w:t>
            </w:r>
          </w:p>
        </w:tc>
      </w:tr>
      <w:tr>
        <w:trPr>
          <w:trHeight w:val="174"/>
        </w:trPr>
        <w:tc>
          <w:tcPr>
            <w:tcW w:w="2720" w:type="dxa"/>
            <w:vAlign w:val="bottom"/>
            <w:gridSpan w:val="2"/>
          </w:tcPr>
          <w:p>
            <w:pPr>
              <w:spacing w:after="0"/>
              <w:rPr>
                <w:sz w:val="20"/>
                <w:szCs w:val="20"/>
                <w:color w:val="auto"/>
              </w:rPr>
            </w:pPr>
            <w:r>
              <w:rPr>
                <w:rFonts w:ascii="Arial" w:cs="Arial" w:eastAsia="Arial" w:hAnsi="Arial"/>
                <w:sz w:val="14"/>
                <w:szCs w:val="14"/>
                <w:color w:val="auto"/>
              </w:rPr>
              <w:t>Margaret Cotter</w:t>
            </w:r>
          </w:p>
        </w:tc>
        <w:tc>
          <w:tcPr>
            <w:tcW w:w="3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62"/>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Guy W. Adams</w:t>
            </w:r>
          </w:p>
        </w:tc>
        <w:tc>
          <w:tcPr>
            <w:tcW w:w="5800" w:type="dxa"/>
            <w:vAlign w:val="bottom"/>
            <w:gridSpan w:val="3"/>
          </w:tcPr>
          <w:p>
            <w:pPr>
              <w:spacing w:after="0"/>
              <w:rPr>
                <w:sz w:val="20"/>
                <w:szCs w:val="20"/>
                <w:color w:val="auto"/>
              </w:rPr>
            </w:pPr>
            <w:r>
              <w:rPr>
                <w:rFonts w:ascii="Arial" w:cs="Arial" w:eastAsia="Arial" w:hAnsi="Arial"/>
                <w:sz w:val="14"/>
                <w:szCs w:val="14"/>
                <w:color w:val="auto"/>
              </w:rPr>
              <w:t>Director</w:t>
            </w:r>
          </w:p>
        </w:tc>
        <w:tc>
          <w:tcPr>
            <w:tcW w:w="2420" w:type="dxa"/>
            <w:vAlign w:val="bottom"/>
            <w:gridSpan w:val="3"/>
          </w:tcPr>
          <w:p>
            <w:pPr>
              <w:jc w:val="center"/>
              <w:ind w:left="1448"/>
              <w:spacing w:after="0"/>
              <w:rPr>
                <w:sz w:val="20"/>
                <w:szCs w:val="20"/>
                <w:color w:val="auto"/>
              </w:rPr>
            </w:pPr>
            <w:r>
              <w:rPr>
                <w:rFonts w:ascii="Arial" w:cs="Arial" w:eastAsia="Arial" w:hAnsi="Arial"/>
                <w:sz w:val="14"/>
                <w:szCs w:val="14"/>
                <w:color w:val="auto"/>
                <w:w w:val="92"/>
              </w:rPr>
              <w:t>March 16, 2022</w:t>
            </w:r>
          </w:p>
        </w:tc>
      </w:tr>
      <w:tr>
        <w:trPr>
          <w:trHeight w:val="174"/>
        </w:trPr>
        <w:tc>
          <w:tcPr>
            <w:tcW w:w="2720" w:type="dxa"/>
            <w:vAlign w:val="bottom"/>
            <w:gridSpan w:val="2"/>
          </w:tcPr>
          <w:p>
            <w:pPr>
              <w:spacing w:after="0"/>
              <w:rPr>
                <w:sz w:val="20"/>
                <w:szCs w:val="20"/>
                <w:color w:val="auto"/>
              </w:rPr>
            </w:pPr>
            <w:r>
              <w:rPr>
                <w:rFonts w:ascii="Arial" w:cs="Arial" w:eastAsia="Arial" w:hAnsi="Arial"/>
                <w:sz w:val="14"/>
                <w:szCs w:val="14"/>
                <w:color w:val="auto"/>
              </w:rPr>
              <w:t>Guy W. Adams</w:t>
            </w:r>
          </w:p>
        </w:tc>
        <w:tc>
          <w:tcPr>
            <w:tcW w:w="3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62"/>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Douglas J. McEachern</w:t>
            </w:r>
          </w:p>
        </w:tc>
        <w:tc>
          <w:tcPr>
            <w:tcW w:w="5800" w:type="dxa"/>
            <w:vAlign w:val="bottom"/>
            <w:gridSpan w:val="3"/>
          </w:tcPr>
          <w:p>
            <w:pPr>
              <w:spacing w:after="0"/>
              <w:rPr>
                <w:sz w:val="20"/>
                <w:szCs w:val="20"/>
                <w:color w:val="auto"/>
              </w:rPr>
            </w:pPr>
            <w:r>
              <w:rPr>
                <w:rFonts w:ascii="Arial" w:cs="Arial" w:eastAsia="Arial" w:hAnsi="Arial"/>
                <w:sz w:val="14"/>
                <w:szCs w:val="14"/>
                <w:color w:val="auto"/>
              </w:rPr>
              <w:t>Director</w:t>
            </w:r>
          </w:p>
        </w:tc>
        <w:tc>
          <w:tcPr>
            <w:tcW w:w="2420" w:type="dxa"/>
            <w:vAlign w:val="bottom"/>
            <w:gridSpan w:val="3"/>
          </w:tcPr>
          <w:p>
            <w:pPr>
              <w:jc w:val="center"/>
              <w:ind w:left="1448"/>
              <w:spacing w:after="0"/>
              <w:rPr>
                <w:sz w:val="20"/>
                <w:szCs w:val="20"/>
                <w:color w:val="auto"/>
              </w:rPr>
            </w:pPr>
            <w:r>
              <w:rPr>
                <w:rFonts w:ascii="Arial" w:cs="Arial" w:eastAsia="Arial" w:hAnsi="Arial"/>
                <w:sz w:val="14"/>
                <w:szCs w:val="14"/>
                <w:color w:val="auto"/>
                <w:w w:val="92"/>
              </w:rPr>
              <w:t>March 16, 2022</w:t>
            </w:r>
          </w:p>
        </w:tc>
      </w:tr>
      <w:tr>
        <w:trPr>
          <w:trHeight w:val="174"/>
        </w:trPr>
        <w:tc>
          <w:tcPr>
            <w:tcW w:w="2720" w:type="dxa"/>
            <w:vAlign w:val="bottom"/>
            <w:gridSpan w:val="2"/>
          </w:tcPr>
          <w:p>
            <w:pPr>
              <w:spacing w:after="0"/>
              <w:rPr>
                <w:sz w:val="20"/>
                <w:szCs w:val="20"/>
                <w:color w:val="auto"/>
              </w:rPr>
            </w:pPr>
            <w:r>
              <w:rPr>
                <w:rFonts w:ascii="Arial" w:cs="Arial" w:eastAsia="Arial" w:hAnsi="Arial"/>
                <w:sz w:val="14"/>
                <w:szCs w:val="14"/>
                <w:color w:val="auto"/>
              </w:rPr>
              <w:t>Douglas J. McEachern</w:t>
            </w:r>
          </w:p>
        </w:tc>
        <w:tc>
          <w:tcPr>
            <w:tcW w:w="3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62"/>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Dr. Judy Codding</w:t>
            </w:r>
          </w:p>
        </w:tc>
        <w:tc>
          <w:tcPr>
            <w:tcW w:w="5800" w:type="dxa"/>
            <w:vAlign w:val="bottom"/>
            <w:gridSpan w:val="3"/>
          </w:tcPr>
          <w:p>
            <w:pPr>
              <w:spacing w:after="0"/>
              <w:rPr>
                <w:sz w:val="20"/>
                <w:szCs w:val="20"/>
                <w:color w:val="auto"/>
              </w:rPr>
            </w:pPr>
            <w:r>
              <w:rPr>
                <w:rFonts w:ascii="Arial" w:cs="Arial" w:eastAsia="Arial" w:hAnsi="Arial"/>
                <w:sz w:val="14"/>
                <w:szCs w:val="14"/>
                <w:color w:val="auto"/>
              </w:rPr>
              <w:t>Director</w:t>
            </w:r>
          </w:p>
        </w:tc>
        <w:tc>
          <w:tcPr>
            <w:tcW w:w="2420" w:type="dxa"/>
            <w:vAlign w:val="bottom"/>
            <w:gridSpan w:val="3"/>
          </w:tcPr>
          <w:p>
            <w:pPr>
              <w:jc w:val="center"/>
              <w:ind w:left="1448"/>
              <w:spacing w:after="0"/>
              <w:rPr>
                <w:sz w:val="20"/>
                <w:szCs w:val="20"/>
                <w:color w:val="auto"/>
              </w:rPr>
            </w:pPr>
            <w:r>
              <w:rPr>
                <w:rFonts w:ascii="Arial" w:cs="Arial" w:eastAsia="Arial" w:hAnsi="Arial"/>
                <w:sz w:val="14"/>
                <w:szCs w:val="14"/>
                <w:color w:val="auto"/>
                <w:w w:val="92"/>
              </w:rPr>
              <w:t>March 16, 2022</w:t>
            </w:r>
          </w:p>
        </w:tc>
      </w:tr>
      <w:tr>
        <w:trPr>
          <w:trHeight w:val="174"/>
        </w:trPr>
        <w:tc>
          <w:tcPr>
            <w:tcW w:w="2720" w:type="dxa"/>
            <w:vAlign w:val="bottom"/>
            <w:gridSpan w:val="2"/>
          </w:tcPr>
          <w:p>
            <w:pPr>
              <w:spacing w:after="0"/>
              <w:rPr>
                <w:sz w:val="20"/>
                <w:szCs w:val="20"/>
                <w:color w:val="auto"/>
              </w:rPr>
            </w:pPr>
            <w:r>
              <w:rPr>
                <w:rFonts w:ascii="Arial" w:cs="Arial" w:eastAsia="Arial" w:hAnsi="Arial"/>
                <w:sz w:val="14"/>
                <w:szCs w:val="14"/>
                <w:color w:val="auto"/>
              </w:rPr>
              <w:t>Dr. Judy Codding</w:t>
            </w:r>
          </w:p>
        </w:tc>
        <w:tc>
          <w:tcPr>
            <w:tcW w:w="3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683"/>
        </w:trPr>
        <w:tc>
          <w:tcPr>
            <w:tcW w:w="6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280" w:type="dxa"/>
            <w:vAlign w:val="bottom"/>
          </w:tcPr>
          <w:p>
            <w:pPr>
              <w:ind w:left="2740"/>
              <w:spacing w:after="0"/>
              <w:rPr>
                <w:sz w:val="20"/>
                <w:szCs w:val="20"/>
                <w:color w:val="auto"/>
              </w:rPr>
            </w:pPr>
            <w:r>
              <w:rPr>
                <w:rFonts w:ascii="Arial" w:cs="Arial" w:eastAsia="Arial" w:hAnsi="Arial"/>
                <w:sz w:val="14"/>
                <w:szCs w:val="14"/>
                <w:color w:val="auto"/>
              </w:rPr>
              <w:t>- 118 -</w:t>
            </w:r>
          </w:p>
        </w:tc>
        <w:tc>
          <w:tcPr>
            <w:tcW w:w="4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120"/>
          </w:cols>
          <w:pgMar w:left="300" w:top="414" w:right="479" w:bottom="1440" w:gutter="0" w:footer="0" w:header="0"/>
        </w:sectPr>
      </w:pPr>
    </w:p>
    <w:bookmarkStart w:id="118" w:name="page119"/>
    <w:bookmarkEnd w:id="118"/>
    <w:p>
      <w:pPr>
        <w:ind w:left="5" w:right="240" w:hanging="5"/>
        <w:spacing w:after="0" w:line="267" w:lineRule="auto"/>
        <w:tabs>
          <w:tab w:leader="none" w:pos="283"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CERTAIN IDENTIFIED INFORMATION HAS BEEN EXCLUDED FROM THIS EXHIBIT BECAUSE IT IS BOTH NOT MATERIAL AND IS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4314190</wp:posOffset>
            </wp:positionH>
            <wp:positionV relativeFrom="paragraph">
              <wp:posOffset>0</wp:posOffset>
            </wp:positionV>
            <wp:extent cx="564515" cy="8813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564515" cy="881380"/>
                    </a:xfrm>
                    <a:prstGeom prst="rect">
                      <a:avLst/>
                    </a:prstGeom>
                    <a:noFill/>
                  </pic:spPr>
                </pic:pic>
              </a:graphicData>
            </a:graphic>
          </wp:anchor>
        </w:drawing>
      </w:r>
    </w:p>
    <w:p>
      <w:pPr>
        <w:spacing w:after="0" w:line="330" w:lineRule="exact"/>
        <w:rPr>
          <w:sz w:val="20"/>
          <w:szCs w:val="20"/>
          <w:color w:val="auto"/>
        </w:rPr>
      </w:pPr>
    </w:p>
    <w:p>
      <w:pPr>
        <w:ind w:left="785"/>
        <w:spacing w:after="0"/>
        <w:rPr>
          <w:sz w:val="20"/>
          <w:szCs w:val="20"/>
          <w:color w:val="auto"/>
        </w:rPr>
      </w:pPr>
      <w:r>
        <w:rPr>
          <w:rFonts w:ascii="Arial" w:cs="Arial" w:eastAsia="Arial" w:hAnsi="Arial"/>
          <w:sz w:val="13"/>
          <w:szCs w:val="13"/>
          <w:color w:val="auto"/>
        </w:rPr>
        <w:t>Corporate &amp; Institutional Banking</w:t>
      </w:r>
    </w:p>
    <w:p>
      <w:pPr>
        <w:spacing w:after="0" w:line="14" w:lineRule="exact"/>
        <w:rPr>
          <w:sz w:val="20"/>
          <w:szCs w:val="20"/>
          <w:color w:val="auto"/>
        </w:rPr>
      </w:pPr>
    </w:p>
    <w:p>
      <w:pPr>
        <w:ind w:left="785"/>
        <w:spacing w:after="0"/>
        <w:rPr>
          <w:sz w:val="20"/>
          <w:szCs w:val="20"/>
          <w:color w:val="auto"/>
        </w:rPr>
      </w:pPr>
      <w:r>
        <w:rPr>
          <w:rFonts w:ascii="Arial" w:cs="Arial" w:eastAsia="Arial" w:hAnsi="Arial"/>
          <w:sz w:val="13"/>
          <w:szCs w:val="13"/>
          <w:color w:val="auto"/>
        </w:rPr>
        <w:t>NAB Place</w:t>
      </w:r>
    </w:p>
    <w:p>
      <w:pPr>
        <w:spacing w:after="0" w:line="23" w:lineRule="exact"/>
        <w:rPr>
          <w:sz w:val="20"/>
          <w:szCs w:val="20"/>
          <w:color w:val="auto"/>
        </w:rPr>
      </w:pPr>
    </w:p>
    <w:p>
      <w:pPr>
        <w:ind w:left="785"/>
        <w:spacing w:after="0"/>
        <w:rPr>
          <w:sz w:val="20"/>
          <w:szCs w:val="20"/>
          <w:color w:val="auto"/>
        </w:rPr>
      </w:pPr>
      <w:r>
        <w:rPr>
          <w:rFonts w:ascii="Arial" w:cs="Arial" w:eastAsia="Arial" w:hAnsi="Arial"/>
          <w:sz w:val="13"/>
          <w:szCs w:val="13"/>
          <w:color w:val="auto"/>
        </w:rPr>
        <w:t>Level 17, 395 Bourke Street</w:t>
      </w:r>
    </w:p>
    <w:p>
      <w:pPr>
        <w:spacing w:after="0" w:line="24" w:lineRule="exact"/>
        <w:rPr>
          <w:sz w:val="20"/>
          <w:szCs w:val="20"/>
          <w:color w:val="auto"/>
        </w:rPr>
      </w:pPr>
    </w:p>
    <w:p>
      <w:pPr>
        <w:ind w:left="785"/>
        <w:spacing w:after="0"/>
        <w:rPr>
          <w:sz w:val="20"/>
          <w:szCs w:val="20"/>
          <w:color w:val="auto"/>
        </w:rPr>
      </w:pPr>
      <w:r>
        <w:rPr>
          <w:rFonts w:ascii="Arial" w:cs="Arial" w:eastAsia="Arial" w:hAnsi="Arial"/>
          <w:sz w:val="13"/>
          <w:szCs w:val="13"/>
          <w:color w:val="auto"/>
        </w:rPr>
        <w:t>Melbourne VIC 3000 AUSTRALIA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25"/>
        <w:spacing w:after="0"/>
        <w:rPr>
          <w:sz w:val="20"/>
          <w:szCs w:val="20"/>
          <w:color w:val="auto"/>
        </w:rPr>
      </w:pPr>
      <w:r>
        <w:rPr>
          <w:rFonts w:ascii="Arial" w:cs="Arial" w:eastAsia="Arial" w:hAnsi="Arial"/>
          <w:sz w:val="13"/>
          <w:szCs w:val="13"/>
          <w:color w:val="auto"/>
        </w:rPr>
        <w:t>3 November 2021</w:t>
      </w:r>
    </w:p>
    <w:p>
      <w:pPr>
        <w:spacing w:after="0" w:line="317" w:lineRule="exact"/>
        <w:rPr>
          <w:sz w:val="20"/>
          <w:szCs w:val="20"/>
          <w:color w:val="auto"/>
        </w:rPr>
      </w:pPr>
    </w:p>
    <w:p>
      <w:pPr>
        <w:ind w:left="1125" w:right="180" w:hanging="405"/>
        <w:spacing w:after="0" w:line="327" w:lineRule="auto"/>
        <w:rPr>
          <w:sz w:val="20"/>
          <w:szCs w:val="20"/>
          <w:color w:val="auto"/>
        </w:rPr>
      </w:pPr>
      <w:r>
        <w:rPr>
          <w:rFonts w:ascii="Arial" w:cs="Arial" w:eastAsia="Arial" w:hAnsi="Arial"/>
          <w:sz w:val="12"/>
          <w:szCs w:val="12"/>
          <w:color w:val="auto"/>
        </w:rPr>
        <w:t>To: Reading Entertainment Australia Pty Ltd ACN [***](“Borrower”) and each Guarantor as defined the Corporate Markets Loan &amp; Bank Guarantee Facility Agreement between National Australia Bank Limited and Reading Entertainment Australia Group dated on or about the date of this Transactional Facility Side Letter</w:t>
      </w:r>
    </w:p>
    <w:p>
      <w:pPr>
        <w:spacing w:after="0" w:line="274" w:lineRule="exact"/>
        <w:rPr>
          <w:sz w:val="20"/>
          <w:szCs w:val="20"/>
          <w:color w:val="auto"/>
        </w:rPr>
      </w:pPr>
    </w:p>
    <w:p>
      <w:pPr>
        <w:jc w:val="center"/>
        <w:ind w:right="15"/>
        <w:spacing w:after="0"/>
        <w:rPr>
          <w:sz w:val="20"/>
          <w:szCs w:val="20"/>
          <w:color w:val="auto"/>
        </w:rPr>
      </w:pPr>
      <w:r>
        <w:rPr>
          <w:rFonts w:ascii="Arial" w:cs="Arial" w:eastAsia="Arial" w:hAnsi="Arial"/>
          <w:sz w:val="13"/>
          <w:szCs w:val="13"/>
          <w:color w:val="auto"/>
        </w:rPr>
        <w:t>TRANSACTIONAL FACILITY SIDE LETTER</w:t>
      </w:r>
    </w:p>
    <w:p>
      <w:pPr>
        <w:spacing w:after="0" w:line="338" w:lineRule="exact"/>
        <w:rPr>
          <w:sz w:val="20"/>
          <w:szCs w:val="20"/>
          <w:color w:val="auto"/>
        </w:rPr>
      </w:pPr>
    </w:p>
    <w:p>
      <w:pPr>
        <w:ind w:left="725"/>
        <w:spacing w:after="0"/>
        <w:rPr>
          <w:sz w:val="20"/>
          <w:szCs w:val="20"/>
          <w:color w:val="auto"/>
        </w:rPr>
      </w:pPr>
      <w:r>
        <w:rPr>
          <w:rFonts w:ascii="Arial" w:cs="Arial" w:eastAsia="Arial" w:hAnsi="Arial"/>
          <w:sz w:val="13"/>
          <w:szCs w:val="13"/>
          <w:color w:val="auto"/>
        </w:rPr>
        <w:t>We refer to prior correspondence and advise that</w:t>
      </w:r>
    </w:p>
    <w:p>
      <w:pPr>
        <w:spacing w:after="0" w:line="14" w:lineRule="exact"/>
        <w:rPr>
          <w:sz w:val="20"/>
          <w:szCs w:val="20"/>
          <w:color w:val="auto"/>
        </w:rPr>
      </w:pPr>
    </w:p>
    <w:p>
      <w:pPr>
        <w:ind w:left="725"/>
        <w:spacing w:after="0"/>
        <w:rPr>
          <w:sz w:val="20"/>
          <w:szCs w:val="20"/>
          <w:color w:val="auto"/>
        </w:rPr>
      </w:pPr>
      <w:r>
        <w:rPr>
          <w:rFonts w:ascii="Arial" w:cs="Arial" w:eastAsia="Arial" w:hAnsi="Arial"/>
          <w:sz w:val="13"/>
          <w:szCs w:val="13"/>
          <w:color w:val="auto"/>
        </w:rPr>
        <w:t>the purpose of this letter is to confirm and detail the terms of the transactional facilities provided by National Australia Bank Limited (“NAB”) to you as follows:</w:t>
      </w:r>
    </w:p>
    <w:p>
      <w:pPr>
        <w:spacing w:after="0" w:line="153" w:lineRule="exact"/>
        <w:rPr>
          <w:sz w:val="20"/>
          <w:szCs w:val="20"/>
          <w:color w:val="auto"/>
        </w:rPr>
      </w:pPr>
    </w:p>
    <w:tbl>
      <w:tblPr>
        <w:tblLayout w:type="fixed"/>
        <w:tblInd w:w="655" w:type="dxa"/>
        <w:tblCellMar>
          <w:top w:w="0" w:type="dxa"/>
          <w:left w:w="0" w:type="dxa"/>
          <w:bottom w:w="0" w:type="dxa"/>
          <w:right w:w="0" w:type="dxa"/>
        </w:tblCellMar>
      </w:tblPr>
      <w:tr>
        <w:trPr>
          <w:trHeight w:val="163"/>
        </w:trPr>
        <w:tc>
          <w:tcPr>
            <w:tcW w:w="260" w:type="dxa"/>
            <w:vAlign w:val="bottom"/>
          </w:tcPr>
          <w:p>
            <w:pPr>
              <w:ind w:left="80"/>
              <w:spacing w:after="0"/>
              <w:rPr>
                <w:sz w:val="20"/>
                <w:szCs w:val="20"/>
                <w:color w:val="auto"/>
              </w:rPr>
            </w:pPr>
            <w:r>
              <w:rPr>
                <w:rFonts w:ascii="Arial" w:cs="Arial" w:eastAsia="Arial" w:hAnsi="Arial"/>
                <w:sz w:val="13"/>
                <w:szCs w:val="13"/>
                <w:color w:val="auto"/>
              </w:rPr>
              <w:t>1.</w:t>
            </w:r>
          </w:p>
        </w:tc>
        <w:tc>
          <w:tcPr>
            <w:tcW w:w="6280" w:type="dxa"/>
            <w:vAlign w:val="bottom"/>
            <w:gridSpan w:val="2"/>
          </w:tcPr>
          <w:p>
            <w:pPr>
              <w:ind w:left="60"/>
              <w:spacing w:after="0"/>
              <w:rPr>
                <w:sz w:val="20"/>
                <w:szCs w:val="20"/>
                <w:color w:val="auto"/>
              </w:rPr>
            </w:pPr>
            <w:r>
              <w:rPr>
                <w:rFonts w:ascii="Arial" w:cs="Arial" w:eastAsia="Arial" w:hAnsi="Arial"/>
                <w:sz w:val="13"/>
                <w:szCs w:val="13"/>
                <w:color w:val="auto"/>
              </w:rPr>
              <w:t>TRANSACTIONAL FACILITY</w:t>
            </w:r>
          </w:p>
        </w:tc>
      </w:tr>
      <w:tr>
        <w:trPr>
          <w:trHeight w:val="164"/>
        </w:trPr>
        <w:tc>
          <w:tcPr>
            <w:tcW w:w="6540" w:type="dxa"/>
            <w:vAlign w:val="bottom"/>
            <w:gridSpan w:val="3"/>
          </w:tcPr>
          <w:p>
            <w:pPr>
              <w:ind w:left="80"/>
              <w:spacing w:after="0"/>
              <w:rPr>
                <w:sz w:val="20"/>
                <w:szCs w:val="20"/>
                <w:color w:val="auto"/>
              </w:rPr>
            </w:pPr>
            <w:r>
              <w:rPr>
                <w:rFonts w:ascii="Arial" w:cs="Arial" w:eastAsia="Arial" w:hAnsi="Arial"/>
                <w:sz w:val="13"/>
                <w:szCs w:val="13"/>
                <w:color w:val="auto"/>
              </w:rPr>
              <w:t>FACILITY 1: ELECTRONIC CHANNEL LIMIT</w:t>
            </w:r>
          </w:p>
        </w:tc>
      </w:tr>
      <w:tr>
        <w:trPr>
          <w:trHeight w:val="146"/>
        </w:trPr>
        <w:tc>
          <w:tcPr>
            <w:tcW w:w="1380" w:type="dxa"/>
            <w:vAlign w:val="bottom"/>
            <w:tcBorders>
              <w:bottom w:val="single" w:sz="8" w:color="auto"/>
            </w:tcBorders>
            <w:gridSpan w:val="2"/>
          </w:tcPr>
          <w:p>
            <w:pPr>
              <w:spacing w:after="0"/>
              <w:rPr>
                <w:sz w:val="12"/>
                <w:szCs w:val="12"/>
                <w:color w:val="auto"/>
              </w:rPr>
            </w:pPr>
          </w:p>
        </w:tc>
        <w:tc>
          <w:tcPr>
            <w:tcW w:w="5160" w:type="dxa"/>
            <w:vAlign w:val="bottom"/>
            <w:tcBorders>
              <w:bottom w:val="single" w:sz="8" w:color="auto"/>
            </w:tcBorders>
          </w:tcPr>
          <w:p>
            <w:pPr>
              <w:spacing w:after="0"/>
              <w:rPr>
                <w:sz w:val="12"/>
                <w:szCs w:val="12"/>
                <w:color w:val="auto"/>
              </w:rPr>
            </w:pPr>
          </w:p>
        </w:tc>
      </w:tr>
      <w:tr>
        <w:trPr>
          <w:trHeight w:val="143"/>
        </w:trPr>
        <w:tc>
          <w:tcPr>
            <w:tcW w:w="1380" w:type="dxa"/>
            <w:vAlign w:val="bottom"/>
            <w:tcBorders>
              <w:left w:val="single" w:sz="8" w:color="auto"/>
              <w:bottom w:val="single" w:sz="8" w:color="auto"/>
              <w:right w:val="single" w:sz="8" w:color="auto"/>
            </w:tcBorders>
            <w:gridSpan w:val="2"/>
          </w:tcPr>
          <w:p>
            <w:pPr>
              <w:ind w:left="80"/>
              <w:spacing w:after="0" w:line="143" w:lineRule="exact"/>
              <w:rPr>
                <w:sz w:val="20"/>
                <w:szCs w:val="20"/>
                <w:color w:val="auto"/>
              </w:rPr>
            </w:pPr>
            <w:r>
              <w:rPr>
                <w:rFonts w:ascii="Arial" w:cs="Arial" w:eastAsia="Arial" w:hAnsi="Arial"/>
                <w:sz w:val="13"/>
                <w:szCs w:val="13"/>
                <w:color w:val="auto"/>
              </w:rPr>
              <w:t>Facility:</w:t>
            </w:r>
          </w:p>
        </w:tc>
        <w:tc>
          <w:tcPr>
            <w:tcW w:w="5160" w:type="dxa"/>
            <w:vAlign w:val="bottom"/>
            <w:tcBorders>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Merchant Acquiring Facility</w:t>
            </w:r>
          </w:p>
        </w:tc>
      </w:tr>
      <w:tr>
        <w:trPr>
          <w:trHeight w:val="143"/>
        </w:trPr>
        <w:tc>
          <w:tcPr>
            <w:tcW w:w="1380" w:type="dxa"/>
            <w:vAlign w:val="bottom"/>
            <w:tcBorders>
              <w:left w:val="single" w:sz="8" w:color="auto"/>
              <w:bottom w:val="single" w:sz="8" w:color="auto"/>
              <w:right w:val="single" w:sz="8" w:color="auto"/>
            </w:tcBorders>
            <w:gridSpan w:val="2"/>
          </w:tcPr>
          <w:p>
            <w:pPr>
              <w:ind w:left="80"/>
              <w:spacing w:after="0" w:line="143" w:lineRule="exact"/>
              <w:rPr>
                <w:sz w:val="20"/>
                <w:szCs w:val="20"/>
                <w:color w:val="auto"/>
              </w:rPr>
            </w:pPr>
            <w:r>
              <w:rPr>
                <w:rFonts w:ascii="Arial" w:cs="Arial" w:eastAsia="Arial" w:hAnsi="Arial"/>
                <w:sz w:val="13"/>
                <w:szCs w:val="13"/>
                <w:color w:val="auto"/>
              </w:rPr>
              <w:t>Borrower:</w:t>
            </w:r>
          </w:p>
        </w:tc>
        <w:tc>
          <w:tcPr>
            <w:tcW w:w="5160" w:type="dxa"/>
            <w:vAlign w:val="bottom"/>
            <w:tcBorders>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Reading Entertainment Australia Pty Ltd ACN [***]</w:t>
            </w:r>
          </w:p>
        </w:tc>
      </w:tr>
      <w:tr>
        <w:trPr>
          <w:trHeight w:val="143"/>
        </w:trPr>
        <w:tc>
          <w:tcPr>
            <w:tcW w:w="1380" w:type="dxa"/>
            <w:vAlign w:val="bottom"/>
            <w:tcBorders>
              <w:left w:val="single" w:sz="8" w:color="auto"/>
              <w:bottom w:val="single" w:sz="8" w:color="auto"/>
              <w:right w:val="single" w:sz="8" w:color="auto"/>
            </w:tcBorders>
            <w:gridSpan w:val="2"/>
          </w:tcPr>
          <w:p>
            <w:pPr>
              <w:ind w:left="80"/>
              <w:spacing w:after="0" w:line="143" w:lineRule="exact"/>
              <w:rPr>
                <w:sz w:val="20"/>
                <w:szCs w:val="20"/>
                <w:color w:val="auto"/>
              </w:rPr>
            </w:pPr>
            <w:r>
              <w:rPr>
                <w:rFonts w:ascii="Arial" w:cs="Arial" w:eastAsia="Arial" w:hAnsi="Arial"/>
                <w:sz w:val="13"/>
                <w:szCs w:val="13"/>
                <w:color w:val="auto"/>
              </w:rPr>
              <w:t>Facility Limit:</w:t>
            </w:r>
          </w:p>
        </w:tc>
        <w:tc>
          <w:tcPr>
            <w:tcW w:w="5160" w:type="dxa"/>
            <w:vAlign w:val="bottom"/>
            <w:tcBorders>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$2,073,281.00</w:t>
            </w:r>
          </w:p>
        </w:tc>
      </w:tr>
      <w:tr>
        <w:trPr>
          <w:trHeight w:val="143"/>
        </w:trPr>
        <w:tc>
          <w:tcPr>
            <w:tcW w:w="1380" w:type="dxa"/>
            <w:vAlign w:val="bottom"/>
            <w:tcBorders>
              <w:left w:val="single" w:sz="8" w:color="auto"/>
              <w:bottom w:val="single" w:sz="8" w:color="auto"/>
              <w:right w:val="single" w:sz="8" w:color="auto"/>
            </w:tcBorders>
            <w:gridSpan w:val="2"/>
          </w:tcPr>
          <w:p>
            <w:pPr>
              <w:ind w:left="80"/>
              <w:spacing w:after="0" w:line="143" w:lineRule="exact"/>
              <w:rPr>
                <w:sz w:val="20"/>
                <w:szCs w:val="20"/>
                <w:color w:val="auto"/>
              </w:rPr>
            </w:pPr>
            <w:r>
              <w:rPr>
                <w:rFonts w:ascii="Arial" w:cs="Arial" w:eastAsia="Arial" w:hAnsi="Arial"/>
                <w:sz w:val="13"/>
                <w:szCs w:val="13"/>
                <w:color w:val="auto"/>
              </w:rPr>
              <w:t>Expiry Date:</w:t>
            </w:r>
          </w:p>
        </w:tc>
        <w:tc>
          <w:tcPr>
            <w:tcW w:w="5160" w:type="dxa"/>
            <w:vAlign w:val="bottom"/>
            <w:tcBorders>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31 December 2022</w:t>
            </w:r>
          </w:p>
        </w:tc>
      </w:tr>
      <w:tr>
        <w:trPr>
          <w:trHeight w:val="143"/>
        </w:trPr>
        <w:tc>
          <w:tcPr>
            <w:tcW w:w="1380" w:type="dxa"/>
            <w:vAlign w:val="bottom"/>
            <w:tcBorders>
              <w:left w:val="single" w:sz="8" w:color="auto"/>
              <w:bottom w:val="single" w:sz="8" w:color="auto"/>
              <w:right w:val="single" w:sz="8" w:color="auto"/>
            </w:tcBorders>
            <w:gridSpan w:val="2"/>
          </w:tcPr>
          <w:p>
            <w:pPr>
              <w:ind w:left="80"/>
              <w:spacing w:after="0" w:line="143" w:lineRule="exact"/>
              <w:rPr>
                <w:sz w:val="20"/>
                <w:szCs w:val="20"/>
                <w:color w:val="auto"/>
              </w:rPr>
            </w:pPr>
            <w:r>
              <w:rPr>
                <w:rFonts w:ascii="Arial" w:cs="Arial" w:eastAsia="Arial" w:hAnsi="Arial"/>
                <w:sz w:val="13"/>
                <w:szCs w:val="13"/>
                <w:color w:val="auto"/>
              </w:rPr>
              <w:t>Other Conditions:</w:t>
            </w:r>
          </w:p>
        </w:tc>
        <w:tc>
          <w:tcPr>
            <w:tcW w:w="5160" w:type="dxa"/>
            <w:vAlign w:val="bottom"/>
            <w:tcBorders>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As contained in the Merchant Agreement documented separately.</w:t>
            </w:r>
          </w:p>
        </w:tc>
      </w:tr>
      <w:tr>
        <w:trPr>
          <w:trHeight w:val="287"/>
        </w:trPr>
        <w:tc>
          <w:tcPr>
            <w:tcW w:w="260" w:type="dxa"/>
            <w:vAlign w:val="bottom"/>
          </w:tcPr>
          <w:p>
            <w:pPr>
              <w:ind w:left="80"/>
              <w:spacing w:after="0"/>
              <w:rPr>
                <w:sz w:val="20"/>
                <w:szCs w:val="20"/>
                <w:color w:val="auto"/>
              </w:rPr>
            </w:pPr>
            <w:r>
              <w:rPr>
                <w:rFonts w:ascii="Arial" w:cs="Arial" w:eastAsia="Arial" w:hAnsi="Arial"/>
                <w:sz w:val="13"/>
                <w:szCs w:val="13"/>
                <w:color w:val="auto"/>
              </w:rPr>
              <w:t>1.</w:t>
            </w:r>
          </w:p>
        </w:tc>
        <w:tc>
          <w:tcPr>
            <w:tcW w:w="6280" w:type="dxa"/>
            <w:vAlign w:val="bottom"/>
            <w:gridSpan w:val="2"/>
          </w:tcPr>
          <w:p>
            <w:pPr>
              <w:ind w:left="320"/>
              <w:spacing w:after="0"/>
              <w:rPr>
                <w:sz w:val="20"/>
                <w:szCs w:val="20"/>
                <w:color w:val="auto"/>
              </w:rPr>
            </w:pPr>
            <w:r>
              <w:rPr>
                <w:rFonts w:ascii="Arial" w:cs="Arial" w:eastAsia="Arial" w:hAnsi="Arial"/>
                <w:sz w:val="13"/>
                <w:szCs w:val="13"/>
                <w:color w:val="auto"/>
              </w:rPr>
              <w:t>CONFIRMATION</w:t>
            </w:r>
          </w:p>
        </w:tc>
      </w:tr>
    </w:tbl>
    <w:p>
      <w:pPr>
        <w:ind w:left="725"/>
        <w:spacing w:after="0"/>
        <w:rPr>
          <w:sz w:val="20"/>
          <w:szCs w:val="20"/>
          <w:color w:val="auto"/>
        </w:rPr>
      </w:pPr>
      <w:r>
        <w:rPr>
          <w:rFonts w:ascii="Arial" w:cs="Arial" w:eastAsia="Arial" w:hAnsi="Arial"/>
          <w:sz w:val="13"/>
          <w:szCs w:val="13"/>
          <w:color w:val="auto"/>
        </w:rPr>
        <w:t>Please confirm your agreement to the matters set out above by dating and signing the enclosed copy of this letter and returning it to NAB.</w:t>
      </w:r>
    </w:p>
    <w:p>
      <w:pPr>
        <w:spacing w:after="0" w:line="155" w:lineRule="exact"/>
        <w:rPr>
          <w:sz w:val="20"/>
          <w:szCs w:val="20"/>
          <w:color w:val="auto"/>
        </w:rPr>
      </w:pPr>
    </w:p>
    <w:p>
      <w:pPr>
        <w:ind w:left="1225" w:hanging="510"/>
        <w:spacing w:after="0"/>
        <w:tabs>
          <w:tab w:leader="none" w:pos="1225" w:val="left"/>
        </w:tabs>
        <w:numPr>
          <w:ilvl w:val="0"/>
          <w:numId w:val="34"/>
        </w:numPr>
        <w:rPr>
          <w:rFonts w:ascii="Arial" w:cs="Arial" w:eastAsia="Arial" w:hAnsi="Arial"/>
          <w:sz w:val="13"/>
          <w:szCs w:val="13"/>
          <w:color w:val="auto"/>
        </w:rPr>
      </w:pPr>
      <w:r>
        <w:rPr>
          <w:rFonts w:ascii="Arial" w:cs="Arial" w:eastAsia="Arial" w:hAnsi="Arial"/>
          <w:sz w:val="13"/>
          <w:szCs w:val="13"/>
          <w:color w:val="auto"/>
        </w:rPr>
        <w:t>GENERAL</w:t>
      </w:r>
    </w:p>
    <w:p>
      <w:pPr>
        <w:spacing w:after="0" w:line="12" w:lineRule="exact"/>
        <w:rPr>
          <w:sz w:val="20"/>
          <w:szCs w:val="20"/>
          <w:color w:val="auto"/>
        </w:rPr>
      </w:pPr>
    </w:p>
    <w:p>
      <w:pPr>
        <w:ind w:left="1245" w:hanging="530"/>
        <w:spacing w:after="0"/>
        <w:tabs>
          <w:tab w:leader="none" w:pos="1245" w:val="left"/>
        </w:tabs>
        <w:numPr>
          <w:ilvl w:val="0"/>
          <w:numId w:val="35"/>
        </w:numPr>
        <w:rPr>
          <w:rFonts w:ascii="Arial" w:cs="Arial" w:eastAsia="Arial" w:hAnsi="Arial"/>
          <w:sz w:val="13"/>
          <w:szCs w:val="13"/>
          <w:color w:val="auto"/>
        </w:rPr>
      </w:pPr>
      <w:r>
        <w:rPr>
          <w:rFonts w:ascii="Arial" w:cs="Arial" w:eastAsia="Arial" w:hAnsi="Arial"/>
          <w:sz w:val="13"/>
          <w:szCs w:val="13"/>
          <w:color w:val="auto"/>
        </w:rPr>
        <w:t>Each party agrees that this letter is governed by the law in force in Victoria and submits to the non- exclusive jurisdiction of that place.</w:t>
      </w:r>
    </w:p>
    <w:p>
      <w:pPr>
        <w:spacing w:after="0" w:line="165" w:lineRule="exact"/>
        <w:rPr>
          <w:rFonts w:ascii="Arial" w:cs="Arial" w:eastAsia="Arial" w:hAnsi="Arial"/>
          <w:sz w:val="13"/>
          <w:szCs w:val="13"/>
          <w:color w:val="auto"/>
        </w:rPr>
      </w:pPr>
    </w:p>
    <w:p>
      <w:pPr>
        <w:ind w:left="1245" w:hanging="530"/>
        <w:spacing w:after="0"/>
        <w:tabs>
          <w:tab w:leader="none" w:pos="1245"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This letter may be executed in counterparts and the counterparts taken together constitute one and the same instrument.</w:t>
      </w:r>
    </w:p>
    <w:p>
      <w:pPr>
        <w:spacing w:after="0" w:line="338" w:lineRule="exact"/>
        <w:rPr>
          <w:sz w:val="20"/>
          <w:szCs w:val="20"/>
          <w:color w:val="auto"/>
        </w:rPr>
      </w:pPr>
    </w:p>
    <w:p>
      <w:pPr>
        <w:ind w:left="725"/>
        <w:spacing w:after="0"/>
        <w:rPr>
          <w:sz w:val="20"/>
          <w:szCs w:val="20"/>
          <w:color w:val="auto"/>
        </w:rPr>
      </w:pPr>
      <w:r>
        <w:rPr>
          <w:rFonts w:ascii="Arial" w:cs="Arial" w:eastAsia="Arial" w:hAnsi="Arial"/>
          <w:sz w:val="13"/>
          <w:szCs w:val="13"/>
          <w:color w:val="auto"/>
        </w:rPr>
        <w:t>EXECUTED as a Deed</w:t>
      </w:r>
    </w:p>
    <w:p>
      <w:pPr>
        <w:spacing w:after="0" w:line="393" w:lineRule="exact"/>
        <w:rPr>
          <w:sz w:val="20"/>
          <w:szCs w:val="20"/>
          <w:color w:val="auto"/>
        </w:rPr>
      </w:pPr>
    </w:p>
    <w:p>
      <w:pPr>
        <w:ind w:left="745"/>
        <w:spacing w:after="0"/>
        <w:tabs>
          <w:tab w:leader="none" w:pos="1365" w:val="left"/>
          <w:tab w:leader="none" w:pos="1985" w:val="left"/>
          <w:tab w:leader="none" w:pos="2305" w:val="left"/>
          <w:tab w:leader="none" w:pos="3165" w:val="left"/>
        </w:tabs>
        <w:rPr>
          <w:sz w:val="20"/>
          <w:szCs w:val="20"/>
          <w:color w:val="auto"/>
        </w:rPr>
      </w:pPr>
      <w:r>
        <w:rPr>
          <w:rFonts w:ascii="Arial" w:cs="Arial" w:eastAsia="Arial" w:hAnsi="Arial"/>
          <w:sz w:val="13"/>
          <w:szCs w:val="13"/>
          <w:color w:val="auto"/>
        </w:rPr>
        <w:t>SIGNED,</w:t>
        <w:tab/>
        <w:t>SEALED</w:t>
        <w:tab/>
        <w:t>and</w:t>
        <w:tab/>
        <w:t>DELIVERED</w:t>
        <w:tab/>
        <w:t>for</w:t>
      </w:r>
    </w:p>
    <w:p>
      <w:pPr>
        <w:spacing w:after="0" w:line="14" w:lineRule="exact"/>
        <w:rPr>
          <w:sz w:val="20"/>
          <w:szCs w:val="20"/>
          <w:color w:val="auto"/>
        </w:rPr>
      </w:pPr>
    </w:p>
    <w:p>
      <w:pPr>
        <w:ind w:left="745"/>
        <w:spacing w:after="0"/>
        <w:rPr>
          <w:sz w:val="20"/>
          <w:szCs w:val="20"/>
          <w:color w:val="auto"/>
        </w:rPr>
      </w:pPr>
      <w:r>
        <w:rPr>
          <w:rFonts w:ascii="Arial" w:cs="Arial" w:eastAsia="Arial" w:hAnsi="Arial"/>
          <w:sz w:val="13"/>
          <w:szCs w:val="13"/>
          <w:color w:val="auto"/>
        </w:rPr>
        <w:t>NATIONAL AUSTRALIA BANK LIMITED ABN</w:t>
      </w:r>
    </w:p>
    <w:p>
      <w:pPr>
        <w:spacing w:after="0" w:line="13" w:lineRule="exact"/>
        <w:rPr>
          <w:sz w:val="20"/>
          <w:szCs w:val="20"/>
          <w:color w:val="auto"/>
        </w:rPr>
      </w:pPr>
    </w:p>
    <w:p>
      <w:pPr>
        <w:ind w:left="745" w:right="7400" w:hanging="8"/>
        <w:spacing w:after="0" w:line="277" w:lineRule="auto"/>
        <w:tabs>
          <w:tab w:leader="none" w:pos="1059" w:val="left"/>
        </w:tabs>
        <w:numPr>
          <w:ilvl w:val="0"/>
          <w:numId w:val="36"/>
        </w:numPr>
        <w:rPr>
          <w:rFonts w:ascii="Arial" w:cs="Arial" w:eastAsia="Arial" w:hAnsi="Arial"/>
          <w:sz w:val="13"/>
          <w:szCs w:val="13"/>
          <w:color w:val="auto"/>
        </w:rPr>
      </w:pPr>
      <w:r>
        <w:rPr>
          <w:rFonts w:ascii="Arial" w:cs="Arial" w:eastAsia="Arial" w:hAnsi="Arial"/>
          <w:sz w:val="13"/>
          <w:szCs w:val="13"/>
          <w:color w:val="auto"/>
        </w:rPr>
        <w:t>under power of attorney in the presence of:</w:t>
      </w:r>
    </w:p>
    <w:tbl>
      <w:tblPr>
        <w:tblLayout w:type="fixed"/>
        <w:tblInd w:w="5" w:type="dxa"/>
        <w:tblCellMar>
          <w:top w:w="0" w:type="dxa"/>
          <w:left w:w="0" w:type="dxa"/>
          <w:bottom w:w="0" w:type="dxa"/>
          <w:right w:w="0" w:type="dxa"/>
        </w:tblCellMar>
      </w:tblPr>
      <w:tr>
        <w:trPr>
          <w:trHeight w:val="144"/>
        </w:trPr>
        <w:tc>
          <w:tcPr>
            <w:tcW w:w="7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900" w:type="dxa"/>
            <w:vAlign w:val="bottom"/>
            <w:tcBorders>
              <w:top w:val="single" w:sz="8" w:color="auto"/>
            </w:tcBorders>
          </w:tcPr>
          <w:p>
            <w:pPr>
              <w:ind w:left="20"/>
              <w:spacing w:after="0" w:line="144" w:lineRule="exact"/>
              <w:rPr>
                <w:sz w:val="20"/>
                <w:szCs w:val="20"/>
                <w:color w:val="auto"/>
              </w:rPr>
            </w:pPr>
            <w:r>
              <w:rPr>
                <w:rFonts w:ascii="Arial" w:cs="Arial" w:eastAsia="Arial" w:hAnsi="Arial"/>
                <w:sz w:val="13"/>
                <w:szCs w:val="13"/>
                <w:color w:val="auto"/>
              </w:rPr>
              <w:t>Signature of attorney</w:t>
            </w:r>
          </w:p>
        </w:tc>
        <w:tc>
          <w:tcPr>
            <w:tcW w:w="20" w:type="dxa"/>
            <w:vAlign w:val="bottom"/>
          </w:tcPr>
          <w:p>
            <w:pPr>
              <w:spacing w:after="0"/>
              <w:rPr>
                <w:sz w:val="12"/>
                <w:szCs w:val="12"/>
                <w:color w:val="auto"/>
              </w:rPr>
            </w:pPr>
          </w:p>
        </w:tc>
      </w:tr>
      <w:tr>
        <w:trPr>
          <w:trHeight w:val="158"/>
        </w:trPr>
        <w:tc>
          <w:tcPr>
            <w:tcW w:w="720" w:type="dxa"/>
            <w:vAlign w:val="bottom"/>
          </w:tcPr>
          <w:p>
            <w:pPr>
              <w:spacing w:after="0"/>
              <w:rPr>
                <w:sz w:val="13"/>
                <w:szCs w:val="13"/>
                <w:color w:val="auto"/>
              </w:rPr>
            </w:pPr>
          </w:p>
        </w:tc>
        <w:tc>
          <w:tcPr>
            <w:tcW w:w="7200" w:type="dxa"/>
            <w:vAlign w:val="bottom"/>
            <w:gridSpan w:val="2"/>
          </w:tcPr>
          <w:p>
            <w:pPr>
              <w:spacing w:after="0"/>
              <w:rPr>
                <w:sz w:val="13"/>
                <w:szCs w:val="13"/>
                <w:color w:val="auto"/>
              </w:rPr>
            </w:pPr>
          </w:p>
        </w:tc>
        <w:tc>
          <w:tcPr>
            <w:tcW w:w="19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720" w:type="dxa"/>
            <w:vAlign w:val="bottom"/>
          </w:tcPr>
          <w:p>
            <w:pPr>
              <w:spacing w:after="0"/>
              <w:rPr>
                <w:sz w:val="13"/>
                <w:szCs w:val="13"/>
                <w:color w:val="auto"/>
              </w:rPr>
            </w:pPr>
          </w:p>
        </w:tc>
        <w:tc>
          <w:tcPr>
            <w:tcW w:w="34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Signature of witness</w:t>
            </w:r>
          </w:p>
        </w:tc>
        <w:tc>
          <w:tcPr>
            <w:tcW w:w="3720" w:type="dxa"/>
            <w:vAlign w:val="bottom"/>
          </w:tcPr>
          <w:p>
            <w:pPr>
              <w:spacing w:after="0"/>
              <w:rPr>
                <w:sz w:val="13"/>
                <w:szCs w:val="13"/>
                <w:color w:val="auto"/>
              </w:rPr>
            </w:pPr>
          </w:p>
        </w:tc>
        <w:tc>
          <w:tcPr>
            <w:tcW w:w="19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Name</w:t>
            </w:r>
          </w:p>
        </w:tc>
        <w:tc>
          <w:tcPr>
            <w:tcW w:w="20" w:type="dxa"/>
            <w:vAlign w:val="bottom"/>
          </w:tcPr>
          <w:p>
            <w:pPr>
              <w:spacing w:after="0"/>
              <w:rPr>
                <w:sz w:val="13"/>
                <w:szCs w:val="13"/>
                <w:color w:val="auto"/>
              </w:rPr>
            </w:pPr>
          </w:p>
        </w:tc>
      </w:tr>
      <w:tr>
        <w:trPr>
          <w:trHeight w:val="324"/>
        </w:trPr>
        <w:tc>
          <w:tcPr>
            <w:tcW w:w="720" w:type="dxa"/>
            <w:vAlign w:val="bottom"/>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720" w:type="dxa"/>
            <w:vAlign w:val="bottom"/>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720" w:type="dxa"/>
            <w:vAlign w:val="bottom"/>
          </w:tcPr>
          <w:p>
            <w:pPr>
              <w:spacing w:after="0"/>
              <w:rPr>
                <w:sz w:val="13"/>
                <w:szCs w:val="13"/>
                <w:color w:val="auto"/>
              </w:rPr>
            </w:pPr>
          </w:p>
        </w:tc>
        <w:tc>
          <w:tcPr>
            <w:tcW w:w="3480" w:type="dxa"/>
            <w:vAlign w:val="bottom"/>
          </w:tcPr>
          <w:p>
            <w:pPr>
              <w:ind w:left="20"/>
              <w:spacing w:after="0"/>
              <w:rPr>
                <w:sz w:val="20"/>
                <w:szCs w:val="20"/>
                <w:color w:val="auto"/>
              </w:rPr>
            </w:pPr>
            <w:r>
              <w:rPr>
                <w:rFonts w:ascii="Arial" w:cs="Arial" w:eastAsia="Arial" w:hAnsi="Arial"/>
                <w:sz w:val="13"/>
                <w:szCs w:val="13"/>
                <w:color w:val="auto"/>
              </w:rPr>
              <w:t>Name</w:t>
            </w:r>
          </w:p>
        </w:tc>
        <w:tc>
          <w:tcPr>
            <w:tcW w:w="3720" w:type="dxa"/>
            <w:vAlign w:val="bottom"/>
          </w:tcPr>
          <w:p>
            <w:pPr>
              <w:spacing w:after="0"/>
              <w:rPr>
                <w:sz w:val="13"/>
                <w:szCs w:val="13"/>
                <w:color w:val="auto"/>
              </w:rPr>
            </w:pPr>
          </w:p>
        </w:tc>
        <w:tc>
          <w:tcPr>
            <w:tcW w:w="1900" w:type="dxa"/>
            <w:vAlign w:val="bottom"/>
          </w:tcPr>
          <w:p>
            <w:pPr>
              <w:ind w:left="20"/>
              <w:spacing w:after="0"/>
              <w:rPr>
                <w:sz w:val="20"/>
                <w:szCs w:val="20"/>
                <w:color w:val="auto"/>
              </w:rPr>
            </w:pPr>
            <w:r>
              <w:rPr>
                <w:rFonts w:ascii="Arial" w:cs="Arial" w:eastAsia="Arial" w:hAnsi="Arial"/>
                <w:sz w:val="13"/>
                <w:szCs w:val="13"/>
                <w:color w:val="auto"/>
              </w:rPr>
              <w:t>Date of power of attorney</w:t>
            </w:r>
          </w:p>
        </w:tc>
        <w:tc>
          <w:tcPr>
            <w:tcW w:w="20" w:type="dxa"/>
            <w:vAlign w:val="bottom"/>
          </w:tcPr>
          <w:p>
            <w:pPr>
              <w:spacing w:after="0"/>
              <w:rPr>
                <w:sz w:val="13"/>
                <w:szCs w:val="13"/>
                <w:color w:val="auto"/>
              </w:rPr>
            </w:pPr>
          </w:p>
        </w:tc>
      </w:tr>
      <w:tr>
        <w:trPr>
          <w:trHeight w:val="541"/>
        </w:trPr>
        <w:tc>
          <w:tcPr>
            <w:tcW w:w="72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720" w:type="dxa"/>
            <w:vAlign w:val="bottom"/>
            <w:tcBorders>
              <w:bottom w:val="single" w:sz="8" w:color="EEEEEE"/>
            </w:tcBorders>
          </w:tcPr>
          <w:p>
            <w:pPr>
              <w:spacing w:after="0" w:line="20" w:lineRule="exact"/>
              <w:rPr>
                <w:sz w:val="1"/>
                <w:szCs w:val="1"/>
                <w:color w:val="auto"/>
              </w:rPr>
            </w:pPr>
          </w:p>
        </w:tc>
        <w:tc>
          <w:tcPr>
            <w:tcW w:w="3480" w:type="dxa"/>
            <w:vAlign w:val="bottom"/>
            <w:tcBorders>
              <w:bottom w:val="single" w:sz="8" w:color="EEEEEE"/>
            </w:tcBorders>
          </w:tcPr>
          <w:p>
            <w:pPr>
              <w:spacing w:after="0" w:line="20" w:lineRule="exact"/>
              <w:rPr>
                <w:sz w:val="1"/>
                <w:szCs w:val="1"/>
                <w:color w:val="auto"/>
              </w:rPr>
            </w:pPr>
          </w:p>
        </w:tc>
        <w:tc>
          <w:tcPr>
            <w:tcW w:w="3720" w:type="dxa"/>
            <w:vAlign w:val="bottom"/>
            <w:tcBorders>
              <w:bottom w:val="single" w:sz="8" w:color="EEEEEE"/>
            </w:tcBorders>
          </w:tcPr>
          <w:p>
            <w:pPr>
              <w:spacing w:after="0" w:line="20" w:lineRule="exact"/>
              <w:rPr>
                <w:sz w:val="1"/>
                <w:szCs w:val="1"/>
                <w:color w:val="auto"/>
              </w:rPr>
            </w:pPr>
          </w:p>
        </w:tc>
        <w:tc>
          <w:tcPr>
            <w:tcW w:w="19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6235700</wp:posOffset>
            </wp:positionH>
            <wp:positionV relativeFrom="paragraph">
              <wp:posOffset>-33020</wp:posOffset>
            </wp:positionV>
            <wp:extent cx="32385" cy="463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32385" cy="463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-33020</wp:posOffset>
            </wp:positionV>
            <wp:extent cx="32385" cy="463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32385" cy="46355"/>
                    </a:xfrm>
                    <a:prstGeom prst="rect">
                      <a:avLst/>
                    </a:prstGeom>
                    <a:noFill/>
                  </pic:spPr>
                </pic:pic>
              </a:graphicData>
            </a:graphic>
          </wp:anchor>
        </w:drawing>
      </w:r>
    </w:p>
    <w:p>
      <w:pPr>
        <w:sectPr>
          <w:pgSz w:w="11900" w:h="16838" w:orient="portrait"/>
          <w:cols w:equalWidth="0" w:num="1">
            <w:col w:w="9845"/>
          </w:cols>
          <w:pgMar w:left="1015" w:top="121" w:right="1039" w:bottom="1440" w:gutter="0" w:footer="0" w:header="0"/>
        </w:sectPr>
      </w:pPr>
    </w:p>
    <w:bookmarkStart w:id="119" w:name="page120"/>
    <w:bookmarkEnd w:id="119"/>
    <w:p>
      <w:pPr>
        <w:ind w:left="300"/>
        <w:spacing w:after="0"/>
        <w:rPr>
          <w:sz w:val="20"/>
          <w:szCs w:val="20"/>
          <w:color w:val="auto"/>
        </w:rPr>
      </w:pPr>
      <w:r>
        <w:rPr>
          <w:rFonts w:ascii="Arial" w:cs="Arial" w:eastAsia="Arial" w:hAnsi="Arial"/>
          <w:sz w:val="13"/>
          <w:szCs w:val="13"/>
          <w:color w:val="auto"/>
        </w:rPr>
        <w:t>CONFIRMATION AND AGREEMENT</w:t>
      </w:r>
    </w:p>
    <w:p>
      <w:pPr>
        <w:spacing w:after="0" w:line="197" w:lineRule="exact"/>
        <w:rPr>
          <w:sz w:val="20"/>
          <w:szCs w:val="20"/>
          <w:color w:val="auto"/>
        </w:rPr>
      </w:pPr>
    </w:p>
    <w:p>
      <w:pPr>
        <w:ind w:left="300"/>
        <w:spacing w:after="0"/>
        <w:tabs>
          <w:tab w:leader="none" w:pos="800" w:val="left"/>
        </w:tabs>
        <w:rPr>
          <w:sz w:val="20"/>
          <w:szCs w:val="20"/>
          <w:color w:val="auto"/>
        </w:rPr>
      </w:pPr>
      <w:r>
        <w:rPr>
          <w:rFonts w:ascii="Arial" w:cs="Arial" w:eastAsia="Arial" w:hAnsi="Arial"/>
          <w:sz w:val="13"/>
          <w:szCs w:val="13"/>
          <w:color w:val="auto"/>
        </w:rPr>
        <w:t>To:</w:t>
      </w:r>
      <w:r>
        <w:rPr>
          <w:sz w:val="20"/>
          <w:szCs w:val="20"/>
          <w:color w:val="auto"/>
        </w:rPr>
        <w:tab/>
      </w:r>
      <w:r>
        <w:rPr>
          <w:rFonts w:ascii="Arial" w:cs="Arial" w:eastAsia="Arial" w:hAnsi="Arial"/>
          <w:sz w:val="13"/>
          <w:szCs w:val="13"/>
          <w:color w:val="auto"/>
        </w:rPr>
        <w:t>National Australia Bank Limited The Borrower and each Original Guarantor:</w:t>
      </w:r>
    </w:p>
    <w:p>
      <w:pPr>
        <w:spacing w:after="0" w:line="67" w:lineRule="exact"/>
        <w:rPr>
          <w:sz w:val="20"/>
          <w:szCs w:val="20"/>
          <w:color w:val="auto"/>
        </w:rPr>
      </w:pPr>
    </w:p>
    <w:p>
      <w:pPr>
        <w:ind w:left="820" w:hanging="530"/>
        <w:spacing w:after="0"/>
        <w:tabs>
          <w:tab w:leader="none" w:pos="8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acknowledges it has read this letter and understands and agrees to be bound by the terms of this letter;</w:t>
      </w:r>
    </w:p>
    <w:p>
      <w:pPr>
        <w:spacing w:after="0" w:line="164" w:lineRule="exact"/>
        <w:rPr>
          <w:rFonts w:ascii="Arial" w:cs="Arial" w:eastAsia="Arial" w:hAnsi="Arial"/>
          <w:sz w:val="13"/>
          <w:szCs w:val="13"/>
          <w:color w:val="auto"/>
        </w:rPr>
      </w:pPr>
    </w:p>
    <w:p>
      <w:pPr>
        <w:ind w:left="820" w:hanging="530"/>
        <w:spacing w:after="0"/>
        <w:tabs>
          <w:tab w:leader="none" w:pos="8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confirms that each Transactional Facility to which it is a party remains in full force and effect (subject to the terms of this letter); and</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3"/>
          <w:szCs w:val="13"/>
          <w:color w:val="auto"/>
        </w:rPr>
        <w:t>Each Transaction Party accepts and agrees to the terms of this letter by signing below.</w:t>
      </w:r>
    </w:p>
    <w:p>
      <w:pPr>
        <w:sectPr>
          <w:pgSz w:w="11900" w:h="16838" w:orient="portrait"/>
          <w:cols w:equalWidth="0" w:num="1">
            <w:col w:w="9400"/>
          </w:cols>
          <w:pgMar w:left="1440" w:top="176" w:right="1059" w:bottom="1440" w:gutter="0" w:footer="0" w:header="0"/>
        </w:sectPr>
      </w:pPr>
    </w:p>
    <w:p>
      <w:pPr>
        <w:spacing w:after="0" w:line="360" w:lineRule="exact"/>
        <w:rPr>
          <w:sz w:val="20"/>
          <w:szCs w:val="20"/>
          <w:color w:val="auto"/>
        </w:rPr>
      </w:pPr>
    </w:p>
    <w:p>
      <w:pPr>
        <w:ind w:left="300" w:right="180"/>
        <w:spacing w:after="0" w:line="266" w:lineRule="auto"/>
        <w:rPr>
          <w:sz w:val="20"/>
          <w:szCs w:val="20"/>
          <w:color w:val="auto"/>
        </w:rPr>
      </w:pPr>
      <w:r>
        <w:rPr>
          <w:rFonts w:ascii="Arial" w:cs="Arial" w:eastAsia="Arial" w:hAnsi="Arial"/>
          <w:sz w:val="13"/>
          <w:szCs w:val="13"/>
          <w:color w:val="auto"/>
        </w:rPr>
        <w:t>EXECUTED by READING ENTERTAINMENT AUSTRALIA PTY LTD ACN [***] in accordance with section 127(1) of the Corporations Act 2001 (Cwlth) by authority of its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407670</wp:posOffset>
            </wp:positionV>
            <wp:extent cx="173482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17348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Arial" w:cs="Arial" w:eastAsia="Arial" w:hAnsi="Arial"/>
          <w:sz w:val="13"/>
          <w:szCs w:val="13"/>
          <w:color w:val="auto"/>
        </w:rPr>
        <w:t>Signature of director</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Ellen M. Cotter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113665</wp:posOffset>
            </wp:positionV>
            <wp:extent cx="173482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extLst>
                        <a:ext uri="{28A0092B-C50C-407E-A947-70E740481C1C}"/>
                      </a:extLst>
                    </a:blip>
                    <a:srcRect/>
                    <a:stretch>
                      <a:fillRect/>
                    </a:stretch>
                  </pic:blipFill>
                  <pic:spPr bwMode="auto">
                    <a:xfrm>
                      <a:off x="0" y="0"/>
                      <a:ext cx="1734820" cy="6985"/>
                    </a:xfrm>
                    <a:prstGeom prst="rect">
                      <a:avLst/>
                    </a:prstGeom>
                    <a:noFill/>
                  </pic:spPr>
                </pic:pic>
              </a:graphicData>
            </a:graphic>
          </wp:anchor>
        </w:drawing>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Name of director (block letters)</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2420" w:type="dxa"/>
            <w:vAlign w:val="bottom"/>
          </w:tcPr>
          <w:p>
            <w:pPr>
              <w:jc w:val="right"/>
              <w:ind w:right="2295"/>
              <w:spacing w:after="0"/>
              <w:rPr>
                <w:sz w:val="20"/>
                <w:szCs w:val="20"/>
                <w:color w:val="auto"/>
              </w:rPr>
            </w:pPr>
            <w:r>
              <w:rPr>
                <w:rFonts w:ascii="Arial" w:cs="Arial" w:eastAsia="Arial" w:hAnsi="Arial"/>
                <w:sz w:val="13"/>
                <w:szCs w:val="13"/>
                <w:color w:val="auto"/>
                <w:w w:val="91"/>
              </w:rPr>
              <w:t>)</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20" w:type="dxa"/>
            <w:vAlign w:val="bottom"/>
          </w:tcPr>
          <w:p>
            <w:pPr>
              <w:jc w:val="right"/>
              <w:ind w:right="2295"/>
              <w:spacing w:after="0"/>
              <w:rPr>
                <w:sz w:val="20"/>
                <w:szCs w:val="20"/>
                <w:color w:val="auto"/>
              </w:rPr>
            </w:pPr>
            <w:r>
              <w:rPr>
                <w:rFonts w:ascii="Arial" w:cs="Arial" w:eastAsia="Arial" w:hAnsi="Arial"/>
                <w:sz w:val="13"/>
                <w:szCs w:val="13"/>
                <w:color w:val="auto"/>
                <w:w w:val="91"/>
              </w:rPr>
              <w:t>)</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20" w:type="dxa"/>
            <w:vAlign w:val="bottom"/>
          </w:tcPr>
          <w:p>
            <w:pPr>
              <w:jc w:val="right"/>
              <w:ind w:right="2295"/>
              <w:spacing w:after="0"/>
              <w:rPr>
                <w:sz w:val="20"/>
                <w:szCs w:val="20"/>
                <w:color w:val="auto"/>
              </w:rPr>
            </w:pPr>
            <w:r>
              <w:rPr>
                <w:rFonts w:ascii="Arial" w:cs="Arial" w:eastAsia="Arial" w:hAnsi="Arial"/>
                <w:sz w:val="13"/>
                <w:szCs w:val="13"/>
                <w:color w:val="auto"/>
                <w:w w:val="91"/>
              </w:rPr>
              <w:t>)</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20" w:type="dxa"/>
            <w:vAlign w:val="bottom"/>
          </w:tcPr>
          <w:p>
            <w:pPr>
              <w:jc w:val="right"/>
              <w:ind w:right="2295"/>
              <w:spacing w:after="0"/>
              <w:rPr>
                <w:sz w:val="20"/>
                <w:szCs w:val="20"/>
                <w:color w:val="auto"/>
              </w:rPr>
            </w:pPr>
            <w:r>
              <w:rPr>
                <w:rFonts w:ascii="Arial" w:cs="Arial" w:eastAsia="Arial" w:hAnsi="Arial"/>
                <w:sz w:val="13"/>
                <w:szCs w:val="13"/>
                <w:color w:val="auto"/>
                <w:w w:val="91"/>
              </w:rPr>
              <w:t>)</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20" w:type="dxa"/>
            <w:vAlign w:val="bottom"/>
          </w:tcPr>
          <w:p>
            <w:pPr>
              <w:jc w:val="right"/>
              <w:ind w:right="2295"/>
              <w:spacing w:after="0"/>
              <w:rPr>
                <w:sz w:val="20"/>
                <w:szCs w:val="20"/>
                <w:color w:val="auto"/>
              </w:rPr>
            </w:pPr>
            <w:r>
              <w:rPr>
                <w:rFonts w:ascii="Arial" w:cs="Arial" w:eastAsia="Arial" w:hAnsi="Arial"/>
                <w:sz w:val="13"/>
                <w:szCs w:val="13"/>
                <w:color w:val="auto"/>
                <w:w w:val="91"/>
              </w:rPr>
              <w:t>)</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20" w:type="dxa"/>
            <w:vAlign w:val="bottom"/>
          </w:tcPr>
          <w:p>
            <w:pPr>
              <w:jc w:val="right"/>
              <w:ind w:right="2295"/>
              <w:spacing w:after="0"/>
              <w:rPr>
                <w:sz w:val="20"/>
                <w:szCs w:val="20"/>
                <w:color w:val="auto"/>
              </w:rPr>
            </w:pPr>
            <w:r>
              <w:rPr>
                <w:rFonts w:ascii="Arial" w:cs="Arial" w:eastAsia="Arial" w:hAnsi="Arial"/>
                <w:sz w:val="13"/>
                <w:szCs w:val="13"/>
                <w:color w:val="auto"/>
                <w:w w:val="91"/>
              </w:rPr>
              <w:t>)</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20" w:type="dxa"/>
            <w:vAlign w:val="bottom"/>
          </w:tcPr>
          <w:p>
            <w:pPr>
              <w:jc w:val="right"/>
              <w:ind w:right="2295"/>
              <w:spacing w:after="0"/>
              <w:rPr>
                <w:sz w:val="20"/>
                <w:szCs w:val="20"/>
                <w:color w:val="auto"/>
              </w:rPr>
            </w:pPr>
            <w:r>
              <w:rPr>
                <w:rFonts w:ascii="Arial" w:cs="Arial" w:eastAsia="Arial" w:hAnsi="Arial"/>
                <w:sz w:val="13"/>
                <w:szCs w:val="13"/>
                <w:color w:val="auto"/>
                <w:w w:val="91"/>
              </w:rPr>
              <w:t>)</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20" w:type="dxa"/>
            <w:vAlign w:val="bottom"/>
          </w:tcPr>
          <w:p>
            <w:pPr>
              <w:jc w:val="right"/>
              <w:ind w:right="2295"/>
              <w:spacing w:after="0"/>
              <w:rPr>
                <w:sz w:val="20"/>
                <w:szCs w:val="20"/>
                <w:color w:val="auto"/>
              </w:rPr>
            </w:pPr>
            <w:r>
              <w:rPr>
                <w:rFonts w:ascii="Arial" w:cs="Arial" w:eastAsia="Arial" w:hAnsi="Arial"/>
                <w:sz w:val="13"/>
                <w:szCs w:val="13"/>
                <w:color w:val="auto"/>
                <w:w w:val="91"/>
              </w:rPr>
              <w:t>)</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420" w:type="dxa"/>
            <w:vAlign w:val="bottom"/>
          </w:tcPr>
          <w:p>
            <w:pPr>
              <w:jc w:val="right"/>
              <w:ind w:right="2295"/>
              <w:spacing w:after="0"/>
              <w:rPr>
                <w:sz w:val="20"/>
                <w:szCs w:val="20"/>
                <w:color w:val="auto"/>
              </w:rPr>
            </w:pPr>
            <w:r>
              <w:rPr>
                <w:rFonts w:ascii="Arial" w:cs="Arial" w:eastAsia="Arial" w:hAnsi="Arial"/>
                <w:sz w:val="13"/>
                <w:szCs w:val="13"/>
                <w:color w:val="auto"/>
                <w:w w:val="91"/>
              </w:rPr>
              <w:t>)</w:t>
            </w:r>
          </w:p>
        </w:tc>
        <w:tc>
          <w:tcPr>
            <w:tcW w:w="3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420" w:type="dxa"/>
            <w:vAlign w:val="bottom"/>
          </w:tcPr>
          <w:p>
            <w:pPr>
              <w:jc w:val="right"/>
              <w:ind w:right="2295"/>
              <w:spacing w:after="0" w:line="144" w:lineRule="exact"/>
              <w:rPr>
                <w:sz w:val="20"/>
                <w:szCs w:val="20"/>
                <w:color w:val="auto"/>
              </w:rPr>
            </w:pPr>
            <w:r>
              <w:rPr>
                <w:rFonts w:ascii="Arial" w:cs="Arial" w:eastAsia="Arial" w:hAnsi="Arial"/>
                <w:sz w:val="13"/>
                <w:szCs w:val="13"/>
                <w:color w:val="auto"/>
                <w:w w:val="91"/>
              </w:rPr>
              <w:t>)</w:t>
            </w:r>
          </w:p>
        </w:tc>
        <w:tc>
          <w:tcPr>
            <w:tcW w:w="3200" w:type="dxa"/>
            <w:vAlign w:val="bottom"/>
          </w:tcPr>
          <w:p>
            <w:pPr>
              <w:spacing w:after="0"/>
              <w:rPr>
                <w:sz w:val="20"/>
                <w:szCs w:val="20"/>
                <w:color w:val="auto"/>
              </w:rPr>
            </w:pPr>
            <w:r>
              <w:rPr>
                <w:rFonts w:ascii="Arial" w:cs="Arial" w:eastAsia="Arial" w:hAnsi="Arial"/>
                <w:sz w:val="13"/>
                <w:szCs w:val="13"/>
                <w:color w:val="auto"/>
              </w:rPr>
              <w:t>Signature of director/company secretary*</w:t>
            </w:r>
          </w:p>
        </w:tc>
        <w:tc>
          <w:tcPr>
            <w:tcW w:w="0" w:type="dxa"/>
            <w:vAlign w:val="bottom"/>
          </w:tcPr>
          <w:p>
            <w:pPr>
              <w:spacing w:after="0"/>
              <w:rPr>
                <w:sz w:val="1"/>
                <w:szCs w:val="1"/>
                <w:color w:val="auto"/>
              </w:rPr>
            </w:pPr>
          </w:p>
        </w:tc>
      </w:tr>
      <w:tr>
        <w:trPr>
          <w:trHeight w:val="163"/>
        </w:trPr>
        <w:tc>
          <w:tcPr>
            <w:tcW w:w="2420" w:type="dxa"/>
            <w:vAlign w:val="bottom"/>
          </w:tcPr>
          <w:p>
            <w:pPr>
              <w:jc w:val="right"/>
              <w:ind w:right="2295"/>
              <w:spacing w:after="0"/>
              <w:rPr>
                <w:sz w:val="20"/>
                <w:szCs w:val="20"/>
                <w:color w:val="auto"/>
              </w:rPr>
            </w:pPr>
            <w:r>
              <w:rPr>
                <w:rFonts w:ascii="Arial" w:cs="Arial" w:eastAsia="Arial" w:hAnsi="Arial"/>
                <w:sz w:val="13"/>
                <w:szCs w:val="13"/>
                <w:color w:val="auto"/>
                <w:w w:val="91"/>
              </w:rPr>
              <w:t>)</w:t>
            </w:r>
          </w:p>
        </w:tc>
        <w:tc>
          <w:tcPr>
            <w:tcW w:w="3200" w:type="dxa"/>
            <w:vAlign w:val="bottom"/>
          </w:tcPr>
          <w:p>
            <w:pPr>
              <w:spacing w:after="0"/>
              <w:rPr>
                <w:sz w:val="20"/>
                <w:szCs w:val="20"/>
                <w:color w:val="auto"/>
              </w:rPr>
            </w:pPr>
            <w:r>
              <w:rPr>
                <w:rFonts w:ascii="Arial" w:cs="Arial" w:eastAsia="Arial" w:hAnsi="Arial"/>
                <w:sz w:val="13"/>
                <w:szCs w:val="13"/>
                <w:color w:val="auto"/>
              </w:rPr>
              <w:t>*delete whichever is not applicable</w:t>
            </w:r>
          </w:p>
        </w:tc>
        <w:tc>
          <w:tcPr>
            <w:tcW w:w="0" w:type="dxa"/>
            <w:vAlign w:val="bottom"/>
          </w:tcPr>
          <w:p>
            <w:pPr>
              <w:spacing w:after="0"/>
              <w:rPr>
                <w:sz w:val="1"/>
                <w:szCs w:val="1"/>
                <w:color w:val="auto"/>
              </w:rPr>
            </w:pPr>
          </w:p>
        </w:tc>
      </w:tr>
      <w:tr>
        <w:trPr>
          <w:trHeight w:val="164"/>
        </w:trPr>
        <w:tc>
          <w:tcPr>
            <w:tcW w:w="2420" w:type="dxa"/>
            <w:vAlign w:val="bottom"/>
          </w:tcPr>
          <w:p>
            <w:pPr>
              <w:jc w:val="right"/>
              <w:ind w:right="2295"/>
              <w:spacing w:after="0"/>
              <w:rPr>
                <w:sz w:val="20"/>
                <w:szCs w:val="20"/>
                <w:color w:val="auto"/>
              </w:rPr>
            </w:pPr>
            <w:r>
              <w:rPr>
                <w:rFonts w:ascii="Arial" w:cs="Arial" w:eastAsia="Arial" w:hAnsi="Arial"/>
                <w:sz w:val="13"/>
                <w:szCs w:val="13"/>
                <w:color w:val="auto"/>
                <w:w w:val="91"/>
              </w:rPr>
              <w:t>)</w:t>
            </w:r>
          </w:p>
        </w:tc>
        <w:tc>
          <w:tcPr>
            <w:tcW w:w="3200" w:type="dxa"/>
            <w:vAlign w:val="bottom"/>
            <w:vMerge w:val="restart"/>
          </w:tcPr>
          <w:p>
            <w:pPr>
              <w:spacing w:after="0"/>
              <w:rPr>
                <w:sz w:val="20"/>
                <w:szCs w:val="20"/>
                <w:color w:val="auto"/>
              </w:rPr>
            </w:pPr>
            <w:r>
              <w:rPr>
                <w:rFonts w:ascii="Arial" w:cs="Arial" w:eastAsia="Arial" w:hAnsi="Arial"/>
                <w:sz w:val="17"/>
                <w:szCs w:val="17"/>
                <w:color w:val="auto"/>
              </w:rPr>
              <w:t>Andrzej Matyczynski</w:t>
            </w: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3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420" w:type="dxa"/>
            <w:vAlign w:val="bottom"/>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20" w:type="dxa"/>
            <w:vAlign w:val="bottom"/>
          </w:tcPr>
          <w:p>
            <w:pPr>
              <w:spacing w:after="0"/>
              <w:rPr>
                <w:sz w:val="12"/>
                <w:szCs w:val="12"/>
                <w:color w:val="auto"/>
              </w:rPr>
            </w:pPr>
          </w:p>
        </w:tc>
        <w:tc>
          <w:tcPr>
            <w:tcW w:w="3200" w:type="dxa"/>
            <w:vAlign w:val="bottom"/>
          </w:tcPr>
          <w:p>
            <w:pPr>
              <w:spacing w:after="0" w:line="147" w:lineRule="exact"/>
              <w:rPr>
                <w:sz w:val="20"/>
                <w:szCs w:val="20"/>
                <w:color w:val="auto"/>
              </w:rPr>
            </w:pPr>
            <w:r>
              <w:rPr>
                <w:rFonts w:ascii="Arial" w:cs="Arial" w:eastAsia="Arial" w:hAnsi="Arial"/>
                <w:sz w:val="13"/>
                <w:szCs w:val="13"/>
                <w:color w:val="auto"/>
              </w:rPr>
              <w:t>Name of director/company secretary* (block letters)</w:t>
            </w:r>
          </w:p>
        </w:tc>
        <w:tc>
          <w:tcPr>
            <w:tcW w:w="0" w:type="dxa"/>
            <w:vAlign w:val="bottom"/>
          </w:tcPr>
          <w:p>
            <w:pPr>
              <w:spacing w:after="0"/>
              <w:rPr>
                <w:sz w:val="1"/>
                <w:szCs w:val="1"/>
                <w:color w:val="auto"/>
              </w:rPr>
            </w:pPr>
          </w:p>
        </w:tc>
      </w:tr>
      <w:tr>
        <w:trPr>
          <w:trHeight w:val="164"/>
        </w:trPr>
        <w:tc>
          <w:tcPr>
            <w:tcW w:w="242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*delete whichever is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-2684780</wp:posOffset>
            </wp:positionH>
            <wp:positionV relativeFrom="paragraph">
              <wp:posOffset>231775</wp:posOffset>
            </wp:positionV>
            <wp:extent cx="6282690" cy="463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4">
                      <a:extLst>
                        <a:ext uri="{28A0092B-C50C-407E-A947-70E740481C1C}"/>
                      </a:extLst>
                    </a:blip>
                    <a:srcRect/>
                    <a:stretch>
                      <a:fillRect/>
                    </a:stretch>
                  </pic:blipFill>
                  <pic:spPr bwMode="auto">
                    <a:xfrm>
                      <a:off x="0" y="0"/>
                      <a:ext cx="6282690" cy="46355"/>
                    </a:xfrm>
                    <a:prstGeom prst="rect">
                      <a:avLst/>
                    </a:prstGeom>
                    <a:noFill/>
                  </pic:spPr>
                </pic:pic>
              </a:graphicData>
            </a:graphic>
          </wp:anchor>
        </w:drawing>
      </w:r>
    </w:p>
    <w:p>
      <w:pPr>
        <w:sectPr>
          <w:pgSz w:w="11900" w:h="16838" w:orient="portrait"/>
          <w:cols w:equalWidth="0" w:num="2">
            <w:col w:w="3060" w:space="720"/>
            <w:col w:w="5620"/>
          </w:cols>
          <w:pgMar w:left="1440" w:top="176" w:right="105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6"/>
          <w:szCs w:val="16"/>
          <w:color w:val="auto"/>
        </w:rPr>
        <w:t>EXECUTED by each of</w:t>
      </w:r>
    </w:p>
    <w:p>
      <w:pPr>
        <w:spacing w:after="0" w:line="51" w:lineRule="exact"/>
        <w:rPr>
          <w:sz w:val="20"/>
          <w:szCs w:val="20"/>
          <w:color w:val="auto"/>
        </w:rPr>
      </w:pPr>
    </w:p>
    <w:p>
      <w:pPr>
        <w:ind w:left="760"/>
        <w:spacing w:after="0"/>
        <w:rPr>
          <w:sz w:val="20"/>
          <w:szCs w:val="20"/>
          <w:color w:val="auto"/>
        </w:rPr>
      </w:pPr>
      <w:r>
        <w:rPr>
          <w:rFonts w:ascii="Arial" w:cs="Arial" w:eastAsia="Arial" w:hAnsi="Arial"/>
          <w:sz w:val="13"/>
          <w:szCs w:val="13"/>
          <w:color w:val="auto"/>
        </w:rPr>
        <w:t>AUSTRALIA COUNTRY CINEMAS PTY LTD ACN [***];</w:t>
      </w:r>
    </w:p>
    <w:p>
      <w:pPr>
        <w:ind w:left="760"/>
        <w:spacing w:after="0" w:line="228" w:lineRule="auto"/>
        <w:rPr>
          <w:sz w:val="20"/>
          <w:szCs w:val="20"/>
          <w:color w:val="auto"/>
        </w:rPr>
      </w:pPr>
      <w:r>
        <w:rPr>
          <w:rFonts w:ascii="Arial" w:cs="Arial" w:eastAsia="Arial" w:hAnsi="Arial"/>
          <w:sz w:val="13"/>
          <w:szCs w:val="13"/>
          <w:color w:val="auto"/>
        </w:rPr>
        <w:t>AUSTRALIAN EQUIPMENT SUPPLY PTY LTD ACN [***];</w:t>
      </w:r>
    </w:p>
    <w:p>
      <w:pPr>
        <w:ind w:left="760"/>
        <w:spacing w:after="0" w:line="226" w:lineRule="auto"/>
        <w:rPr>
          <w:sz w:val="20"/>
          <w:szCs w:val="20"/>
          <w:color w:val="auto"/>
        </w:rPr>
      </w:pPr>
      <w:r>
        <w:rPr>
          <w:rFonts w:ascii="Arial" w:cs="Arial" w:eastAsia="Arial" w:hAnsi="Arial"/>
          <w:sz w:val="13"/>
          <w:szCs w:val="13"/>
          <w:color w:val="auto"/>
        </w:rPr>
        <w:t>BURWOOD DEVELOPMENTS PTY LTD ACN [***];</w:t>
      </w:r>
    </w:p>
    <w:p>
      <w:pPr>
        <w:ind w:left="760"/>
        <w:spacing w:after="0" w:line="227" w:lineRule="auto"/>
        <w:rPr>
          <w:sz w:val="20"/>
          <w:szCs w:val="20"/>
          <w:color w:val="auto"/>
        </w:rPr>
      </w:pPr>
      <w:r>
        <w:rPr>
          <w:rFonts w:ascii="Arial" w:cs="Arial" w:eastAsia="Arial" w:hAnsi="Arial"/>
          <w:sz w:val="13"/>
          <w:szCs w:val="13"/>
          <w:color w:val="auto"/>
        </w:rPr>
        <w:t>EPPING CINEMAS PTY LTD ACN [***];</w:t>
      </w:r>
    </w:p>
    <w:p>
      <w:pPr>
        <w:ind w:left="760"/>
        <w:spacing w:after="0" w:line="226" w:lineRule="auto"/>
        <w:rPr>
          <w:sz w:val="20"/>
          <w:szCs w:val="20"/>
          <w:color w:val="auto"/>
        </w:rPr>
      </w:pPr>
      <w:r>
        <w:rPr>
          <w:rFonts w:ascii="Arial" w:cs="Arial" w:eastAsia="Arial" w:hAnsi="Arial"/>
          <w:sz w:val="13"/>
          <w:szCs w:val="13"/>
          <w:color w:val="auto"/>
        </w:rPr>
        <w:t>HOTEL NEWMARKET PTY LTD ACN [***];</w:t>
      </w:r>
    </w:p>
    <w:p>
      <w:pPr>
        <w:ind w:left="760"/>
        <w:spacing w:after="0" w:line="226" w:lineRule="auto"/>
        <w:rPr>
          <w:sz w:val="20"/>
          <w:szCs w:val="20"/>
          <w:color w:val="auto"/>
        </w:rPr>
      </w:pPr>
      <w:r>
        <w:rPr>
          <w:rFonts w:ascii="Arial" w:cs="Arial" w:eastAsia="Arial" w:hAnsi="Arial"/>
          <w:sz w:val="13"/>
          <w:szCs w:val="13"/>
          <w:color w:val="auto"/>
        </w:rPr>
        <w:t>NEWMARKET PROPERTIES PTY LTD ACN [***];</w:t>
      </w:r>
    </w:p>
    <w:p>
      <w:pPr>
        <w:ind w:left="760"/>
        <w:spacing w:after="0" w:line="226" w:lineRule="auto"/>
        <w:rPr>
          <w:sz w:val="20"/>
          <w:szCs w:val="20"/>
          <w:color w:val="auto"/>
        </w:rPr>
      </w:pPr>
      <w:r>
        <w:rPr>
          <w:rFonts w:ascii="Arial" w:cs="Arial" w:eastAsia="Arial" w:hAnsi="Arial"/>
          <w:sz w:val="13"/>
          <w:szCs w:val="13"/>
          <w:color w:val="auto"/>
        </w:rPr>
        <w:t>NEWMARKET PROPERTIES NO. 2 PTY LTD ACN [***];</w:t>
      </w:r>
    </w:p>
    <w:p>
      <w:pPr>
        <w:ind w:left="760"/>
        <w:spacing w:after="0" w:line="227" w:lineRule="auto"/>
        <w:rPr>
          <w:sz w:val="20"/>
          <w:szCs w:val="20"/>
          <w:color w:val="auto"/>
        </w:rPr>
      </w:pPr>
      <w:r>
        <w:rPr>
          <w:rFonts w:ascii="Arial" w:cs="Arial" w:eastAsia="Arial" w:hAnsi="Arial"/>
          <w:sz w:val="13"/>
          <w:szCs w:val="13"/>
          <w:color w:val="auto"/>
        </w:rPr>
        <w:t>NEWMARKET PROPERTIES #3 PTY LTD ACN [***];</w:t>
      </w:r>
    </w:p>
    <w:p>
      <w:pPr>
        <w:ind w:left="760"/>
        <w:spacing w:after="0"/>
        <w:rPr>
          <w:sz w:val="20"/>
          <w:szCs w:val="20"/>
          <w:color w:val="auto"/>
        </w:rPr>
      </w:pPr>
      <w:r>
        <w:rPr>
          <w:rFonts w:ascii="Arial" w:cs="Arial" w:eastAsia="Arial" w:hAnsi="Arial"/>
          <w:sz w:val="13"/>
          <w:szCs w:val="13"/>
          <w:color w:val="auto"/>
        </w:rPr>
        <w:t>READING AUBURN PTY LTD ACN [***];</w:t>
      </w:r>
    </w:p>
    <w:p>
      <w:pPr>
        <w:spacing w:after="0" w:line="2" w:lineRule="exact"/>
        <w:rPr>
          <w:sz w:val="20"/>
          <w:szCs w:val="20"/>
          <w:color w:val="auto"/>
        </w:rPr>
      </w:pPr>
    </w:p>
    <w:p>
      <w:pPr>
        <w:ind w:left="760" w:right="3860"/>
        <w:spacing w:after="0" w:line="234" w:lineRule="auto"/>
        <w:rPr>
          <w:sz w:val="20"/>
          <w:szCs w:val="20"/>
          <w:color w:val="auto"/>
        </w:rPr>
      </w:pPr>
      <w:r>
        <w:rPr>
          <w:rFonts w:ascii="Arial" w:cs="Arial" w:eastAsia="Arial" w:hAnsi="Arial"/>
          <w:sz w:val="13"/>
          <w:szCs w:val="13"/>
          <w:color w:val="auto"/>
        </w:rPr>
        <w:t>READING AUSTRALIA LEASING (E&amp;R) PTY LTD ACN [***]; READING BELMONT PTY LTD ACN [***]; READING BUNDABERG 2012 PTY LTD ACN [***];</w:t>
      </w:r>
    </w:p>
    <w:p>
      <w:pPr>
        <w:ind w:left="760"/>
        <w:spacing w:after="0" w:line="228" w:lineRule="auto"/>
        <w:rPr>
          <w:sz w:val="20"/>
          <w:szCs w:val="20"/>
          <w:color w:val="auto"/>
        </w:rPr>
      </w:pPr>
      <w:r>
        <w:rPr>
          <w:rFonts w:ascii="Arial" w:cs="Arial" w:eastAsia="Arial" w:hAnsi="Arial"/>
          <w:sz w:val="13"/>
          <w:szCs w:val="13"/>
          <w:color w:val="auto"/>
        </w:rPr>
        <w:t>READING CHARLESTOWN PTY LTD ACN [***];</w:t>
      </w:r>
    </w:p>
    <w:p>
      <w:pPr>
        <w:ind w:left="760"/>
        <w:spacing w:after="0"/>
        <w:rPr>
          <w:sz w:val="20"/>
          <w:szCs w:val="20"/>
          <w:color w:val="auto"/>
        </w:rPr>
      </w:pPr>
      <w:r>
        <w:rPr>
          <w:rFonts w:ascii="Arial" w:cs="Arial" w:eastAsia="Arial" w:hAnsi="Arial"/>
          <w:sz w:val="13"/>
          <w:szCs w:val="13"/>
          <w:color w:val="auto"/>
        </w:rPr>
        <w:t>READING CINEMAS PTY LTD ACN [***];</w:t>
      </w:r>
    </w:p>
    <w:p>
      <w:pPr>
        <w:ind w:left="760"/>
        <w:spacing w:after="0" w:line="229" w:lineRule="auto"/>
        <w:rPr>
          <w:sz w:val="20"/>
          <w:szCs w:val="20"/>
          <w:color w:val="auto"/>
        </w:rPr>
      </w:pPr>
      <w:r>
        <w:rPr>
          <w:rFonts w:ascii="Arial" w:cs="Arial" w:eastAsia="Arial" w:hAnsi="Arial"/>
          <w:sz w:val="13"/>
          <w:szCs w:val="13"/>
          <w:color w:val="auto"/>
        </w:rPr>
        <w:t>READING CINEMAS MANAGEMENT PTY LTD ACN [***];</w:t>
      </w:r>
    </w:p>
    <w:p>
      <w:pPr>
        <w:ind w:left="760"/>
        <w:spacing w:after="0" w:line="227" w:lineRule="auto"/>
        <w:rPr>
          <w:sz w:val="20"/>
          <w:szCs w:val="20"/>
          <w:color w:val="auto"/>
        </w:rPr>
      </w:pPr>
      <w:r>
        <w:rPr>
          <w:rFonts w:ascii="Arial" w:cs="Arial" w:eastAsia="Arial" w:hAnsi="Arial"/>
          <w:sz w:val="13"/>
          <w:szCs w:val="13"/>
          <w:color w:val="auto"/>
        </w:rPr>
        <w:t>STATE CINEMA HOBART PTY LTD ACN [***];</w:t>
      </w:r>
    </w:p>
    <w:p>
      <w:pPr>
        <w:ind w:left="760"/>
        <w:spacing w:after="0" w:line="226" w:lineRule="auto"/>
        <w:rPr>
          <w:sz w:val="20"/>
          <w:szCs w:val="20"/>
          <w:color w:val="auto"/>
        </w:rPr>
      </w:pPr>
      <w:r>
        <w:rPr>
          <w:rFonts w:ascii="Arial" w:cs="Arial" w:eastAsia="Arial" w:hAnsi="Arial"/>
          <w:sz w:val="13"/>
          <w:szCs w:val="13"/>
          <w:color w:val="auto"/>
        </w:rPr>
        <w:t>READING DANDENONG PTY LTD ACN [***];</w:t>
      </w:r>
    </w:p>
    <w:p>
      <w:pPr>
        <w:ind w:left="760"/>
        <w:spacing w:after="0" w:line="226" w:lineRule="auto"/>
        <w:rPr>
          <w:sz w:val="20"/>
          <w:szCs w:val="20"/>
          <w:color w:val="auto"/>
        </w:rPr>
      </w:pPr>
      <w:r>
        <w:rPr>
          <w:rFonts w:ascii="Arial" w:cs="Arial" w:eastAsia="Arial" w:hAnsi="Arial"/>
          <w:sz w:val="13"/>
          <w:szCs w:val="13"/>
          <w:color w:val="auto"/>
        </w:rPr>
        <w:t>READING ELIZABETH PTY LTD ACN [***];</w:t>
      </w:r>
    </w:p>
    <w:p>
      <w:pPr>
        <w:ind w:left="760"/>
        <w:spacing w:after="0" w:line="226" w:lineRule="auto"/>
        <w:rPr>
          <w:sz w:val="20"/>
          <w:szCs w:val="20"/>
          <w:color w:val="auto"/>
        </w:rPr>
      </w:pPr>
      <w:r>
        <w:rPr>
          <w:rFonts w:ascii="Arial" w:cs="Arial" w:eastAsia="Arial" w:hAnsi="Arial"/>
          <w:sz w:val="13"/>
          <w:szCs w:val="13"/>
          <w:color w:val="auto"/>
        </w:rPr>
        <w:t>READING EXHIBITION PTY LTD ACN [***];</w:t>
      </w:r>
    </w:p>
    <w:p>
      <w:pPr>
        <w:ind w:left="760"/>
        <w:spacing w:after="0" w:line="227" w:lineRule="auto"/>
        <w:rPr>
          <w:sz w:val="20"/>
          <w:szCs w:val="20"/>
          <w:color w:val="auto"/>
        </w:rPr>
      </w:pPr>
      <w:r>
        <w:rPr>
          <w:rFonts w:ascii="Arial" w:cs="Arial" w:eastAsia="Arial" w:hAnsi="Arial"/>
          <w:sz w:val="13"/>
          <w:szCs w:val="13"/>
          <w:color w:val="auto"/>
        </w:rPr>
        <w:t>READING LICENCES PTY LTD ACN [***];</w:t>
      </w:r>
    </w:p>
    <w:p>
      <w:pPr>
        <w:ind w:left="760"/>
        <w:spacing w:after="0" w:line="226" w:lineRule="auto"/>
        <w:rPr>
          <w:sz w:val="20"/>
          <w:szCs w:val="20"/>
          <w:color w:val="auto"/>
        </w:rPr>
      </w:pPr>
      <w:r>
        <w:rPr>
          <w:rFonts w:ascii="Arial" w:cs="Arial" w:eastAsia="Arial" w:hAnsi="Arial"/>
          <w:sz w:val="13"/>
          <w:szCs w:val="13"/>
          <w:color w:val="auto"/>
        </w:rPr>
        <w:t>READING MAITLAND PTY LTD ACN [***];</w:t>
      </w:r>
    </w:p>
    <w:p>
      <w:pPr>
        <w:ind w:left="760"/>
        <w:spacing w:after="0" w:line="226" w:lineRule="auto"/>
        <w:rPr>
          <w:sz w:val="20"/>
          <w:szCs w:val="20"/>
          <w:color w:val="auto"/>
        </w:rPr>
      </w:pPr>
      <w:r>
        <w:rPr>
          <w:rFonts w:ascii="Arial" w:cs="Arial" w:eastAsia="Arial" w:hAnsi="Arial"/>
          <w:sz w:val="13"/>
          <w:szCs w:val="13"/>
          <w:color w:val="auto"/>
        </w:rPr>
        <w:t>READING MELTON PTY LTD ACN [***];</w:t>
      </w:r>
    </w:p>
    <w:p>
      <w:pPr>
        <w:ind w:left="760"/>
        <w:spacing w:after="0"/>
        <w:rPr>
          <w:sz w:val="20"/>
          <w:szCs w:val="20"/>
          <w:color w:val="auto"/>
        </w:rPr>
      </w:pPr>
      <w:r>
        <w:rPr>
          <w:rFonts w:ascii="Arial" w:cs="Arial" w:eastAsia="Arial" w:hAnsi="Arial"/>
          <w:sz w:val="13"/>
          <w:szCs w:val="13"/>
          <w:color w:val="auto"/>
        </w:rPr>
        <w:t>READING PROPERTIES PTY LTD [***];</w:t>
      </w:r>
    </w:p>
    <w:p>
      <w:pPr>
        <w:spacing w:after="0" w:line="2" w:lineRule="exact"/>
        <w:rPr>
          <w:sz w:val="20"/>
          <w:szCs w:val="20"/>
          <w:color w:val="auto"/>
        </w:rPr>
      </w:pPr>
    </w:p>
    <w:p>
      <w:pPr>
        <w:ind w:left="760" w:right="1200"/>
        <w:spacing w:after="0" w:line="243" w:lineRule="auto"/>
        <w:rPr>
          <w:sz w:val="20"/>
          <w:szCs w:val="20"/>
          <w:color w:val="auto"/>
        </w:rPr>
      </w:pPr>
      <w:r>
        <w:rPr>
          <w:rFonts w:ascii="Arial" w:cs="Arial" w:eastAsia="Arial" w:hAnsi="Arial"/>
          <w:sz w:val="13"/>
          <w:szCs w:val="13"/>
          <w:color w:val="auto"/>
        </w:rPr>
        <w:t>READING PROPERTIES INDOOROOPILLY PTY LTD ACN [***] AS TRUSTEE FOR THE LANDPLAN PROPERTY PARTNERS DISCRETIONARY TRUST; READING PROPERTIES TARINGA PTY LTD ACN [***] AS TRUSTEE FOR THE READING PROPERTY PARTNERS NO. 1 DISCRETIONARY TRUST; READING PROPERTY HOLDINGS PTY LTD ACN [***];</w:t>
      </w:r>
    </w:p>
    <w:p>
      <w:pPr>
        <w:ind w:left="760"/>
        <w:spacing w:after="0" w:line="228" w:lineRule="auto"/>
        <w:rPr>
          <w:sz w:val="20"/>
          <w:szCs w:val="20"/>
          <w:color w:val="auto"/>
        </w:rPr>
      </w:pPr>
      <w:r>
        <w:rPr>
          <w:rFonts w:ascii="Arial" w:cs="Arial" w:eastAsia="Arial" w:hAnsi="Arial"/>
          <w:sz w:val="13"/>
          <w:szCs w:val="13"/>
          <w:color w:val="auto"/>
        </w:rPr>
        <w:t>READING ROUSE HILL PTY LTD ACN [***];</w:t>
      </w:r>
    </w:p>
    <w:p>
      <w:pPr>
        <w:ind w:left="760"/>
        <w:spacing w:after="0" w:line="226" w:lineRule="auto"/>
        <w:rPr>
          <w:sz w:val="20"/>
          <w:szCs w:val="20"/>
          <w:color w:val="auto"/>
        </w:rPr>
      </w:pPr>
      <w:r>
        <w:rPr>
          <w:rFonts w:ascii="Arial" w:cs="Arial" w:eastAsia="Arial" w:hAnsi="Arial"/>
          <w:sz w:val="13"/>
          <w:szCs w:val="13"/>
          <w:color w:val="auto"/>
        </w:rPr>
        <w:t>READING SUNBURY PTY LIMITED ACN [***];</w:t>
      </w:r>
    </w:p>
    <w:p>
      <w:pPr>
        <w:ind w:left="760"/>
        <w:spacing w:after="0" w:line="226" w:lineRule="auto"/>
        <w:rPr>
          <w:sz w:val="20"/>
          <w:szCs w:val="20"/>
          <w:color w:val="auto"/>
        </w:rPr>
      </w:pPr>
      <w:r>
        <w:rPr>
          <w:rFonts w:ascii="Arial" w:cs="Arial" w:eastAsia="Arial" w:hAnsi="Arial"/>
          <w:sz w:val="13"/>
          <w:szCs w:val="13"/>
          <w:color w:val="auto"/>
        </w:rPr>
        <w:t>RHODES PENINSULA CINEMA PTY LIMITED ACN [***];</w:t>
      </w:r>
    </w:p>
    <w:p>
      <w:pPr>
        <w:ind w:left="760"/>
        <w:spacing w:after="0"/>
        <w:rPr>
          <w:sz w:val="20"/>
          <w:szCs w:val="20"/>
          <w:color w:val="auto"/>
        </w:rPr>
      </w:pPr>
      <w:r>
        <w:rPr>
          <w:rFonts w:ascii="Arial" w:cs="Arial" w:eastAsia="Arial" w:hAnsi="Arial"/>
          <w:sz w:val="13"/>
          <w:szCs w:val="13"/>
          <w:color w:val="auto"/>
        </w:rPr>
        <w:t>WESTLAKES CINEMA PTY LTD ACN [***];</w:t>
      </w:r>
    </w:p>
    <w:p>
      <w:pPr>
        <w:spacing w:after="0" w:line="2" w:lineRule="exact"/>
        <w:rPr>
          <w:sz w:val="20"/>
          <w:szCs w:val="20"/>
          <w:color w:val="auto"/>
        </w:rPr>
      </w:pPr>
    </w:p>
    <w:p>
      <w:pPr>
        <w:ind w:left="760" w:right="4220"/>
        <w:spacing w:after="0" w:line="254" w:lineRule="auto"/>
        <w:rPr>
          <w:sz w:val="20"/>
          <w:szCs w:val="20"/>
          <w:color w:val="auto"/>
        </w:rPr>
      </w:pPr>
      <w:r>
        <w:rPr>
          <w:rFonts w:ascii="Arial" w:cs="Arial" w:eastAsia="Arial" w:hAnsi="Arial"/>
          <w:sz w:val="13"/>
          <w:szCs w:val="13"/>
          <w:color w:val="auto"/>
        </w:rPr>
        <w:t>A.C.N. 143 633 096 PTY LTD ACN [***]; READING CANNON PARK PTY LTD ACN [***]; READING JINDALEE PTY LTD ACN [***]; READING DEVONPORT PTY LTD ACN [***];</w:t>
      </w:r>
    </w:p>
    <w:p>
      <w:pPr>
        <w:ind w:left="760" w:right="3820"/>
        <w:spacing w:after="0" w:line="282" w:lineRule="auto"/>
        <w:rPr>
          <w:sz w:val="20"/>
          <w:szCs w:val="20"/>
          <w:color w:val="auto"/>
        </w:rPr>
      </w:pPr>
      <w:r>
        <w:rPr>
          <w:rFonts w:ascii="Arial" w:cs="Arial" w:eastAsia="Arial" w:hAnsi="Arial"/>
          <w:sz w:val="13"/>
          <w:szCs w:val="13"/>
          <w:color w:val="auto"/>
        </w:rPr>
        <w:t>READING SOUTH CITY SQUARE PTY LTD ACN [***]; READING TRARALGON PTY LTD ACN [***]; and READING BURWOOD PTY LTD ACN [***],</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3"/>
          <w:szCs w:val="13"/>
          <w:color w:val="auto"/>
        </w:rPr>
        <w:t>in accordance with section 127(1)</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3"/>
          <w:szCs w:val="13"/>
          <w:color w:val="auto"/>
        </w:rPr>
        <w:t>of the Corporations Act 2001 (Cwlth) by authority of each of its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383540</wp:posOffset>
            </wp:positionV>
            <wp:extent cx="139065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5">
                      <a:extLst>
                        <a:ext uri="{28A0092B-C50C-407E-A947-70E740481C1C}"/>
                      </a:extLst>
                    </a:blip>
                    <a:srcRect/>
                    <a:stretch>
                      <a:fillRect/>
                    </a:stretch>
                  </pic:blipFill>
                  <pic:spPr bwMode="auto">
                    <a:xfrm>
                      <a:off x="0" y="0"/>
                      <a:ext cx="1390650" cy="6985"/>
                    </a:xfrm>
                    <a:prstGeom prst="rect">
                      <a:avLst/>
                    </a:prstGeom>
                    <a:noFill/>
                  </pic:spPr>
                </pic:pic>
              </a:graphicData>
            </a:graphic>
          </wp:anchor>
        </w:drawing>
        <w:drawing>
          <wp:anchor simplePos="0" relativeHeight="251657728" behindDoc="1" locked="0" layoutInCell="0" allowOverlap="1">
            <wp:simplePos x="0" y="0"/>
            <wp:positionH relativeFrom="column">
              <wp:posOffset>455930</wp:posOffset>
            </wp:positionH>
            <wp:positionV relativeFrom="paragraph">
              <wp:posOffset>383540</wp:posOffset>
            </wp:positionV>
            <wp:extent cx="139065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6">
                      <a:extLst>
                        <a:ext uri="{28A0092B-C50C-407E-A947-70E740481C1C}"/>
                      </a:extLst>
                    </a:blip>
                    <a:srcRect/>
                    <a:stretch>
                      <a:fillRect/>
                    </a:stretch>
                  </pic:blipFill>
                  <pic:spPr bwMode="auto">
                    <a:xfrm>
                      <a:off x="0" y="0"/>
                      <a:ext cx="1390650" cy="698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720"/>
        <w:spacing w:after="0"/>
        <w:tabs>
          <w:tab w:leader="none" w:pos="7600" w:val="left"/>
        </w:tabs>
        <w:rPr>
          <w:sz w:val="20"/>
          <w:szCs w:val="20"/>
          <w:color w:val="auto"/>
        </w:rPr>
      </w:pPr>
      <w:r>
        <w:rPr>
          <w:rFonts w:ascii="Arial" w:cs="Arial" w:eastAsia="Arial" w:hAnsi="Arial"/>
          <w:sz w:val="13"/>
          <w:szCs w:val="13"/>
          <w:color w:val="auto"/>
        </w:rPr>
        <w:t>Signature of director</w:t>
      </w:r>
      <w:r>
        <w:rPr>
          <w:sz w:val="20"/>
          <w:szCs w:val="20"/>
          <w:color w:val="auto"/>
        </w:rPr>
        <w:tab/>
      </w:r>
      <w:r>
        <w:rPr>
          <w:rFonts w:ascii="Arial" w:cs="Arial" w:eastAsia="Arial" w:hAnsi="Arial"/>
          <w:sz w:val="11"/>
          <w:szCs w:val="11"/>
          <w:color w:val="auto"/>
        </w:rPr>
        <w:t>Signature of director</w:t>
      </w:r>
    </w:p>
    <w:p>
      <w:pPr>
        <w:sectPr>
          <w:pgSz w:w="11900" w:h="16838" w:orient="portrait"/>
          <w:cols w:equalWidth="0" w:num="1">
            <w:col w:w="10640"/>
          </w:cols>
          <w:pgMar w:left="1020" w:top="125" w:right="2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Ellen M. Cotter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127635</wp:posOffset>
            </wp:positionV>
            <wp:extent cx="139065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7">
                      <a:extLst>
                        <a:ext uri="{28A0092B-C50C-407E-A947-70E740481C1C}"/>
                      </a:extLst>
                    </a:blip>
                    <a:srcRect/>
                    <a:stretch>
                      <a:fillRect/>
                    </a:stretch>
                  </pic:blipFill>
                  <pic:spPr bwMode="auto">
                    <a:xfrm>
                      <a:off x="0" y="0"/>
                      <a:ext cx="1390650" cy="6985"/>
                    </a:xfrm>
                    <a:prstGeom prst="rect">
                      <a:avLst/>
                    </a:prstGeom>
                    <a:noFill/>
                  </pic:spPr>
                </pic:pic>
              </a:graphicData>
            </a:graphic>
          </wp:anchor>
        </w:drawing>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1"/>
          <w:szCs w:val="11"/>
          <w:color w:val="auto"/>
        </w:rPr>
        <w:t>Name of director (block letters)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Andrzej Matyczynski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139065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8">
                      <a:extLst>
                        <a:ext uri="{28A0092B-C50C-407E-A947-70E740481C1C}"/>
                      </a:extLst>
                    </a:blip>
                    <a:srcRect/>
                    <a:stretch>
                      <a:fillRect/>
                    </a:stretch>
                  </pic:blipFill>
                  <pic:spPr bwMode="auto">
                    <a:xfrm>
                      <a:off x="0" y="0"/>
                      <a:ext cx="1390650" cy="698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color w:val="auto"/>
        </w:rPr>
        <w:t>Name of director (block letters)</w:t>
      </w:r>
    </w:p>
    <w:p>
      <w:pPr>
        <w:spacing w:after="0" w:line="200" w:lineRule="exact"/>
        <w:rPr>
          <w:sz w:val="20"/>
          <w:szCs w:val="20"/>
          <w:color w:val="auto"/>
        </w:rPr>
      </w:pPr>
    </w:p>
    <w:p>
      <w:pPr>
        <w:sectPr>
          <w:pgSz w:w="11900" w:h="16838" w:orient="portrait"/>
          <w:cols w:equalWidth="0" w:num="2">
            <w:col w:w="6900" w:space="720"/>
            <w:col w:w="3020"/>
          </w:cols>
          <w:pgMar w:left="1020" w:top="125" w:right="239" w:bottom="1440" w:gutter="0" w:footer="0" w:header="0"/>
          <w:type w:val="continuous"/>
        </w:sectPr>
      </w:pPr>
    </w:p>
    <w:p>
      <w:pPr>
        <w:spacing w:after="0" w:line="74" w:lineRule="exact"/>
        <w:rPr>
          <w:sz w:val="20"/>
          <w:szCs w:val="20"/>
          <w:color w:val="auto"/>
        </w:rPr>
      </w:pPr>
    </w:p>
    <w:p>
      <w:pPr>
        <w:ind w:left="720"/>
        <w:spacing w:after="0"/>
        <w:rPr>
          <w:sz w:val="20"/>
          <w:szCs w:val="20"/>
          <w:color w:val="auto"/>
        </w:rPr>
      </w:pPr>
      <w:r>
        <w:rPr>
          <w:rFonts w:ascii="Arial" w:cs="Arial" w:eastAsia="Arial" w:hAnsi="Arial"/>
          <w:sz w:val="11"/>
          <w:szCs w:val="11"/>
          <w:color w:val="auto"/>
        </w:rPr>
        <w:t>Each person signing above certifies that his/her signature is to be treated as constituting a separate signing as director/company secretary (as specified) of each entity listed above respectively.</w:t>
      </w:r>
    </w:p>
    <w:p>
      <w:pPr>
        <w:spacing w:after="0" w:line="202"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52070</wp:posOffset>
            </wp:positionV>
            <wp:extent cx="6282690" cy="463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9">
                      <a:extLst>
                        <a:ext uri="{28A0092B-C50C-407E-A947-70E740481C1C}"/>
                      </a:extLst>
                    </a:blip>
                    <a:srcRect/>
                    <a:stretch>
                      <a:fillRect/>
                    </a:stretch>
                  </pic:blipFill>
                  <pic:spPr bwMode="auto">
                    <a:xfrm>
                      <a:off x="0" y="0"/>
                      <a:ext cx="6282690" cy="46355"/>
                    </a:xfrm>
                    <a:prstGeom prst="rect">
                      <a:avLst/>
                    </a:prstGeom>
                    <a:noFill/>
                  </pic:spPr>
                </pic:pic>
              </a:graphicData>
            </a:graphic>
          </wp:anchor>
        </w:drawing>
      </w:r>
    </w:p>
    <w:p>
      <w:pPr>
        <w:sectPr>
          <w:pgSz w:w="11900" w:h="16838" w:orient="portrait"/>
          <w:cols w:equalWidth="0" w:num="1">
            <w:col w:w="10640"/>
          </w:cols>
          <w:pgMar w:left="1020" w:top="125" w:right="2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6"/>
          <w:szCs w:val="16"/>
          <w:color w:val="auto"/>
        </w:rPr>
        <w:t>EXECUTED by each of</w:t>
      </w:r>
    </w:p>
    <w:p>
      <w:pPr>
        <w:spacing w:after="0" w:line="51" w:lineRule="exact"/>
        <w:rPr>
          <w:sz w:val="20"/>
          <w:szCs w:val="20"/>
          <w:color w:val="auto"/>
        </w:rPr>
      </w:pPr>
    </w:p>
    <w:p>
      <w:pPr>
        <w:ind w:left="760"/>
        <w:spacing w:after="0"/>
        <w:rPr>
          <w:sz w:val="20"/>
          <w:szCs w:val="20"/>
          <w:color w:val="auto"/>
        </w:rPr>
      </w:pPr>
      <w:r>
        <w:rPr>
          <w:rFonts w:ascii="Arial" w:cs="Arial" w:eastAsia="Arial" w:hAnsi="Arial"/>
          <w:sz w:val="13"/>
          <w:szCs w:val="13"/>
          <w:color w:val="auto"/>
        </w:rPr>
        <w:t>ANGELIKA ANYWHERE PTY LTD ACN [***];</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3"/>
          <w:szCs w:val="13"/>
          <w:color w:val="auto"/>
        </w:rPr>
        <w:t>READING ALTONA PTY LTD CAN [***]; and</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3"/>
          <w:szCs w:val="13"/>
          <w:color w:val="auto"/>
        </w:rPr>
        <w:t>READING CINEMAS AUBURN PTY LTD ACN [***] (FORMERLY READING ALPHINGTON PTY LTD),</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3"/>
          <w:szCs w:val="13"/>
          <w:color w:val="auto"/>
        </w:rPr>
        <w:t>in accordance with section 127(1)</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3"/>
          <w:szCs w:val="13"/>
          <w:color w:val="auto"/>
        </w:rPr>
        <w:t>of the Corporations Act 2001 (Cwlth) by authority of each of its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596900</wp:posOffset>
            </wp:positionV>
            <wp:extent cx="139065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0">
                      <a:extLst>
                        <a:ext uri="{28A0092B-C50C-407E-A947-70E740481C1C}"/>
                      </a:extLst>
                    </a:blip>
                    <a:srcRect/>
                    <a:stretch>
                      <a:fillRect/>
                    </a:stretch>
                  </pic:blipFill>
                  <pic:spPr bwMode="auto">
                    <a:xfrm>
                      <a:off x="0" y="0"/>
                      <a:ext cx="1390650" cy="6985"/>
                    </a:xfrm>
                    <a:prstGeom prst="rect">
                      <a:avLst/>
                    </a:prstGeom>
                    <a:noFill/>
                  </pic:spPr>
                </pic:pic>
              </a:graphicData>
            </a:graphic>
          </wp:anchor>
        </w:drawing>
        <w:drawing>
          <wp:anchor simplePos="0" relativeHeight="251657728" behindDoc="1" locked="0" layoutInCell="0" allowOverlap="1">
            <wp:simplePos x="0" y="0"/>
            <wp:positionH relativeFrom="column">
              <wp:posOffset>455930</wp:posOffset>
            </wp:positionH>
            <wp:positionV relativeFrom="paragraph">
              <wp:posOffset>596900</wp:posOffset>
            </wp:positionV>
            <wp:extent cx="139065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1">
                      <a:extLst>
                        <a:ext uri="{28A0092B-C50C-407E-A947-70E740481C1C}"/>
                      </a:extLst>
                    </a:blip>
                    <a:srcRect/>
                    <a:stretch>
                      <a:fillRect/>
                    </a:stretch>
                  </pic:blipFill>
                  <pic:spPr bwMode="auto">
                    <a:xfrm>
                      <a:off x="0" y="0"/>
                      <a:ext cx="13906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20"/>
        <w:spacing w:after="0"/>
        <w:tabs>
          <w:tab w:leader="none" w:pos="7600" w:val="left"/>
        </w:tabs>
        <w:rPr>
          <w:sz w:val="20"/>
          <w:szCs w:val="20"/>
          <w:color w:val="auto"/>
        </w:rPr>
      </w:pPr>
      <w:r>
        <w:rPr>
          <w:rFonts w:ascii="Arial" w:cs="Arial" w:eastAsia="Arial" w:hAnsi="Arial"/>
          <w:sz w:val="13"/>
          <w:szCs w:val="13"/>
          <w:color w:val="auto"/>
        </w:rPr>
        <w:t>Signature of director</w:t>
      </w:r>
      <w:r>
        <w:rPr>
          <w:sz w:val="20"/>
          <w:szCs w:val="20"/>
          <w:color w:val="auto"/>
        </w:rPr>
        <w:tab/>
      </w:r>
      <w:r>
        <w:rPr>
          <w:rFonts w:ascii="Arial" w:cs="Arial" w:eastAsia="Arial" w:hAnsi="Arial"/>
          <w:sz w:val="11"/>
          <w:szCs w:val="11"/>
          <w:color w:val="auto"/>
        </w:rPr>
        <w:t>Signature of director</w:t>
      </w:r>
    </w:p>
    <w:p>
      <w:pPr>
        <w:sectPr>
          <w:pgSz w:w="11900" w:h="16838" w:orient="portrait"/>
          <w:cols w:equalWidth="0" w:num="1">
            <w:col w:w="9439"/>
          </w:cols>
          <w:pgMar w:left="1020" w:top="125"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Ellen M. Cotter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127635</wp:posOffset>
            </wp:positionV>
            <wp:extent cx="139065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2">
                      <a:extLst>
                        <a:ext uri="{28A0092B-C50C-407E-A947-70E740481C1C}"/>
                      </a:extLst>
                    </a:blip>
                    <a:srcRect/>
                    <a:stretch>
                      <a:fillRect/>
                    </a:stretch>
                  </pic:blipFill>
                  <pic:spPr bwMode="auto">
                    <a:xfrm>
                      <a:off x="0" y="0"/>
                      <a:ext cx="1390650" cy="6985"/>
                    </a:xfrm>
                    <a:prstGeom prst="rect">
                      <a:avLst/>
                    </a:prstGeom>
                    <a:noFill/>
                  </pic:spPr>
                </pic:pic>
              </a:graphicData>
            </a:graphic>
          </wp:anchor>
        </w:drawing>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1"/>
          <w:szCs w:val="11"/>
          <w:color w:val="auto"/>
        </w:rPr>
        <w:t>Name of director (block letters)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Margaret Cotter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139065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3">
                      <a:extLst>
                        <a:ext uri="{28A0092B-C50C-407E-A947-70E740481C1C}"/>
                      </a:extLst>
                    </a:blip>
                    <a:srcRect/>
                    <a:stretch>
                      <a:fillRect/>
                    </a:stretch>
                  </pic:blipFill>
                  <pic:spPr bwMode="auto">
                    <a:xfrm>
                      <a:off x="0" y="0"/>
                      <a:ext cx="1390650" cy="698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color w:val="auto"/>
        </w:rPr>
        <w:t>Name of director (block letters)</w:t>
      </w:r>
    </w:p>
    <w:p>
      <w:pPr>
        <w:spacing w:after="0" w:line="200" w:lineRule="exact"/>
        <w:rPr>
          <w:sz w:val="20"/>
          <w:szCs w:val="20"/>
          <w:color w:val="auto"/>
        </w:rPr>
      </w:pPr>
    </w:p>
    <w:p>
      <w:pPr>
        <w:sectPr>
          <w:pgSz w:w="11900" w:h="16838" w:orient="portrait"/>
          <w:cols w:equalWidth="0" w:num="2">
            <w:col w:w="6900" w:space="720"/>
            <w:col w:w="1819"/>
          </w:cols>
          <w:pgMar w:left="1020" w:top="125" w:right="1440" w:bottom="1440" w:gutter="0" w:footer="0" w:header="0"/>
          <w:type w:val="continuous"/>
        </w:sectPr>
      </w:pPr>
    </w:p>
    <w:p>
      <w:pPr>
        <w:spacing w:after="0" w:line="106" w:lineRule="exact"/>
        <w:rPr>
          <w:sz w:val="20"/>
          <w:szCs w:val="20"/>
          <w:color w:val="auto"/>
        </w:rPr>
      </w:pPr>
    </w:p>
    <w:p>
      <w:pPr>
        <w:jc w:val="center"/>
        <w:ind w:right="-220"/>
        <w:spacing w:after="0"/>
        <w:rPr>
          <w:sz w:val="20"/>
          <w:szCs w:val="20"/>
          <w:color w:val="auto"/>
        </w:rPr>
      </w:pPr>
      <w:r>
        <w:rPr>
          <w:rFonts w:ascii="Arial" w:cs="Arial" w:eastAsia="Arial" w:hAnsi="Arial"/>
          <w:sz w:val="11"/>
          <w:szCs w:val="11"/>
          <w:color w:val="auto"/>
        </w:rPr>
        <w:t>Each person signing above certifies that his/her signature is to be treated as constituting a separate signing as director of each entity listed above respectively.</w:t>
      </w:r>
    </w:p>
    <w:p>
      <w:pPr>
        <w:spacing w:after="0" w:line="202"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52070</wp:posOffset>
            </wp:positionV>
            <wp:extent cx="6282690" cy="463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4">
                      <a:extLst>
                        <a:ext uri="{28A0092B-C50C-407E-A947-70E740481C1C}"/>
                      </a:extLst>
                    </a:blip>
                    <a:srcRect/>
                    <a:stretch>
                      <a:fillRect/>
                    </a:stretch>
                  </pic:blipFill>
                  <pic:spPr bwMode="auto">
                    <a:xfrm>
                      <a:off x="0" y="0"/>
                      <a:ext cx="6282690" cy="46355"/>
                    </a:xfrm>
                    <a:prstGeom prst="rect">
                      <a:avLst/>
                    </a:prstGeom>
                    <a:noFill/>
                  </pic:spPr>
                </pic:pic>
              </a:graphicData>
            </a:graphic>
          </wp:anchor>
        </w:drawing>
      </w:r>
    </w:p>
    <w:p>
      <w:pPr>
        <w:sectPr>
          <w:pgSz w:w="11900" w:h="16838" w:orient="portrait"/>
          <w:cols w:equalWidth="0" w:num="1">
            <w:col w:w="9439"/>
          </w:cols>
          <w:pgMar w:left="1020" w:top="125" w:right="1440"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05"/>
        </w:trPr>
        <w:tc>
          <w:tcPr>
            <w:tcW w:w="5500" w:type="dxa"/>
            <w:vAlign w:val="bottom"/>
          </w:tcPr>
          <w:p>
            <w:pPr>
              <w:spacing w:after="0"/>
              <w:rPr>
                <w:sz w:val="20"/>
                <w:szCs w:val="20"/>
                <w:color w:val="auto"/>
              </w:rPr>
            </w:pPr>
            <w:r>
              <w:rPr>
                <w:rFonts w:ascii="Arial" w:cs="Arial" w:eastAsia="Arial" w:hAnsi="Arial"/>
                <w:sz w:val="16"/>
                <w:szCs w:val="16"/>
                <w:b w:val="1"/>
                <w:bCs w:val="1"/>
                <w:color w:val="auto"/>
              </w:rPr>
              <w:t>READING INTERNATIONAL, INC. – LIST OF SUBSIDIARIES</w:t>
            </w:r>
          </w:p>
        </w:tc>
        <w:tc>
          <w:tcPr>
            <w:tcW w:w="3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22"/>
        </w:trPr>
        <w:tc>
          <w:tcPr>
            <w:tcW w:w="55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Subsidiary</w:t>
            </w:r>
          </w:p>
        </w:tc>
        <w:tc>
          <w:tcPr>
            <w:tcW w:w="37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Jurisdiction of Incorporation</w:t>
            </w:r>
          </w:p>
        </w:tc>
        <w:tc>
          <w:tcPr>
            <w:tcW w:w="20" w:type="dxa"/>
            <w:vAlign w:val="bottom"/>
          </w:tcPr>
          <w:p>
            <w:pPr>
              <w:spacing w:after="0"/>
              <w:rPr>
                <w:sz w:val="24"/>
                <w:szCs w:val="24"/>
                <w:color w:val="auto"/>
              </w:rPr>
            </w:pPr>
          </w:p>
        </w:tc>
      </w:tr>
      <w:tr>
        <w:trPr>
          <w:trHeight w:val="202"/>
        </w:trPr>
        <w:tc>
          <w:tcPr>
            <w:tcW w:w="5500" w:type="dxa"/>
            <w:vAlign w:val="bottom"/>
          </w:tcPr>
          <w:p>
            <w:pPr>
              <w:ind w:left="100"/>
              <w:spacing w:after="0"/>
              <w:rPr>
                <w:sz w:val="20"/>
                <w:szCs w:val="20"/>
                <w:color w:val="auto"/>
              </w:rPr>
            </w:pPr>
            <w:r>
              <w:rPr>
                <w:rFonts w:ascii="Arial" w:cs="Arial" w:eastAsia="Arial" w:hAnsi="Arial"/>
                <w:sz w:val="16"/>
                <w:szCs w:val="16"/>
                <w:color w:val="auto"/>
              </w:rPr>
              <w:t>AHGP, Inc.</w:t>
            </w:r>
          </w:p>
        </w:tc>
        <w:tc>
          <w:tcPr>
            <w:tcW w:w="3700" w:type="dxa"/>
            <w:vAlign w:val="bottom"/>
          </w:tcPr>
          <w:p>
            <w:pPr>
              <w:ind w:left="1020"/>
              <w:spacing w:after="0"/>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7"/>
                <w:szCs w:val="17"/>
                <w:color w:val="auto"/>
              </w:rPr>
            </w:pPr>
          </w:p>
        </w:tc>
      </w:tr>
      <w:tr>
        <w:trPr>
          <w:trHeight w:val="213"/>
        </w:trPr>
        <w:tc>
          <w:tcPr>
            <w:tcW w:w="5500" w:type="dxa"/>
            <w:vAlign w:val="bottom"/>
          </w:tcPr>
          <w:p>
            <w:pPr>
              <w:ind w:left="100"/>
              <w:spacing w:after="0"/>
              <w:rPr>
                <w:sz w:val="20"/>
                <w:szCs w:val="20"/>
                <w:color w:val="auto"/>
              </w:rPr>
            </w:pPr>
            <w:r>
              <w:rPr>
                <w:rFonts w:ascii="Arial" w:cs="Arial" w:eastAsia="Arial" w:hAnsi="Arial"/>
                <w:sz w:val="16"/>
                <w:szCs w:val="16"/>
                <w:color w:val="auto"/>
              </w:rPr>
              <w:t>AHLP, Inc.</w:t>
            </w:r>
          </w:p>
        </w:tc>
        <w:tc>
          <w:tcPr>
            <w:tcW w:w="3700" w:type="dxa"/>
            <w:vAlign w:val="bottom"/>
          </w:tcPr>
          <w:p>
            <w:pPr>
              <w:ind w:left="1020"/>
              <w:spacing w:after="0"/>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Angelika Film Centers, LLC</w:t>
            </w:r>
          </w:p>
        </w:tc>
        <w:tc>
          <w:tcPr>
            <w:tcW w:w="3700" w:type="dxa"/>
            <w:vAlign w:val="bottom"/>
          </w:tcPr>
          <w:p>
            <w:pPr>
              <w:ind w:left="1020"/>
              <w:spacing w:after="0"/>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Angelika Anywhere LLC</w:t>
            </w:r>
          </w:p>
        </w:tc>
        <w:tc>
          <w:tcPr>
            <w:tcW w:w="3700" w:type="dxa"/>
            <w:vAlign w:val="bottom"/>
          </w:tcPr>
          <w:p>
            <w:pPr>
              <w:ind w:left="1020"/>
              <w:spacing w:after="0"/>
              <w:rPr>
                <w:sz w:val="20"/>
                <w:szCs w:val="20"/>
                <w:color w:val="auto"/>
              </w:rPr>
            </w:pPr>
            <w:r>
              <w:rPr>
                <w:rFonts w:ascii="Arial" w:cs="Arial" w:eastAsia="Arial" w:hAnsi="Arial"/>
                <w:sz w:val="16"/>
                <w:szCs w:val="16"/>
                <w:color w:val="auto"/>
              </w:rPr>
              <w:t>Nevada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Angelika Anywhere Limited</w:t>
            </w:r>
          </w:p>
        </w:tc>
        <w:tc>
          <w:tcPr>
            <w:tcW w:w="3700" w:type="dxa"/>
            <w:vAlign w:val="bottom"/>
          </w:tcPr>
          <w:p>
            <w:pPr>
              <w:ind w:left="1020"/>
              <w:spacing w:after="0"/>
              <w:rPr>
                <w:sz w:val="20"/>
                <w:szCs w:val="20"/>
                <w:color w:val="auto"/>
              </w:rPr>
            </w:pPr>
            <w:r>
              <w:rPr>
                <w:rFonts w:ascii="Arial" w:cs="Arial" w:eastAsia="Arial" w:hAnsi="Arial"/>
                <w:sz w:val="16"/>
                <w:szCs w:val="16"/>
                <w:color w:val="auto"/>
              </w:rPr>
              <w:t>New Zealand</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Angelika Anywhere Pty Limited</w:t>
            </w:r>
          </w:p>
        </w:tc>
        <w:tc>
          <w:tcPr>
            <w:tcW w:w="3700" w:type="dxa"/>
            <w:vAlign w:val="bottom"/>
          </w:tcPr>
          <w:p>
            <w:pPr>
              <w:ind w:left="1020"/>
              <w:spacing w:after="0"/>
              <w:rPr>
                <w:sz w:val="20"/>
                <w:szCs w:val="20"/>
                <w:color w:val="auto"/>
              </w:rPr>
            </w:pPr>
            <w:r>
              <w:rPr>
                <w:rFonts w:ascii="Arial" w:cs="Arial" w:eastAsia="Arial" w:hAnsi="Arial"/>
                <w:sz w:val="16"/>
                <w:szCs w:val="16"/>
                <w:color w:val="auto"/>
              </w:rPr>
              <w:t>Australia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Angelika Film Center Mosaic, LLC</w:t>
            </w:r>
          </w:p>
        </w:tc>
        <w:tc>
          <w:tcPr>
            <w:tcW w:w="3700" w:type="dxa"/>
            <w:vAlign w:val="bottom"/>
          </w:tcPr>
          <w:p>
            <w:pPr>
              <w:ind w:left="1020"/>
              <w:spacing w:after="0"/>
              <w:rPr>
                <w:sz w:val="20"/>
                <w:szCs w:val="20"/>
                <w:color w:val="auto"/>
              </w:rPr>
            </w:pPr>
            <w:r>
              <w:rPr>
                <w:rFonts w:ascii="Arial" w:cs="Arial" w:eastAsia="Arial" w:hAnsi="Arial"/>
                <w:sz w:val="16"/>
                <w:szCs w:val="16"/>
                <w:color w:val="auto"/>
              </w:rPr>
              <w:t>Nevada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Angelika Film Centers (Dallas), Inc.</w:t>
            </w:r>
          </w:p>
        </w:tc>
        <w:tc>
          <w:tcPr>
            <w:tcW w:w="3700" w:type="dxa"/>
            <w:vAlign w:val="bottom"/>
          </w:tcPr>
          <w:p>
            <w:pPr>
              <w:ind w:left="1020"/>
              <w:spacing w:after="0"/>
              <w:rPr>
                <w:sz w:val="20"/>
                <w:szCs w:val="20"/>
                <w:color w:val="auto"/>
              </w:rPr>
            </w:pPr>
            <w:r>
              <w:rPr>
                <w:rFonts w:ascii="Arial" w:cs="Arial" w:eastAsia="Arial" w:hAnsi="Arial"/>
                <w:sz w:val="16"/>
                <w:szCs w:val="16"/>
                <w:color w:val="auto"/>
              </w:rPr>
              <w:t>Texas</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Angelika Film Center Union Market, LLC</w:t>
            </w:r>
          </w:p>
        </w:tc>
        <w:tc>
          <w:tcPr>
            <w:tcW w:w="3700" w:type="dxa"/>
            <w:vAlign w:val="bottom"/>
          </w:tcPr>
          <w:p>
            <w:pPr>
              <w:ind w:left="1020"/>
              <w:spacing w:after="0"/>
              <w:rPr>
                <w:sz w:val="20"/>
                <w:szCs w:val="20"/>
                <w:color w:val="auto"/>
              </w:rPr>
            </w:pPr>
            <w:r>
              <w:rPr>
                <w:rFonts w:ascii="Arial" w:cs="Arial" w:eastAsia="Arial" w:hAnsi="Arial"/>
                <w:sz w:val="16"/>
                <w:szCs w:val="16"/>
                <w:color w:val="auto"/>
              </w:rPr>
              <w:t>Nevada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Angelika Film Centers (Plano) LP</w:t>
            </w:r>
          </w:p>
        </w:tc>
        <w:tc>
          <w:tcPr>
            <w:tcW w:w="3700" w:type="dxa"/>
            <w:vAlign w:val="bottom"/>
          </w:tcPr>
          <w:p>
            <w:pPr>
              <w:ind w:left="1020"/>
              <w:spacing w:after="0"/>
              <w:rPr>
                <w:sz w:val="20"/>
                <w:szCs w:val="20"/>
                <w:color w:val="auto"/>
              </w:rPr>
            </w:pPr>
            <w:r>
              <w:rPr>
                <w:rFonts w:ascii="Arial" w:cs="Arial" w:eastAsia="Arial" w:hAnsi="Arial"/>
                <w:sz w:val="16"/>
                <w:szCs w:val="16"/>
                <w:color w:val="auto"/>
              </w:rPr>
              <w:t>Nevada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Angelika Plano Beverage LLC</w:t>
            </w:r>
          </w:p>
        </w:tc>
        <w:tc>
          <w:tcPr>
            <w:tcW w:w="3700" w:type="dxa"/>
            <w:vAlign w:val="bottom"/>
          </w:tcPr>
          <w:p>
            <w:pPr>
              <w:ind w:left="1020"/>
              <w:spacing w:after="0"/>
              <w:rPr>
                <w:sz w:val="20"/>
                <w:szCs w:val="20"/>
                <w:color w:val="auto"/>
              </w:rPr>
            </w:pPr>
            <w:r>
              <w:rPr>
                <w:rFonts w:ascii="Arial" w:cs="Arial" w:eastAsia="Arial" w:hAnsi="Arial"/>
                <w:sz w:val="16"/>
                <w:szCs w:val="16"/>
                <w:color w:val="auto"/>
              </w:rPr>
              <w:t>Texas</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Angelika Plano Holdings, LLC</w:t>
            </w:r>
          </w:p>
        </w:tc>
        <w:tc>
          <w:tcPr>
            <w:tcW w:w="3700" w:type="dxa"/>
            <w:vAlign w:val="bottom"/>
          </w:tcPr>
          <w:p>
            <w:pPr>
              <w:ind w:left="1020"/>
              <w:spacing w:after="0"/>
              <w:rPr>
                <w:sz w:val="20"/>
                <w:szCs w:val="20"/>
                <w:color w:val="auto"/>
              </w:rPr>
            </w:pPr>
            <w:r>
              <w:rPr>
                <w:rFonts w:ascii="Arial" w:cs="Arial" w:eastAsia="Arial" w:hAnsi="Arial"/>
                <w:sz w:val="16"/>
                <w:szCs w:val="16"/>
                <w:color w:val="auto"/>
              </w:rPr>
              <w:t>Nevada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Australia Country Cinemas Pty Ltd</w:t>
            </w:r>
          </w:p>
        </w:tc>
        <w:tc>
          <w:tcPr>
            <w:tcW w:w="3700" w:type="dxa"/>
            <w:vAlign w:val="bottom"/>
          </w:tcPr>
          <w:p>
            <w:pPr>
              <w:ind w:left="1020"/>
              <w:spacing w:after="0"/>
              <w:rPr>
                <w:sz w:val="20"/>
                <w:szCs w:val="20"/>
                <w:color w:val="auto"/>
              </w:rPr>
            </w:pPr>
            <w:r>
              <w:rPr>
                <w:rFonts w:ascii="Arial" w:cs="Arial" w:eastAsia="Arial" w:hAnsi="Arial"/>
                <w:sz w:val="16"/>
                <w:szCs w:val="16"/>
                <w:color w:val="auto"/>
              </w:rPr>
              <w:t>Australia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Australian Equipment Supply Pty Ltd</w:t>
            </w:r>
          </w:p>
        </w:tc>
        <w:tc>
          <w:tcPr>
            <w:tcW w:w="3700" w:type="dxa"/>
            <w:vAlign w:val="bottom"/>
          </w:tcPr>
          <w:p>
            <w:pPr>
              <w:ind w:left="1020"/>
              <w:spacing w:after="0"/>
              <w:rPr>
                <w:sz w:val="20"/>
                <w:szCs w:val="20"/>
                <w:color w:val="auto"/>
              </w:rPr>
            </w:pPr>
            <w:r>
              <w:rPr>
                <w:rFonts w:ascii="Arial" w:cs="Arial" w:eastAsia="Arial" w:hAnsi="Arial"/>
                <w:sz w:val="16"/>
                <w:szCs w:val="16"/>
                <w:color w:val="auto"/>
              </w:rPr>
              <w:t>Australia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Bayou Cinemas LP</w:t>
            </w:r>
          </w:p>
        </w:tc>
        <w:tc>
          <w:tcPr>
            <w:tcW w:w="3700" w:type="dxa"/>
            <w:vAlign w:val="bottom"/>
          </w:tcPr>
          <w:p>
            <w:pPr>
              <w:ind w:left="1020"/>
              <w:spacing w:after="0"/>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Bogart Holdings Ltd</w:t>
            </w:r>
          </w:p>
        </w:tc>
        <w:tc>
          <w:tcPr>
            <w:tcW w:w="3700" w:type="dxa"/>
            <w:vAlign w:val="bottom"/>
          </w:tcPr>
          <w:p>
            <w:pPr>
              <w:ind w:left="1020"/>
              <w:spacing w:after="0"/>
              <w:rPr>
                <w:sz w:val="20"/>
                <w:szCs w:val="20"/>
                <w:color w:val="auto"/>
              </w:rPr>
            </w:pPr>
            <w:r>
              <w:rPr>
                <w:rFonts w:ascii="Arial" w:cs="Arial" w:eastAsia="Arial" w:hAnsi="Arial"/>
                <w:sz w:val="16"/>
                <w:szCs w:val="16"/>
                <w:color w:val="auto"/>
              </w:rPr>
              <w:t>New Zealand</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Burwood Developments Pty Ltd</w:t>
            </w:r>
          </w:p>
        </w:tc>
        <w:tc>
          <w:tcPr>
            <w:tcW w:w="3700" w:type="dxa"/>
            <w:vAlign w:val="bottom"/>
          </w:tcPr>
          <w:p>
            <w:pPr>
              <w:ind w:left="1020"/>
              <w:spacing w:after="0"/>
              <w:rPr>
                <w:sz w:val="20"/>
                <w:szCs w:val="20"/>
                <w:color w:val="auto"/>
              </w:rPr>
            </w:pPr>
            <w:r>
              <w:rPr>
                <w:rFonts w:ascii="Arial" w:cs="Arial" w:eastAsia="Arial" w:hAnsi="Arial"/>
                <w:sz w:val="16"/>
                <w:szCs w:val="16"/>
                <w:color w:val="auto"/>
              </w:rPr>
              <w:t>Australia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Carmel Theatres, LLC</w:t>
            </w:r>
          </w:p>
        </w:tc>
        <w:tc>
          <w:tcPr>
            <w:tcW w:w="3700" w:type="dxa"/>
            <w:vAlign w:val="bottom"/>
          </w:tcPr>
          <w:p>
            <w:pPr>
              <w:ind w:left="1020"/>
              <w:spacing w:after="0"/>
              <w:rPr>
                <w:sz w:val="20"/>
                <w:szCs w:val="20"/>
                <w:color w:val="auto"/>
              </w:rPr>
            </w:pPr>
            <w:r>
              <w:rPr>
                <w:rFonts w:ascii="Arial" w:cs="Arial" w:eastAsia="Arial" w:hAnsi="Arial"/>
                <w:sz w:val="16"/>
                <w:szCs w:val="16"/>
                <w:color w:val="auto"/>
              </w:rPr>
              <w:t>Nevada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Citadel Agriculture, Inc.</w:t>
            </w:r>
          </w:p>
        </w:tc>
        <w:tc>
          <w:tcPr>
            <w:tcW w:w="3700" w:type="dxa"/>
            <w:vAlign w:val="bottom"/>
          </w:tcPr>
          <w:p>
            <w:pPr>
              <w:ind w:left="1020"/>
              <w:spacing w:after="0"/>
              <w:rPr>
                <w:sz w:val="20"/>
                <w:szCs w:val="20"/>
                <w:color w:val="auto"/>
              </w:rPr>
            </w:pPr>
            <w:r>
              <w:rPr>
                <w:rFonts w:ascii="Arial" w:cs="Arial" w:eastAsia="Arial" w:hAnsi="Arial"/>
                <w:sz w:val="16"/>
                <w:szCs w:val="16"/>
                <w:color w:val="auto"/>
              </w:rPr>
              <w:t>California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Citadel Cinemas, Inc.</w:t>
            </w:r>
          </w:p>
        </w:tc>
        <w:tc>
          <w:tcPr>
            <w:tcW w:w="3700" w:type="dxa"/>
            <w:vAlign w:val="bottom"/>
          </w:tcPr>
          <w:p>
            <w:pPr>
              <w:ind w:left="1020"/>
              <w:spacing w:after="0"/>
              <w:rPr>
                <w:sz w:val="20"/>
                <w:szCs w:val="20"/>
                <w:color w:val="auto"/>
              </w:rPr>
            </w:pPr>
            <w:r>
              <w:rPr>
                <w:rFonts w:ascii="Arial" w:cs="Arial" w:eastAsia="Arial" w:hAnsi="Arial"/>
                <w:sz w:val="16"/>
                <w:szCs w:val="16"/>
                <w:color w:val="auto"/>
              </w:rPr>
              <w:t>Nevada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Citadel Realty, Inc.</w:t>
            </w:r>
          </w:p>
        </w:tc>
        <w:tc>
          <w:tcPr>
            <w:tcW w:w="3700" w:type="dxa"/>
            <w:vAlign w:val="bottom"/>
          </w:tcPr>
          <w:p>
            <w:pPr>
              <w:ind w:left="1020"/>
              <w:spacing w:after="0"/>
              <w:rPr>
                <w:sz w:val="20"/>
                <w:szCs w:val="20"/>
                <w:color w:val="auto"/>
              </w:rPr>
            </w:pPr>
            <w:r>
              <w:rPr>
                <w:rFonts w:ascii="Arial" w:cs="Arial" w:eastAsia="Arial" w:hAnsi="Arial"/>
                <w:sz w:val="16"/>
                <w:szCs w:val="16"/>
                <w:color w:val="auto"/>
              </w:rPr>
              <w:t>Nevada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City Cinemas, LLC</w:t>
            </w:r>
          </w:p>
        </w:tc>
        <w:tc>
          <w:tcPr>
            <w:tcW w:w="3700" w:type="dxa"/>
            <w:vAlign w:val="bottom"/>
          </w:tcPr>
          <w:p>
            <w:pPr>
              <w:ind w:left="1020"/>
              <w:spacing w:after="0"/>
              <w:rPr>
                <w:sz w:val="20"/>
                <w:szCs w:val="20"/>
                <w:color w:val="auto"/>
              </w:rPr>
            </w:pPr>
            <w:r>
              <w:rPr>
                <w:rFonts w:ascii="Arial" w:cs="Arial" w:eastAsia="Arial" w:hAnsi="Arial"/>
                <w:sz w:val="16"/>
                <w:szCs w:val="16"/>
                <w:color w:val="auto"/>
              </w:rPr>
              <w:t>Nevada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Consolidated Amusement Holdings, LLC</w:t>
            </w:r>
          </w:p>
        </w:tc>
        <w:tc>
          <w:tcPr>
            <w:tcW w:w="3700" w:type="dxa"/>
            <w:vAlign w:val="bottom"/>
          </w:tcPr>
          <w:p>
            <w:pPr>
              <w:ind w:left="1020"/>
              <w:spacing w:after="0"/>
              <w:rPr>
                <w:sz w:val="20"/>
                <w:szCs w:val="20"/>
                <w:color w:val="auto"/>
              </w:rPr>
            </w:pPr>
            <w:r>
              <w:rPr>
                <w:rFonts w:ascii="Arial" w:cs="Arial" w:eastAsia="Arial" w:hAnsi="Arial"/>
                <w:sz w:val="16"/>
                <w:szCs w:val="16"/>
                <w:color w:val="auto"/>
              </w:rPr>
              <w:t>Nevada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Consolidated Cinema Services, LLC</w:t>
            </w:r>
          </w:p>
        </w:tc>
        <w:tc>
          <w:tcPr>
            <w:tcW w:w="3700" w:type="dxa"/>
            <w:vAlign w:val="bottom"/>
          </w:tcPr>
          <w:p>
            <w:pPr>
              <w:ind w:left="1020"/>
              <w:spacing w:after="0"/>
              <w:rPr>
                <w:sz w:val="20"/>
                <w:szCs w:val="20"/>
                <w:color w:val="auto"/>
              </w:rPr>
            </w:pPr>
            <w:r>
              <w:rPr>
                <w:rFonts w:ascii="Arial" w:cs="Arial" w:eastAsia="Arial" w:hAnsi="Arial"/>
                <w:sz w:val="16"/>
                <w:szCs w:val="16"/>
                <w:color w:val="auto"/>
              </w:rPr>
              <w:t>Nevada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Consolidated Cinemas Kapolei, LLC</w:t>
            </w:r>
          </w:p>
        </w:tc>
        <w:tc>
          <w:tcPr>
            <w:tcW w:w="3700" w:type="dxa"/>
            <w:vAlign w:val="bottom"/>
          </w:tcPr>
          <w:p>
            <w:pPr>
              <w:ind w:left="1020"/>
              <w:spacing w:after="0"/>
              <w:rPr>
                <w:sz w:val="20"/>
                <w:szCs w:val="20"/>
                <w:color w:val="auto"/>
              </w:rPr>
            </w:pPr>
            <w:r>
              <w:rPr>
                <w:rFonts w:ascii="Arial" w:cs="Arial" w:eastAsia="Arial" w:hAnsi="Arial"/>
                <w:sz w:val="16"/>
                <w:szCs w:val="16"/>
                <w:color w:val="auto"/>
              </w:rPr>
              <w:t>Nevada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Consolidated Entertainment, LLC</w:t>
            </w:r>
          </w:p>
        </w:tc>
        <w:tc>
          <w:tcPr>
            <w:tcW w:w="3700" w:type="dxa"/>
            <w:vAlign w:val="bottom"/>
          </w:tcPr>
          <w:p>
            <w:pPr>
              <w:ind w:left="1020"/>
              <w:spacing w:after="0"/>
              <w:rPr>
                <w:sz w:val="20"/>
                <w:szCs w:val="20"/>
                <w:color w:val="auto"/>
              </w:rPr>
            </w:pPr>
            <w:r>
              <w:rPr>
                <w:rFonts w:ascii="Arial" w:cs="Arial" w:eastAsia="Arial" w:hAnsi="Arial"/>
                <w:sz w:val="16"/>
                <w:szCs w:val="16"/>
                <w:color w:val="auto"/>
              </w:rPr>
              <w:t>Nevada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Consolidated Entertainment, Inc.</w:t>
            </w:r>
          </w:p>
        </w:tc>
        <w:tc>
          <w:tcPr>
            <w:tcW w:w="3700" w:type="dxa"/>
            <w:vAlign w:val="bottom"/>
          </w:tcPr>
          <w:p>
            <w:pPr>
              <w:ind w:left="1020"/>
              <w:spacing w:after="0"/>
              <w:rPr>
                <w:sz w:val="20"/>
                <w:szCs w:val="20"/>
                <w:color w:val="auto"/>
              </w:rPr>
            </w:pPr>
            <w:r>
              <w:rPr>
                <w:rFonts w:ascii="Arial" w:cs="Arial" w:eastAsia="Arial" w:hAnsi="Arial"/>
                <w:sz w:val="16"/>
                <w:szCs w:val="16"/>
                <w:color w:val="auto"/>
              </w:rPr>
              <w:t>Nevada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Courtenay Car Park Ltd</w:t>
            </w:r>
          </w:p>
        </w:tc>
        <w:tc>
          <w:tcPr>
            <w:tcW w:w="3700" w:type="dxa"/>
            <w:vAlign w:val="bottom"/>
          </w:tcPr>
          <w:p>
            <w:pPr>
              <w:ind w:left="1020"/>
              <w:spacing w:after="0"/>
              <w:rPr>
                <w:sz w:val="20"/>
                <w:szCs w:val="20"/>
                <w:color w:val="auto"/>
              </w:rPr>
            </w:pPr>
            <w:r>
              <w:rPr>
                <w:rFonts w:ascii="Arial" w:cs="Arial" w:eastAsia="Arial" w:hAnsi="Arial"/>
                <w:sz w:val="16"/>
                <w:szCs w:val="16"/>
                <w:color w:val="auto"/>
              </w:rPr>
              <w:t>New Zealand</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Craig Corporation</w:t>
            </w:r>
          </w:p>
        </w:tc>
        <w:tc>
          <w:tcPr>
            <w:tcW w:w="3700" w:type="dxa"/>
            <w:vAlign w:val="bottom"/>
          </w:tcPr>
          <w:p>
            <w:pPr>
              <w:ind w:left="1020"/>
              <w:spacing w:after="0"/>
              <w:rPr>
                <w:sz w:val="20"/>
                <w:szCs w:val="20"/>
                <w:color w:val="auto"/>
              </w:rPr>
            </w:pPr>
            <w:r>
              <w:rPr>
                <w:rFonts w:ascii="Arial" w:cs="Arial" w:eastAsia="Arial" w:hAnsi="Arial"/>
                <w:sz w:val="16"/>
                <w:szCs w:val="16"/>
                <w:color w:val="auto"/>
              </w:rPr>
              <w:t>Nevada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Darnelle Enterprises Ltd</w:t>
            </w:r>
          </w:p>
        </w:tc>
        <w:tc>
          <w:tcPr>
            <w:tcW w:w="3700" w:type="dxa"/>
            <w:vAlign w:val="bottom"/>
          </w:tcPr>
          <w:p>
            <w:pPr>
              <w:ind w:left="1020"/>
              <w:spacing w:after="0"/>
              <w:rPr>
                <w:sz w:val="20"/>
                <w:szCs w:val="20"/>
                <w:color w:val="auto"/>
              </w:rPr>
            </w:pPr>
            <w:r>
              <w:rPr>
                <w:rFonts w:ascii="Arial" w:cs="Arial" w:eastAsia="Arial" w:hAnsi="Arial"/>
                <w:sz w:val="16"/>
                <w:szCs w:val="16"/>
                <w:color w:val="auto"/>
              </w:rPr>
              <w:t>New Zealand</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Dimension Specialty, Inc.</w:t>
            </w:r>
          </w:p>
        </w:tc>
        <w:tc>
          <w:tcPr>
            <w:tcW w:w="3700" w:type="dxa"/>
            <w:vAlign w:val="bottom"/>
          </w:tcPr>
          <w:p>
            <w:pPr>
              <w:ind w:left="1020"/>
              <w:spacing w:after="0"/>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Epping Cinemas Pty Ltd</w:t>
            </w:r>
          </w:p>
        </w:tc>
        <w:tc>
          <w:tcPr>
            <w:tcW w:w="3700" w:type="dxa"/>
            <w:vAlign w:val="bottom"/>
          </w:tcPr>
          <w:p>
            <w:pPr>
              <w:ind w:left="1020"/>
              <w:spacing w:after="0"/>
              <w:rPr>
                <w:sz w:val="20"/>
                <w:szCs w:val="20"/>
                <w:color w:val="auto"/>
              </w:rPr>
            </w:pPr>
            <w:r>
              <w:rPr>
                <w:rFonts w:ascii="Arial" w:cs="Arial" w:eastAsia="Arial" w:hAnsi="Arial"/>
                <w:sz w:val="16"/>
                <w:szCs w:val="16"/>
                <w:color w:val="auto"/>
              </w:rPr>
              <w:t>Australia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Gaslamp Theatres, LLC</w:t>
            </w:r>
          </w:p>
        </w:tc>
        <w:tc>
          <w:tcPr>
            <w:tcW w:w="3700" w:type="dxa"/>
            <w:vAlign w:val="bottom"/>
          </w:tcPr>
          <w:p>
            <w:pPr>
              <w:ind w:left="1020"/>
              <w:spacing w:after="0"/>
              <w:rPr>
                <w:sz w:val="20"/>
                <w:szCs w:val="20"/>
                <w:color w:val="auto"/>
              </w:rPr>
            </w:pPr>
            <w:r>
              <w:rPr>
                <w:rFonts w:ascii="Arial" w:cs="Arial" w:eastAsia="Arial" w:hAnsi="Arial"/>
                <w:sz w:val="16"/>
                <w:szCs w:val="16"/>
                <w:color w:val="auto"/>
              </w:rPr>
              <w:t>Nevada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Hope Street Hospitality, LLC</w:t>
            </w:r>
          </w:p>
        </w:tc>
        <w:tc>
          <w:tcPr>
            <w:tcW w:w="3700" w:type="dxa"/>
            <w:vAlign w:val="bottom"/>
          </w:tcPr>
          <w:p>
            <w:pPr>
              <w:ind w:left="1020"/>
              <w:spacing w:after="0"/>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Hotel Newmarket Pty Ltd</w:t>
            </w:r>
          </w:p>
        </w:tc>
        <w:tc>
          <w:tcPr>
            <w:tcW w:w="3700" w:type="dxa"/>
            <w:vAlign w:val="bottom"/>
          </w:tcPr>
          <w:p>
            <w:pPr>
              <w:ind w:left="1020"/>
              <w:spacing w:after="0"/>
              <w:rPr>
                <w:sz w:val="20"/>
                <w:szCs w:val="20"/>
                <w:color w:val="auto"/>
              </w:rPr>
            </w:pPr>
            <w:r>
              <w:rPr>
                <w:rFonts w:ascii="Arial" w:cs="Arial" w:eastAsia="Arial" w:hAnsi="Arial"/>
                <w:sz w:val="16"/>
                <w:szCs w:val="16"/>
                <w:color w:val="auto"/>
              </w:rPr>
              <w:t>Australia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Kaahumanu Cinemas, LLC</w:t>
            </w:r>
          </w:p>
        </w:tc>
        <w:tc>
          <w:tcPr>
            <w:tcW w:w="3700" w:type="dxa"/>
            <w:vAlign w:val="bottom"/>
          </w:tcPr>
          <w:p>
            <w:pPr>
              <w:ind w:left="1020"/>
              <w:spacing w:after="0"/>
              <w:rPr>
                <w:sz w:val="20"/>
                <w:szCs w:val="20"/>
                <w:color w:val="auto"/>
              </w:rPr>
            </w:pPr>
            <w:r>
              <w:rPr>
                <w:rFonts w:ascii="Arial" w:cs="Arial" w:eastAsia="Arial" w:hAnsi="Arial"/>
                <w:sz w:val="16"/>
                <w:szCs w:val="16"/>
                <w:color w:val="auto"/>
              </w:rPr>
              <w:t>Nevada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Kahala Cinema Company, LLC</w:t>
            </w:r>
          </w:p>
        </w:tc>
        <w:tc>
          <w:tcPr>
            <w:tcW w:w="3700" w:type="dxa"/>
            <w:vAlign w:val="bottom"/>
          </w:tcPr>
          <w:p>
            <w:pPr>
              <w:ind w:left="1020"/>
              <w:spacing w:after="0"/>
              <w:rPr>
                <w:sz w:val="20"/>
                <w:szCs w:val="20"/>
                <w:color w:val="auto"/>
              </w:rPr>
            </w:pPr>
            <w:r>
              <w:rPr>
                <w:rFonts w:ascii="Arial" w:cs="Arial" w:eastAsia="Arial" w:hAnsi="Arial"/>
                <w:sz w:val="16"/>
                <w:szCs w:val="16"/>
                <w:color w:val="auto"/>
              </w:rPr>
              <w:t>Nevada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KMA Cinemas, LLC</w:t>
            </w:r>
          </w:p>
        </w:tc>
        <w:tc>
          <w:tcPr>
            <w:tcW w:w="3700" w:type="dxa"/>
            <w:vAlign w:val="bottom"/>
          </w:tcPr>
          <w:p>
            <w:pPr>
              <w:ind w:left="1020"/>
              <w:spacing w:after="0"/>
              <w:rPr>
                <w:sz w:val="20"/>
                <w:szCs w:val="20"/>
                <w:color w:val="auto"/>
              </w:rPr>
            </w:pPr>
            <w:r>
              <w:rPr>
                <w:rFonts w:ascii="Arial" w:cs="Arial" w:eastAsia="Arial" w:hAnsi="Arial"/>
                <w:sz w:val="16"/>
                <w:szCs w:val="16"/>
                <w:color w:val="auto"/>
              </w:rPr>
              <w:t>Nevada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Landplan Property Partners Manukau Trust</w:t>
            </w:r>
          </w:p>
        </w:tc>
        <w:tc>
          <w:tcPr>
            <w:tcW w:w="3700" w:type="dxa"/>
            <w:vAlign w:val="bottom"/>
          </w:tcPr>
          <w:p>
            <w:pPr>
              <w:ind w:left="1020"/>
              <w:spacing w:after="0"/>
              <w:rPr>
                <w:sz w:val="20"/>
                <w:szCs w:val="20"/>
                <w:color w:val="auto"/>
              </w:rPr>
            </w:pPr>
            <w:r>
              <w:rPr>
                <w:rFonts w:ascii="Arial" w:cs="Arial" w:eastAsia="Arial" w:hAnsi="Arial"/>
                <w:sz w:val="16"/>
                <w:szCs w:val="16"/>
                <w:color w:val="auto"/>
              </w:rPr>
              <w:t>New Zealand</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Landplan Property Partners Discretionary Trust</w:t>
            </w:r>
          </w:p>
        </w:tc>
        <w:tc>
          <w:tcPr>
            <w:tcW w:w="3700" w:type="dxa"/>
            <w:vAlign w:val="bottom"/>
          </w:tcPr>
          <w:p>
            <w:pPr>
              <w:ind w:left="1020"/>
              <w:spacing w:after="0"/>
              <w:rPr>
                <w:sz w:val="20"/>
                <w:szCs w:val="20"/>
                <w:color w:val="auto"/>
              </w:rPr>
            </w:pPr>
            <w:r>
              <w:rPr>
                <w:rFonts w:ascii="Arial" w:cs="Arial" w:eastAsia="Arial" w:hAnsi="Arial"/>
                <w:sz w:val="16"/>
                <w:szCs w:val="16"/>
                <w:color w:val="auto"/>
              </w:rPr>
              <w:t>Australia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Liberty Live, LLC</w:t>
            </w:r>
          </w:p>
        </w:tc>
        <w:tc>
          <w:tcPr>
            <w:tcW w:w="3700" w:type="dxa"/>
            <w:vAlign w:val="bottom"/>
          </w:tcPr>
          <w:p>
            <w:pPr>
              <w:ind w:left="1020"/>
              <w:spacing w:after="0"/>
              <w:rPr>
                <w:sz w:val="20"/>
                <w:szCs w:val="20"/>
                <w:color w:val="auto"/>
              </w:rPr>
            </w:pPr>
            <w:r>
              <w:rPr>
                <w:rFonts w:ascii="Arial" w:cs="Arial" w:eastAsia="Arial" w:hAnsi="Arial"/>
                <w:sz w:val="16"/>
                <w:szCs w:val="16"/>
                <w:color w:val="auto"/>
              </w:rPr>
              <w:t>Nevada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Liberty Theaters, LLC</w:t>
            </w:r>
          </w:p>
        </w:tc>
        <w:tc>
          <w:tcPr>
            <w:tcW w:w="3700" w:type="dxa"/>
            <w:vAlign w:val="bottom"/>
          </w:tcPr>
          <w:p>
            <w:pPr>
              <w:ind w:left="1020"/>
              <w:spacing w:after="0"/>
              <w:rPr>
                <w:sz w:val="20"/>
                <w:szCs w:val="20"/>
                <w:color w:val="auto"/>
              </w:rPr>
            </w:pPr>
            <w:r>
              <w:rPr>
                <w:rFonts w:ascii="Arial" w:cs="Arial" w:eastAsia="Arial" w:hAnsi="Arial"/>
                <w:sz w:val="16"/>
                <w:szCs w:val="16"/>
                <w:color w:val="auto"/>
              </w:rPr>
              <w:t>Nevada</w:t>
            </w:r>
          </w:p>
        </w:tc>
        <w:tc>
          <w:tcPr>
            <w:tcW w:w="20" w:type="dxa"/>
            <w:vAlign w:val="bottom"/>
          </w:tcPr>
          <w:p>
            <w:pPr>
              <w:spacing w:after="0"/>
              <w:rPr>
                <w:sz w:val="18"/>
                <w:szCs w:val="18"/>
                <w:color w:val="auto"/>
              </w:rPr>
            </w:pPr>
          </w:p>
        </w:tc>
      </w:tr>
      <w:tr>
        <w:trPr>
          <w:trHeight w:val="217"/>
        </w:trPr>
        <w:tc>
          <w:tcPr>
            <w:tcW w:w="5500" w:type="dxa"/>
            <w:vAlign w:val="bottom"/>
          </w:tcPr>
          <w:p>
            <w:pPr>
              <w:ind w:left="100"/>
              <w:spacing w:after="0"/>
              <w:rPr>
                <w:sz w:val="20"/>
                <w:szCs w:val="20"/>
                <w:color w:val="auto"/>
              </w:rPr>
            </w:pPr>
            <w:r>
              <w:rPr>
                <w:rFonts w:ascii="Arial" w:cs="Arial" w:eastAsia="Arial" w:hAnsi="Arial"/>
                <w:sz w:val="16"/>
                <w:szCs w:val="16"/>
                <w:color w:val="auto"/>
              </w:rPr>
              <w:t>Liberty Theatricals, LLC</w:t>
            </w:r>
          </w:p>
        </w:tc>
        <w:tc>
          <w:tcPr>
            <w:tcW w:w="3700" w:type="dxa"/>
            <w:vAlign w:val="bottom"/>
          </w:tcPr>
          <w:p>
            <w:pPr>
              <w:ind w:left="1020"/>
              <w:spacing w:after="0"/>
              <w:rPr>
                <w:sz w:val="20"/>
                <w:szCs w:val="20"/>
                <w:color w:val="auto"/>
              </w:rPr>
            </w:pPr>
            <w:r>
              <w:rPr>
                <w:rFonts w:ascii="Arial" w:cs="Arial" w:eastAsia="Arial" w:hAnsi="Arial"/>
                <w:sz w:val="16"/>
                <w:szCs w:val="16"/>
                <w:color w:val="auto"/>
              </w:rPr>
              <w:t>Nevada</w:t>
            </w:r>
          </w:p>
        </w:tc>
        <w:tc>
          <w:tcPr>
            <w:tcW w:w="20" w:type="dxa"/>
            <w:vAlign w:val="bottom"/>
          </w:tcPr>
          <w:p>
            <w:pPr>
              <w:spacing w:after="0"/>
              <w:rPr>
                <w:sz w:val="18"/>
                <w:szCs w:val="18"/>
                <w:color w:val="auto"/>
              </w:rPr>
            </w:pPr>
          </w:p>
        </w:tc>
      </w:tr>
      <w:tr>
        <w:trPr>
          <w:trHeight w:val="182"/>
        </w:trPr>
        <w:tc>
          <w:tcPr>
            <w:tcW w:w="5500" w:type="dxa"/>
            <w:vAlign w:val="bottom"/>
            <w:tcBorders>
              <w:bottom w:val="single" w:sz="8" w:color="9A9A9A"/>
            </w:tcBorders>
          </w:tcPr>
          <w:p>
            <w:pPr>
              <w:spacing w:after="0"/>
              <w:rPr>
                <w:sz w:val="15"/>
                <w:szCs w:val="15"/>
                <w:color w:val="auto"/>
              </w:rPr>
            </w:pPr>
          </w:p>
        </w:tc>
        <w:tc>
          <w:tcPr>
            <w:tcW w:w="37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r>
      <w:tr>
        <w:trPr>
          <w:trHeight w:val="20"/>
        </w:trPr>
        <w:tc>
          <w:tcPr>
            <w:tcW w:w="5500" w:type="dxa"/>
            <w:vAlign w:val="bottom"/>
            <w:tcBorders>
              <w:bottom w:val="single" w:sz="8" w:color="EEEEEE"/>
            </w:tcBorders>
          </w:tcPr>
          <w:p>
            <w:pPr>
              <w:spacing w:after="0" w:line="20" w:lineRule="exact"/>
              <w:rPr>
                <w:sz w:val="1"/>
                <w:szCs w:val="1"/>
                <w:color w:val="auto"/>
              </w:rPr>
            </w:pPr>
          </w:p>
        </w:tc>
        <w:tc>
          <w:tcPr>
            <w:tcW w:w="37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-33020</wp:posOffset>
            </wp:positionV>
            <wp:extent cx="32385" cy="463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5">
                      <a:extLst>
                        <a:ext uri="{28A0092B-C50C-407E-A947-70E740481C1C}"/>
                      </a:extLst>
                    </a:blip>
                    <a:srcRect/>
                    <a:stretch>
                      <a:fillRect/>
                    </a:stretch>
                  </pic:blipFill>
                  <pic:spPr bwMode="auto">
                    <a:xfrm>
                      <a:off x="0" y="0"/>
                      <a:ext cx="32385" cy="463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-33020</wp:posOffset>
            </wp:positionV>
            <wp:extent cx="32385" cy="463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6">
                      <a:extLst>
                        <a:ext uri="{28A0092B-C50C-407E-A947-70E740481C1C}"/>
                      </a:extLst>
                    </a:blip>
                    <a:srcRect/>
                    <a:stretch>
                      <a:fillRect/>
                    </a:stretch>
                  </pic:blipFill>
                  <pic:spPr bwMode="auto">
                    <a:xfrm>
                      <a:off x="0" y="0"/>
                      <a:ext cx="32385" cy="46355"/>
                    </a:xfrm>
                    <a:prstGeom prst="rect">
                      <a:avLst/>
                    </a:prstGeom>
                    <a:noFill/>
                  </pic:spPr>
                </pic:pic>
              </a:graphicData>
            </a:graphic>
          </wp:anchor>
        </w:drawing>
      </w:r>
    </w:p>
    <w:p>
      <w:pPr>
        <w:sectPr>
          <w:pgSz w:w="11900" w:h="16838" w:orient="portrait"/>
          <w:cols w:equalWidth="0" w:num="1">
            <w:col w:w="9220"/>
          </w:cols>
          <w:pgMar w:left="1340" w:top="121" w:right="1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2"/>
        </w:trPr>
        <w:tc>
          <w:tcPr>
            <w:tcW w:w="6220" w:type="dxa"/>
            <w:vAlign w:val="bottom"/>
          </w:tcPr>
          <w:p>
            <w:pPr>
              <w:ind w:left="100"/>
              <w:spacing w:after="0"/>
              <w:rPr>
                <w:sz w:val="20"/>
                <w:szCs w:val="20"/>
                <w:color w:val="auto"/>
              </w:rPr>
            </w:pPr>
            <w:r>
              <w:rPr>
                <w:rFonts w:ascii="Arial" w:cs="Arial" w:eastAsia="Arial" w:hAnsi="Arial"/>
                <w:sz w:val="16"/>
                <w:szCs w:val="16"/>
                <w:color w:val="auto"/>
              </w:rPr>
              <w:t>Liberty Theatres Properties, LLC</w:t>
            </w:r>
          </w:p>
        </w:tc>
        <w:tc>
          <w:tcPr>
            <w:tcW w:w="3000" w:type="dxa"/>
            <w:vAlign w:val="bottom"/>
          </w:tcPr>
          <w:p>
            <w:pPr>
              <w:ind w:left="300"/>
              <w:spacing w:after="0"/>
              <w:rPr>
                <w:sz w:val="20"/>
                <w:szCs w:val="20"/>
                <w:color w:val="auto"/>
              </w:rPr>
            </w:pPr>
            <w:r>
              <w:rPr>
                <w:rFonts w:ascii="Arial" w:cs="Arial" w:eastAsia="Arial" w:hAnsi="Arial"/>
                <w:sz w:val="16"/>
                <w:szCs w:val="16"/>
                <w:color w:val="auto"/>
              </w:rPr>
              <w:t>Nevada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Minetta Live, LLC</w:t>
            </w:r>
          </w:p>
        </w:tc>
        <w:tc>
          <w:tcPr>
            <w:tcW w:w="3000" w:type="dxa"/>
            <w:vAlign w:val="bottom"/>
          </w:tcPr>
          <w:p>
            <w:pPr>
              <w:ind w:left="300"/>
              <w:spacing w:after="0"/>
              <w:rPr>
                <w:sz w:val="20"/>
                <w:szCs w:val="20"/>
                <w:color w:val="auto"/>
              </w:rPr>
            </w:pPr>
            <w:r>
              <w:rPr>
                <w:rFonts w:ascii="Arial" w:cs="Arial" w:eastAsia="Arial" w:hAnsi="Arial"/>
                <w:sz w:val="16"/>
                <w:szCs w:val="16"/>
                <w:color w:val="auto"/>
              </w:rPr>
              <w:t>Nevada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Movieland Cinemas (NZ) Ltd</w:t>
            </w:r>
          </w:p>
        </w:tc>
        <w:tc>
          <w:tcPr>
            <w:tcW w:w="3000" w:type="dxa"/>
            <w:vAlign w:val="bottom"/>
          </w:tcPr>
          <w:p>
            <w:pPr>
              <w:ind w:left="300"/>
              <w:spacing w:after="0"/>
              <w:rPr>
                <w:sz w:val="20"/>
                <w:szCs w:val="20"/>
                <w:color w:val="auto"/>
              </w:rPr>
            </w:pPr>
            <w:r>
              <w:rPr>
                <w:rFonts w:ascii="Arial" w:cs="Arial" w:eastAsia="Arial" w:hAnsi="Arial"/>
                <w:sz w:val="16"/>
                <w:szCs w:val="16"/>
                <w:color w:val="auto"/>
              </w:rPr>
              <w:t>New Zealand</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New Zealand Equipment Supply Limited</w:t>
            </w:r>
          </w:p>
        </w:tc>
        <w:tc>
          <w:tcPr>
            <w:tcW w:w="3000" w:type="dxa"/>
            <w:vAlign w:val="bottom"/>
          </w:tcPr>
          <w:p>
            <w:pPr>
              <w:ind w:left="300"/>
              <w:spacing w:after="0"/>
              <w:rPr>
                <w:sz w:val="20"/>
                <w:szCs w:val="20"/>
                <w:color w:val="auto"/>
              </w:rPr>
            </w:pPr>
            <w:r>
              <w:rPr>
                <w:rFonts w:ascii="Arial" w:cs="Arial" w:eastAsia="Arial" w:hAnsi="Arial"/>
                <w:sz w:val="16"/>
                <w:szCs w:val="16"/>
                <w:color w:val="auto"/>
              </w:rPr>
              <w:t>New Zealand</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Newmarket Properties #3 Pty Ltd</w:t>
            </w:r>
          </w:p>
        </w:tc>
        <w:tc>
          <w:tcPr>
            <w:tcW w:w="3000" w:type="dxa"/>
            <w:vAlign w:val="bottom"/>
          </w:tcPr>
          <w:p>
            <w:pPr>
              <w:ind w:left="300"/>
              <w:spacing w:after="0"/>
              <w:rPr>
                <w:sz w:val="20"/>
                <w:szCs w:val="20"/>
                <w:color w:val="auto"/>
              </w:rPr>
            </w:pPr>
            <w:r>
              <w:rPr>
                <w:rFonts w:ascii="Arial" w:cs="Arial" w:eastAsia="Arial" w:hAnsi="Arial"/>
                <w:sz w:val="16"/>
                <w:szCs w:val="16"/>
                <w:color w:val="auto"/>
              </w:rPr>
              <w:t>Australia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Newmarket Properties No. 2 Pty Ltd</w:t>
            </w:r>
          </w:p>
        </w:tc>
        <w:tc>
          <w:tcPr>
            <w:tcW w:w="3000" w:type="dxa"/>
            <w:vAlign w:val="bottom"/>
          </w:tcPr>
          <w:p>
            <w:pPr>
              <w:ind w:left="300"/>
              <w:spacing w:after="0"/>
              <w:rPr>
                <w:sz w:val="20"/>
                <w:szCs w:val="20"/>
                <w:color w:val="auto"/>
              </w:rPr>
            </w:pPr>
            <w:r>
              <w:rPr>
                <w:rFonts w:ascii="Arial" w:cs="Arial" w:eastAsia="Arial" w:hAnsi="Arial"/>
                <w:sz w:val="16"/>
                <w:szCs w:val="16"/>
                <w:color w:val="auto"/>
              </w:rPr>
              <w:t>Australia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Newmarket Properties Pty Ltd</w:t>
            </w:r>
          </w:p>
        </w:tc>
        <w:tc>
          <w:tcPr>
            <w:tcW w:w="3000" w:type="dxa"/>
            <w:vAlign w:val="bottom"/>
          </w:tcPr>
          <w:p>
            <w:pPr>
              <w:ind w:left="300"/>
              <w:spacing w:after="0"/>
              <w:rPr>
                <w:sz w:val="20"/>
                <w:szCs w:val="20"/>
                <w:color w:val="auto"/>
              </w:rPr>
            </w:pPr>
            <w:r>
              <w:rPr>
                <w:rFonts w:ascii="Arial" w:cs="Arial" w:eastAsia="Arial" w:hAnsi="Arial"/>
                <w:sz w:val="16"/>
                <w:szCs w:val="16"/>
                <w:color w:val="auto"/>
              </w:rPr>
              <w:t>Australia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Orpheum Live, LLC</w:t>
            </w:r>
          </w:p>
        </w:tc>
        <w:tc>
          <w:tcPr>
            <w:tcW w:w="3000" w:type="dxa"/>
            <w:vAlign w:val="bottom"/>
          </w:tcPr>
          <w:p>
            <w:pPr>
              <w:ind w:left="300"/>
              <w:spacing w:after="0"/>
              <w:rPr>
                <w:sz w:val="20"/>
                <w:szCs w:val="20"/>
                <w:color w:val="auto"/>
              </w:rPr>
            </w:pPr>
            <w:r>
              <w:rPr>
                <w:rFonts w:ascii="Arial" w:cs="Arial" w:eastAsia="Arial" w:hAnsi="Arial"/>
                <w:sz w:val="16"/>
                <w:szCs w:val="16"/>
                <w:color w:val="auto"/>
              </w:rPr>
              <w:t>Nevada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Queenstown Land Holdings Ltd</w:t>
            </w:r>
          </w:p>
        </w:tc>
        <w:tc>
          <w:tcPr>
            <w:tcW w:w="3000" w:type="dxa"/>
            <w:vAlign w:val="bottom"/>
          </w:tcPr>
          <w:p>
            <w:pPr>
              <w:ind w:left="300"/>
              <w:spacing w:after="0"/>
              <w:rPr>
                <w:sz w:val="20"/>
                <w:szCs w:val="20"/>
                <w:color w:val="auto"/>
              </w:rPr>
            </w:pPr>
            <w:r>
              <w:rPr>
                <w:rFonts w:ascii="Arial" w:cs="Arial" w:eastAsia="Arial" w:hAnsi="Arial"/>
                <w:sz w:val="16"/>
                <w:szCs w:val="16"/>
                <w:color w:val="auto"/>
              </w:rPr>
              <w:t>New Zealand</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RCPA LLC (fka Reading Company)</w:t>
            </w:r>
          </w:p>
        </w:tc>
        <w:tc>
          <w:tcPr>
            <w:tcW w:w="3000" w:type="dxa"/>
            <w:vAlign w:val="bottom"/>
          </w:tcPr>
          <w:p>
            <w:pPr>
              <w:ind w:left="300"/>
              <w:spacing w:after="0"/>
              <w:rPr>
                <w:sz w:val="20"/>
                <w:szCs w:val="20"/>
                <w:color w:val="auto"/>
              </w:rPr>
            </w:pPr>
            <w:r>
              <w:rPr>
                <w:rFonts w:ascii="Arial" w:cs="Arial" w:eastAsia="Arial" w:hAnsi="Arial"/>
                <w:sz w:val="16"/>
                <w:szCs w:val="16"/>
                <w:color w:val="auto"/>
              </w:rPr>
              <w:t>Pennsylvania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RDI Employee Investment Fund LLC</w:t>
            </w:r>
          </w:p>
        </w:tc>
        <w:tc>
          <w:tcPr>
            <w:tcW w:w="3000" w:type="dxa"/>
            <w:vAlign w:val="bottom"/>
          </w:tcPr>
          <w:p>
            <w:pPr>
              <w:ind w:left="300"/>
              <w:spacing w:after="0"/>
              <w:rPr>
                <w:sz w:val="20"/>
                <w:szCs w:val="20"/>
                <w:color w:val="auto"/>
              </w:rPr>
            </w:pPr>
            <w:r>
              <w:rPr>
                <w:rFonts w:ascii="Arial" w:cs="Arial" w:eastAsia="Arial" w:hAnsi="Arial"/>
                <w:sz w:val="16"/>
                <w:szCs w:val="16"/>
                <w:color w:val="auto"/>
              </w:rPr>
              <w:t>California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Arthouse Ltd</w:t>
            </w:r>
          </w:p>
        </w:tc>
        <w:tc>
          <w:tcPr>
            <w:tcW w:w="3000" w:type="dxa"/>
            <w:vAlign w:val="bottom"/>
          </w:tcPr>
          <w:p>
            <w:pPr>
              <w:ind w:left="300"/>
              <w:spacing w:after="0"/>
              <w:rPr>
                <w:sz w:val="20"/>
                <w:szCs w:val="20"/>
                <w:color w:val="auto"/>
              </w:rPr>
            </w:pPr>
            <w:r>
              <w:rPr>
                <w:rFonts w:ascii="Arial" w:cs="Arial" w:eastAsia="Arial" w:hAnsi="Arial"/>
                <w:sz w:val="16"/>
                <w:szCs w:val="16"/>
                <w:color w:val="auto"/>
              </w:rPr>
              <w:t>Australia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Altona Pty Limited</w:t>
            </w:r>
          </w:p>
        </w:tc>
        <w:tc>
          <w:tcPr>
            <w:tcW w:w="3000" w:type="dxa"/>
            <w:vAlign w:val="bottom"/>
          </w:tcPr>
          <w:p>
            <w:pPr>
              <w:ind w:left="300"/>
              <w:spacing w:after="0"/>
              <w:rPr>
                <w:sz w:val="20"/>
                <w:szCs w:val="20"/>
                <w:color w:val="auto"/>
              </w:rPr>
            </w:pPr>
            <w:r>
              <w:rPr>
                <w:rFonts w:ascii="Arial" w:cs="Arial" w:eastAsia="Arial" w:hAnsi="Arial"/>
                <w:sz w:val="16"/>
                <w:szCs w:val="16"/>
                <w:color w:val="auto"/>
              </w:rPr>
              <w:t>Australia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Auburn Pty Ltd</w:t>
            </w:r>
          </w:p>
        </w:tc>
        <w:tc>
          <w:tcPr>
            <w:tcW w:w="3000" w:type="dxa"/>
            <w:vAlign w:val="bottom"/>
          </w:tcPr>
          <w:p>
            <w:pPr>
              <w:ind w:left="300"/>
              <w:spacing w:after="0"/>
              <w:rPr>
                <w:sz w:val="20"/>
                <w:szCs w:val="20"/>
                <w:color w:val="auto"/>
              </w:rPr>
            </w:pPr>
            <w:r>
              <w:rPr>
                <w:rFonts w:ascii="Arial" w:cs="Arial" w:eastAsia="Arial" w:hAnsi="Arial"/>
                <w:sz w:val="16"/>
                <w:szCs w:val="16"/>
                <w:color w:val="auto"/>
              </w:rPr>
              <w:t>Australia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Australia Leasing (E&amp;R) Pty Ltd</w:t>
            </w:r>
          </w:p>
        </w:tc>
        <w:tc>
          <w:tcPr>
            <w:tcW w:w="3000" w:type="dxa"/>
            <w:vAlign w:val="bottom"/>
          </w:tcPr>
          <w:p>
            <w:pPr>
              <w:ind w:left="300"/>
              <w:spacing w:after="0"/>
              <w:rPr>
                <w:sz w:val="20"/>
                <w:szCs w:val="20"/>
                <w:color w:val="auto"/>
              </w:rPr>
            </w:pPr>
            <w:r>
              <w:rPr>
                <w:rFonts w:ascii="Arial" w:cs="Arial" w:eastAsia="Arial" w:hAnsi="Arial"/>
                <w:sz w:val="16"/>
                <w:szCs w:val="16"/>
                <w:color w:val="auto"/>
              </w:rPr>
              <w:t>Australia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Belmont Pty Ltd</w:t>
            </w:r>
          </w:p>
        </w:tc>
        <w:tc>
          <w:tcPr>
            <w:tcW w:w="3000" w:type="dxa"/>
            <w:vAlign w:val="bottom"/>
          </w:tcPr>
          <w:p>
            <w:pPr>
              <w:ind w:left="300"/>
              <w:spacing w:after="0"/>
              <w:rPr>
                <w:sz w:val="20"/>
                <w:szCs w:val="20"/>
                <w:color w:val="auto"/>
              </w:rPr>
            </w:pPr>
            <w:r>
              <w:rPr>
                <w:rFonts w:ascii="Arial" w:cs="Arial" w:eastAsia="Arial" w:hAnsi="Arial"/>
                <w:sz w:val="16"/>
                <w:szCs w:val="16"/>
                <w:color w:val="auto"/>
              </w:rPr>
              <w:t>Australia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Beverages (California) LLC</w:t>
            </w:r>
          </w:p>
        </w:tc>
        <w:tc>
          <w:tcPr>
            <w:tcW w:w="3000" w:type="dxa"/>
            <w:vAlign w:val="bottom"/>
          </w:tcPr>
          <w:p>
            <w:pPr>
              <w:ind w:left="300"/>
              <w:spacing w:after="0"/>
              <w:rPr>
                <w:sz w:val="20"/>
                <w:szCs w:val="20"/>
                <w:color w:val="auto"/>
              </w:rPr>
            </w:pPr>
            <w:r>
              <w:rPr>
                <w:rFonts w:ascii="Arial" w:cs="Arial" w:eastAsia="Arial" w:hAnsi="Arial"/>
                <w:sz w:val="16"/>
                <w:szCs w:val="16"/>
                <w:color w:val="auto"/>
              </w:rPr>
              <w:t>Nevada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Bundaberg 2012 Pty Ltd</w:t>
            </w:r>
          </w:p>
        </w:tc>
        <w:tc>
          <w:tcPr>
            <w:tcW w:w="3000" w:type="dxa"/>
            <w:vAlign w:val="bottom"/>
          </w:tcPr>
          <w:p>
            <w:pPr>
              <w:ind w:left="300"/>
              <w:spacing w:after="0"/>
              <w:rPr>
                <w:sz w:val="20"/>
                <w:szCs w:val="20"/>
                <w:color w:val="auto"/>
              </w:rPr>
            </w:pPr>
            <w:r>
              <w:rPr>
                <w:rFonts w:ascii="Arial" w:cs="Arial" w:eastAsia="Arial" w:hAnsi="Arial"/>
                <w:sz w:val="16"/>
                <w:szCs w:val="16"/>
                <w:color w:val="auto"/>
              </w:rPr>
              <w:t>Australia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Burwood Pty Ltd</w:t>
            </w:r>
          </w:p>
        </w:tc>
        <w:tc>
          <w:tcPr>
            <w:tcW w:w="3000" w:type="dxa"/>
            <w:vAlign w:val="bottom"/>
          </w:tcPr>
          <w:p>
            <w:pPr>
              <w:ind w:left="300"/>
              <w:spacing w:after="0"/>
              <w:rPr>
                <w:sz w:val="20"/>
                <w:szCs w:val="20"/>
                <w:color w:val="auto"/>
              </w:rPr>
            </w:pPr>
            <w:r>
              <w:rPr>
                <w:rFonts w:ascii="Arial" w:cs="Arial" w:eastAsia="Arial" w:hAnsi="Arial"/>
                <w:sz w:val="16"/>
                <w:szCs w:val="16"/>
                <w:color w:val="auto"/>
              </w:rPr>
              <w:t>Australia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Busselton Pty Ltd (fka A.C.N 143 633 096 Pty Ltd)</w:t>
            </w:r>
          </w:p>
        </w:tc>
        <w:tc>
          <w:tcPr>
            <w:tcW w:w="3000" w:type="dxa"/>
            <w:vAlign w:val="bottom"/>
          </w:tcPr>
          <w:p>
            <w:pPr>
              <w:ind w:left="300"/>
              <w:spacing w:after="0"/>
              <w:rPr>
                <w:sz w:val="20"/>
                <w:szCs w:val="20"/>
                <w:color w:val="auto"/>
              </w:rPr>
            </w:pPr>
            <w:r>
              <w:rPr>
                <w:rFonts w:ascii="Arial" w:cs="Arial" w:eastAsia="Arial" w:hAnsi="Arial"/>
                <w:sz w:val="16"/>
                <w:szCs w:val="16"/>
                <w:color w:val="auto"/>
              </w:rPr>
              <w:t>Australia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Cannon Park Pty Ltd</w:t>
            </w:r>
          </w:p>
        </w:tc>
        <w:tc>
          <w:tcPr>
            <w:tcW w:w="3000" w:type="dxa"/>
            <w:vAlign w:val="bottom"/>
          </w:tcPr>
          <w:p>
            <w:pPr>
              <w:ind w:left="300"/>
              <w:spacing w:after="0"/>
              <w:rPr>
                <w:sz w:val="20"/>
                <w:szCs w:val="20"/>
                <w:color w:val="auto"/>
              </w:rPr>
            </w:pPr>
            <w:r>
              <w:rPr>
                <w:rFonts w:ascii="Arial" w:cs="Arial" w:eastAsia="Arial" w:hAnsi="Arial"/>
                <w:sz w:val="16"/>
                <w:szCs w:val="16"/>
                <w:color w:val="auto"/>
              </w:rPr>
              <w:t>Australia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Capital Corporation</w:t>
            </w:r>
          </w:p>
        </w:tc>
        <w:tc>
          <w:tcPr>
            <w:tcW w:w="3000" w:type="dxa"/>
            <w:vAlign w:val="bottom"/>
          </w:tcPr>
          <w:p>
            <w:pPr>
              <w:ind w:left="300"/>
              <w:spacing w:after="0"/>
              <w:rPr>
                <w:sz w:val="20"/>
                <w:szCs w:val="20"/>
                <w:color w:val="auto"/>
              </w:rPr>
            </w:pPr>
            <w:r>
              <w:rPr>
                <w:rFonts w:ascii="Arial" w:cs="Arial" w:eastAsia="Arial" w:hAnsi="Arial"/>
                <w:sz w:val="16"/>
                <w:szCs w:val="16"/>
                <w:color w:val="auto"/>
              </w:rPr>
              <w:t>Delaware</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Center Development Corporation</w:t>
            </w:r>
          </w:p>
        </w:tc>
        <w:tc>
          <w:tcPr>
            <w:tcW w:w="3000" w:type="dxa"/>
            <w:vAlign w:val="bottom"/>
          </w:tcPr>
          <w:p>
            <w:pPr>
              <w:ind w:left="300"/>
              <w:spacing w:after="0"/>
              <w:rPr>
                <w:sz w:val="20"/>
                <w:szCs w:val="20"/>
                <w:color w:val="auto"/>
              </w:rPr>
            </w:pPr>
            <w:r>
              <w:rPr>
                <w:rFonts w:ascii="Arial" w:cs="Arial" w:eastAsia="Arial" w:hAnsi="Arial"/>
                <w:sz w:val="16"/>
                <w:szCs w:val="16"/>
                <w:color w:val="auto"/>
              </w:rPr>
              <w:t>Pennsylvania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Charlestown Pty Ltd</w:t>
            </w:r>
          </w:p>
        </w:tc>
        <w:tc>
          <w:tcPr>
            <w:tcW w:w="3000" w:type="dxa"/>
            <w:vAlign w:val="bottom"/>
          </w:tcPr>
          <w:p>
            <w:pPr>
              <w:ind w:left="300"/>
              <w:spacing w:after="0"/>
              <w:rPr>
                <w:sz w:val="20"/>
                <w:szCs w:val="20"/>
                <w:color w:val="auto"/>
              </w:rPr>
            </w:pPr>
            <w:r>
              <w:rPr>
                <w:rFonts w:ascii="Arial" w:cs="Arial" w:eastAsia="Arial" w:hAnsi="Arial"/>
                <w:sz w:val="16"/>
                <w:szCs w:val="16"/>
                <w:color w:val="auto"/>
              </w:rPr>
              <w:t>Australia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Cinemas Auburn Pty Ltd (fka Reading Alphington Pty Ltd)</w:t>
            </w:r>
          </w:p>
        </w:tc>
        <w:tc>
          <w:tcPr>
            <w:tcW w:w="3000" w:type="dxa"/>
            <w:vAlign w:val="bottom"/>
          </w:tcPr>
          <w:p>
            <w:pPr>
              <w:ind w:left="300"/>
              <w:spacing w:after="0"/>
              <w:rPr>
                <w:sz w:val="20"/>
                <w:szCs w:val="20"/>
                <w:color w:val="auto"/>
              </w:rPr>
            </w:pPr>
            <w:r>
              <w:rPr>
                <w:rFonts w:ascii="Arial" w:cs="Arial" w:eastAsia="Arial" w:hAnsi="Arial"/>
                <w:sz w:val="16"/>
                <w:szCs w:val="16"/>
                <w:color w:val="auto"/>
              </w:rPr>
              <w:t>Australia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Cinemas Courtenay Central Ltd</w:t>
            </w:r>
          </w:p>
        </w:tc>
        <w:tc>
          <w:tcPr>
            <w:tcW w:w="3000" w:type="dxa"/>
            <w:vAlign w:val="bottom"/>
          </w:tcPr>
          <w:p>
            <w:pPr>
              <w:ind w:left="300"/>
              <w:spacing w:after="0"/>
              <w:rPr>
                <w:sz w:val="20"/>
                <w:szCs w:val="20"/>
                <w:color w:val="auto"/>
              </w:rPr>
            </w:pPr>
            <w:r>
              <w:rPr>
                <w:rFonts w:ascii="Arial" w:cs="Arial" w:eastAsia="Arial" w:hAnsi="Arial"/>
                <w:sz w:val="16"/>
                <w:szCs w:val="16"/>
                <w:color w:val="auto"/>
              </w:rPr>
              <w:t>New Zealand</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Cinemas Management Pty Ltd</w:t>
            </w:r>
          </w:p>
        </w:tc>
        <w:tc>
          <w:tcPr>
            <w:tcW w:w="3000" w:type="dxa"/>
            <w:vAlign w:val="bottom"/>
          </w:tcPr>
          <w:p>
            <w:pPr>
              <w:ind w:left="300"/>
              <w:spacing w:after="0"/>
              <w:rPr>
                <w:sz w:val="20"/>
                <w:szCs w:val="20"/>
                <w:color w:val="auto"/>
              </w:rPr>
            </w:pPr>
            <w:r>
              <w:rPr>
                <w:rFonts w:ascii="Arial" w:cs="Arial" w:eastAsia="Arial" w:hAnsi="Arial"/>
                <w:sz w:val="16"/>
                <w:szCs w:val="16"/>
                <w:color w:val="auto"/>
              </w:rPr>
              <w:t>Australia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Cinemas New Zealand Trust (fka - Landplan Property Partners Taupo Trust)</w:t>
            </w:r>
          </w:p>
        </w:tc>
        <w:tc>
          <w:tcPr>
            <w:tcW w:w="3000" w:type="dxa"/>
            <w:vAlign w:val="bottom"/>
          </w:tcPr>
          <w:p>
            <w:pPr>
              <w:ind w:left="300"/>
              <w:spacing w:after="0"/>
              <w:rPr>
                <w:sz w:val="20"/>
                <w:szCs w:val="20"/>
                <w:color w:val="auto"/>
              </w:rPr>
            </w:pPr>
            <w:r>
              <w:rPr>
                <w:rFonts w:ascii="Arial" w:cs="Arial" w:eastAsia="Arial" w:hAnsi="Arial"/>
                <w:sz w:val="16"/>
                <w:szCs w:val="16"/>
                <w:color w:val="auto"/>
              </w:rPr>
              <w:t>New Zealand</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w w:val="94"/>
              </w:rPr>
              <w:t>Reading Cinemas New Zealand Trustee Limited (fka - Reading Properties Lake Taupo Ltd)</w:t>
            </w:r>
          </w:p>
        </w:tc>
        <w:tc>
          <w:tcPr>
            <w:tcW w:w="3000" w:type="dxa"/>
            <w:vAlign w:val="bottom"/>
          </w:tcPr>
          <w:p>
            <w:pPr>
              <w:ind w:left="300"/>
              <w:spacing w:after="0"/>
              <w:rPr>
                <w:sz w:val="20"/>
                <w:szCs w:val="20"/>
                <w:color w:val="auto"/>
              </w:rPr>
            </w:pPr>
            <w:r>
              <w:rPr>
                <w:rFonts w:ascii="Arial" w:cs="Arial" w:eastAsia="Arial" w:hAnsi="Arial"/>
                <w:sz w:val="16"/>
                <w:szCs w:val="16"/>
                <w:color w:val="auto"/>
              </w:rPr>
              <w:t>New Zealand</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Cinemas NJ, Inc.</w:t>
            </w:r>
          </w:p>
        </w:tc>
        <w:tc>
          <w:tcPr>
            <w:tcW w:w="3000" w:type="dxa"/>
            <w:vAlign w:val="bottom"/>
          </w:tcPr>
          <w:p>
            <w:pPr>
              <w:ind w:left="300"/>
              <w:spacing w:after="0"/>
              <w:rPr>
                <w:sz w:val="20"/>
                <w:szCs w:val="20"/>
                <w:color w:val="auto"/>
              </w:rPr>
            </w:pPr>
            <w:r>
              <w:rPr>
                <w:rFonts w:ascii="Arial" w:cs="Arial" w:eastAsia="Arial" w:hAnsi="Arial"/>
                <w:sz w:val="16"/>
                <w:szCs w:val="16"/>
                <w:color w:val="auto"/>
              </w:rPr>
              <w:t>Delaware</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Cinemas Pty Ltd</w:t>
            </w:r>
          </w:p>
        </w:tc>
        <w:tc>
          <w:tcPr>
            <w:tcW w:w="3000" w:type="dxa"/>
            <w:vAlign w:val="bottom"/>
          </w:tcPr>
          <w:p>
            <w:pPr>
              <w:ind w:left="300"/>
              <w:spacing w:after="0"/>
              <w:rPr>
                <w:sz w:val="20"/>
                <w:szCs w:val="20"/>
                <w:color w:val="auto"/>
              </w:rPr>
            </w:pPr>
            <w:r>
              <w:rPr>
                <w:rFonts w:ascii="Arial" w:cs="Arial" w:eastAsia="Arial" w:hAnsi="Arial"/>
                <w:sz w:val="16"/>
                <w:szCs w:val="16"/>
                <w:color w:val="auto"/>
              </w:rPr>
              <w:t>Australia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Cinemas Puerto Rico LLC</w:t>
            </w:r>
          </w:p>
        </w:tc>
        <w:tc>
          <w:tcPr>
            <w:tcW w:w="3000" w:type="dxa"/>
            <w:vAlign w:val="bottom"/>
          </w:tcPr>
          <w:p>
            <w:pPr>
              <w:ind w:left="300"/>
              <w:spacing w:after="0"/>
              <w:rPr>
                <w:sz w:val="20"/>
                <w:szCs w:val="20"/>
                <w:color w:val="auto"/>
              </w:rPr>
            </w:pPr>
            <w:r>
              <w:rPr>
                <w:rFonts w:ascii="Arial" w:cs="Arial" w:eastAsia="Arial" w:hAnsi="Arial"/>
                <w:sz w:val="16"/>
                <w:szCs w:val="16"/>
                <w:color w:val="auto"/>
              </w:rPr>
              <w:t>Nevada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Cinemas USA LLC</w:t>
            </w:r>
          </w:p>
        </w:tc>
        <w:tc>
          <w:tcPr>
            <w:tcW w:w="3000" w:type="dxa"/>
            <w:vAlign w:val="bottom"/>
          </w:tcPr>
          <w:p>
            <w:pPr>
              <w:ind w:left="300"/>
              <w:spacing w:after="0"/>
              <w:rPr>
                <w:sz w:val="20"/>
                <w:szCs w:val="20"/>
                <w:color w:val="auto"/>
              </w:rPr>
            </w:pPr>
            <w:r>
              <w:rPr>
                <w:rFonts w:ascii="Arial" w:cs="Arial" w:eastAsia="Arial" w:hAnsi="Arial"/>
                <w:sz w:val="16"/>
                <w:szCs w:val="16"/>
                <w:color w:val="auto"/>
              </w:rPr>
              <w:t>Nevada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Consolidated Holdings, Inc.</w:t>
            </w:r>
          </w:p>
        </w:tc>
        <w:tc>
          <w:tcPr>
            <w:tcW w:w="3000" w:type="dxa"/>
            <w:vAlign w:val="bottom"/>
          </w:tcPr>
          <w:p>
            <w:pPr>
              <w:ind w:left="300"/>
              <w:spacing w:after="0"/>
              <w:rPr>
                <w:sz w:val="20"/>
                <w:szCs w:val="20"/>
                <w:color w:val="auto"/>
              </w:rPr>
            </w:pPr>
            <w:r>
              <w:rPr>
                <w:rFonts w:ascii="Arial" w:cs="Arial" w:eastAsia="Arial" w:hAnsi="Arial"/>
                <w:sz w:val="16"/>
                <w:szCs w:val="16"/>
                <w:color w:val="auto"/>
              </w:rPr>
              <w:t>Nevada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Consolidated Holdings (Hawaii), Inc.</w:t>
            </w:r>
          </w:p>
        </w:tc>
        <w:tc>
          <w:tcPr>
            <w:tcW w:w="3000" w:type="dxa"/>
            <w:vAlign w:val="bottom"/>
          </w:tcPr>
          <w:p>
            <w:pPr>
              <w:ind w:left="300"/>
              <w:spacing w:after="0"/>
              <w:rPr>
                <w:sz w:val="20"/>
                <w:szCs w:val="20"/>
                <w:color w:val="auto"/>
              </w:rPr>
            </w:pPr>
            <w:r>
              <w:rPr>
                <w:rFonts w:ascii="Arial" w:cs="Arial" w:eastAsia="Arial" w:hAnsi="Arial"/>
                <w:sz w:val="16"/>
                <w:szCs w:val="16"/>
                <w:color w:val="auto"/>
              </w:rPr>
              <w:t>Hawaii</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Courtenay Central Ltd</w:t>
            </w:r>
          </w:p>
        </w:tc>
        <w:tc>
          <w:tcPr>
            <w:tcW w:w="3000" w:type="dxa"/>
            <w:vAlign w:val="bottom"/>
          </w:tcPr>
          <w:p>
            <w:pPr>
              <w:ind w:left="300"/>
              <w:spacing w:after="0"/>
              <w:rPr>
                <w:sz w:val="20"/>
                <w:szCs w:val="20"/>
                <w:color w:val="auto"/>
              </w:rPr>
            </w:pPr>
            <w:r>
              <w:rPr>
                <w:rFonts w:ascii="Arial" w:cs="Arial" w:eastAsia="Arial" w:hAnsi="Arial"/>
                <w:sz w:val="16"/>
                <w:szCs w:val="16"/>
                <w:color w:val="auto"/>
              </w:rPr>
              <w:t>New Zealand</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Dandenong Pty Ltd</w:t>
            </w:r>
          </w:p>
        </w:tc>
        <w:tc>
          <w:tcPr>
            <w:tcW w:w="3000" w:type="dxa"/>
            <w:vAlign w:val="bottom"/>
          </w:tcPr>
          <w:p>
            <w:pPr>
              <w:ind w:left="300"/>
              <w:spacing w:after="0"/>
              <w:rPr>
                <w:sz w:val="20"/>
                <w:szCs w:val="20"/>
                <w:color w:val="auto"/>
              </w:rPr>
            </w:pPr>
            <w:r>
              <w:rPr>
                <w:rFonts w:ascii="Arial" w:cs="Arial" w:eastAsia="Arial" w:hAnsi="Arial"/>
                <w:sz w:val="16"/>
                <w:szCs w:val="16"/>
                <w:color w:val="auto"/>
              </w:rPr>
              <w:t>Australia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Devonport Pty Limited</w:t>
            </w:r>
          </w:p>
        </w:tc>
        <w:tc>
          <w:tcPr>
            <w:tcW w:w="3000" w:type="dxa"/>
            <w:vAlign w:val="bottom"/>
          </w:tcPr>
          <w:p>
            <w:pPr>
              <w:ind w:left="300"/>
              <w:spacing w:after="0"/>
              <w:rPr>
                <w:sz w:val="20"/>
                <w:szCs w:val="20"/>
                <w:color w:val="auto"/>
              </w:rPr>
            </w:pPr>
            <w:r>
              <w:rPr>
                <w:rFonts w:ascii="Arial" w:cs="Arial" w:eastAsia="Arial" w:hAnsi="Arial"/>
                <w:sz w:val="16"/>
                <w:szCs w:val="16"/>
                <w:color w:val="auto"/>
              </w:rPr>
              <w:t>Australia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Dunedin Limited</w:t>
            </w:r>
          </w:p>
        </w:tc>
        <w:tc>
          <w:tcPr>
            <w:tcW w:w="3000" w:type="dxa"/>
            <w:vAlign w:val="bottom"/>
          </w:tcPr>
          <w:p>
            <w:pPr>
              <w:ind w:left="300"/>
              <w:spacing w:after="0"/>
              <w:rPr>
                <w:sz w:val="20"/>
                <w:szCs w:val="20"/>
                <w:color w:val="auto"/>
              </w:rPr>
            </w:pPr>
            <w:r>
              <w:rPr>
                <w:rFonts w:ascii="Arial" w:cs="Arial" w:eastAsia="Arial" w:hAnsi="Arial"/>
                <w:sz w:val="16"/>
                <w:szCs w:val="16"/>
                <w:color w:val="auto"/>
              </w:rPr>
              <w:t>New Zealand</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Elizabeth Pty Ltd</w:t>
            </w:r>
          </w:p>
        </w:tc>
        <w:tc>
          <w:tcPr>
            <w:tcW w:w="3000" w:type="dxa"/>
            <w:vAlign w:val="bottom"/>
          </w:tcPr>
          <w:p>
            <w:pPr>
              <w:ind w:left="300"/>
              <w:spacing w:after="0"/>
              <w:rPr>
                <w:sz w:val="20"/>
                <w:szCs w:val="20"/>
                <w:color w:val="auto"/>
              </w:rPr>
            </w:pPr>
            <w:r>
              <w:rPr>
                <w:rFonts w:ascii="Arial" w:cs="Arial" w:eastAsia="Arial" w:hAnsi="Arial"/>
                <w:sz w:val="16"/>
                <w:szCs w:val="16"/>
                <w:color w:val="auto"/>
              </w:rPr>
              <w:t>Australia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Entertainment Australia Pty Ltd</w:t>
            </w:r>
          </w:p>
        </w:tc>
        <w:tc>
          <w:tcPr>
            <w:tcW w:w="3000" w:type="dxa"/>
            <w:vAlign w:val="bottom"/>
          </w:tcPr>
          <w:p>
            <w:pPr>
              <w:ind w:left="300"/>
              <w:spacing w:after="0"/>
              <w:rPr>
                <w:sz w:val="20"/>
                <w:szCs w:val="20"/>
                <w:color w:val="auto"/>
              </w:rPr>
            </w:pPr>
            <w:r>
              <w:rPr>
                <w:rFonts w:ascii="Arial" w:cs="Arial" w:eastAsia="Arial" w:hAnsi="Arial"/>
                <w:sz w:val="16"/>
                <w:szCs w:val="16"/>
                <w:color w:val="auto"/>
              </w:rPr>
              <w:t>Australia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Exhibition Pty Ltd</w:t>
            </w:r>
          </w:p>
        </w:tc>
        <w:tc>
          <w:tcPr>
            <w:tcW w:w="3000" w:type="dxa"/>
            <w:vAlign w:val="bottom"/>
          </w:tcPr>
          <w:p>
            <w:pPr>
              <w:ind w:left="300"/>
              <w:spacing w:after="0"/>
              <w:rPr>
                <w:sz w:val="20"/>
                <w:szCs w:val="20"/>
                <w:color w:val="auto"/>
              </w:rPr>
            </w:pPr>
            <w:r>
              <w:rPr>
                <w:rFonts w:ascii="Arial" w:cs="Arial" w:eastAsia="Arial" w:hAnsi="Arial"/>
                <w:sz w:val="16"/>
                <w:szCs w:val="16"/>
                <w:color w:val="auto"/>
              </w:rPr>
              <w:t>Australia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Food Services, LLC</w:t>
            </w:r>
          </w:p>
        </w:tc>
        <w:tc>
          <w:tcPr>
            <w:tcW w:w="3000" w:type="dxa"/>
            <w:vAlign w:val="bottom"/>
          </w:tcPr>
          <w:p>
            <w:pPr>
              <w:ind w:left="300"/>
              <w:spacing w:after="0"/>
              <w:rPr>
                <w:sz w:val="20"/>
                <w:szCs w:val="20"/>
                <w:color w:val="auto"/>
              </w:rPr>
            </w:pPr>
            <w:r>
              <w:rPr>
                <w:rFonts w:ascii="Arial" w:cs="Arial" w:eastAsia="Arial" w:hAnsi="Arial"/>
                <w:sz w:val="16"/>
                <w:szCs w:val="16"/>
                <w:color w:val="auto"/>
              </w:rPr>
              <w:t>Nevada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Foundation</w:t>
            </w:r>
          </w:p>
        </w:tc>
        <w:tc>
          <w:tcPr>
            <w:tcW w:w="3000" w:type="dxa"/>
            <w:vAlign w:val="bottom"/>
          </w:tcPr>
          <w:p>
            <w:pPr>
              <w:ind w:left="300"/>
              <w:spacing w:after="0"/>
              <w:rPr>
                <w:sz w:val="20"/>
                <w:szCs w:val="20"/>
                <w:color w:val="auto"/>
              </w:rPr>
            </w:pPr>
            <w:r>
              <w:rPr>
                <w:rFonts w:ascii="Arial" w:cs="Arial" w:eastAsia="Arial" w:hAnsi="Arial"/>
                <w:sz w:val="16"/>
                <w:szCs w:val="16"/>
                <w:color w:val="auto"/>
              </w:rPr>
              <w:t>Nevada</w:t>
            </w:r>
          </w:p>
        </w:tc>
      </w:tr>
      <w:tr>
        <w:trPr>
          <w:trHeight w:val="217"/>
        </w:trPr>
        <w:tc>
          <w:tcPr>
            <w:tcW w:w="6220" w:type="dxa"/>
            <w:vAlign w:val="bottom"/>
          </w:tcPr>
          <w:p>
            <w:pPr>
              <w:ind w:left="100"/>
              <w:spacing w:after="0"/>
              <w:rPr>
                <w:sz w:val="20"/>
                <w:szCs w:val="20"/>
                <w:color w:val="auto"/>
              </w:rPr>
            </w:pPr>
            <w:r>
              <w:rPr>
                <w:rFonts w:ascii="Arial" w:cs="Arial" w:eastAsia="Arial" w:hAnsi="Arial"/>
                <w:sz w:val="16"/>
                <w:szCs w:val="16"/>
                <w:color w:val="auto"/>
              </w:rPr>
              <w:t>Reading Holdings, Inc.</w:t>
            </w:r>
          </w:p>
        </w:tc>
        <w:tc>
          <w:tcPr>
            <w:tcW w:w="3000" w:type="dxa"/>
            <w:vAlign w:val="bottom"/>
          </w:tcPr>
          <w:p>
            <w:pPr>
              <w:ind w:left="300"/>
              <w:spacing w:after="0"/>
              <w:rPr>
                <w:sz w:val="20"/>
                <w:szCs w:val="20"/>
                <w:color w:val="auto"/>
              </w:rPr>
            </w:pPr>
            <w:r>
              <w:rPr>
                <w:rFonts w:ascii="Arial" w:cs="Arial" w:eastAsia="Arial" w:hAnsi="Arial"/>
                <w:sz w:val="16"/>
                <w:szCs w:val="16"/>
                <w:color w:val="auto"/>
              </w:rPr>
              <w:t>Nevada</w:t>
            </w:r>
          </w:p>
        </w:tc>
      </w:tr>
      <w:tr>
        <w:trPr>
          <w:trHeight w:val="182"/>
        </w:trPr>
        <w:tc>
          <w:tcPr>
            <w:tcW w:w="6220" w:type="dxa"/>
            <w:vAlign w:val="bottom"/>
            <w:tcBorders>
              <w:bottom w:val="single" w:sz="8" w:color="9A9A9A"/>
            </w:tcBorders>
          </w:tcPr>
          <w:p>
            <w:pPr>
              <w:spacing w:after="0"/>
              <w:rPr>
                <w:sz w:val="15"/>
                <w:szCs w:val="15"/>
                <w:color w:val="auto"/>
              </w:rPr>
            </w:pPr>
          </w:p>
        </w:tc>
        <w:tc>
          <w:tcPr>
            <w:tcW w:w="3000" w:type="dxa"/>
            <w:vAlign w:val="bottom"/>
            <w:tcBorders>
              <w:bottom w:val="single" w:sz="8" w:color="9A9A9A"/>
            </w:tcBorders>
          </w:tcPr>
          <w:p>
            <w:pPr>
              <w:spacing w:after="0"/>
              <w:rPr>
                <w:sz w:val="15"/>
                <w:szCs w:val="15"/>
                <w:color w:val="auto"/>
              </w:rPr>
            </w:pPr>
          </w:p>
        </w:tc>
      </w:tr>
      <w:tr>
        <w:trPr>
          <w:trHeight w:val="20"/>
        </w:trPr>
        <w:tc>
          <w:tcPr>
            <w:tcW w:w="6220" w:type="dxa"/>
            <w:vAlign w:val="bottom"/>
            <w:tcBorders>
              <w:bottom w:val="single" w:sz="8" w:color="EEEEEE"/>
            </w:tcBorders>
          </w:tcPr>
          <w:p>
            <w:pPr>
              <w:spacing w:after="0" w:line="20" w:lineRule="exact"/>
              <w:rPr>
                <w:sz w:val="1"/>
                <w:szCs w:val="1"/>
                <w:color w:val="auto"/>
              </w:rPr>
            </w:pPr>
          </w:p>
        </w:tc>
        <w:tc>
          <w:tcPr>
            <w:tcW w:w="30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-33020</wp:posOffset>
            </wp:positionV>
            <wp:extent cx="32385" cy="463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7">
                      <a:extLst>
                        <a:ext uri="{28A0092B-C50C-407E-A947-70E740481C1C}"/>
                      </a:extLst>
                    </a:blip>
                    <a:srcRect/>
                    <a:stretch>
                      <a:fillRect/>
                    </a:stretch>
                  </pic:blipFill>
                  <pic:spPr bwMode="auto">
                    <a:xfrm>
                      <a:off x="0" y="0"/>
                      <a:ext cx="32385" cy="463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-33020</wp:posOffset>
            </wp:positionV>
            <wp:extent cx="32385" cy="463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8">
                      <a:extLst>
                        <a:ext uri="{28A0092B-C50C-407E-A947-70E740481C1C}"/>
                      </a:extLst>
                    </a:blip>
                    <a:srcRect/>
                    <a:stretch>
                      <a:fillRect/>
                    </a:stretch>
                  </pic:blipFill>
                  <pic:spPr bwMode="auto">
                    <a:xfrm>
                      <a:off x="0" y="0"/>
                      <a:ext cx="32385" cy="46355"/>
                    </a:xfrm>
                    <a:prstGeom prst="rect">
                      <a:avLst/>
                    </a:prstGeom>
                    <a:noFill/>
                  </pic:spPr>
                </pic:pic>
              </a:graphicData>
            </a:graphic>
          </wp:anchor>
        </w:drawing>
      </w:r>
    </w:p>
    <w:p>
      <w:pPr>
        <w:sectPr>
          <w:pgSz w:w="11900" w:h="16838" w:orient="portrait"/>
          <w:cols w:equalWidth="0" w:num="1">
            <w:col w:w="9220"/>
          </w:cols>
          <w:pgMar w:left="1340" w:top="146" w:right="1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2"/>
        </w:trPr>
        <w:tc>
          <w:tcPr>
            <w:tcW w:w="5220" w:type="dxa"/>
            <w:vAlign w:val="bottom"/>
          </w:tcPr>
          <w:p>
            <w:pPr>
              <w:ind w:left="100"/>
              <w:spacing w:after="0"/>
              <w:rPr>
                <w:sz w:val="20"/>
                <w:szCs w:val="20"/>
                <w:color w:val="auto"/>
              </w:rPr>
            </w:pPr>
            <w:r>
              <w:rPr>
                <w:rFonts w:ascii="Arial" w:cs="Arial" w:eastAsia="Arial" w:hAnsi="Arial"/>
                <w:sz w:val="16"/>
                <w:szCs w:val="16"/>
                <w:color w:val="auto"/>
              </w:rPr>
              <w:t>Reading International, LLC</w:t>
            </w:r>
          </w:p>
        </w:tc>
        <w:tc>
          <w:tcPr>
            <w:tcW w:w="4000" w:type="dxa"/>
            <w:vAlign w:val="bottom"/>
          </w:tcPr>
          <w:p>
            <w:pPr>
              <w:ind w:left="1300"/>
              <w:spacing w:after="0"/>
              <w:rPr>
                <w:sz w:val="20"/>
                <w:szCs w:val="20"/>
                <w:color w:val="auto"/>
              </w:rPr>
            </w:pPr>
            <w:r>
              <w:rPr>
                <w:rFonts w:ascii="Arial" w:cs="Arial" w:eastAsia="Arial" w:hAnsi="Arial"/>
                <w:sz w:val="16"/>
                <w:szCs w:val="16"/>
                <w:color w:val="auto"/>
              </w:rPr>
              <w:t>Nevada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International Cinemas LLC</w:t>
            </w:r>
          </w:p>
        </w:tc>
        <w:tc>
          <w:tcPr>
            <w:tcW w:w="4000" w:type="dxa"/>
            <w:vAlign w:val="bottom"/>
          </w:tcPr>
          <w:p>
            <w:pPr>
              <w:ind w:left="1300"/>
              <w:spacing w:after="0"/>
              <w:rPr>
                <w:sz w:val="20"/>
                <w:szCs w:val="20"/>
                <w:color w:val="auto"/>
              </w:rPr>
            </w:pPr>
            <w:r>
              <w:rPr>
                <w:rFonts w:ascii="Arial" w:cs="Arial" w:eastAsia="Arial" w:hAnsi="Arial"/>
                <w:sz w:val="16"/>
                <w:szCs w:val="16"/>
                <w:color w:val="auto"/>
              </w:rPr>
              <w:t>Delaware</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International Services Company</w:t>
            </w:r>
          </w:p>
        </w:tc>
        <w:tc>
          <w:tcPr>
            <w:tcW w:w="4000" w:type="dxa"/>
            <w:vAlign w:val="bottom"/>
          </w:tcPr>
          <w:p>
            <w:pPr>
              <w:ind w:left="1300"/>
              <w:spacing w:after="0"/>
              <w:rPr>
                <w:sz w:val="20"/>
                <w:szCs w:val="20"/>
                <w:color w:val="auto"/>
              </w:rPr>
            </w:pPr>
            <w:r>
              <w:rPr>
                <w:rFonts w:ascii="Arial" w:cs="Arial" w:eastAsia="Arial" w:hAnsi="Arial"/>
                <w:sz w:val="16"/>
                <w:szCs w:val="16"/>
                <w:color w:val="auto"/>
              </w:rPr>
              <w:t>California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IP, LLC</w:t>
            </w:r>
          </w:p>
        </w:tc>
        <w:tc>
          <w:tcPr>
            <w:tcW w:w="4000" w:type="dxa"/>
            <w:vAlign w:val="bottom"/>
          </w:tcPr>
          <w:p>
            <w:pPr>
              <w:ind w:left="1300"/>
              <w:spacing w:after="0"/>
              <w:rPr>
                <w:sz w:val="20"/>
                <w:szCs w:val="20"/>
                <w:color w:val="auto"/>
              </w:rPr>
            </w:pPr>
            <w:r>
              <w:rPr>
                <w:rFonts w:ascii="Arial" w:cs="Arial" w:eastAsia="Arial" w:hAnsi="Arial"/>
                <w:sz w:val="16"/>
                <w:szCs w:val="16"/>
                <w:color w:val="auto"/>
              </w:rPr>
              <w:t>Nevada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Jindalee Pty Limited</w:t>
            </w:r>
          </w:p>
        </w:tc>
        <w:tc>
          <w:tcPr>
            <w:tcW w:w="4000" w:type="dxa"/>
            <w:vAlign w:val="bottom"/>
          </w:tcPr>
          <w:p>
            <w:pPr>
              <w:ind w:left="1300"/>
              <w:spacing w:after="0"/>
              <w:rPr>
                <w:sz w:val="20"/>
                <w:szCs w:val="20"/>
                <w:color w:val="auto"/>
              </w:rPr>
            </w:pPr>
            <w:r>
              <w:rPr>
                <w:rFonts w:ascii="Arial" w:cs="Arial" w:eastAsia="Arial" w:hAnsi="Arial"/>
                <w:sz w:val="16"/>
                <w:szCs w:val="16"/>
                <w:color w:val="auto"/>
              </w:rPr>
              <w:t>Australia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Licenses Pty Ltd</w:t>
            </w:r>
          </w:p>
        </w:tc>
        <w:tc>
          <w:tcPr>
            <w:tcW w:w="4000" w:type="dxa"/>
            <w:vAlign w:val="bottom"/>
          </w:tcPr>
          <w:p>
            <w:pPr>
              <w:ind w:left="1300"/>
              <w:spacing w:after="0"/>
              <w:rPr>
                <w:sz w:val="20"/>
                <w:szCs w:val="20"/>
                <w:color w:val="auto"/>
              </w:rPr>
            </w:pPr>
            <w:r>
              <w:rPr>
                <w:rFonts w:ascii="Arial" w:cs="Arial" w:eastAsia="Arial" w:hAnsi="Arial"/>
                <w:sz w:val="16"/>
                <w:szCs w:val="16"/>
                <w:color w:val="auto"/>
              </w:rPr>
              <w:t>Australia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Maitland Pty Ltd</w:t>
            </w:r>
          </w:p>
        </w:tc>
        <w:tc>
          <w:tcPr>
            <w:tcW w:w="4000" w:type="dxa"/>
            <w:vAlign w:val="bottom"/>
          </w:tcPr>
          <w:p>
            <w:pPr>
              <w:ind w:left="1300"/>
              <w:spacing w:after="0"/>
              <w:rPr>
                <w:sz w:val="20"/>
                <w:szCs w:val="20"/>
                <w:color w:val="auto"/>
              </w:rPr>
            </w:pPr>
            <w:r>
              <w:rPr>
                <w:rFonts w:ascii="Arial" w:cs="Arial" w:eastAsia="Arial" w:hAnsi="Arial"/>
                <w:sz w:val="16"/>
                <w:szCs w:val="16"/>
                <w:color w:val="auto"/>
              </w:rPr>
              <w:t>Australia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Malulani, LLC</w:t>
            </w:r>
          </w:p>
        </w:tc>
        <w:tc>
          <w:tcPr>
            <w:tcW w:w="4000" w:type="dxa"/>
            <w:vAlign w:val="bottom"/>
          </w:tcPr>
          <w:p>
            <w:pPr>
              <w:ind w:left="1300"/>
              <w:spacing w:after="0"/>
              <w:rPr>
                <w:sz w:val="20"/>
                <w:szCs w:val="20"/>
                <w:color w:val="auto"/>
              </w:rPr>
            </w:pPr>
            <w:r>
              <w:rPr>
                <w:rFonts w:ascii="Arial" w:cs="Arial" w:eastAsia="Arial" w:hAnsi="Arial"/>
                <w:sz w:val="16"/>
                <w:szCs w:val="16"/>
                <w:color w:val="auto"/>
              </w:rPr>
              <w:t>Nevada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Management NZ Limited</w:t>
            </w:r>
          </w:p>
        </w:tc>
        <w:tc>
          <w:tcPr>
            <w:tcW w:w="4000" w:type="dxa"/>
            <w:vAlign w:val="bottom"/>
          </w:tcPr>
          <w:p>
            <w:pPr>
              <w:ind w:left="1300"/>
              <w:spacing w:after="0"/>
              <w:rPr>
                <w:sz w:val="20"/>
                <w:szCs w:val="20"/>
                <w:color w:val="auto"/>
              </w:rPr>
            </w:pPr>
            <w:r>
              <w:rPr>
                <w:rFonts w:ascii="Arial" w:cs="Arial" w:eastAsia="Arial" w:hAnsi="Arial"/>
                <w:sz w:val="16"/>
                <w:szCs w:val="16"/>
                <w:color w:val="auto"/>
              </w:rPr>
              <w:t>New Zealand</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Melton Pty Ltd</w:t>
            </w:r>
          </w:p>
        </w:tc>
        <w:tc>
          <w:tcPr>
            <w:tcW w:w="4000" w:type="dxa"/>
            <w:vAlign w:val="bottom"/>
          </w:tcPr>
          <w:p>
            <w:pPr>
              <w:ind w:left="1300"/>
              <w:spacing w:after="0"/>
              <w:rPr>
                <w:sz w:val="20"/>
                <w:szCs w:val="20"/>
                <w:color w:val="auto"/>
              </w:rPr>
            </w:pPr>
            <w:r>
              <w:rPr>
                <w:rFonts w:ascii="Arial" w:cs="Arial" w:eastAsia="Arial" w:hAnsi="Arial"/>
                <w:sz w:val="16"/>
                <w:szCs w:val="16"/>
                <w:color w:val="auto"/>
              </w:rPr>
              <w:t>Australia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Murrieta Theater, LLC</w:t>
            </w:r>
          </w:p>
        </w:tc>
        <w:tc>
          <w:tcPr>
            <w:tcW w:w="4000" w:type="dxa"/>
            <w:vAlign w:val="bottom"/>
          </w:tcPr>
          <w:p>
            <w:pPr>
              <w:ind w:left="1300"/>
              <w:spacing w:after="0"/>
              <w:rPr>
                <w:sz w:val="20"/>
                <w:szCs w:val="20"/>
                <w:color w:val="auto"/>
              </w:rPr>
            </w:pPr>
            <w:r>
              <w:rPr>
                <w:rFonts w:ascii="Arial" w:cs="Arial" w:eastAsia="Arial" w:hAnsi="Arial"/>
                <w:sz w:val="16"/>
                <w:szCs w:val="16"/>
                <w:color w:val="auto"/>
              </w:rPr>
              <w:t>Nevada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New Lynn Limited</w:t>
            </w:r>
          </w:p>
        </w:tc>
        <w:tc>
          <w:tcPr>
            <w:tcW w:w="4000" w:type="dxa"/>
            <w:vAlign w:val="bottom"/>
          </w:tcPr>
          <w:p>
            <w:pPr>
              <w:ind w:left="1300"/>
              <w:spacing w:after="0"/>
              <w:rPr>
                <w:sz w:val="20"/>
                <w:szCs w:val="20"/>
                <w:color w:val="auto"/>
              </w:rPr>
            </w:pPr>
            <w:r>
              <w:rPr>
                <w:rFonts w:ascii="Arial" w:cs="Arial" w:eastAsia="Arial" w:hAnsi="Arial"/>
                <w:sz w:val="16"/>
                <w:szCs w:val="16"/>
                <w:color w:val="auto"/>
              </w:rPr>
              <w:t>New Zealand</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New Zealand Ltd</w:t>
            </w:r>
          </w:p>
        </w:tc>
        <w:tc>
          <w:tcPr>
            <w:tcW w:w="4000" w:type="dxa"/>
            <w:vAlign w:val="bottom"/>
          </w:tcPr>
          <w:p>
            <w:pPr>
              <w:ind w:left="1300"/>
              <w:spacing w:after="0"/>
              <w:rPr>
                <w:sz w:val="20"/>
                <w:szCs w:val="20"/>
                <w:color w:val="auto"/>
              </w:rPr>
            </w:pPr>
            <w:r>
              <w:rPr>
                <w:rFonts w:ascii="Arial" w:cs="Arial" w:eastAsia="Arial" w:hAnsi="Arial"/>
                <w:sz w:val="16"/>
                <w:szCs w:val="16"/>
                <w:color w:val="auto"/>
              </w:rPr>
              <w:t>New Zealand</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Pacific LLC</w:t>
            </w:r>
          </w:p>
        </w:tc>
        <w:tc>
          <w:tcPr>
            <w:tcW w:w="4000" w:type="dxa"/>
            <w:vAlign w:val="bottom"/>
          </w:tcPr>
          <w:p>
            <w:pPr>
              <w:ind w:left="1300"/>
              <w:spacing w:after="0"/>
              <w:rPr>
                <w:sz w:val="20"/>
                <w:szCs w:val="20"/>
                <w:color w:val="auto"/>
              </w:rPr>
            </w:pPr>
            <w:r>
              <w:rPr>
                <w:rFonts w:ascii="Arial" w:cs="Arial" w:eastAsia="Arial" w:hAnsi="Arial"/>
                <w:sz w:val="16"/>
                <w:szCs w:val="16"/>
                <w:color w:val="auto"/>
              </w:rPr>
              <w:t>Nevada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Productions, LLC</w:t>
            </w:r>
          </w:p>
        </w:tc>
        <w:tc>
          <w:tcPr>
            <w:tcW w:w="4000" w:type="dxa"/>
            <w:vAlign w:val="bottom"/>
          </w:tcPr>
          <w:p>
            <w:pPr>
              <w:ind w:left="1300"/>
              <w:spacing w:after="0"/>
              <w:rPr>
                <w:sz w:val="20"/>
                <w:szCs w:val="20"/>
                <w:color w:val="auto"/>
              </w:rPr>
            </w:pPr>
            <w:r>
              <w:rPr>
                <w:rFonts w:ascii="Arial" w:cs="Arial" w:eastAsia="Arial" w:hAnsi="Arial"/>
                <w:sz w:val="16"/>
                <w:szCs w:val="16"/>
                <w:color w:val="auto"/>
              </w:rPr>
              <w:t>Nevada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Properties LLC (fka - GardenWalk Cinemas, LLC)</w:t>
            </w:r>
          </w:p>
        </w:tc>
        <w:tc>
          <w:tcPr>
            <w:tcW w:w="4000" w:type="dxa"/>
            <w:vAlign w:val="bottom"/>
          </w:tcPr>
          <w:p>
            <w:pPr>
              <w:ind w:left="1300"/>
              <w:spacing w:after="0"/>
              <w:rPr>
                <w:sz w:val="20"/>
                <w:szCs w:val="20"/>
                <w:color w:val="auto"/>
              </w:rPr>
            </w:pPr>
            <w:r>
              <w:rPr>
                <w:rFonts w:ascii="Arial" w:cs="Arial" w:eastAsia="Arial" w:hAnsi="Arial"/>
                <w:sz w:val="16"/>
                <w:szCs w:val="16"/>
                <w:color w:val="auto"/>
              </w:rPr>
              <w:t>Nevada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Properties Indooroopilly Pty Ltd</w:t>
            </w:r>
          </w:p>
        </w:tc>
        <w:tc>
          <w:tcPr>
            <w:tcW w:w="4000" w:type="dxa"/>
            <w:vAlign w:val="bottom"/>
          </w:tcPr>
          <w:p>
            <w:pPr>
              <w:ind w:left="1300"/>
              <w:spacing w:after="0"/>
              <w:rPr>
                <w:sz w:val="20"/>
                <w:szCs w:val="20"/>
                <w:color w:val="auto"/>
              </w:rPr>
            </w:pPr>
            <w:r>
              <w:rPr>
                <w:rFonts w:ascii="Arial" w:cs="Arial" w:eastAsia="Arial" w:hAnsi="Arial"/>
                <w:sz w:val="16"/>
                <w:szCs w:val="16"/>
                <w:color w:val="auto"/>
              </w:rPr>
              <w:t>Australia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Properties Manukau Ltd (Trustee)</w:t>
            </w:r>
          </w:p>
        </w:tc>
        <w:tc>
          <w:tcPr>
            <w:tcW w:w="4000" w:type="dxa"/>
            <w:vAlign w:val="bottom"/>
          </w:tcPr>
          <w:p>
            <w:pPr>
              <w:ind w:left="1300"/>
              <w:spacing w:after="0"/>
              <w:rPr>
                <w:sz w:val="20"/>
                <w:szCs w:val="20"/>
                <w:color w:val="auto"/>
              </w:rPr>
            </w:pPr>
            <w:r>
              <w:rPr>
                <w:rFonts w:ascii="Arial" w:cs="Arial" w:eastAsia="Arial" w:hAnsi="Arial"/>
                <w:sz w:val="16"/>
                <w:szCs w:val="16"/>
                <w:color w:val="auto"/>
              </w:rPr>
              <w:t>New Zealand</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Properties New Zealand Ltd</w:t>
            </w:r>
          </w:p>
        </w:tc>
        <w:tc>
          <w:tcPr>
            <w:tcW w:w="4000" w:type="dxa"/>
            <w:vAlign w:val="bottom"/>
          </w:tcPr>
          <w:p>
            <w:pPr>
              <w:ind w:left="1300"/>
              <w:spacing w:after="0"/>
              <w:rPr>
                <w:sz w:val="20"/>
                <w:szCs w:val="20"/>
                <w:color w:val="auto"/>
              </w:rPr>
            </w:pPr>
            <w:r>
              <w:rPr>
                <w:rFonts w:ascii="Arial" w:cs="Arial" w:eastAsia="Arial" w:hAnsi="Arial"/>
                <w:sz w:val="16"/>
                <w:szCs w:val="16"/>
                <w:color w:val="auto"/>
              </w:rPr>
              <w:t>New Zealand</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Property Partners No. 1 Discretionary</w:t>
            </w:r>
          </w:p>
        </w:tc>
        <w:tc>
          <w:tcPr>
            <w:tcW w:w="4000" w:type="dxa"/>
            <w:vAlign w:val="bottom"/>
          </w:tcPr>
          <w:p>
            <w:pPr>
              <w:ind w:left="1300"/>
              <w:spacing w:after="0"/>
              <w:rPr>
                <w:sz w:val="20"/>
                <w:szCs w:val="20"/>
                <w:color w:val="auto"/>
              </w:rPr>
            </w:pPr>
            <w:r>
              <w:rPr>
                <w:rFonts w:ascii="Arial" w:cs="Arial" w:eastAsia="Arial" w:hAnsi="Arial"/>
                <w:sz w:val="16"/>
                <w:szCs w:val="16"/>
                <w:color w:val="auto"/>
              </w:rPr>
              <w:t>Australia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Properties Pty Ltd</w:t>
            </w:r>
          </w:p>
        </w:tc>
        <w:tc>
          <w:tcPr>
            <w:tcW w:w="4000" w:type="dxa"/>
            <w:vAlign w:val="bottom"/>
          </w:tcPr>
          <w:p>
            <w:pPr>
              <w:ind w:left="1300"/>
              <w:spacing w:after="0"/>
              <w:rPr>
                <w:sz w:val="20"/>
                <w:szCs w:val="20"/>
                <w:color w:val="auto"/>
              </w:rPr>
            </w:pPr>
            <w:r>
              <w:rPr>
                <w:rFonts w:ascii="Arial" w:cs="Arial" w:eastAsia="Arial" w:hAnsi="Arial"/>
                <w:sz w:val="16"/>
                <w:szCs w:val="16"/>
                <w:color w:val="auto"/>
              </w:rPr>
              <w:t>Australia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Properties Taringa Pty Ltd</w:t>
            </w:r>
          </w:p>
        </w:tc>
        <w:tc>
          <w:tcPr>
            <w:tcW w:w="4000" w:type="dxa"/>
            <w:vAlign w:val="bottom"/>
          </w:tcPr>
          <w:p>
            <w:pPr>
              <w:ind w:left="1300"/>
              <w:spacing w:after="0"/>
              <w:rPr>
                <w:sz w:val="20"/>
                <w:szCs w:val="20"/>
                <w:color w:val="auto"/>
              </w:rPr>
            </w:pPr>
            <w:r>
              <w:rPr>
                <w:rFonts w:ascii="Arial" w:cs="Arial" w:eastAsia="Arial" w:hAnsi="Arial"/>
                <w:sz w:val="16"/>
                <w:szCs w:val="16"/>
                <w:color w:val="auto"/>
              </w:rPr>
              <w:t>Australia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Property Holdings Pty Ltd</w:t>
            </w:r>
          </w:p>
        </w:tc>
        <w:tc>
          <w:tcPr>
            <w:tcW w:w="4000" w:type="dxa"/>
            <w:vAlign w:val="bottom"/>
          </w:tcPr>
          <w:p>
            <w:pPr>
              <w:ind w:left="1300"/>
              <w:spacing w:after="0"/>
              <w:rPr>
                <w:sz w:val="20"/>
                <w:szCs w:val="20"/>
                <w:color w:val="auto"/>
              </w:rPr>
            </w:pPr>
            <w:r>
              <w:rPr>
                <w:rFonts w:ascii="Arial" w:cs="Arial" w:eastAsia="Arial" w:hAnsi="Arial"/>
                <w:sz w:val="16"/>
                <w:szCs w:val="16"/>
                <w:color w:val="auto"/>
              </w:rPr>
              <w:t>Australia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Queenstown Ltd</w:t>
            </w:r>
          </w:p>
        </w:tc>
        <w:tc>
          <w:tcPr>
            <w:tcW w:w="4000" w:type="dxa"/>
            <w:vAlign w:val="bottom"/>
          </w:tcPr>
          <w:p>
            <w:pPr>
              <w:ind w:left="1300"/>
              <w:spacing w:after="0"/>
              <w:rPr>
                <w:sz w:val="20"/>
                <w:szCs w:val="20"/>
                <w:color w:val="auto"/>
              </w:rPr>
            </w:pPr>
            <w:r>
              <w:rPr>
                <w:rFonts w:ascii="Arial" w:cs="Arial" w:eastAsia="Arial" w:hAnsi="Arial"/>
                <w:sz w:val="16"/>
                <w:szCs w:val="16"/>
                <w:color w:val="auto"/>
              </w:rPr>
              <w:t>New Zealand</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RREC LLC (Reading Real Estate Company)</w:t>
            </w:r>
          </w:p>
        </w:tc>
        <w:tc>
          <w:tcPr>
            <w:tcW w:w="4000" w:type="dxa"/>
            <w:vAlign w:val="bottom"/>
          </w:tcPr>
          <w:p>
            <w:pPr>
              <w:ind w:left="1300"/>
              <w:spacing w:after="0"/>
              <w:rPr>
                <w:sz w:val="20"/>
                <w:szCs w:val="20"/>
                <w:color w:val="auto"/>
              </w:rPr>
            </w:pPr>
            <w:r>
              <w:rPr>
                <w:rFonts w:ascii="Arial" w:cs="Arial" w:eastAsia="Arial" w:hAnsi="Arial"/>
                <w:sz w:val="16"/>
                <w:szCs w:val="16"/>
                <w:color w:val="auto"/>
              </w:rPr>
              <w:t>Pennsylvania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Restaurants NZ Limited</w:t>
            </w:r>
          </w:p>
        </w:tc>
        <w:tc>
          <w:tcPr>
            <w:tcW w:w="4000" w:type="dxa"/>
            <w:vAlign w:val="bottom"/>
          </w:tcPr>
          <w:p>
            <w:pPr>
              <w:ind w:left="1300"/>
              <w:spacing w:after="0"/>
              <w:rPr>
                <w:sz w:val="20"/>
                <w:szCs w:val="20"/>
                <w:color w:val="auto"/>
              </w:rPr>
            </w:pPr>
            <w:r>
              <w:rPr>
                <w:rFonts w:ascii="Arial" w:cs="Arial" w:eastAsia="Arial" w:hAnsi="Arial"/>
                <w:sz w:val="16"/>
                <w:szCs w:val="16"/>
                <w:color w:val="auto"/>
              </w:rPr>
              <w:t>New Zealand</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Rouse Hill Pty Ltd</w:t>
            </w:r>
          </w:p>
        </w:tc>
        <w:tc>
          <w:tcPr>
            <w:tcW w:w="4000" w:type="dxa"/>
            <w:vAlign w:val="bottom"/>
          </w:tcPr>
          <w:p>
            <w:pPr>
              <w:ind w:left="1300"/>
              <w:spacing w:after="0"/>
              <w:rPr>
                <w:sz w:val="20"/>
                <w:szCs w:val="20"/>
                <w:color w:val="auto"/>
              </w:rPr>
            </w:pPr>
            <w:r>
              <w:rPr>
                <w:rFonts w:ascii="Arial" w:cs="Arial" w:eastAsia="Arial" w:hAnsi="Arial"/>
                <w:sz w:val="16"/>
                <w:szCs w:val="16"/>
                <w:color w:val="auto"/>
              </w:rPr>
              <w:t>Australia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Royal George, LLC</w:t>
            </w:r>
          </w:p>
        </w:tc>
        <w:tc>
          <w:tcPr>
            <w:tcW w:w="4000" w:type="dxa"/>
            <w:vAlign w:val="bottom"/>
          </w:tcPr>
          <w:p>
            <w:pPr>
              <w:ind w:left="1300"/>
              <w:spacing w:after="0"/>
              <w:rPr>
                <w:sz w:val="20"/>
                <w:szCs w:val="20"/>
                <w:color w:val="auto"/>
              </w:rPr>
            </w:pPr>
            <w:r>
              <w:rPr>
                <w:rFonts w:ascii="Arial" w:cs="Arial" w:eastAsia="Arial" w:hAnsi="Arial"/>
                <w:sz w:val="16"/>
                <w:szCs w:val="16"/>
                <w:color w:val="auto"/>
              </w:rPr>
              <w:t>Delaware</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South City Square Pty Ltd.</w:t>
            </w:r>
          </w:p>
        </w:tc>
        <w:tc>
          <w:tcPr>
            <w:tcW w:w="4000" w:type="dxa"/>
            <w:vAlign w:val="bottom"/>
          </w:tcPr>
          <w:p>
            <w:pPr>
              <w:ind w:left="1300"/>
              <w:spacing w:after="0"/>
              <w:rPr>
                <w:sz w:val="20"/>
                <w:szCs w:val="20"/>
                <w:color w:val="auto"/>
              </w:rPr>
            </w:pPr>
            <w:r>
              <w:rPr>
                <w:rFonts w:ascii="Arial" w:cs="Arial" w:eastAsia="Arial" w:hAnsi="Arial"/>
                <w:sz w:val="16"/>
                <w:szCs w:val="16"/>
                <w:color w:val="auto"/>
              </w:rPr>
              <w:t>Australia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Sunbury Pty Ltd</w:t>
            </w:r>
          </w:p>
        </w:tc>
        <w:tc>
          <w:tcPr>
            <w:tcW w:w="4000" w:type="dxa"/>
            <w:vAlign w:val="bottom"/>
          </w:tcPr>
          <w:p>
            <w:pPr>
              <w:ind w:left="1300"/>
              <w:spacing w:after="0"/>
              <w:rPr>
                <w:sz w:val="20"/>
                <w:szCs w:val="20"/>
                <w:color w:val="auto"/>
              </w:rPr>
            </w:pPr>
            <w:r>
              <w:rPr>
                <w:rFonts w:ascii="Arial" w:cs="Arial" w:eastAsia="Arial" w:hAnsi="Arial"/>
                <w:sz w:val="16"/>
                <w:szCs w:val="16"/>
                <w:color w:val="auto"/>
              </w:rPr>
              <w:t>Australia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Tammany Mezz, LLC</w:t>
            </w:r>
          </w:p>
        </w:tc>
        <w:tc>
          <w:tcPr>
            <w:tcW w:w="4000" w:type="dxa"/>
            <w:vAlign w:val="bottom"/>
          </w:tcPr>
          <w:p>
            <w:pPr>
              <w:ind w:left="1300"/>
              <w:spacing w:after="0"/>
              <w:rPr>
                <w:sz w:val="20"/>
                <w:szCs w:val="20"/>
                <w:color w:val="auto"/>
              </w:rPr>
            </w:pPr>
            <w:r>
              <w:rPr>
                <w:rFonts w:ascii="Arial" w:cs="Arial" w:eastAsia="Arial" w:hAnsi="Arial"/>
                <w:sz w:val="16"/>
                <w:szCs w:val="16"/>
                <w:color w:val="auto"/>
              </w:rPr>
              <w:t>Delaware</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Tammany Owner, LLC</w:t>
            </w:r>
          </w:p>
        </w:tc>
        <w:tc>
          <w:tcPr>
            <w:tcW w:w="4000" w:type="dxa"/>
            <w:vAlign w:val="bottom"/>
          </w:tcPr>
          <w:p>
            <w:pPr>
              <w:ind w:left="1300"/>
              <w:spacing w:after="0"/>
              <w:rPr>
                <w:sz w:val="20"/>
                <w:szCs w:val="20"/>
                <w:color w:val="auto"/>
              </w:rPr>
            </w:pPr>
            <w:r>
              <w:rPr>
                <w:rFonts w:ascii="Arial" w:cs="Arial" w:eastAsia="Arial" w:hAnsi="Arial"/>
                <w:sz w:val="16"/>
                <w:szCs w:val="16"/>
                <w:color w:val="auto"/>
              </w:rPr>
              <w:t>Delaware</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Theaters, Inc.</w:t>
            </w:r>
          </w:p>
        </w:tc>
        <w:tc>
          <w:tcPr>
            <w:tcW w:w="4000" w:type="dxa"/>
            <w:vAlign w:val="bottom"/>
          </w:tcPr>
          <w:p>
            <w:pPr>
              <w:ind w:left="1300"/>
              <w:spacing w:after="0"/>
              <w:rPr>
                <w:sz w:val="20"/>
                <w:szCs w:val="20"/>
                <w:color w:val="auto"/>
              </w:rPr>
            </w:pPr>
            <w:r>
              <w:rPr>
                <w:rFonts w:ascii="Arial" w:cs="Arial" w:eastAsia="Arial" w:hAnsi="Arial"/>
                <w:sz w:val="16"/>
                <w:szCs w:val="16"/>
                <w:color w:val="auto"/>
              </w:rPr>
              <w:t>Delaware</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Traralgon Pty Ltd.</w:t>
            </w:r>
          </w:p>
        </w:tc>
        <w:tc>
          <w:tcPr>
            <w:tcW w:w="4000" w:type="dxa"/>
            <w:vAlign w:val="bottom"/>
          </w:tcPr>
          <w:p>
            <w:pPr>
              <w:ind w:left="1300"/>
              <w:spacing w:after="0"/>
              <w:rPr>
                <w:sz w:val="20"/>
                <w:szCs w:val="20"/>
                <w:color w:val="auto"/>
              </w:rPr>
            </w:pPr>
            <w:r>
              <w:rPr>
                <w:rFonts w:ascii="Arial" w:cs="Arial" w:eastAsia="Arial" w:hAnsi="Arial"/>
                <w:sz w:val="16"/>
                <w:szCs w:val="16"/>
                <w:color w:val="auto"/>
              </w:rPr>
              <w:t>Australia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Reading Wellington Properties Ltd</w:t>
            </w:r>
          </w:p>
        </w:tc>
        <w:tc>
          <w:tcPr>
            <w:tcW w:w="4000" w:type="dxa"/>
            <w:vAlign w:val="bottom"/>
          </w:tcPr>
          <w:p>
            <w:pPr>
              <w:ind w:left="1300"/>
              <w:spacing w:after="0"/>
              <w:rPr>
                <w:sz w:val="20"/>
                <w:szCs w:val="20"/>
                <w:color w:val="auto"/>
              </w:rPr>
            </w:pPr>
            <w:r>
              <w:rPr>
                <w:rFonts w:ascii="Arial" w:cs="Arial" w:eastAsia="Arial" w:hAnsi="Arial"/>
                <w:sz w:val="16"/>
                <w:szCs w:val="16"/>
                <w:color w:val="auto"/>
              </w:rPr>
              <w:t>New Zealand</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Rhodes Peninsula Cinema Pty Ltd</w:t>
            </w:r>
          </w:p>
        </w:tc>
        <w:tc>
          <w:tcPr>
            <w:tcW w:w="4000" w:type="dxa"/>
            <w:vAlign w:val="bottom"/>
          </w:tcPr>
          <w:p>
            <w:pPr>
              <w:ind w:left="1300"/>
              <w:spacing w:after="0"/>
              <w:rPr>
                <w:sz w:val="20"/>
                <w:szCs w:val="20"/>
                <w:color w:val="auto"/>
              </w:rPr>
            </w:pPr>
            <w:r>
              <w:rPr>
                <w:rFonts w:ascii="Arial" w:cs="Arial" w:eastAsia="Arial" w:hAnsi="Arial"/>
                <w:sz w:val="16"/>
                <w:szCs w:val="16"/>
                <w:color w:val="auto"/>
              </w:rPr>
              <w:t>Australia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Rialto Cinemas Ltd</w:t>
            </w:r>
          </w:p>
        </w:tc>
        <w:tc>
          <w:tcPr>
            <w:tcW w:w="4000" w:type="dxa"/>
            <w:vAlign w:val="bottom"/>
          </w:tcPr>
          <w:p>
            <w:pPr>
              <w:ind w:left="1300"/>
              <w:spacing w:after="0"/>
              <w:rPr>
                <w:sz w:val="20"/>
                <w:szCs w:val="20"/>
                <w:color w:val="auto"/>
              </w:rPr>
            </w:pPr>
            <w:r>
              <w:rPr>
                <w:rFonts w:ascii="Arial" w:cs="Arial" w:eastAsia="Arial" w:hAnsi="Arial"/>
                <w:sz w:val="16"/>
                <w:szCs w:val="16"/>
                <w:color w:val="auto"/>
              </w:rPr>
              <w:t>New Zealand</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Rialto Entertainment Ltd</w:t>
            </w:r>
          </w:p>
        </w:tc>
        <w:tc>
          <w:tcPr>
            <w:tcW w:w="4000" w:type="dxa"/>
            <w:vAlign w:val="bottom"/>
          </w:tcPr>
          <w:p>
            <w:pPr>
              <w:ind w:left="1300"/>
              <w:spacing w:after="0"/>
              <w:rPr>
                <w:sz w:val="20"/>
                <w:szCs w:val="20"/>
                <w:color w:val="auto"/>
              </w:rPr>
            </w:pPr>
            <w:r>
              <w:rPr>
                <w:rFonts w:ascii="Arial" w:cs="Arial" w:eastAsia="Arial" w:hAnsi="Arial"/>
                <w:sz w:val="16"/>
                <w:szCs w:val="16"/>
                <w:color w:val="auto"/>
              </w:rPr>
              <w:t>New Zealand</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Ronwood Investments Ltd</w:t>
            </w:r>
          </w:p>
        </w:tc>
        <w:tc>
          <w:tcPr>
            <w:tcW w:w="4000" w:type="dxa"/>
            <w:vAlign w:val="bottom"/>
          </w:tcPr>
          <w:p>
            <w:pPr>
              <w:ind w:left="1300"/>
              <w:spacing w:after="0"/>
              <w:rPr>
                <w:sz w:val="20"/>
                <w:szCs w:val="20"/>
                <w:color w:val="auto"/>
              </w:rPr>
            </w:pPr>
            <w:r>
              <w:rPr>
                <w:rFonts w:ascii="Arial" w:cs="Arial" w:eastAsia="Arial" w:hAnsi="Arial"/>
                <w:sz w:val="16"/>
                <w:szCs w:val="16"/>
                <w:color w:val="auto"/>
              </w:rPr>
              <w:t>New Zealand</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Rydal Equipment Co.</w:t>
            </w:r>
          </w:p>
        </w:tc>
        <w:tc>
          <w:tcPr>
            <w:tcW w:w="4000" w:type="dxa"/>
            <w:vAlign w:val="bottom"/>
          </w:tcPr>
          <w:p>
            <w:pPr>
              <w:ind w:left="1300"/>
              <w:spacing w:after="0"/>
              <w:rPr>
                <w:sz w:val="20"/>
                <w:szCs w:val="20"/>
                <w:color w:val="auto"/>
              </w:rPr>
            </w:pPr>
            <w:r>
              <w:rPr>
                <w:rFonts w:ascii="Arial" w:cs="Arial" w:eastAsia="Arial" w:hAnsi="Arial"/>
                <w:sz w:val="16"/>
                <w:szCs w:val="16"/>
                <w:color w:val="auto"/>
              </w:rPr>
              <w:t>Pennsylvania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S Note Liquidation Company, LLC</w:t>
            </w:r>
          </w:p>
        </w:tc>
        <w:tc>
          <w:tcPr>
            <w:tcW w:w="4000" w:type="dxa"/>
            <w:vAlign w:val="bottom"/>
          </w:tcPr>
          <w:p>
            <w:pPr>
              <w:ind w:left="1300"/>
              <w:spacing w:after="0"/>
              <w:rPr>
                <w:sz w:val="20"/>
                <w:szCs w:val="20"/>
                <w:color w:val="auto"/>
              </w:rPr>
            </w:pPr>
            <w:r>
              <w:rPr>
                <w:rFonts w:ascii="Arial" w:cs="Arial" w:eastAsia="Arial" w:hAnsi="Arial"/>
                <w:sz w:val="16"/>
                <w:szCs w:val="16"/>
                <w:color w:val="auto"/>
              </w:rPr>
              <w:t>Nevada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Sails Apartments Management Ltd</w:t>
            </w:r>
          </w:p>
        </w:tc>
        <w:tc>
          <w:tcPr>
            <w:tcW w:w="4000" w:type="dxa"/>
            <w:vAlign w:val="bottom"/>
          </w:tcPr>
          <w:p>
            <w:pPr>
              <w:ind w:left="1300"/>
              <w:spacing w:after="0"/>
              <w:rPr>
                <w:sz w:val="20"/>
                <w:szCs w:val="20"/>
                <w:color w:val="auto"/>
              </w:rPr>
            </w:pPr>
            <w:r>
              <w:rPr>
                <w:rFonts w:ascii="Arial" w:cs="Arial" w:eastAsia="Arial" w:hAnsi="Arial"/>
                <w:sz w:val="16"/>
                <w:szCs w:val="16"/>
                <w:color w:val="auto"/>
              </w:rPr>
              <w:t>New Zealand</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Shadow View Land and Farming, LLC</w:t>
            </w:r>
          </w:p>
        </w:tc>
        <w:tc>
          <w:tcPr>
            <w:tcW w:w="4000" w:type="dxa"/>
            <w:vAlign w:val="bottom"/>
          </w:tcPr>
          <w:p>
            <w:pPr>
              <w:ind w:left="1300"/>
              <w:spacing w:after="0"/>
              <w:rPr>
                <w:sz w:val="20"/>
                <w:szCs w:val="20"/>
                <w:color w:val="auto"/>
              </w:rPr>
            </w:pPr>
            <w:r>
              <w:rPr>
                <w:rFonts w:ascii="Arial" w:cs="Arial" w:eastAsia="Arial" w:hAnsi="Arial"/>
                <w:sz w:val="16"/>
                <w:szCs w:val="16"/>
                <w:color w:val="auto"/>
              </w:rPr>
              <w:t>Nevada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State Cinema Hobart Pty Ltd (fka - Reading Colac Pty Ltd)</w:t>
            </w:r>
          </w:p>
        </w:tc>
        <w:tc>
          <w:tcPr>
            <w:tcW w:w="4000" w:type="dxa"/>
            <w:vAlign w:val="bottom"/>
          </w:tcPr>
          <w:p>
            <w:pPr>
              <w:ind w:left="1300"/>
              <w:spacing w:after="0"/>
              <w:rPr>
                <w:sz w:val="20"/>
                <w:szCs w:val="20"/>
                <w:color w:val="auto"/>
              </w:rPr>
            </w:pPr>
            <w:r>
              <w:rPr>
                <w:rFonts w:ascii="Arial" w:cs="Arial" w:eastAsia="Arial" w:hAnsi="Arial"/>
                <w:sz w:val="16"/>
                <w:szCs w:val="16"/>
                <w:color w:val="auto"/>
              </w:rPr>
              <w:t>Australia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Sutton Hill Properties, LLC</w:t>
            </w:r>
          </w:p>
        </w:tc>
        <w:tc>
          <w:tcPr>
            <w:tcW w:w="4000" w:type="dxa"/>
            <w:vAlign w:val="bottom"/>
          </w:tcPr>
          <w:p>
            <w:pPr>
              <w:ind w:left="1300"/>
              <w:spacing w:after="0"/>
              <w:rPr>
                <w:sz w:val="20"/>
                <w:szCs w:val="20"/>
                <w:color w:val="auto"/>
              </w:rPr>
            </w:pPr>
            <w:r>
              <w:rPr>
                <w:rFonts w:ascii="Arial" w:cs="Arial" w:eastAsia="Arial" w:hAnsi="Arial"/>
                <w:sz w:val="16"/>
                <w:szCs w:val="16"/>
                <w:color w:val="auto"/>
              </w:rPr>
              <w:t>Nevada</w:t>
            </w:r>
          </w:p>
        </w:tc>
      </w:tr>
      <w:tr>
        <w:trPr>
          <w:trHeight w:val="217"/>
        </w:trPr>
        <w:tc>
          <w:tcPr>
            <w:tcW w:w="5220" w:type="dxa"/>
            <w:vAlign w:val="bottom"/>
          </w:tcPr>
          <w:p>
            <w:pPr>
              <w:ind w:left="100"/>
              <w:spacing w:after="0"/>
              <w:rPr>
                <w:sz w:val="20"/>
                <w:szCs w:val="20"/>
                <w:color w:val="auto"/>
              </w:rPr>
            </w:pPr>
            <w:r>
              <w:rPr>
                <w:rFonts w:ascii="Arial" w:cs="Arial" w:eastAsia="Arial" w:hAnsi="Arial"/>
                <w:sz w:val="16"/>
                <w:szCs w:val="16"/>
                <w:color w:val="auto"/>
              </w:rPr>
              <w:t>The Theatre At Legacy L.P.</w:t>
            </w:r>
          </w:p>
        </w:tc>
        <w:tc>
          <w:tcPr>
            <w:tcW w:w="4000" w:type="dxa"/>
            <w:vAlign w:val="bottom"/>
          </w:tcPr>
          <w:p>
            <w:pPr>
              <w:ind w:left="1300"/>
              <w:spacing w:after="0"/>
              <w:rPr>
                <w:sz w:val="20"/>
                <w:szCs w:val="20"/>
                <w:color w:val="auto"/>
              </w:rPr>
            </w:pPr>
            <w:r>
              <w:rPr>
                <w:rFonts w:ascii="Arial" w:cs="Arial" w:eastAsia="Arial" w:hAnsi="Arial"/>
                <w:sz w:val="16"/>
                <w:szCs w:val="16"/>
                <w:color w:val="auto"/>
              </w:rPr>
              <w:t>Texas</w:t>
            </w:r>
          </w:p>
        </w:tc>
      </w:tr>
      <w:tr>
        <w:trPr>
          <w:trHeight w:val="182"/>
        </w:trPr>
        <w:tc>
          <w:tcPr>
            <w:tcW w:w="5220" w:type="dxa"/>
            <w:vAlign w:val="bottom"/>
            <w:tcBorders>
              <w:bottom w:val="single" w:sz="8" w:color="9A9A9A"/>
            </w:tcBorders>
          </w:tcPr>
          <w:p>
            <w:pPr>
              <w:spacing w:after="0"/>
              <w:rPr>
                <w:sz w:val="15"/>
                <w:szCs w:val="15"/>
                <w:color w:val="auto"/>
              </w:rPr>
            </w:pPr>
          </w:p>
        </w:tc>
        <w:tc>
          <w:tcPr>
            <w:tcW w:w="4000" w:type="dxa"/>
            <w:vAlign w:val="bottom"/>
            <w:tcBorders>
              <w:bottom w:val="single" w:sz="8" w:color="9A9A9A"/>
            </w:tcBorders>
          </w:tcPr>
          <w:p>
            <w:pPr>
              <w:spacing w:after="0"/>
              <w:rPr>
                <w:sz w:val="15"/>
                <w:szCs w:val="15"/>
                <w:color w:val="auto"/>
              </w:rPr>
            </w:pPr>
          </w:p>
        </w:tc>
      </w:tr>
      <w:tr>
        <w:trPr>
          <w:trHeight w:val="20"/>
        </w:trPr>
        <w:tc>
          <w:tcPr>
            <w:tcW w:w="5220" w:type="dxa"/>
            <w:vAlign w:val="bottom"/>
            <w:tcBorders>
              <w:bottom w:val="single" w:sz="8" w:color="EEEEEE"/>
            </w:tcBorders>
          </w:tcPr>
          <w:p>
            <w:pPr>
              <w:spacing w:after="0" w:line="20" w:lineRule="exact"/>
              <w:rPr>
                <w:sz w:val="1"/>
                <w:szCs w:val="1"/>
                <w:color w:val="auto"/>
              </w:rPr>
            </w:pPr>
          </w:p>
        </w:tc>
        <w:tc>
          <w:tcPr>
            <w:tcW w:w="40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-33020</wp:posOffset>
            </wp:positionV>
            <wp:extent cx="32385" cy="463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9">
                      <a:extLst>
                        <a:ext uri="{28A0092B-C50C-407E-A947-70E740481C1C}"/>
                      </a:extLst>
                    </a:blip>
                    <a:srcRect/>
                    <a:stretch>
                      <a:fillRect/>
                    </a:stretch>
                  </pic:blipFill>
                  <pic:spPr bwMode="auto">
                    <a:xfrm>
                      <a:off x="0" y="0"/>
                      <a:ext cx="32385" cy="463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-33020</wp:posOffset>
            </wp:positionV>
            <wp:extent cx="32385" cy="463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0">
                      <a:extLst>
                        <a:ext uri="{28A0092B-C50C-407E-A947-70E740481C1C}"/>
                      </a:extLst>
                    </a:blip>
                    <a:srcRect/>
                    <a:stretch>
                      <a:fillRect/>
                    </a:stretch>
                  </pic:blipFill>
                  <pic:spPr bwMode="auto">
                    <a:xfrm>
                      <a:off x="0" y="0"/>
                      <a:ext cx="32385" cy="46355"/>
                    </a:xfrm>
                    <a:prstGeom prst="rect">
                      <a:avLst/>
                    </a:prstGeom>
                    <a:noFill/>
                  </pic:spPr>
                </pic:pic>
              </a:graphicData>
            </a:graphic>
          </wp:anchor>
        </w:drawing>
      </w:r>
    </w:p>
    <w:p>
      <w:pPr>
        <w:sectPr>
          <w:pgSz w:w="11900" w:h="16838" w:orient="portrait"/>
          <w:cols w:equalWidth="0" w:num="1">
            <w:col w:w="9220"/>
          </w:cols>
          <w:pgMar w:left="1340" w:top="146" w:right="1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02"/>
        </w:trPr>
        <w:tc>
          <w:tcPr>
            <w:tcW w:w="4760" w:type="dxa"/>
            <w:vAlign w:val="bottom"/>
          </w:tcPr>
          <w:p>
            <w:pPr>
              <w:ind w:left="100"/>
              <w:spacing w:after="0"/>
              <w:rPr>
                <w:sz w:val="20"/>
                <w:szCs w:val="20"/>
                <w:color w:val="auto"/>
              </w:rPr>
            </w:pPr>
            <w:r>
              <w:rPr>
                <w:rFonts w:ascii="Arial" w:cs="Arial" w:eastAsia="Arial" w:hAnsi="Arial"/>
                <w:sz w:val="16"/>
                <w:szCs w:val="16"/>
                <w:color w:val="auto"/>
              </w:rPr>
              <w:t>Tobrooke Holdings Ltd</w:t>
            </w:r>
          </w:p>
        </w:tc>
        <w:tc>
          <w:tcPr>
            <w:tcW w:w="4460" w:type="dxa"/>
            <w:vAlign w:val="bottom"/>
          </w:tcPr>
          <w:p>
            <w:pPr>
              <w:ind w:left="1760"/>
              <w:spacing w:after="0"/>
              <w:rPr>
                <w:sz w:val="20"/>
                <w:szCs w:val="20"/>
                <w:color w:val="auto"/>
              </w:rPr>
            </w:pPr>
            <w:r>
              <w:rPr>
                <w:rFonts w:ascii="Arial" w:cs="Arial" w:eastAsia="Arial" w:hAnsi="Arial"/>
                <w:sz w:val="16"/>
                <w:szCs w:val="16"/>
                <w:color w:val="auto"/>
              </w:rPr>
              <w:t>New Zealand</w:t>
            </w:r>
          </w:p>
        </w:tc>
      </w:tr>
      <w:tr>
        <w:trPr>
          <w:trHeight w:val="217"/>
        </w:trPr>
        <w:tc>
          <w:tcPr>
            <w:tcW w:w="4760" w:type="dxa"/>
            <w:vAlign w:val="bottom"/>
          </w:tcPr>
          <w:p>
            <w:pPr>
              <w:ind w:left="100"/>
              <w:spacing w:after="0"/>
              <w:rPr>
                <w:sz w:val="20"/>
                <w:szCs w:val="20"/>
                <w:color w:val="auto"/>
              </w:rPr>
            </w:pPr>
            <w:r>
              <w:rPr>
                <w:rFonts w:ascii="Arial" w:cs="Arial" w:eastAsia="Arial" w:hAnsi="Arial"/>
                <w:sz w:val="16"/>
                <w:szCs w:val="16"/>
                <w:color w:val="auto"/>
              </w:rPr>
              <w:t>Trans-Pacific Finance Fund I, LLC</w:t>
            </w:r>
          </w:p>
        </w:tc>
        <w:tc>
          <w:tcPr>
            <w:tcW w:w="4460" w:type="dxa"/>
            <w:vAlign w:val="bottom"/>
          </w:tcPr>
          <w:p>
            <w:pPr>
              <w:ind w:left="1760"/>
              <w:spacing w:after="0"/>
              <w:rPr>
                <w:sz w:val="20"/>
                <w:szCs w:val="20"/>
                <w:color w:val="auto"/>
              </w:rPr>
            </w:pPr>
            <w:r>
              <w:rPr>
                <w:rFonts w:ascii="Arial" w:cs="Arial" w:eastAsia="Arial" w:hAnsi="Arial"/>
                <w:sz w:val="16"/>
                <w:szCs w:val="16"/>
                <w:color w:val="auto"/>
              </w:rPr>
              <w:t>Delaware</w:t>
            </w:r>
          </w:p>
        </w:tc>
      </w:tr>
      <w:tr>
        <w:trPr>
          <w:trHeight w:val="217"/>
        </w:trPr>
        <w:tc>
          <w:tcPr>
            <w:tcW w:w="4760" w:type="dxa"/>
            <w:vAlign w:val="bottom"/>
          </w:tcPr>
          <w:p>
            <w:pPr>
              <w:ind w:left="100"/>
              <w:spacing w:after="0"/>
              <w:rPr>
                <w:sz w:val="20"/>
                <w:szCs w:val="20"/>
                <w:color w:val="auto"/>
              </w:rPr>
            </w:pPr>
            <w:r>
              <w:rPr>
                <w:rFonts w:ascii="Arial" w:cs="Arial" w:eastAsia="Arial" w:hAnsi="Arial"/>
                <w:sz w:val="16"/>
                <w:szCs w:val="16"/>
                <w:color w:val="auto"/>
              </w:rPr>
              <w:t>Trenton-Princeton Traction Company</w:t>
            </w:r>
          </w:p>
        </w:tc>
        <w:tc>
          <w:tcPr>
            <w:tcW w:w="4460" w:type="dxa"/>
            <w:vAlign w:val="bottom"/>
          </w:tcPr>
          <w:p>
            <w:pPr>
              <w:ind w:left="1760"/>
              <w:spacing w:after="0"/>
              <w:rPr>
                <w:sz w:val="20"/>
                <w:szCs w:val="20"/>
                <w:color w:val="auto"/>
              </w:rPr>
            </w:pPr>
            <w:r>
              <w:rPr>
                <w:rFonts w:ascii="Arial" w:cs="Arial" w:eastAsia="Arial" w:hAnsi="Arial"/>
                <w:sz w:val="16"/>
                <w:szCs w:val="16"/>
                <w:color w:val="auto"/>
              </w:rPr>
              <w:t>New Jersey</w:t>
            </w:r>
          </w:p>
        </w:tc>
      </w:tr>
      <w:tr>
        <w:trPr>
          <w:trHeight w:val="217"/>
        </w:trPr>
        <w:tc>
          <w:tcPr>
            <w:tcW w:w="4760" w:type="dxa"/>
            <w:vAlign w:val="bottom"/>
          </w:tcPr>
          <w:p>
            <w:pPr>
              <w:ind w:left="100"/>
              <w:spacing w:after="0"/>
              <w:rPr>
                <w:sz w:val="20"/>
                <w:szCs w:val="20"/>
                <w:color w:val="auto"/>
              </w:rPr>
            </w:pPr>
            <w:r>
              <w:rPr>
                <w:rFonts w:ascii="Arial" w:cs="Arial" w:eastAsia="Arial" w:hAnsi="Arial"/>
                <w:sz w:val="16"/>
                <w:szCs w:val="16"/>
                <w:color w:val="auto"/>
              </w:rPr>
              <w:t>Twin Cities Cinemas, Inc.</w:t>
            </w:r>
          </w:p>
        </w:tc>
        <w:tc>
          <w:tcPr>
            <w:tcW w:w="4460" w:type="dxa"/>
            <w:vAlign w:val="bottom"/>
          </w:tcPr>
          <w:p>
            <w:pPr>
              <w:ind w:left="1760"/>
              <w:spacing w:after="0"/>
              <w:rPr>
                <w:sz w:val="20"/>
                <w:szCs w:val="20"/>
                <w:color w:val="auto"/>
              </w:rPr>
            </w:pPr>
            <w:r>
              <w:rPr>
                <w:rFonts w:ascii="Arial" w:cs="Arial" w:eastAsia="Arial" w:hAnsi="Arial"/>
                <w:sz w:val="16"/>
                <w:szCs w:val="16"/>
                <w:color w:val="auto"/>
              </w:rPr>
              <w:t>Delaware</w:t>
            </w:r>
          </w:p>
        </w:tc>
      </w:tr>
      <w:tr>
        <w:trPr>
          <w:trHeight w:val="217"/>
        </w:trPr>
        <w:tc>
          <w:tcPr>
            <w:tcW w:w="4760" w:type="dxa"/>
            <w:vAlign w:val="bottom"/>
          </w:tcPr>
          <w:p>
            <w:pPr>
              <w:ind w:left="100"/>
              <w:spacing w:after="0"/>
              <w:rPr>
                <w:sz w:val="20"/>
                <w:szCs w:val="20"/>
                <w:color w:val="auto"/>
              </w:rPr>
            </w:pPr>
            <w:r>
              <w:rPr>
                <w:rFonts w:ascii="Arial" w:cs="Arial" w:eastAsia="Arial" w:hAnsi="Arial"/>
                <w:sz w:val="16"/>
                <w:szCs w:val="16"/>
                <w:color w:val="auto"/>
              </w:rPr>
              <w:t>US Agricultural Investors, LLC</w:t>
            </w:r>
          </w:p>
        </w:tc>
        <w:tc>
          <w:tcPr>
            <w:tcW w:w="4460" w:type="dxa"/>
            <w:vAlign w:val="bottom"/>
          </w:tcPr>
          <w:p>
            <w:pPr>
              <w:ind w:left="1760"/>
              <w:spacing w:after="0"/>
              <w:rPr>
                <w:sz w:val="20"/>
                <w:szCs w:val="20"/>
                <w:color w:val="auto"/>
              </w:rPr>
            </w:pPr>
            <w:r>
              <w:rPr>
                <w:rFonts w:ascii="Arial" w:cs="Arial" w:eastAsia="Arial" w:hAnsi="Arial"/>
                <w:sz w:val="16"/>
                <w:szCs w:val="16"/>
                <w:color w:val="auto"/>
              </w:rPr>
              <w:t>Delaware</w:t>
            </w:r>
          </w:p>
        </w:tc>
      </w:tr>
      <w:tr>
        <w:trPr>
          <w:trHeight w:val="217"/>
        </w:trPr>
        <w:tc>
          <w:tcPr>
            <w:tcW w:w="4760" w:type="dxa"/>
            <w:vAlign w:val="bottom"/>
          </w:tcPr>
          <w:p>
            <w:pPr>
              <w:ind w:left="100"/>
              <w:spacing w:after="0"/>
              <w:rPr>
                <w:sz w:val="20"/>
                <w:szCs w:val="20"/>
                <w:color w:val="auto"/>
              </w:rPr>
            </w:pPr>
            <w:r>
              <w:rPr>
                <w:rFonts w:ascii="Arial" w:cs="Arial" w:eastAsia="Arial" w:hAnsi="Arial"/>
                <w:sz w:val="16"/>
                <w:szCs w:val="16"/>
                <w:color w:val="auto"/>
              </w:rPr>
              <w:t>US Development, LLC</w:t>
            </w:r>
          </w:p>
        </w:tc>
        <w:tc>
          <w:tcPr>
            <w:tcW w:w="4460" w:type="dxa"/>
            <w:vAlign w:val="bottom"/>
          </w:tcPr>
          <w:p>
            <w:pPr>
              <w:ind w:left="1760"/>
              <w:spacing w:after="0"/>
              <w:rPr>
                <w:sz w:val="20"/>
                <w:szCs w:val="20"/>
                <w:color w:val="auto"/>
              </w:rPr>
            </w:pPr>
            <w:r>
              <w:rPr>
                <w:rFonts w:ascii="Arial" w:cs="Arial" w:eastAsia="Arial" w:hAnsi="Arial"/>
                <w:sz w:val="16"/>
                <w:szCs w:val="16"/>
                <w:color w:val="auto"/>
              </w:rPr>
              <w:t>Nevada</w:t>
            </w:r>
          </w:p>
        </w:tc>
      </w:tr>
      <w:tr>
        <w:trPr>
          <w:trHeight w:val="217"/>
        </w:trPr>
        <w:tc>
          <w:tcPr>
            <w:tcW w:w="4760" w:type="dxa"/>
            <w:vAlign w:val="bottom"/>
          </w:tcPr>
          <w:p>
            <w:pPr>
              <w:ind w:left="100"/>
              <w:spacing w:after="0"/>
              <w:rPr>
                <w:sz w:val="20"/>
                <w:szCs w:val="20"/>
                <w:color w:val="auto"/>
              </w:rPr>
            </w:pPr>
            <w:r>
              <w:rPr>
                <w:rFonts w:ascii="Arial" w:cs="Arial" w:eastAsia="Arial" w:hAnsi="Arial"/>
                <w:sz w:val="16"/>
                <w:szCs w:val="16"/>
                <w:color w:val="auto"/>
              </w:rPr>
              <w:t>US International Property Finance Pty Ltd</w:t>
            </w:r>
          </w:p>
        </w:tc>
        <w:tc>
          <w:tcPr>
            <w:tcW w:w="4460" w:type="dxa"/>
            <w:vAlign w:val="bottom"/>
          </w:tcPr>
          <w:p>
            <w:pPr>
              <w:ind w:left="1760"/>
              <w:spacing w:after="0"/>
              <w:rPr>
                <w:sz w:val="20"/>
                <w:szCs w:val="20"/>
                <w:color w:val="auto"/>
              </w:rPr>
            </w:pPr>
            <w:r>
              <w:rPr>
                <w:rFonts w:ascii="Arial" w:cs="Arial" w:eastAsia="Arial" w:hAnsi="Arial"/>
                <w:sz w:val="16"/>
                <w:szCs w:val="16"/>
                <w:color w:val="auto"/>
              </w:rPr>
              <w:t>Australia</w:t>
            </w:r>
          </w:p>
        </w:tc>
      </w:tr>
      <w:tr>
        <w:trPr>
          <w:trHeight w:val="217"/>
        </w:trPr>
        <w:tc>
          <w:tcPr>
            <w:tcW w:w="4760" w:type="dxa"/>
            <w:vAlign w:val="bottom"/>
          </w:tcPr>
          <w:p>
            <w:pPr>
              <w:ind w:left="100"/>
              <w:spacing w:after="0"/>
              <w:rPr>
                <w:sz w:val="20"/>
                <w:szCs w:val="20"/>
                <w:color w:val="auto"/>
              </w:rPr>
            </w:pPr>
            <w:r>
              <w:rPr>
                <w:rFonts w:ascii="Arial" w:cs="Arial" w:eastAsia="Arial" w:hAnsi="Arial"/>
                <w:sz w:val="16"/>
                <w:szCs w:val="16"/>
                <w:color w:val="auto"/>
              </w:rPr>
              <w:t>Washington and Franklin Railway Company</w:t>
            </w:r>
          </w:p>
        </w:tc>
        <w:tc>
          <w:tcPr>
            <w:tcW w:w="4460" w:type="dxa"/>
            <w:vAlign w:val="bottom"/>
          </w:tcPr>
          <w:p>
            <w:pPr>
              <w:ind w:left="1760"/>
              <w:spacing w:after="0"/>
              <w:rPr>
                <w:sz w:val="20"/>
                <w:szCs w:val="20"/>
                <w:color w:val="auto"/>
              </w:rPr>
            </w:pPr>
            <w:r>
              <w:rPr>
                <w:rFonts w:ascii="Arial" w:cs="Arial" w:eastAsia="Arial" w:hAnsi="Arial"/>
                <w:sz w:val="16"/>
                <w:szCs w:val="16"/>
                <w:color w:val="auto"/>
              </w:rPr>
              <w:t>Pennsylvania</w:t>
            </w:r>
          </w:p>
        </w:tc>
      </w:tr>
      <w:tr>
        <w:trPr>
          <w:trHeight w:val="217"/>
        </w:trPr>
        <w:tc>
          <w:tcPr>
            <w:tcW w:w="4760" w:type="dxa"/>
            <w:vAlign w:val="bottom"/>
          </w:tcPr>
          <w:p>
            <w:pPr>
              <w:ind w:left="100"/>
              <w:spacing w:after="0"/>
              <w:rPr>
                <w:sz w:val="20"/>
                <w:szCs w:val="20"/>
                <w:color w:val="auto"/>
              </w:rPr>
            </w:pPr>
            <w:r>
              <w:rPr>
                <w:rFonts w:ascii="Arial" w:cs="Arial" w:eastAsia="Arial" w:hAnsi="Arial"/>
                <w:sz w:val="16"/>
                <w:szCs w:val="16"/>
                <w:color w:val="auto"/>
              </w:rPr>
              <w:t>Westlakes Cinema Pty Ltd</w:t>
            </w:r>
          </w:p>
        </w:tc>
        <w:tc>
          <w:tcPr>
            <w:tcW w:w="4460" w:type="dxa"/>
            <w:vAlign w:val="bottom"/>
          </w:tcPr>
          <w:p>
            <w:pPr>
              <w:ind w:left="1760"/>
              <w:spacing w:after="0"/>
              <w:rPr>
                <w:sz w:val="20"/>
                <w:szCs w:val="20"/>
                <w:color w:val="auto"/>
              </w:rPr>
            </w:pPr>
            <w:r>
              <w:rPr>
                <w:rFonts w:ascii="Arial" w:cs="Arial" w:eastAsia="Arial" w:hAnsi="Arial"/>
                <w:sz w:val="16"/>
                <w:szCs w:val="16"/>
                <w:color w:val="auto"/>
              </w:rPr>
              <w:t>Australia</w:t>
            </w:r>
          </w:p>
        </w:tc>
      </w:tr>
      <w:tr>
        <w:trPr>
          <w:trHeight w:val="217"/>
        </w:trPr>
        <w:tc>
          <w:tcPr>
            <w:tcW w:w="4760" w:type="dxa"/>
            <w:vAlign w:val="bottom"/>
          </w:tcPr>
          <w:p>
            <w:pPr>
              <w:ind w:left="100"/>
              <w:spacing w:after="0"/>
              <w:rPr>
                <w:sz w:val="20"/>
                <w:szCs w:val="20"/>
                <w:color w:val="auto"/>
              </w:rPr>
            </w:pPr>
            <w:r>
              <w:rPr>
                <w:rFonts w:ascii="Arial" w:cs="Arial" w:eastAsia="Arial" w:hAnsi="Arial"/>
                <w:sz w:val="16"/>
                <w:szCs w:val="16"/>
                <w:color w:val="auto"/>
              </w:rPr>
              <w:t>Wilmington and Northern Railroad Company</w:t>
            </w:r>
          </w:p>
        </w:tc>
        <w:tc>
          <w:tcPr>
            <w:tcW w:w="4460" w:type="dxa"/>
            <w:vAlign w:val="bottom"/>
          </w:tcPr>
          <w:p>
            <w:pPr>
              <w:ind w:left="1760"/>
              <w:spacing w:after="0"/>
              <w:rPr>
                <w:sz w:val="20"/>
                <w:szCs w:val="20"/>
                <w:color w:val="auto"/>
              </w:rPr>
            </w:pPr>
            <w:r>
              <w:rPr>
                <w:rFonts w:ascii="Arial" w:cs="Arial" w:eastAsia="Arial" w:hAnsi="Arial"/>
                <w:sz w:val="16"/>
                <w:szCs w:val="16"/>
                <w:color w:val="auto"/>
              </w:rPr>
              <w:t>Pennsylvania</w:t>
            </w:r>
          </w:p>
        </w:tc>
      </w:tr>
      <w:tr>
        <w:trPr>
          <w:trHeight w:val="398"/>
        </w:trPr>
        <w:tc>
          <w:tcPr>
            <w:tcW w:w="476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r>
        <w:trPr>
          <w:trHeight w:val="20"/>
        </w:trPr>
        <w:tc>
          <w:tcPr>
            <w:tcW w:w="4760" w:type="dxa"/>
            <w:vAlign w:val="bottom"/>
            <w:tcBorders>
              <w:bottom w:val="single" w:sz="8" w:color="EEEEEE"/>
            </w:tcBorders>
          </w:tcPr>
          <w:p>
            <w:pPr>
              <w:spacing w:after="0" w:line="20" w:lineRule="exact"/>
              <w:rPr>
                <w:sz w:val="1"/>
                <w:szCs w:val="1"/>
                <w:color w:val="auto"/>
              </w:rPr>
            </w:pPr>
          </w:p>
        </w:tc>
        <w:tc>
          <w:tcPr>
            <w:tcW w:w="44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-33020</wp:posOffset>
            </wp:positionV>
            <wp:extent cx="32385" cy="463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1">
                      <a:extLst>
                        <a:ext uri="{28A0092B-C50C-407E-A947-70E740481C1C}"/>
                      </a:extLst>
                    </a:blip>
                    <a:srcRect/>
                    <a:stretch>
                      <a:fillRect/>
                    </a:stretch>
                  </pic:blipFill>
                  <pic:spPr bwMode="auto">
                    <a:xfrm>
                      <a:off x="0" y="0"/>
                      <a:ext cx="32385" cy="463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-33020</wp:posOffset>
            </wp:positionV>
            <wp:extent cx="32385" cy="463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2">
                      <a:extLst>
                        <a:ext uri="{28A0092B-C50C-407E-A947-70E740481C1C}"/>
                      </a:extLst>
                    </a:blip>
                    <a:srcRect/>
                    <a:stretch>
                      <a:fillRect/>
                    </a:stretch>
                  </pic:blipFill>
                  <pic:spPr bwMode="auto">
                    <a:xfrm>
                      <a:off x="0" y="0"/>
                      <a:ext cx="32385" cy="46355"/>
                    </a:xfrm>
                    <a:prstGeom prst="rect">
                      <a:avLst/>
                    </a:prstGeom>
                    <a:noFill/>
                  </pic:spPr>
                </pic:pic>
              </a:graphicData>
            </a:graphic>
          </wp:anchor>
        </w:drawing>
      </w:r>
    </w:p>
    <w:p>
      <w:pPr>
        <w:sectPr>
          <w:pgSz w:w="11900" w:h="16838" w:orient="portrait"/>
          <w:cols w:equalWidth="0" w:num="1">
            <w:col w:w="9220"/>
          </w:cols>
          <w:pgMar w:left="1340" w:top="146" w:right="13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02"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We have issued our reports dated March 16, 2022 with respect to the consolidated financial statements and internal control over financial reporting included in the Annual Report of Reading International, Inc. on Form 10-K for the year ended December 31, 2021. We consent to the incorporation by reference of the said reports in the Registration Statements of Reading International, Inc. on Forms S-8 File No. 333-167101, File No. 333-225471 and File No. 333-254929.</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Los Angeles, California</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March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278765</wp:posOffset>
            </wp:positionV>
            <wp:extent cx="5876925" cy="463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3">
                      <a:extLst>
                        <a:ext uri="{28A0092B-C50C-407E-A947-70E740481C1C}"/>
                      </a:extLst>
                    </a:blip>
                    <a:srcRect/>
                    <a:stretch>
                      <a:fillRect/>
                    </a:stretch>
                  </pic:blipFill>
                  <pic:spPr bwMode="auto">
                    <a:xfrm>
                      <a:off x="0" y="0"/>
                      <a:ext cx="5876925" cy="46355"/>
                    </a:xfrm>
                    <a:prstGeom prst="rect">
                      <a:avLst/>
                    </a:prstGeom>
                    <a:noFill/>
                  </pic:spPr>
                </pic:pic>
              </a:graphicData>
            </a:graphic>
          </wp:anchor>
        </w:drawing>
      </w:r>
    </w:p>
    <w:p>
      <w:pPr>
        <w:sectPr>
          <w:pgSz w:w="11900" w:h="16838" w:orient="portrait"/>
          <w:cols w:equalWidth="0" w:num="1">
            <w:col w:w="9200"/>
          </w:cols>
          <w:pgMar w:left="1340" w:top="110" w:right="1359" w:bottom="1440" w:gutter="0" w:footer="0" w:header="0"/>
        </w:sectPr>
      </w:pPr>
    </w:p>
    <w:bookmarkStart w:id="127" w:name="page128"/>
    <w:bookmarkEnd w:id="127"/>
    <w:p>
      <w:pPr>
        <w:jc w:val="right"/>
        <w:spacing w:after="0"/>
        <w:rPr>
          <w:sz w:val="20"/>
          <w:szCs w:val="20"/>
          <w:color w:val="auto"/>
        </w:rPr>
      </w:pPr>
      <w:r>
        <w:rPr>
          <w:rFonts w:ascii="Arial" w:cs="Arial" w:eastAsia="Arial" w:hAnsi="Arial"/>
          <w:sz w:val="14"/>
          <w:szCs w:val="14"/>
          <w:b w:val="1"/>
          <w:bCs w:val="1"/>
          <w:color w:val="auto"/>
        </w:rPr>
        <w:t>EXHIBIT 31.1</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CERTIFICATION OF PRINCIPAL EXECUTIVE OFFICER PURSUANT TO EXCHANGE ACT RULE 13a-14(a) AS ADOPTED PURSUANT TO</w:t>
      </w:r>
    </w:p>
    <w:p>
      <w:pPr>
        <w:jc w:val="center"/>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I, Ellen M. Cotter, certify that:</w:t>
      </w:r>
    </w:p>
    <w:p>
      <w:pPr>
        <w:spacing w:after="0" w:line="132" w:lineRule="exact"/>
        <w:rPr>
          <w:sz w:val="20"/>
          <w:szCs w:val="20"/>
          <w:color w:val="auto"/>
        </w:rPr>
      </w:pPr>
    </w:p>
    <w:p>
      <w:pPr>
        <w:ind w:left="260" w:hanging="253"/>
        <w:spacing w:after="0"/>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Reading International, Inc.;</w:t>
      </w:r>
    </w:p>
    <w:p>
      <w:pPr>
        <w:spacing w:after="0" w:line="120" w:lineRule="exact"/>
        <w:rPr>
          <w:rFonts w:ascii="Arial" w:cs="Arial" w:eastAsia="Arial" w:hAnsi="Arial"/>
          <w:sz w:val="14"/>
          <w:szCs w:val="14"/>
          <w:color w:val="auto"/>
        </w:rPr>
      </w:pPr>
    </w:p>
    <w:p>
      <w:pPr>
        <w:ind w:left="260" w:hanging="253"/>
        <w:spacing w:after="0" w:line="279" w:lineRule="auto"/>
        <w:tabs>
          <w:tab w:leader="none" w:pos="2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3"/>
          <w:szCs w:val="13"/>
          <w:color w:val="auto"/>
        </w:rPr>
      </w:pPr>
    </w:p>
    <w:p>
      <w:pPr>
        <w:ind w:left="260" w:hanging="253"/>
        <w:spacing w:after="0" w:line="242" w:lineRule="auto"/>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4"/>
          <w:szCs w:val="14"/>
          <w:color w:val="auto"/>
        </w:rPr>
      </w:pPr>
    </w:p>
    <w:p>
      <w:pPr>
        <w:jc w:val="both"/>
        <w:ind w:left="260" w:hanging="253"/>
        <w:spacing w:after="0" w:line="230" w:lineRule="auto"/>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4"/>
          <w:szCs w:val="14"/>
          <w:color w:val="auto"/>
        </w:rPr>
      </w:pPr>
    </w:p>
    <w:p>
      <w:pPr>
        <w:jc w:val="both"/>
        <w:ind w:left="520" w:hanging="252"/>
        <w:spacing w:after="0" w:line="230" w:lineRule="auto"/>
        <w:tabs>
          <w:tab w:leader="none" w:pos="520" w:val="left"/>
        </w:tabs>
        <w:numPr>
          <w:ilvl w:val="1"/>
          <w:numId w:val="3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4"/>
          <w:szCs w:val="14"/>
          <w:color w:val="auto"/>
        </w:rPr>
      </w:pPr>
    </w:p>
    <w:p>
      <w:pPr>
        <w:jc w:val="both"/>
        <w:ind w:left="520" w:hanging="252"/>
        <w:spacing w:after="0" w:line="230" w:lineRule="auto"/>
        <w:tabs>
          <w:tab w:leader="none" w:pos="520" w:val="left"/>
        </w:tabs>
        <w:numPr>
          <w:ilvl w:val="1"/>
          <w:numId w:val="3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4"/>
          <w:szCs w:val="14"/>
          <w:color w:val="auto"/>
        </w:rPr>
      </w:pPr>
    </w:p>
    <w:p>
      <w:pPr>
        <w:ind w:left="520" w:hanging="252"/>
        <w:spacing w:after="0" w:line="242" w:lineRule="auto"/>
        <w:tabs>
          <w:tab w:leader="none" w:pos="520" w:val="left"/>
        </w:tabs>
        <w:numPr>
          <w:ilvl w:val="1"/>
          <w:numId w:val="3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4"/>
          <w:szCs w:val="14"/>
          <w:color w:val="auto"/>
        </w:rPr>
      </w:pPr>
    </w:p>
    <w:p>
      <w:pPr>
        <w:jc w:val="both"/>
        <w:ind w:left="520" w:hanging="252"/>
        <w:spacing w:after="0" w:line="230" w:lineRule="auto"/>
        <w:tabs>
          <w:tab w:leader="none" w:pos="520" w:val="left"/>
        </w:tabs>
        <w:numPr>
          <w:ilvl w:val="1"/>
          <w:numId w:val="3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4"/>
          <w:szCs w:val="14"/>
          <w:color w:val="auto"/>
        </w:rPr>
      </w:pPr>
    </w:p>
    <w:p>
      <w:pPr>
        <w:ind w:left="260" w:hanging="253"/>
        <w:spacing w:after="0" w:line="242" w:lineRule="auto"/>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4"/>
          <w:szCs w:val="14"/>
          <w:color w:val="auto"/>
        </w:rPr>
      </w:pPr>
    </w:p>
    <w:p>
      <w:pPr>
        <w:ind w:left="520" w:hanging="252"/>
        <w:spacing w:after="0" w:line="242" w:lineRule="auto"/>
        <w:tabs>
          <w:tab w:leader="none" w:pos="520" w:val="left"/>
        </w:tabs>
        <w:numPr>
          <w:ilvl w:val="1"/>
          <w:numId w:val="3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14"/>
          <w:szCs w:val="14"/>
          <w:color w:val="auto"/>
        </w:rPr>
      </w:pPr>
    </w:p>
    <w:p>
      <w:pPr>
        <w:ind w:left="520" w:hanging="252"/>
        <w:spacing w:after="0" w:line="242" w:lineRule="auto"/>
        <w:tabs>
          <w:tab w:leader="none" w:pos="520" w:val="left"/>
        </w:tabs>
        <w:numPr>
          <w:ilvl w:val="1"/>
          <w:numId w:val="3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Ellen M. Cotter</w:t>
      </w:r>
    </w:p>
    <w:p>
      <w:pPr>
        <w:spacing w:after="0" w:line="207" w:lineRule="auto"/>
        <w:rPr>
          <w:sz w:val="20"/>
          <w:szCs w:val="20"/>
          <w:color w:val="auto"/>
        </w:rPr>
      </w:pPr>
      <w:r>
        <w:rPr>
          <w:rFonts w:ascii="Arial" w:cs="Arial" w:eastAsia="Arial" w:hAnsi="Arial"/>
          <w:sz w:val="14"/>
          <w:szCs w:val="14"/>
          <w:color w:val="auto"/>
        </w:rPr>
        <w:t>Ellen M. Cotter</w:t>
      </w:r>
    </w:p>
    <w:p>
      <w:pPr>
        <w:spacing w:after="0" w:line="198" w:lineRule="auto"/>
        <w:rPr>
          <w:sz w:val="20"/>
          <w:szCs w:val="20"/>
          <w:color w:val="auto"/>
        </w:rPr>
      </w:pPr>
      <w:r>
        <w:rPr>
          <w:rFonts w:ascii="Arial" w:cs="Arial" w:eastAsia="Arial" w:hAnsi="Arial"/>
          <w:sz w:val="16"/>
          <w:szCs w:val="16"/>
          <w:color w:val="auto"/>
        </w:rPr>
        <w:t>President and Chief Executive Officer</w:t>
      </w:r>
    </w:p>
    <w:p>
      <w:pPr>
        <w:spacing w:after="0"/>
        <w:rPr>
          <w:sz w:val="20"/>
          <w:szCs w:val="20"/>
          <w:color w:val="auto"/>
        </w:rPr>
      </w:pPr>
      <w:r>
        <w:rPr>
          <w:rFonts w:ascii="Arial" w:cs="Arial" w:eastAsia="Arial" w:hAnsi="Arial"/>
          <w:sz w:val="16"/>
          <w:szCs w:val="16"/>
          <w:i w:val="1"/>
          <w:iCs w:val="1"/>
          <w:color w:val="auto"/>
        </w:rPr>
        <w:t>(Principal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March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249555</wp:posOffset>
            </wp:positionV>
            <wp:extent cx="5876925" cy="463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4">
                      <a:extLst>
                        <a:ext uri="{28A0092B-C50C-407E-A947-70E740481C1C}"/>
                      </a:extLst>
                    </a:blip>
                    <a:srcRect/>
                    <a:stretch>
                      <a:fillRect/>
                    </a:stretch>
                  </pic:blipFill>
                  <pic:spPr bwMode="auto">
                    <a:xfrm>
                      <a:off x="0" y="0"/>
                      <a:ext cx="5876925" cy="46355"/>
                    </a:xfrm>
                    <a:prstGeom prst="rect">
                      <a:avLst/>
                    </a:prstGeom>
                    <a:noFill/>
                  </pic:spPr>
                </pic:pic>
              </a:graphicData>
            </a:graphic>
          </wp:anchor>
        </w:drawing>
      </w:r>
    </w:p>
    <w:p>
      <w:pPr>
        <w:sectPr>
          <w:pgSz w:w="11900" w:h="16838" w:orient="portrait"/>
          <w:cols w:equalWidth="0" w:num="1">
            <w:col w:w="9200"/>
          </w:cols>
          <w:pgMar w:left="1340" w:top="114" w:right="1359" w:bottom="1440" w:gutter="0" w:footer="0" w:header="0"/>
        </w:sectPr>
      </w:pPr>
    </w:p>
    <w:bookmarkStart w:id="128" w:name="page129"/>
    <w:bookmarkEnd w:id="128"/>
    <w:p>
      <w:pPr>
        <w:jc w:val="right"/>
        <w:spacing w:after="0"/>
        <w:rPr>
          <w:sz w:val="20"/>
          <w:szCs w:val="20"/>
          <w:color w:val="auto"/>
        </w:rPr>
      </w:pPr>
      <w:r>
        <w:rPr>
          <w:rFonts w:ascii="Arial" w:cs="Arial" w:eastAsia="Arial" w:hAnsi="Arial"/>
          <w:sz w:val="14"/>
          <w:szCs w:val="14"/>
          <w:b w:val="1"/>
          <w:bCs w:val="1"/>
          <w:color w:val="auto"/>
        </w:rPr>
        <w:t>EXHIBIT 31.2</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CERTIFICATION OF PRINCIPAL FINANCIAL OFFICER PURSUANT TO EXCHANGE ACT RULE 13a-14(a) AS ADOPTED PURSUANT TO</w:t>
      </w:r>
    </w:p>
    <w:p>
      <w:pPr>
        <w:jc w:val="center"/>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I, Gilbert Avanes, certify that:</w:t>
      </w:r>
    </w:p>
    <w:p>
      <w:pPr>
        <w:spacing w:after="0" w:line="132" w:lineRule="exact"/>
        <w:rPr>
          <w:sz w:val="20"/>
          <w:szCs w:val="20"/>
          <w:color w:val="auto"/>
        </w:rPr>
      </w:pPr>
    </w:p>
    <w:p>
      <w:pPr>
        <w:ind w:left="260" w:hanging="253"/>
        <w:spacing w:after="0"/>
        <w:tabs>
          <w:tab w:leader="none" w:pos="2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Reading International, Inc.;</w:t>
      </w:r>
    </w:p>
    <w:p>
      <w:pPr>
        <w:spacing w:after="0" w:line="120" w:lineRule="exact"/>
        <w:rPr>
          <w:rFonts w:ascii="Arial" w:cs="Arial" w:eastAsia="Arial" w:hAnsi="Arial"/>
          <w:sz w:val="14"/>
          <w:szCs w:val="14"/>
          <w:color w:val="auto"/>
        </w:rPr>
      </w:pPr>
    </w:p>
    <w:p>
      <w:pPr>
        <w:ind w:left="260" w:hanging="253"/>
        <w:spacing w:after="0" w:line="279" w:lineRule="auto"/>
        <w:tabs>
          <w:tab w:leader="none" w:pos="2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3"/>
          <w:szCs w:val="13"/>
          <w:color w:val="auto"/>
        </w:rPr>
      </w:pPr>
    </w:p>
    <w:p>
      <w:pPr>
        <w:ind w:left="260" w:hanging="253"/>
        <w:spacing w:after="0" w:line="242" w:lineRule="auto"/>
        <w:tabs>
          <w:tab w:leader="none" w:pos="2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4"/>
          <w:szCs w:val="14"/>
          <w:color w:val="auto"/>
        </w:rPr>
      </w:pPr>
    </w:p>
    <w:p>
      <w:pPr>
        <w:jc w:val="both"/>
        <w:ind w:left="260" w:hanging="253"/>
        <w:spacing w:after="0" w:line="230" w:lineRule="auto"/>
        <w:tabs>
          <w:tab w:leader="none" w:pos="2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4"/>
          <w:szCs w:val="14"/>
          <w:color w:val="auto"/>
        </w:rPr>
      </w:pPr>
    </w:p>
    <w:p>
      <w:pPr>
        <w:jc w:val="both"/>
        <w:ind w:left="520" w:hanging="252"/>
        <w:spacing w:after="0" w:line="230" w:lineRule="auto"/>
        <w:tabs>
          <w:tab w:leader="none" w:pos="520" w:val="left"/>
        </w:tabs>
        <w:numPr>
          <w:ilvl w:val="1"/>
          <w:numId w:val="3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4"/>
          <w:szCs w:val="14"/>
          <w:color w:val="auto"/>
        </w:rPr>
      </w:pPr>
    </w:p>
    <w:p>
      <w:pPr>
        <w:jc w:val="both"/>
        <w:ind w:left="520" w:hanging="252"/>
        <w:spacing w:after="0" w:line="230" w:lineRule="auto"/>
        <w:tabs>
          <w:tab w:leader="none" w:pos="520" w:val="left"/>
        </w:tabs>
        <w:numPr>
          <w:ilvl w:val="1"/>
          <w:numId w:val="3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4"/>
          <w:szCs w:val="14"/>
          <w:color w:val="auto"/>
        </w:rPr>
      </w:pPr>
    </w:p>
    <w:p>
      <w:pPr>
        <w:ind w:left="520" w:hanging="252"/>
        <w:spacing w:after="0" w:line="242" w:lineRule="auto"/>
        <w:tabs>
          <w:tab w:leader="none" w:pos="520" w:val="left"/>
        </w:tabs>
        <w:numPr>
          <w:ilvl w:val="1"/>
          <w:numId w:val="3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4"/>
          <w:szCs w:val="14"/>
          <w:color w:val="auto"/>
        </w:rPr>
      </w:pPr>
    </w:p>
    <w:p>
      <w:pPr>
        <w:jc w:val="both"/>
        <w:ind w:left="520" w:hanging="252"/>
        <w:spacing w:after="0" w:line="230" w:lineRule="auto"/>
        <w:tabs>
          <w:tab w:leader="none" w:pos="520" w:val="left"/>
        </w:tabs>
        <w:numPr>
          <w:ilvl w:val="1"/>
          <w:numId w:val="3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4"/>
          <w:szCs w:val="14"/>
          <w:color w:val="auto"/>
        </w:rPr>
      </w:pPr>
    </w:p>
    <w:p>
      <w:pPr>
        <w:ind w:left="260" w:hanging="253"/>
        <w:spacing w:after="0" w:line="242" w:lineRule="auto"/>
        <w:tabs>
          <w:tab w:leader="none" w:pos="2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4"/>
          <w:szCs w:val="14"/>
          <w:color w:val="auto"/>
        </w:rPr>
      </w:pPr>
    </w:p>
    <w:p>
      <w:pPr>
        <w:ind w:left="520" w:hanging="252"/>
        <w:spacing w:after="0" w:line="242" w:lineRule="auto"/>
        <w:tabs>
          <w:tab w:leader="none" w:pos="520" w:val="left"/>
        </w:tabs>
        <w:numPr>
          <w:ilvl w:val="1"/>
          <w:numId w:val="3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14"/>
          <w:szCs w:val="14"/>
          <w:color w:val="auto"/>
        </w:rPr>
      </w:pPr>
    </w:p>
    <w:p>
      <w:pPr>
        <w:ind w:left="520" w:hanging="252"/>
        <w:spacing w:after="0" w:line="242" w:lineRule="auto"/>
        <w:tabs>
          <w:tab w:leader="none" w:pos="520" w:val="left"/>
        </w:tabs>
        <w:numPr>
          <w:ilvl w:val="1"/>
          <w:numId w:val="3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Gilbert Avanes</w:t>
      </w:r>
    </w:p>
    <w:p>
      <w:pPr>
        <w:spacing w:after="0" w:line="210" w:lineRule="auto"/>
        <w:rPr>
          <w:sz w:val="20"/>
          <w:szCs w:val="20"/>
          <w:color w:val="auto"/>
        </w:rPr>
      </w:pPr>
      <w:r>
        <w:rPr>
          <w:rFonts w:ascii="Arial" w:cs="Arial" w:eastAsia="Arial" w:hAnsi="Arial"/>
          <w:sz w:val="14"/>
          <w:szCs w:val="14"/>
          <w:color w:val="auto"/>
        </w:rPr>
        <w:t>Gilbert Avanes</w:t>
      </w:r>
    </w:p>
    <w:p>
      <w:pPr>
        <w:spacing w:after="0" w:line="210" w:lineRule="auto"/>
        <w:rPr>
          <w:sz w:val="20"/>
          <w:szCs w:val="20"/>
          <w:color w:val="auto"/>
        </w:rPr>
      </w:pPr>
      <w:r>
        <w:rPr>
          <w:rFonts w:ascii="Arial" w:cs="Arial" w:eastAsia="Arial" w:hAnsi="Arial"/>
          <w:sz w:val="14"/>
          <w:szCs w:val="14"/>
          <w:color w:val="auto"/>
        </w:rPr>
        <w:t>Executive Vice President, Chief Financial Officer and Treasurer</w:t>
      </w:r>
    </w:p>
    <w:p>
      <w:pPr>
        <w:spacing w:after="0"/>
        <w:rPr>
          <w:sz w:val="20"/>
          <w:szCs w:val="20"/>
          <w:color w:val="auto"/>
        </w:rPr>
      </w:pPr>
      <w:r>
        <w:rPr>
          <w:rFonts w:ascii="Arial" w:cs="Arial" w:eastAsia="Arial" w:hAnsi="Arial"/>
          <w:sz w:val="14"/>
          <w:szCs w:val="14"/>
          <w:i w:val="1"/>
          <w:iCs w:val="1"/>
          <w:color w:val="auto"/>
        </w:rPr>
        <w:t>(Principal Financial Officer)</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March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249555</wp:posOffset>
            </wp:positionV>
            <wp:extent cx="5876925" cy="463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5">
                      <a:extLst>
                        <a:ext uri="{28A0092B-C50C-407E-A947-70E740481C1C}"/>
                      </a:extLst>
                    </a:blip>
                    <a:srcRect/>
                    <a:stretch>
                      <a:fillRect/>
                    </a:stretch>
                  </pic:blipFill>
                  <pic:spPr bwMode="auto">
                    <a:xfrm>
                      <a:off x="0" y="0"/>
                      <a:ext cx="5876925" cy="46355"/>
                    </a:xfrm>
                    <a:prstGeom prst="rect">
                      <a:avLst/>
                    </a:prstGeom>
                    <a:noFill/>
                  </pic:spPr>
                </pic:pic>
              </a:graphicData>
            </a:graphic>
          </wp:anchor>
        </w:drawing>
      </w:r>
    </w:p>
    <w:p>
      <w:pPr>
        <w:sectPr>
          <w:pgSz w:w="11900" w:h="16838" w:orient="portrait"/>
          <w:cols w:equalWidth="0" w:num="1">
            <w:col w:w="9200"/>
          </w:cols>
          <w:pgMar w:left="1340" w:top="114" w:right="1359" w:bottom="1440" w:gutter="0" w:footer="0" w:header="0"/>
        </w:sectPr>
      </w:pPr>
    </w:p>
    <w:bookmarkStart w:id="129" w:name="page130"/>
    <w:bookmarkEnd w:id="129"/>
    <w:p>
      <w:pPr>
        <w:jc w:val="right"/>
        <w:spacing w:after="0"/>
        <w:rPr>
          <w:sz w:val="20"/>
          <w:szCs w:val="20"/>
          <w:color w:val="auto"/>
        </w:rPr>
      </w:pPr>
      <w:r>
        <w:rPr>
          <w:rFonts w:ascii="Arial" w:cs="Arial" w:eastAsia="Arial" w:hAnsi="Arial"/>
          <w:sz w:val="14"/>
          <w:szCs w:val="14"/>
          <w:b w:val="1"/>
          <w:bCs w:val="1"/>
          <w:color w:val="auto"/>
        </w:rPr>
        <w:t>EXHIBIT 32.1</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CERTIFICATION OF PRINCIPAL EXECUTIVE OFFICER PURSUANT TO 18 U.S.C. SECTION 1350 AS ADOPTED 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33" w:lineRule="exact"/>
        <w:rPr>
          <w:sz w:val="20"/>
          <w:szCs w:val="20"/>
          <w:color w:val="auto"/>
        </w:rPr>
      </w:pPr>
    </w:p>
    <w:p>
      <w:pPr>
        <w:jc w:val="both"/>
        <w:ind w:firstLine="520"/>
        <w:spacing w:after="0" w:line="230" w:lineRule="auto"/>
        <w:rPr>
          <w:sz w:val="20"/>
          <w:szCs w:val="20"/>
          <w:color w:val="auto"/>
        </w:rPr>
      </w:pPr>
      <w:r>
        <w:rPr>
          <w:rFonts w:ascii="Arial" w:cs="Arial" w:eastAsia="Arial" w:hAnsi="Arial"/>
          <w:sz w:val="14"/>
          <w:szCs w:val="14"/>
          <w:color w:val="auto"/>
        </w:rPr>
        <w:t>In connection with the accompanying Annual Report of Reading International, Inc. (the “Company”) on Form 10-K for the fiscal year ended December 31, 2021 (the “Report”), I, Ellen M. Cotter, Chief Executive Officer of the Company, certify, pursuant to 18 U.S.C. Section 1350, as adopted pursuant to Section 906 of the Sarbanes-Oxley Act of 2002, that to my knowledge:</w:t>
      </w:r>
    </w:p>
    <w:p>
      <w:pPr>
        <w:spacing w:after="0" w:line="112" w:lineRule="exact"/>
        <w:rPr>
          <w:sz w:val="20"/>
          <w:szCs w:val="20"/>
          <w:color w:val="auto"/>
        </w:rPr>
      </w:pPr>
    </w:p>
    <w:p>
      <w:pPr>
        <w:ind w:left="520" w:hanging="252"/>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20" w:lineRule="exact"/>
        <w:rPr>
          <w:rFonts w:ascii="Arial" w:cs="Arial" w:eastAsia="Arial" w:hAnsi="Arial"/>
          <w:sz w:val="14"/>
          <w:szCs w:val="14"/>
          <w:color w:val="auto"/>
        </w:rPr>
      </w:pPr>
    </w:p>
    <w:p>
      <w:pPr>
        <w:ind w:left="520" w:hanging="252"/>
        <w:spacing w:after="0"/>
        <w:tabs>
          <w:tab w:leader="none" w:pos="5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Ellen M. Cotter</w:t>
      </w:r>
    </w:p>
    <w:p>
      <w:pPr>
        <w:spacing w:after="0" w:line="207" w:lineRule="auto"/>
        <w:rPr>
          <w:sz w:val="20"/>
          <w:szCs w:val="20"/>
          <w:color w:val="auto"/>
        </w:rPr>
      </w:pPr>
      <w:r>
        <w:rPr>
          <w:rFonts w:ascii="Arial" w:cs="Arial" w:eastAsia="Arial" w:hAnsi="Arial"/>
          <w:sz w:val="14"/>
          <w:szCs w:val="14"/>
          <w:color w:val="auto"/>
        </w:rPr>
        <w:t>Ellen M. Cotter</w:t>
      </w:r>
    </w:p>
    <w:p>
      <w:pPr>
        <w:spacing w:after="0" w:line="198" w:lineRule="auto"/>
        <w:rPr>
          <w:sz w:val="20"/>
          <w:szCs w:val="20"/>
          <w:color w:val="auto"/>
        </w:rPr>
      </w:pPr>
      <w:r>
        <w:rPr>
          <w:rFonts w:ascii="Arial" w:cs="Arial" w:eastAsia="Arial" w:hAnsi="Arial"/>
          <w:sz w:val="16"/>
          <w:szCs w:val="16"/>
          <w:color w:val="auto"/>
        </w:rPr>
        <w:t>President and Chief Executive Officer</w:t>
      </w:r>
    </w:p>
    <w:p>
      <w:pPr>
        <w:spacing w:after="0"/>
        <w:rPr>
          <w:sz w:val="20"/>
          <w:szCs w:val="20"/>
          <w:color w:val="auto"/>
        </w:rPr>
      </w:pPr>
      <w:r>
        <w:rPr>
          <w:rFonts w:ascii="Arial" w:cs="Arial" w:eastAsia="Arial" w:hAnsi="Arial"/>
          <w:sz w:val="16"/>
          <w:szCs w:val="16"/>
          <w:i w:val="1"/>
          <w:iCs w:val="1"/>
          <w:color w:val="auto"/>
        </w:rPr>
        <w:t>(Principal Executive Officer)</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March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208280</wp:posOffset>
            </wp:positionV>
            <wp:extent cx="5876925" cy="463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6">
                      <a:extLst>
                        <a:ext uri="{28A0092B-C50C-407E-A947-70E740481C1C}"/>
                      </a:extLst>
                    </a:blip>
                    <a:srcRect/>
                    <a:stretch>
                      <a:fillRect/>
                    </a:stretch>
                  </pic:blipFill>
                  <pic:spPr bwMode="auto">
                    <a:xfrm>
                      <a:off x="0" y="0"/>
                      <a:ext cx="5876925" cy="46355"/>
                    </a:xfrm>
                    <a:prstGeom prst="rect">
                      <a:avLst/>
                    </a:prstGeom>
                    <a:noFill/>
                  </pic:spPr>
                </pic:pic>
              </a:graphicData>
            </a:graphic>
          </wp:anchor>
        </w:drawing>
      </w:r>
    </w:p>
    <w:p>
      <w:pPr>
        <w:sectPr>
          <w:pgSz w:w="11900" w:h="16838" w:orient="portrait"/>
          <w:cols w:equalWidth="0" w:num="1">
            <w:col w:w="9200"/>
          </w:cols>
          <w:pgMar w:left="1340" w:top="114" w:right="1359" w:bottom="1440" w:gutter="0" w:footer="0" w:header="0"/>
        </w:sectPr>
      </w:pPr>
    </w:p>
    <w:bookmarkStart w:id="130" w:name="page131"/>
    <w:bookmarkEnd w:id="130"/>
    <w:p>
      <w:pPr>
        <w:jc w:val="right"/>
        <w:spacing w:after="0"/>
        <w:rPr>
          <w:sz w:val="20"/>
          <w:szCs w:val="20"/>
          <w:color w:val="auto"/>
        </w:rPr>
      </w:pPr>
      <w:r>
        <w:rPr>
          <w:rFonts w:ascii="Arial" w:cs="Arial" w:eastAsia="Arial" w:hAnsi="Arial"/>
          <w:sz w:val="14"/>
          <w:szCs w:val="14"/>
          <w:b w:val="1"/>
          <w:bCs w:val="1"/>
          <w:color w:val="auto"/>
        </w:rPr>
        <w:t>EXHIBIT 32.2</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CERTIFICATION OF PRINCIPAL FINANCIAL OFFICER PURSUANT 18 U.S.C. SECTION 1350 AS ADOPTED PURSUANT TO SECTION 906</w:t>
      </w: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33" w:lineRule="exact"/>
        <w:rPr>
          <w:sz w:val="20"/>
          <w:szCs w:val="20"/>
          <w:color w:val="auto"/>
        </w:rPr>
      </w:pPr>
    </w:p>
    <w:p>
      <w:pPr>
        <w:jc w:val="both"/>
        <w:ind w:firstLine="520"/>
        <w:spacing w:after="0" w:line="230" w:lineRule="auto"/>
        <w:rPr>
          <w:sz w:val="20"/>
          <w:szCs w:val="20"/>
          <w:color w:val="auto"/>
        </w:rPr>
      </w:pPr>
      <w:r>
        <w:rPr>
          <w:rFonts w:ascii="Arial" w:cs="Arial" w:eastAsia="Arial" w:hAnsi="Arial"/>
          <w:sz w:val="14"/>
          <w:szCs w:val="14"/>
          <w:color w:val="auto"/>
        </w:rPr>
        <w:t>In connection with the accompanying Annual Report of Reading International, Inc. (the “Company”) on Form 10-K for the fiscal year ended December 31, 2021 (the “Report”), I, Gilbert Avanes, Chief Financial Officer of the Company, certify, pursuant to 18 U.S.C. Section 1350, as adopted pursuant to Section 906 of the Sarbanes-Oxley Act of 2002, that to my knowledge:</w:t>
      </w:r>
    </w:p>
    <w:p>
      <w:pPr>
        <w:spacing w:after="0" w:line="112" w:lineRule="exact"/>
        <w:rPr>
          <w:sz w:val="20"/>
          <w:szCs w:val="20"/>
          <w:color w:val="auto"/>
        </w:rPr>
      </w:pPr>
    </w:p>
    <w:p>
      <w:pPr>
        <w:ind w:left="520" w:hanging="252"/>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20" w:lineRule="exact"/>
        <w:rPr>
          <w:rFonts w:ascii="Arial" w:cs="Arial" w:eastAsia="Arial" w:hAnsi="Arial"/>
          <w:sz w:val="14"/>
          <w:szCs w:val="14"/>
          <w:color w:val="auto"/>
        </w:rPr>
      </w:pPr>
    </w:p>
    <w:p>
      <w:pPr>
        <w:ind w:left="520" w:hanging="252"/>
        <w:spacing w:after="0"/>
        <w:tabs>
          <w:tab w:leader="none" w:pos="5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Gilbert Avanes</w:t>
      </w:r>
    </w:p>
    <w:p>
      <w:pPr>
        <w:spacing w:after="0" w:line="210" w:lineRule="auto"/>
        <w:rPr>
          <w:sz w:val="20"/>
          <w:szCs w:val="20"/>
          <w:color w:val="auto"/>
        </w:rPr>
      </w:pPr>
      <w:r>
        <w:rPr>
          <w:rFonts w:ascii="Arial" w:cs="Arial" w:eastAsia="Arial" w:hAnsi="Arial"/>
          <w:sz w:val="14"/>
          <w:szCs w:val="14"/>
          <w:color w:val="auto"/>
        </w:rPr>
        <w:t>Gilbert Avanes</w:t>
      </w:r>
    </w:p>
    <w:p>
      <w:pPr>
        <w:spacing w:after="0" w:line="210" w:lineRule="auto"/>
        <w:rPr>
          <w:sz w:val="20"/>
          <w:szCs w:val="20"/>
          <w:color w:val="auto"/>
        </w:rPr>
      </w:pPr>
      <w:r>
        <w:rPr>
          <w:rFonts w:ascii="Arial" w:cs="Arial" w:eastAsia="Arial" w:hAnsi="Arial"/>
          <w:sz w:val="14"/>
          <w:szCs w:val="14"/>
          <w:color w:val="auto"/>
        </w:rPr>
        <w:t>Executive Vice President, Chief Financial Officer and Treasurer</w:t>
      </w:r>
    </w:p>
    <w:p>
      <w:pPr>
        <w:spacing w:after="0"/>
        <w:rPr>
          <w:sz w:val="20"/>
          <w:szCs w:val="20"/>
          <w:color w:val="auto"/>
        </w:rPr>
      </w:pPr>
      <w:r>
        <w:rPr>
          <w:rFonts w:ascii="Arial" w:cs="Arial" w:eastAsia="Arial" w:hAnsi="Arial"/>
          <w:sz w:val="14"/>
          <w:szCs w:val="14"/>
          <w:i w:val="1"/>
          <w:iCs w:val="1"/>
          <w:color w:val="auto"/>
        </w:rPr>
        <w:t>(Principal Financial Officer)</w:t>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March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208280</wp:posOffset>
            </wp:positionV>
            <wp:extent cx="5876925" cy="463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7">
                      <a:extLst>
                        <a:ext uri="{28A0092B-C50C-407E-A947-70E740481C1C}"/>
                      </a:extLst>
                    </a:blip>
                    <a:srcRect/>
                    <a:stretch>
                      <a:fillRect/>
                    </a:stretch>
                  </pic:blipFill>
                  <pic:spPr bwMode="auto">
                    <a:xfrm>
                      <a:off x="0" y="0"/>
                      <a:ext cx="5876925" cy="46355"/>
                    </a:xfrm>
                    <a:prstGeom prst="rect">
                      <a:avLst/>
                    </a:prstGeom>
                    <a:noFill/>
                  </pic:spPr>
                </pic:pic>
              </a:graphicData>
            </a:graphic>
          </wp:anchor>
        </w:drawing>
      </w:r>
    </w:p>
    <w:sectPr>
      <w:pgSz w:w="11900" w:h="16838" w:orient="portrait"/>
      <w:cols w:equalWidth="0" w:num="1">
        <w:col w:w="9200"/>
      </w:cols>
      <w:pgMar w:left="1340" w:top="114"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lvl w:ilvl="1">
      <w:lvlJc w:val="left"/>
      <w:lvlText w:val="☑"/>
      <w:numFmt w:val="bullet"/>
      <w:start w:val="1"/>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decimal"/>
      <w:start w:val="1"/>
    </w:lvl>
    <w:lvl w:ilvl="1">
      <w:lvlJc w:val="left"/>
      <w:lvlText w:val="-"/>
      <w:numFmt w:val="bullet"/>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lowerRoman"/>
      <w:start w:val="1"/>
    </w:lvl>
    <w:lvl w:ilvl="1">
      <w:lvlJc w:val="left"/>
      <w:lvlText w:val="-"/>
      <w:numFmt w:val="bullet"/>
      <w:start w:val="1"/>
    </w:lvl>
  </w:abstractNum>
  <w:abstractNum w:abstractNumId="8">
    <w:nsid w:val="79838CB2"/>
    <w:multiLevelType w:val="hybridMultilevel"/>
    <w:lvl w:ilvl="0">
      <w:lvlJc w:val="left"/>
      <w:lvlText w:val="(%1)"/>
      <w:numFmt w:val="lowerRoman"/>
      <w:start w:val="2"/>
    </w:lvl>
  </w:abstractNum>
  <w:abstractNum w:abstractNumId="9">
    <w:nsid w:val="4353D0CD"/>
    <w:multiLevelType w:val="hybridMultilevel"/>
    <w:lvl w:ilvl="0">
      <w:lvlJc w:val="left"/>
      <w:lvlText w:val="(%1)"/>
      <w:numFmt w:val="lowerRoman"/>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lowerRoman"/>
      <w:start w:val="1"/>
    </w:lvl>
  </w:abstractNum>
  <w:abstractNum w:abstractNumId="13">
    <w:nsid w:val="71F32454"/>
    <w:multiLevelType w:val="hybridMultilevel"/>
    <w:lvl w:ilvl="0">
      <w:lvlJc w:val="left"/>
      <w:lvlText w:val="(%1)"/>
      <w:numFmt w:val="lowerRoman"/>
      <w:start w:val="1"/>
    </w:lvl>
  </w:abstractNum>
  <w:abstractNum w:abstractNumId="14">
    <w:nsid w:val="2CA88611"/>
    <w:multiLevelType w:val="hybridMultilevel"/>
    <w:lvl w:ilvl="0">
      <w:lvlJc w:val="left"/>
      <w:lvlText w:val="(%1)"/>
      <w:numFmt w:val="lowerRoman"/>
      <w:start w:val="1"/>
    </w:lvl>
  </w:abstractNum>
  <w:abstractNum w:abstractNumId="15">
    <w:nsid w:val="836C40E"/>
    <w:multiLevelType w:val="hybridMultilevel"/>
    <w:lvl w:ilvl="0">
      <w:lvlJc w:val="left"/>
      <w:lvlText w:val="(%1)"/>
      <w:numFmt w:val="lowerRoman"/>
      <w:start w:val="1"/>
    </w:lvl>
    <w:lvl w:ilvl="1">
      <w:lvlJc w:val="left"/>
      <w:lvlText w:val="-"/>
      <w:numFmt w:val="bullet"/>
      <w:start w:val="1"/>
    </w:lvl>
  </w:abstractNum>
  <w:abstractNum w:abstractNumId="16">
    <w:nsid w:val="2901D82"/>
    <w:multiLevelType w:val="hybridMultilevel"/>
    <w:lvl w:ilvl="0">
      <w:lvlJc w:val="left"/>
      <w:lvlText w:val="(%1)"/>
      <w:numFmt w:val="lowerRoman"/>
      <w:start w:val="1"/>
    </w:lvl>
  </w:abstractNum>
  <w:abstractNum w:abstractNumId="17">
    <w:nsid w:val="3A95F874"/>
    <w:multiLevelType w:val="hybridMultilevel"/>
    <w:lvl w:ilvl="0">
      <w:lvlJc w:val="left"/>
      <w:lvlText w:val="(%1)"/>
      <w:numFmt w:val="lowerRoman"/>
      <w:start w:val="1"/>
    </w:lvl>
  </w:abstractNum>
  <w:abstractNum w:abstractNumId="18">
    <w:nsid w:val="8138641"/>
    <w:multiLevelType w:val="hybridMultilevel"/>
    <w:lvl w:ilvl="0">
      <w:lvlJc w:val="left"/>
      <w:lvlText w:val="(%1)"/>
      <w:numFmt w:val="lowerRoman"/>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lowerRoman"/>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lvl w:ilvl="1">
      <w:lvlJc w:val="left"/>
      <w:lvlText w:val="-"/>
      <w:numFmt w:val="bullet"/>
      <w:start w:val="1"/>
    </w:lvl>
  </w:abstractNum>
  <w:abstractNum w:abstractNumId="26">
    <w:nsid w:val="614FD4A1"/>
    <w:multiLevelType w:val="hybridMultilevel"/>
    <w:lvl w:ilvl="0">
      <w:lvlJc w:val="left"/>
      <w:lvlText w:val="(%1)"/>
      <w:numFmt w:val="lowerLetter"/>
      <w:start w:val="2"/>
    </w:lvl>
  </w:abstractNum>
  <w:abstractNum w:abstractNumId="27">
    <w:nsid w:val="419AC241"/>
    <w:multiLevelType w:val="hybridMultilevel"/>
    <w:lvl w:ilvl="0">
      <w:lvlJc w:val="left"/>
      <w:lvlText w:val="(%1)"/>
      <w:numFmt w:val="decimal"/>
      <w:start w:val="101"/>
    </w:lvl>
    <w:lvl w:ilvl="1">
      <w:lvlJc w:val="left"/>
      <w:lvlText w:val="%2."/>
      <w:numFmt w:val="decimal"/>
      <w:start w:val="101"/>
    </w:lvl>
  </w:abstractNum>
  <w:abstractNum w:abstractNumId="28">
    <w:nsid w:val="5577F8E1"/>
    <w:multiLevelType w:val="hybridMultilevel"/>
    <w:lvl w:ilvl="0">
      <w:lvlJc w:val="left"/>
      <w:lvlText w:val="I"/>
      <w:numFmt w:val="bullet"/>
      <w:start w:val="1"/>
    </w:lvl>
  </w:abstractNum>
  <w:abstractNum w:abstractNumId="29">
    <w:nsid w:val="440BADFC"/>
    <w:multiLevelType w:val="hybridMultilevel"/>
    <w:lvl w:ilvl="0">
      <w:lvlJc w:val="left"/>
      <w:lvlText w:val="%1"/>
      <w:numFmt w:val="decimal"/>
      <w:start w:val="101"/>
    </w:lvl>
  </w:abstractNum>
  <w:abstractNum w:abstractNumId="30">
    <w:nsid w:val="5072367"/>
    <w:multiLevelType w:val="hybridMultilevel"/>
    <w:lvl w:ilvl="0">
      <w:lvlJc w:val="left"/>
      <w:lvlText w:val="†"/>
      <w:numFmt w:val="bullet"/>
      <w:start w:val="1"/>
    </w:lvl>
    <w:lvl w:ilvl="1">
      <w:lvlJc w:val="left"/>
      <w:lvlText w:val="-"/>
      <w:numFmt w:val="bullet"/>
      <w:start w:val="1"/>
    </w:lvl>
  </w:abstractNum>
  <w:abstractNum w:abstractNumId="31">
    <w:nsid w:val="3804823E"/>
    <w:multiLevelType w:val="hybridMultilevel"/>
    <w:lvl w:ilvl="0">
      <w:lvlJc w:val="left"/>
      <w:lvlText w:val="(%1)"/>
      <w:numFmt w:val="decimal"/>
      <w:start w:val="1"/>
    </w:lvl>
    <w:lvl w:ilvl="1">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decimal"/>
      <w:start w:val="2"/>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7" Type="http://schemas.openxmlformats.org/officeDocument/2006/relationships/image" Target="media/image166.png"/><Relationship Id="rId180"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90"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5"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2" Type="http://schemas.openxmlformats.org/officeDocument/2006/relationships/image" Target="media/image176.png"/><Relationship Id="rId205"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4" Type="http://schemas.openxmlformats.org/officeDocument/2006/relationships/image" Target="media/image182.png"/><Relationship Id="rId225" Type="http://schemas.openxmlformats.org/officeDocument/2006/relationships/image" Target="media/image183.png"/><Relationship Id="rId226" Type="http://schemas.openxmlformats.org/officeDocument/2006/relationships/image" Target="media/image184.png"/><Relationship Id="rId227" Type="http://schemas.openxmlformats.org/officeDocument/2006/relationships/image" Target="media/image185.png"/><Relationship Id="rId228" Type="http://schemas.openxmlformats.org/officeDocument/2006/relationships/image" Target="media/image186.png"/><Relationship Id="rId229" Type="http://schemas.openxmlformats.org/officeDocument/2006/relationships/image" Target="media/image187.jpeg"/><Relationship Id="rId230" Type="http://schemas.openxmlformats.org/officeDocument/2006/relationships/image" Target="media/image188.png"/><Relationship Id="rId231" Type="http://schemas.openxmlformats.org/officeDocument/2006/relationships/image" Target="media/image189.png"/><Relationship Id="rId232" Type="http://schemas.openxmlformats.org/officeDocument/2006/relationships/image" Target="media/image190.png"/><Relationship Id="rId233" Type="http://schemas.openxmlformats.org/officeDocument/2006/relationships/image" Target="media/image191.png"/><Relationship Id="rId234" Type="http://schemas.openxmlformats.org/officeDocument/2006/relationships/image" Target="media/image192.png"/><Relationship Id="rId235" Type="http://schemas.openxmlformats.org/officeDocument/2006/relationships/image" Target="media/image193.png"/><Relationship Id="rId236" Type="http://schemas.openxmlformats.org/officeDocument/2006/relationships/image" Target="media/image194.png"/><Relationship Id="rId237" Type="http://schemas.openxmlformats.org/officeDocument/2006/relationships/image" Target="media/image195.png"/><Relationship Id="rId238" Type="http://schemas.openxmlformats.org/officeDocument/2006/relationships/image" Target="media/image196.png"/><Relationship Id="rId239" Type="http://schemas.openxmlformats.org/officeDocument/2006/relationships/image" Target="media/image197.png"/><Relationship Id="rId240" Type="http://schemas.openxmlformats.org/officeDocument/2006/relationships/image" Target="media/image198.png"/><Relationship Id="rId241" Type="http://schemas.openxmlformats.org/officeDocument/2006/relationships/image" Target="media/image199.png"/><Relationship Id="rId242" Type="http://schemas.openxmlformats.org/officeDocument/2006/relationships/image" Target="media/image200.png"/><Relationship Id="rId243" Type="http://schemas.openxmlformats.org/officeDocument/2006/relationships/image" Target="media/image201.png"/><Relationship Id="rId244" Type="http://schemas.openxmlformats.org/officeDocument/2006/relationships/image" Target="media/image202.png"/><Relationship Id="rId245" Type="http://schemas.openxmlformats.org/officeDocument/2006/relationships/image" Target="media/image203.png"/><Relationship Id="rId246" Type="http://schemas.openxmlformats.org/officeDocument/2006/relationships/image" Target="media/image204.png"/><Relationship Id="rId247" Type="http://schemas.openxmlformats.org/officeDocument/2006/relationships/image" Target="media/image205.png"/><Relationship Id="rId248" Type="http://schemas.openxmlformats.org/officeDocument/2006/relationships/image" Target="media/image206.png"/><Relationship Id="rId249" Type="http://schemas.openxmlformats.org/officeDocument/2006/relationships/image" Target="media/image207.png"/><Relationship Id="rId250" Type="http://schemas.openxmlformats.org/officeDocument/2006/relationships/image" Target="media/image208.png"/><Relationship Id="rId251" Type="http://schemas.openxmlformats.org/officeDocument/2006/relationships/image" Target="media/image209.png"/><Relationship Id="rId252" Type="http://schemas.openxmlformats.org/officeDocument/2006/relationships/image" Target="media/image210.png"/><Relationship Id="rId253" Type="http://schemas.openxmlformats.org/officeDocument/2006/relationships/image" Target="media/image211.png"/><Relationship Id="rId254" Type="http://schemas.openxmlformats.org/officeDocument/2006/relationships/image" Target="media/image212.png"/><Relationship Id="rId255" Type="http://schemas.openxmlformats.org/officeDocument/2006/relationships/image" Target="media/image213.png"/><Relationship Id="rId256" Type="http://schemas.openxmlformats.org/officeDocument/2006/relationships/image" Target="media/image214.png"/><Relationship Id="rId257" Type="http://schemas.openxmlformats.org/officeDocument/2006/relationships/image" Target="media/image215.png"/><Relationship Id="rId171" Type="http://schemas.openxmlformats.org/officeDocument/2006/relationships/hyperlink" Target="http://www.sec.gov/Archives/edgar/data/716634/000071663416000067/rdi-20151231xex3_1.htm" TargetMode="External"/><Relationship Id="rId172" Type="http://schemas.openxmlformats.org/officeDocument/2006/relationships/hyperlink" Target="http://www.sec.gov/Archives/edgar/data/716634/000071663418000006/rdi-20171231xex3_2.htm" TargetMode="External"/><Relationship Id="rId175" Type="http://schemas.openxmlformats.org/officeDocument/2006/relationships/hyperlink" Target="http://www.sec.gov/Archives/edgar/data/716634/000071663407000004/ex4_1.htm" TargetMode="External"/><Relationship Id="rId176" Type="http://schemas.openxmlformats.org/officeDocument/2006/relationships/hyperlink" Target="http://www.sec.gov/Archives/edgar/data/716634/000071663407000004/ex4_2.htm" TargetMode="External"/><Relationship Id="rId178" Type="http://schemas.openxmlformats.org/officeDocument/2006/relationships/hyperlink" Target="http://www.sec.gov/Archives/edgar/data/716634/000071663407000004/ex4_3.htm" TargetMode="External"/><Relationship Id="rId179" Type="http://schemas.openxmlformats.org/officeDocument/2006/relationships/hyperlink" Target="http://www.sec.gov/Archives/edgar/data/716634/000071663407000004/ex10_4.htm" TargetMode="External"/><Relationship Id="rId181" Type="http://schemas.openxmlformats.org/officeDocument/2006/relationships/hyperlink" Target="http://www.sec.gov/Archives/edgar/data/716634/000071663409000036/exhibit4_4.htm" TargetMode="External"/><Relationship Id="rId182" Type="http://schemas.openxmlformats.org/officeDocument/2006/relationships/hyperlink" Target="http://www.sec.gov/Archives/edgar/data/0000716634/000071663421000005/rdi-20201231xex4_6.htm" TargetMode="External"/><Relationship Id="rId185" Type="http://schemas.openxmlformats.org/officeDocument/2006/relationships/hyperlink" Target="http://www.sec.gov/Archives/edgar/data/716634/000071663418000006/rdi-20171231xex10_1.htm" TargetMode="External"/><Relationship Id="rId186" Type="http://schemas.openxmlformats.org/officeDocument/2006/relationships/hyperlink" Target="http://www.sec.gov/Archives/edgar/data/716634/000071663410000014/exhibit4_2.htm" TargetMode="External"/><Relationship Id="rId187" Type="http://schemas.openxmlformats.org/officeDocument/2006/relationships/hyperlink" Target="http://www.sec.gov/Archives/edgar/data/716634/000071663410000014/exhibit4_3.htm" TargetMode="External"/><Relationship Id="rId188" Type="http://schemas.openxmlformats.org/officeDocument/2006/relationships/hyperlink" Target="http://www.sec.gov/Archives/edgar/data/716634/000071663410000014/exhibit4_4.htm" TargetMode="External"/><Relationship Id="rId189" Type="http://schemas.openxmlformats.org/officeDocument/2006/relationships/hyperlink" Target="http://www.sec.gov/Archives/edgar/data/716634/000071663410000014/exhibit4_5.htm" TargetMode="External"/><Relationship Id="rId191" Type="http://schemas.openxmlformats.org/officeDocument/2006/relationships/hyperlink" Target="http://www.sec.gov/Archives/edgar/data/0000716634/000071663420000024/rdi-20200331x10q.htm" TargetMode="External"/><Relationship Id="rId194" Type="http://schemas.openxmlformats.org/officeDocument/2006/relationships/hyperlink" Target="http://www.sec.gov/Archives/edgar/data/716634/000071663420000042/rdi-20201106xdef14a.htm" TargetMode="External"/><Relationship Id="rId196" Type="http://schemas.openxmlformats.org/officeDocument/2006/relationships/hyperlink" Target="http://www.sec.gov/Archives/edgar/data/0000716634/000071663421000005/rdi-20201231xex10_7.htm" TargetMode="External"/><Relationship Id="rId197" Type="http://schemas.openxmlformats.org/officeDocument/2006/relationships/hyperlink" Target="http://www.sec.gov/Archives/edgar/data/0000716634/000071663421000005/rdi-20201231xex10_8.htm" TargetMode="External"/><Relationship Id="rId200" Type="http://schemas.openxmlformats.org/officeDocument/2006/relationships/hyperlink" Target="http://www.sec.gov/Archives/edgar/data/0000716634/000071663421000005/rdi-20201231xex10_9.htm" TargetMode="External"/><Relationship Id="rId201" Type="http://schemas.openxmlformats.org/officeDocument/2006/relationships/hyperlink" Target="http://www.sec.gov/Archives/edgar/data/716634/000095015003000386/a88762exv10w40.txt" TargetMode="External"/><Relationship Id="rId203" Type="http://schemas.openxmlformats.org/officeDocument/2006/relationships/hyperlink" Target="http://www.sec.gov/Archives/edgar/data/716634/000095012905009355/a12618exv10w58.htm" TargetMode="External"/><Relationship Id="rId204" Type="http://schemas.openxmlformats.org/officeDocument/2006/relationships/hyperlink" Target="http://www.sec.gov/Archives/edgar/data/716634/000095012905009355/a12618exv10w56.htm" TargetMode="External"/><Relationship Id="rId206" Type="http://schemas.openxmlformats.org/officeDocument/2006/relationships/hyperlink" Target="http://www.sec.gov/Archives/edgar/data/716634/000071663411000002/exhibit10_21.htm" TargetMode="External"/><Relationship Id="rId207" Type="http://schemas.openxmlformats.org/officeDocument/2006/relationships/hyperlink" Target="http://www.sec.gov/Archives/edgar/data/716634/000095015003001354/a94399exv10w49.txt" TargetMode="External"/><Relationship Id="rId210" Type="http://schemas.openxmlformats.org/officeDocument/2006/relationships/hyperlink" Target="http://www.sec.gov/Archives/edgar/data/716634/000071663407000004/ex10_2.htm" TargetMode="External"/><Relationship Id="rId211" Type="http://schemas.openxmlformats.org/officeDocument/2006/relationships/hyperlink" Target="http://www.sec.gov/Archives/edgar/data/716634/000071663416000067/rdi-20151231xex10_9.htm" TargetMode="External"/><Relationship Id="rId212" Type="http://schemas.openxmlformats.org/officeDocument/2006/relationships/hyperlink" Target="http://www.sec.gov/Archives/edgar/data/0000716634/000071663420000015/rdi-20200602x8k.htm" TargetMode="External"/><Relationship Id="rId213" Type="http://schemas.openxmlformats.org/officeDocument/2006/relationships/hyperlink" Target="http://www.sec.gov/ix?doc=/Archives/edgar/data/0000716634/000071663420000034/rdi-20200630x10q.htm" TargetMode="External"/><Relationship Id="rId214" Type="http://schemas.openxmlformats.org/officeDocument/2006/relationships/hyperlink" Target="http://www.sec.gov/Archives/edgar/data/0000716634/000156276221000331/rdi-20210630xex10_3.htm" TargetMode="External"/><Relationship Id="rId215" Type="http://schemas.openxmlformats.org/officeDocument/2006/relationships/hyperlink" Target="http://www.sec.gov/Archives/edgar/data/0000716634/000071663421000029/rdi-20210930xex10_1.htm" TargetMode="External"/><Relationship Id="rId216" Type="http://schemas.openxmlformats.org/officeDocument/2006/relationships/hyperlink" Target="http://www.sec.gov/Archives/edgar/data/716634/000071663416000067/rdi-20151231xex10_10.htm" TargetMode="External"/><Relationship Id="rId217" Type="http://schemas.openxmlformats.org/officeDocument/2006/relationships/hyperlink" Target="http://www.sec.gov/ix?doc=/Archives/edgar/data/0000716634/000071663420000046/rdi-20200930x10q.htm" TargetMode="External"/><Relationship Id="rId218" Type="http://schemas.openxmlformats.org/officeDocument/2006/relationships/hyperlink" Target="http://www.sec.gov/Archives/edgar/data/0000716634/000071663421000019/rdi-20210331xex10_1.htm" TargetMode="External"/><Relationship Id="rId221" Type="http://schemas.openxmlformats.org/officeDocument/2006/relationships/hyperlink" Target="http://www.sec.gov/Archives/edgar/data/0000716634/000071663421000029/rdi-20210930xex10_2.htm" TargetMode="External"/><Relationship Id="rId222" Type="http://schemas.openxmlformats.org/officeDocument/2006/relationships/hyperlink" Target="http://www.sec.gov/Archives/edgar/data/0000716634/000156276221000331/rdi-20210630xex10_1.htm" TargetMode="External"/><Relationship Id="rId223" Type="http://schemas.openxmlformats.org/officeDocument/2006/relationships/hyperlink" Target="http://www.sec.gov/Archives/edgar/data/716634/000071663417000007/rdi-20161231xex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2022-03-16T16:18:32Z</dcterms:created>
  <dcterms:modified xsi:type="dcterms:W3CDTF">2022-03-16T16:18:32Z</dcterms:modified>
</cp:coreProperties>
</file>