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10k.htm"/>
      <w:bookmarkStart w:id="1" w:name="ksform10k"/>
      <w:bookmarkStart w:id="2" w:name="form10k.htm"/>
      <w:bookmarkStart w:id="3" w:name="ksform10k"/>
      <w:bookmarkEnd w:id="2"/>
      <w:bookmarkEnd w:id="3"/>
    </w:p>
    <w:p>
      <w:pPr>
        <w:pStyle w:val="HorizontalLine"/>
        <w:pBdr>
          <w:bottom w:val="single" w:sz="6" w:space="0" w:color="808080"/>
        </w:pBdr>
        <w:rPr/>
      </w:pPr>
      <w:r>
        <w:rPr/>
      </w: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 SECURITIES AND EXCHANGE COMMISSION</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1440" w:right="0" w:hanging="0"/>
        <w:jc w:val="center"/>
        <w:rPr/>
      </w:pPr>
      <w:r>
        <w:rPr/>
      </w:r>
      <w:bookmarkStart w:id="4" w:name="TAB1"/>
      <w:bookmarkStart w:id="5" w:name="TAB1"/>
      <w:bookmarkEnd w:id="5"/>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FORM 10-K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 w:name="list"/>
      <w:bookmarkStart w:id="7" w:name="list"/>
      <w:bookmarkEnd w:id="7"/>
    </w:p>
    <w:tbl>
      <w:tblPr>
        <w:tblW w:w="5000" w:type="pct"/>
        <w:jc w:val="left"/>
        <w:tblInd w:w="0" w:type="dxa"/>
        <w:tblCellMar>
          <w:top w:w="0" w:type="dxa"/>
          <w:left w:w="0" w:type="dxa"/>
          <w:bottom w:w="0" w:type="dxa"/>
          <w:right w:w="0" w:type="dxa"/>
        </w:tblCellMar>
      </w:tblPr>
      <w:tblGrid>
        <w:gridCol w:w="397"/>
        <w:gridCol w:w="9808"/>
      </w:tblGrid>
      <w:tr>
        <w:trPr/>
        <w:tc>
          <w:tcPr>
            <w:tcW w:w="397" w:type="dxa"/>
            <w:tcBorders/>
            <w:shd w:fill="auto" w:val="clear"/>
          </w:tcPr>
          <w:p>
            <w:pPr>
              <w:pStyle w:val="TableContents"/>
              <w:spacing w:before="0" w:after="0"/>
              <w:jc w:val="right"/>
              <w:rPr/>
            </w:pPr>
            <w:r>
              <w:rPr/>
              <w:t>☑  </w:t>
            </w:r>
          </w:p>
        </w:tc>
        <w:tc>
          <w:tcPr>
            <w:tcW w:w="98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ANNUAL REPORT PURSUANT TO SECTION 13 OR 15(d) OF THE SECURITIES EXCHANGE ACT OF 1934</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For the fiscal year ended December 31, 2009</w:t>
      </w:r>
    </w:p>
    <w:p>
      <w:pPr>
        <w:pStyle w:val="TextBody"/>
        <w:spacing w:before="0" w:after="0"/>
        <w:ind w:left="0" w:right="0" w:firstLine="720"/>
        <w:jc w:val="center"/>
        <w:rPr>
          <w:rFonts w:ascii="Times New Roman" w:hAnsi="Times New Roman"/>
          <w:sz w:val="20"/>
        </w:rPr>
      </w:pPr>
      <w:r>
        <w:rPr>
          <w:rFonts w:ascii="Times New Roman" w:hAnsi="Times New Roman"/>
          <w:sz w:val="20"/>
        </w:rPr>
        <w:t>or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 w:name="list1"/>
      <w:bookmarkStart w:id="9" w:name="list1"/>
      <w:bookmarkEnd w:id="9"/>
    </w:p>
    <w:tbl>
      <w:tblPr>
        <w:tblW w:w="5000" w:type="pct"/>
        <w:jc w:val="left"/>
        <w:tblInd w:w="0" w:type="dxa"/>
        <w:tblCellMar>
          <w:top w:w="0" w:type="dxa"/>
          <w:left w:w="0" w:type="dxa"/>
          <w:bottom w:w="0" w:type="dxa"/>
          <w:right w:w="0" w:type="dxa"/>
        </w:tblCellMar>
      </w:tblPr>
      <w:tblGrid>
        <w:gridCol w:w="383"/>
        <w:gridCol w:w="9822"/>
      </w:tblGrid>
      <w:tr>
        <w:trPr/>
        <w:tc>
          <w:tcPr>
            <w:tcW w:w="383" w:type="dxa"/>
            <w:tcBorders/>
            <w:shd w:fill="auto" w:val="clear"/>
          </w:tcPr>
          <w:p>
            <w:pPr>
              <w:pStyle w:val="TableContents"/>
              <w:spacing w:before="0" w:after="0"/>
              <w:jc w:val="right"/>
              <w:rPr/>
            </w:pPr>
            <w:r>
              <w:rPr/>
              <w:t>☐  </w:t>
            </w:r>
          </w:p>
        </w:tc>
        <w:tc>
          <w:tcPr>
            <w:tcW w:w="98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TRANSITION REPORT PURSUANT TO SECTION 13 OR 15(d) OF THE SECURITIES EXCHANGE ACT OF 1934</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For the transition period from _______ to ______</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Commission File No. 1-8625</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READING INTERNATIONAL,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p>
            <w:pPr>
              <w:pStyle w:val="TableContents"/>
              <w:spacing w:before="0" w:after="0"/>
              <w:ind w:left="0" w:right="0" w:hanging="0"/>
              <w:jc w:val="center"/>
              <w:rPr>
                <w:rFonts w:ascii="times new roman" w:hAnsi="times new roman"/>
                <w:sz w:val="20"/>
              </w:rPr>
            </w:pPr>
            <w:r>
              <w:rPr>
                <w:rFonts w:ascii="times new roman" w:hAnsi="times new roman"/>
                <w:sz w:val="20"/>
              </w:rPr>
              <w:t>500 Citadel Drive, Suite 300</w:t>
            </w:r>
          </w:p>
          <w:p>
            <w:pPr>
              <w:pStyle w:val="TableContents"/>
              <w:spacing w:before="0" w:after="0"/>
              <w:ind w:left="0" w:right="0" w:hanging="0"/>
              <w:jc w:val="center"/>
              <w:rPr>
                <w:rFonts w:ascii="times new roman" w:hAnsi="times new roman"/>
                <w:sz w:val="20"/>
              </w:rPr>
            </w:pPr>
            <w:r>
              <w:rPr>
                <w:rFonts w:ascii="times new roman" w:hAnsi="times new roman"/>
                <w:sz w:val="20"/>
              </w:rPr>
              <w:t>Commerce, CA</w:t>
            </w:r>
          </w:p>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95-3885184</w:t>
            </w:r>
          </w:p>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Number)</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90040</w:t>
            </w:r>
          </w:p>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  (213) 235-2240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Securities Registered pursuant to Section 12(b) of the Act: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85"/>
        <w:gridCol w:w="4620"/>
      </w:tblGrid>
      <w:tr>
        <w:trPr/>
        <w:tc>
          <w:tcPr>
            <w:tcW w:w="558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each class</w:t>
            </w:r>
          </w:p>
        </w:tc>
        <w:tc>
          <w:tcPr>
            <w:tcW w:w="462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Name of each exchange on which registered</w:t>
            </w:r>
          </w:p>
        </w:tc>
      </w:tr>
      <w:tr>
        <w:trPr/>
        <w:tc>
          <w:tcPr>
            <w:tcW w:w="558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Nonvoting Common Stock, $0.01 par value</w:t>
            </w:r>
          </w:p>
        </w:tc>
        <w:tc>
          <w:tcPr>
            <w:tcW w:w="4620"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NASDAQ</w:t>
            </w:r>
          </w:p>
        </w:tc>
      </w:tr>
      <w:tr>
        <w:trPr/>
        <w:tc>
          <w:tcPr>
            <w:tcW w:w="558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 Voting Common Stock, $0.01 par value</w:t>
            </w:r>
          </w:p>
        </w:tc>
        <w:tc>
          <w:tcPr>
            <w:tcW w:w="4620"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NASDAQ</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12(g) of the Act:  None</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0" w:name="TAB11"/>
      <w:bookmarkEnd w:id="10"/>
      <w:r>
        <w:rPr>
          <w:rFonts w:ascii="Times New Roman" w:hAnsi="Times New Roman"/>
          <w:sz w:val="20"/>
        </w:rPr>
        <w:t>Indicate by check mark if the registrant is a well-known seasoned issuer, as defined in Rule 405 of the Securities Act.  Yes ☐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1" w:name="TAB12"/>
      <w:bookmarkEnd w:id="11"/>
      <w:r>
        <w:rPr>
          <w:rFonts w:ascii="Times New Roman" w:hAnsi="Times New Roman"/>
          <w:sz w:val="20"/>
        </w:rPr>
        <w:t>If this report is an annual or transition report, indicate by check mark if the registrant is not required to file reports pursuant to Section 13 or 15(d) of the Securities Exchange Act of 1934.  Yes ☐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2" w:name="TAB13"/>
      <w:bookmarkEnd w:id="12"/>
      <w:r>
        <w:rPr>
          <w:rFonts w:ascii="Times New Roman" w:hAnsi="Times New Roman"/>
          <w:sz w:val="20"/>
        </w:rPr>
        <w:t>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3" w:name="TAB14"/>
      <w:bookmarkEnd w:id="13"/>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4" w:name="TAB15"/>
      <w:bookmarkEnd w:id="14"/>
      <w:r>
        <w:rPr>
          <w:rFonts w:ascii="Times New Roman" w:hAnsi="Times New Roman"/>
          <w:sz w:val="20"/>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5" w:name="TAB16"/>
      <w:bookmarkEnd w:id="15"/>
      <w:r>
        <w:rPr>
          <w:rFonts w:ascii="Times New Roman" w:hAnsi="Times New Roman"/>
          <w:sz w:val="20"/>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Large accelerated filer  ☐   Accelerated filer ☑   Non-accelerated filer ☐   Smaller reporting company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6" w:name="TAB17"/>
      <w:bookmarkEnd w:id="16"/>
      <w:r>
        <w:rPr>
          <w:rFonts w:ascii="Times New Roman" w:hAnsi="Times New Roman"/>
          <w:sz w:val="20"/>
        </w:rPr>
        <w:t>Indicate by check mark whether the registrant is a shell company (as defined in Rule 12b-2 of the Exchange Act).  Yes  ☐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7" w:name="TAB18"/>
      <w:bookmarkEnd w:id="17"/>
      <w:r>
        <w:rPr>
          <w:rFonts w:ascii="Times New Roman" w:hAnsi="Times New Roman"/>
          <w:sz w:val="20"/>
        </w:rPr>
        <w:t>Indicate the number of shares outstanding of each of the issuer’s classes of common stock, as of the latest practicable date.  As of March 11, 2010, there were 21,213,669 shares of class A non-voting common stock, par value $0.01 per share and 1,495,490 shares of class B voting common stock, par value $0.01 per share, outstanding. The aggregate market value of voting and nonvoting stock held by non-affiliates of the Registrant was $82,713,669 as of June 30, 2009.</w:t>
      </w:r>
    </w:p>
    <w:p>
      <w:pPr>
        <w:pStyle w:val="TextBody"/>
        <w:spacing w:before="0" w:after="0"/>
        <w:ind w:left="0" w:right="0" w:hanging="0"/>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8" w:name="tableofcontents"/>
      <w:bookmarkEnd w:id="18"/>
      <w:r>
        <w:rPr>
          <w:rFonts w:ascii="Times New Roman" w:hAnsi="Times New Roman"/>
          <w:b/>
          <w:sz w:val="20"/>
        </w:rPr>
        <w:t>READING INTERNATIONAL,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ANNUAL REPORT ON FORM 10-K</w:t>
      </w:r>
    </w:p>
    <w:p>
      <w:pPr>
        <w:pStyle w:val="TextBody"/>
        <w:spacing w:before="0" w:after="0"/>
        <w:ind w:left="0" w:right="0" w:hanging="0"/>
        <w:jc w:val="center"/>
        <w:rPr>
          <w:rFonts w:ascii="Times New Roman" w:hAnsi="Times New Roman"/>
          <w:b/>
          <w:sz w:val="20"/>
        </w:rPr>
      </w:pPr>
      <w:r>
        <w:rPr>
          <w:rFonts w:ascii="Times New Roman" w:hAnsi="Times New Roman"/>
          <w:b/>
          <w:sz w:val="20"/>
        </w:rPr>
        <w:t>YEAR ENDED DECEMBER 31, 2009</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INDEX</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559"/>
        <w:gridCol w:w="646"/>
      </w:tblGrid>
      <w:tr>
        <w:trPr/>
        <w:tc>
          <w:tcPr>
            <w:tcW w:w="9559" w:type="dxa"/>
            <w:tcBorders/>
            <w:shd w:fill="CCEEFF" w:val="clear"/>
          </w:tcPr>
          <w:p>
            <w:pPr>
              <w:pStyle w:val="TableContents"/>
              <w:spacing w:before="0" w:after="0"/>
              <w:ind w:left="0" w:right="0" w:hanging="0"/>
              <w:jc w:val="left"/>
              <w:rPr/>
            </w:pPr>
            <w:hyperlink w:anchor="part1">
              <w:r>
                <w:rPr>
                  <w:rStyle w:val="InternetLink"/>
                  <w:rFonts w:ascii="times new roman" w:hAnsi="times new roman"/>
                  <w:sz w:val="20"/>
                </w:rPr>
                <w:t>PART I</w:t>
              </w:r>
            </w:hyperlink>
          </w:p>
        </w:tc>
        <w:tc>
          <w:tcPr>
            <w:tcW w:w="646" w:type="dxa"/>
            <w:tcBorders/>
            <w:shd w:fill="CCEEFF" w:val="clear"/>
            <w:vAlign w:val="bottom"/>
          </w:tcPr>
          <w:p>
            <w:pPr>
              <w:pStyle w:val="TableContents"/>
              <w:spacing w:before="0" w:after="0"/>
              <w:ind w:left="0" w:right="0" w:hanging="0"/>
              <w:jc w:val="right"/>
              <w:rPr/>
            </w:pPr>
            <w:hyperlink w:anchor="part1">
              <w:r>
                <w:rPr>
                  <w:rStyle w:val="InternetLink"/>
                  <w:rFonts w:ascii="times new roman" w:hAnsi="times new roman"/>
                  <w:sz w:val="20"/>
                </w:rPr>
                <w:t>1</w:t>
              </w:r>
            </w:hyperlink>
          </w:p>
        </w:tc>
      </w:tr>
      <w:tr>
        <w:trPr/>
        <w:tc>
          <w:tcPr>
            <w:tcW w:w="9559" w:type="dxa"/>
            <w:tcBorders/>
            <w:shd w:fill="FFFFFF" w:val="clear"/>
          </w:tcPr>
          <w:p>
            <w:pPr>
              <w:pStyle w:val="TableContents"/>
              <w:spacing w:before="0" w:after="0"/>
              <w:ind w:left="0" w:right="0" w:hanging="0"/>
              <w:jc w:val="left"/>
              <w:rPr/>
            </w:pPr>
            <w:hyperlink w:anchor="part1">
              <w:r>
                <w:rPr>
                  <w:rStyle w:val="InternetLink"/>
                  <w:rFonts w:ascii="times new roman" w:hAnsi="times new roman"/>
                  <w:sz w:val="20"/>
                </w:rPr>
                <w:t>Item 1 – Our Business</w:t>
              </w:r>
            </w:hyperlink>
          </w:p>
        </w:tc>
        <w:tc>
          <w:tcPr>
            <w:tcW w:w="646" w:type="dxa"/>
            <w:tcBorders/>
            <w:shd w:fill="FFFFFF" w:val="clear"/>
            <w:vAlign w:val="bottom"/>
          </w:tcPr>
          <w:p>
            <w:pPr>
              <w:pStyle w:val="TableContents"/>
              <w:spacing w:before="0" w:after="0"/>
              <w:ind w:left="0" w:right="0" w:hanging="0"/>
              <w:jc w:val="right"/>
              <w:rPr/>
            </w:pPr>
            <w:hyperlink w:anchor="part1">
              <w:r>
                <w:rPr>
                  <w:rStyle w:val="InternetLink"/>
                  <w:rFonts w:ascii="times new roman" w:hAnsi="times new roman"/>
                  <w:sz w:val="20"/>
                </w:rPr>
                <w:t>1</w:t>
              </w:r>
            </w:hyperlink>
          </w:p>
        </w:tc>
      </w:tr>
      <w:tr>
        <w:trPr/>
        <w:tc>
          <w:tcPr>
            <w:tcW w:w="9559" w:type="dxa"/>
            <w:tcBorders/>
            <w:shd w:fill="CCEEFF" w:val="clear"/>
          </w:tcPr>
          <w:p>
            <w:pPr>
              <w:pStyle w:val="TableContents"/>
              <w:spacing w:before="0" w:after="0"/>
              <w:ind w:left="0" w:right="0" w:hanging="0"/>
              <w:jc w:val="left"/>
              <w:rPr/>
            </w:pPr>
            <w:hyperlink w:anchor="item1a">
              <w:r>
                <w:rPr>
                  <w:rStyle w:val="InternetLink"/>
                  <w:rFonts w:ascii="times new roman" w:hAnsi="times new roman"/>
                  <w:sz w:val="20"/>
                </w:rPr>
                <w:t>Item 1A – Risk Factors</w:t>
              </w:r>
            </w:hyperlink>
          </w:p>
        </w:tc>
        <w:tc>
          <w:tcPr>
            <w:tcW w:w="646" w:type="dxa"/>
            <w:tcBorders/>
            <w:shd w:fill="CCEEFF" w:val="clear"/>
            <w:vAlign w:val="bottom"/>
          </w:tcPr>
          <w:p>
            <w:pPr>
              <w:pStyle w:val="TableContents"/>
              <w:spacing w:before="0" w:after="0"/>
              <w:ind w:left="0" w:right="0" w:hanging="0"/>
              <w:jc w:val="right"/>
              <w:rPr/>
            </w:pPr>
            <w:hyperlink w:anchor="item1a">
              <w:r>
                <w:rPr>
                  <w:rStyle w:val="InternetLink"/>
                  <w:rFonts w:ascii="times new roman" w:hAnsi="times new roman"/>
                  <w:sz w:val="20"/>
                </w:rPr>
                <w:t>9</w:t>
              </w:r>
            </w:hyperlink>
          </w:p>
        </w:tc>
      </w:tr>
      <w:tr>
        <w:trPr/>
        <w:tc>
          <w:tcPr>
            <w:tcW w:w="9559" w:type="dxa"/>
            <w:tcBorders/>
            <w:shd w:fill="FFFFFF" w:val="clear"/>
          </w:tcPr>
          <w:p>
            <w:pPr>
              <w:pStyle w:val="TableContents"/>
              <w:spacing w:before="0" w:after="0"/>
              <w:ind w:left="0" w:right="0" w:hanging="0"/>
              <w:jc w:val="left"/>
              <w:rPr/>
            </w:pPr>
            <w:hyperlink w:anchor="item1b">
              <w:r>
                <w:rPr>
                  <w:rStyle w:val="InternetLink"/>
                  <w:rFonts w:ascii="times new roman" w:hAnsi="times new roman"/>
                  <w:sz w:val="20"/>
                </w:rPr>
                <w:t>Item 1B - Unresolved Staff Comments</w:t>
              </w:r>
            </w:hyperlink>
          </w:p>
        </w:tc>
        <w:tc>
          <w:tcPr>
            <w:tcW w:w="646" w:type="dxa"/>
            <w:tcBorders/>
            <w:shd w:fill="FFFFFF" w:val="clear"/>
            <w:vAlign w:val="bottom"/>
          </w:tcPr>
          <w:p>
            <w:pPr>
              <w:pStyle w:val="TableContents"/>
              <w:spacing w:before="0" w:after="0"/>
              <w:ind w:left="0" w:right="0" w:hanging="0"/>
              <w:jc w:val="right"/>
              <w:rPr/>
            </w:pPr>
            <w:hyperlink w:anchor="item1b">
              <w:r>
                <w:rPr>
                  <w:rStyle w:val="InternetLink"/>
                  <w:rFonts w:ascii="times new roman" w:hAnsi="times new roman"/>
                  <w:sz w:val="20"/>
                </w:rPr>
                <w:t>16</w:t>
              </w:r>
            </w:hyperlink>
          </w:p>
        </w:tc>
      </w:tr>
      <w:tr>
        <w:trPr/>
        <w:tc>
          <w:tcPr>
            <w:tcW w:w="9559" w:type="dxa"/>
            <w:tcBorders/>
            <w:shd w:fill="CCEEFF" w:val="clear"/>
          </w:tcPr>
          <w:p>
            <w:pPr>
              <w:pStyle w:val="TableContents"/>
              <w:spacing w:before="0" w:after="0"/>
              <w:ind w:left="0" w:right="0" w:hanging="0"/>
              <w:jc w:val="left"/>
              <w:rPr/>
            </w:pPr>
            <w:hyperlink w:anchor="item2">
              <w:r>
                <w:rPr>
                  <w:rStyle w:val="InternetLink"/>
                  <w:rFonts w:ascii="times new roman" w:hAnsi="times new roman"/>
                  <w:sz w:val="20"/>
                </w:rPr>
                <w:t>Item 2 – Properties</w:t>
              </w:r>
            </w:hyperlink>
          </w:p>
        </w:tc>
        <w:tc>
          <w:tcPr>
            <w:tcW w:w="646" w:type="dxa"/>
            <w:tcBorders/>
            <w:shd w:fill="CCEEFF" w:val="clear"/>
            <w:vAlign w:val="bottom"/>
          </w:tcPr>
          <w:p>
            <w:pPr>
              <w:pStyle w:val="TableContents"/>
              <w:spacing w:before="0" w:after="0"/>
              <w:ind w:left="0" w:right="0" w:hanging="0"/>
              <w:jc w:val="right"/>
              <w:rPr/>
            </w:pPr>
            <w:hyperlink w:anchor="item2">
              <w:r>
                <w:rPr>
                  <w:rStyle w:val="InternetLink"/>
                  <w:rFonts w:ascii="times new roman" w:hAnsi="times new roman"/>
                  <w:sz w:val="20"/>
                </w:rPr>
                <w:t>17</w:t>
              </w:r>
            </w:hyperlink>
          </w:p>
        </w:tc>
      </w:tr>
      <w:tr>
        <w:trPr/>
        <w:tc>
          <w:tcPr>
            <w:tcW w:w="9559" w:type="dxa"/>
            <w:tcBorders/>
            <w:shd w:fill="FFFFFF" w:val="clear"/>
          </w:tcPr>
          <w:p>
            <w:pPr>
              <w:pStyle w:val="TableContents"/>
              <w:spacing w:before="0" w:after="0"/>
              <w:ind w:left="0" w:right="0" w:hanging="0"/>
              <w:jc w:val="left"/>
              <w:rPr/>
            </w:pPr>
            <w:hyperlink w:anchor="item3">
              <w:r>
                <w:rPr>
                  <w:rStyle w:val="InternetLink"/>
                  <w:rFonts w:ascii="times new roman" w:hAnsi="times new roman"/>
                  <w:sz w:val="20"/>
                </w:rPr>
                <w:t>Item 3 – Legal Proceedings</w:t>
              </w:r>
            </w:hyperlink>
          </w:p>
        </w:tc>
        <w:tc>
          <w:tcPr>
            <w:tcW w:w="646" w:type="dxa"/>
            <w:tcBorders/>
            <w:shd w:fill="FFFFFF" w:val="clear"/>
            <w:vAlign w:val="bottom"/>
          </w:tcPr>
          <w:p>
            <w:pPr>
              <w:pStyle w:val="TableContents"/>
              <w:spacing w:before="0" w:after="0"/>
              <w:ind w:left="0" w:right="0" w:hanging="0"/>
              <w:jc w:val="right"/>
              <w:rPr/>
            </w:pPr>
            <w:hyperlink w:anchor="item3">
              <w:r>
                <w:rPr>
                  <w:rStyle w:val="InternetLink"/>
                  <w:rFonts w:ascii="times new roman" w:hAnsi="times new roman"/>
                  <w:sz w:val="20"/>
                </w:rPr>
                <w:t>23</w:t>
              </w:r>
            </w:hyperlink>
          </w:p>
        </w:tc>
      </w:tr>
      <w:tr>
        <w:trPr/>
        <w:tc>
          <w:tcPr>
            <w:tcW w:w="9559" w:type="dxa"/>
            <w:tcBorders/>
            <w:shd w:fill="CCEEFF" w:val="clear"/>
          </w:tcPr>
          <w:p>
            <w:pPr>
              <w:pStyle w:val="TableContents"/>
              <w:spacing w:before="0" w:after="0"/>
              <w:ind w:left="0" w:right="0" w:hanging="0"/>
              <w:jc w:val="left"/>
              <w:rPr/>
            </w:pPr>
            <w:hyperlink w:anchor="item4">
              <w:r>
                <w:rPr>
                  <w:rStyle w:val="InternetLink"/>
                  <w:rFonts w:ascii="times new roman" w:hAnsi="times new roman"/>
                  <w:sz w:val="20"/>
                </w:rPr>
                <w:t>Item 4 – Reserved</w:t>
              </w:r>
            </w:hyperlink>
          </w:p>
        </w:tc>
        <w:tc>
          <w:tcPr>
            <w:tcW w:w="646" w:type="dxa"/>
            <w:tcBorders/>
            <w:shd w:fill="CCEEFF" w:val="clear"/>
            <w:vAlign w:val="bottom"/>
          </w:tcPr>
          <w:p>
            <w:pPr>
              <w:pStyle w:val="TableContents"/>
              <w:spacing w:before="0" w:after="0"/>
              <w:ind w:left="0" w:right="0" w:hanging="0"/>
              <w:jc w:val="right"/>
              <w:rPr/>
            </w:pPr>
            <w:hyperlink w:anchor="item4">
              <w:r>
                <w:rPr>
                  <w:rStyle w:val="InternetLink"/>
                  <w:rFonts w:ascii="times new roman" w:hAnsi="times new roman"/>
                  <w:sz w:val="20"/>
                </w:rPr>
                <w:t>26</w:t>
              </w:r>
            </w:hyperlink>
          </w:p>
        </w:tc>
      </w:tr>
      <w:tr>
        <w:trPr/>
        <w:tc>
          <w:tcPr>
            <w:tcW w:w="9559" w:type="dxa"/>
            <w:tcBorders/>
            <w:shd w:fill="FFFFFF" w:val="clear"/>
          </w:tcPr>
          <w:p>
            <w:pPr>
              <w:pStyle w:val="TableContents"/>
              <w:spacing w:before="0" w:after="0"/>
              <w:ind w:left="0" w:right="0" w:hanging="0"/>
              <w:jc w:val="left"/>
              <w:rPr/>
            </w:pPr>
            <w:hyperlink w:anchor="part2">
              <w:r>
                <w:rPr>
                  <w:rStyle w:val="InternetLink"/>
                  <w:rFonts w:ascii="times new roman" w:hAnsi="times new roman"/>
                  <w:sz w:val="20"/>
                </w:rPr>
                <w:t>PART II</w:t>
              </w:r>
            </w:hyperlink>
          </w:p>
        </w:tc>
        <w:tc>
          <w:tcPr>
            <w:tcW w:w="646" w:type="dxa"/>
            <w:tcBorders/>
            <w:shd w:fill="FFFFFF" w:val="clear"/>
            <w:vAlign w:val="bottom"/>
          </w:tcPr>
          <w:p>
            <w:pPr>
              <w:pStyle w:val="TableContents"/>
              <w:spacing w:before="0" w:after="0"/>
              <w:ind w:left="0" w:right="0" w:hanging="0"/>
              <w:jc w:val="right"/>
              <w:rPr/>
            </w:pPr>
            <w:hyperlink w:anchor="part2">
              <w:r>
                <w:rPr>
                  <w:rStyle w:val="InternetLink"/>
                  <w:rFonts w:ascii="times new roman" w:hAnsi="times new roman"/>
                  <w:sz w:val="20"/>
                </w:rPr>
                <w:t>27</w:t>
              </w:r>
            </w:hyperlink>
          </w:p>
        </w:tc>
      </w:tr>
      <w:tr>
        <w:trPr/>
        <w:tc>
          <w:tcPr>
            <w:tcW w:w="9559" w:type="dxa"/>
            <w:tcBorders/>
            <w:shd w:fill="CCEEFF" w:val="clear"/>
          </w:tcPr>
          <w:p>
            <w:pPr>
              <w:pStyle w:val="TableContents"/>
              <w:spacing w:before="0" w:after="0"/>
              <w:ind w:left="0" w:right="0" w:hanging="0"/>
              <w:jc w:val="left"/>
              <w:rPr/>
            </w:pPr>
            <w:hyperlink w:anchor="part2">
              <w:r>
                <w:rPr>
                  <w:rStyle w:val="InternetLink"/>
                  <w:rFonts w:ascii="times new roman" w:hAnsi="times new roman"/>
                  <w:sz w:val="20"/>
                </w:rPr>
                <w:t>Item 5 – Market for Registrant’s Common Equity, Related Stockholder Matters and Issuer Purchases of Equity Securities</w:t>
              </w:r>
            </w:hyperlink>
          </w:p>
        </w:tc>
        <w:tc>
          <w:tcPr>
            <w:tcW w:w="646" w:type="dxa"/>
            <w:tcBorders/>
            <w:shd w:fill="CCEEFF" w:val="clear"/>
            <w:vAlign w:val="bottom"/>
          </w:tcPr>
          <w:p>
            <w:pPr>
              <w:pStyle w:val="TableContents"/>
              <w:spacing w:before="0" w:after="0"/>
              <w:ind w:left="0" w:right="0" w:hanging="0"/>
              <w:jc w:val="right"/>
              <w:rPr/>
            </w:pPr>
            <w:hyperlink w:anchor="part2">
              <w:r>
                <w:rPr>
                  <w:rStyle w:val="InternetLink"/>
                  <w:rFonts w:ascii="times new roman" w:hAnsi="times new roman"/>
                  <w:sz w:val="20"/>
                </w:rPr>
                <w:t>27</w:t>
              </w:r>
            </w:hyperlink>
          </w:p>
        </w:tc>
      </w:tr>
      <w:tr>
        <w:trPr/>
        <w:tc>
          <w:tcPr>
            <w:tcW w:w="9559" w:type="dxa"/>
            <w:tcBorders/>
            <w:shd w:fill="FFFFFF" w:val="clear"/>
          </w:tcPr>
          <w:p>
            <w:pPr>
              <w:pStyle w:val="TableContents"/>
              <w:spacing w:before="0" w:after="0"/>
              <w:ind w:left="0" w:right="0" w:hanging="0"/>
              <w:jc w:val="left"/>
              <w:rPr/>
            </w:pPr>
            <w:hyperlink w:anchor="item6">
              <w:r>
                <w:rPr>
                  <w:rStyle w:val="InternetLink"/>
                  <w:rFonts w:ascii="times new roman" w:hAnsi="times new roman"/>
                  <w:sz w:val="20"/>
                </w:rPr>
                <w:t>Item 6 – Selected Financial Data</w:t>
              </w:r>
            </w:hyperlink>
          </w:p>
        </w:tc>
        <w:tc>
          <w:tcPr>
            <w:tcW w:w="646" w:type="dxa"/>
            <w:tcBorders/>
            <w:shd w:fill="FFFFFF" w:val="clear"/>
            <w:vAlign w:val="bottom"/>
          </w:tcPr>
          <w:p>
            <w:pPr>
              <w:pStyle w:val="TableContents"/>
              <w:spacing w:before="0" w:after="0"/>
              <w:ind w:left="0" w:right="0" w:hanging="0"/>
              <w:jc w:val="right"/>
              <w:rPr/>
            </w:pPr>
            <w:hyperlink w:anchor="item6">
              <w:r>
                <w:rPr>
                  <w:rStyle w:val="InternetLink"/>
                  <w:rFonts w:ascii="times new roman" w:hAnsi="times new roman"/>
                  <w:sz w:val="20"/>
                </w:rPr>
                <w:t>28</w:t>
              </w:r>
            </w:hyperlink>
          </w:p>
        </w:tc>
      </w:tr>
      <w:tr>
        <w:trPr/>
        <w:tc>
          <w:tcPr>
            <w:tcW w:w="9559" w:type="dxa"/>
            <w:tcBorders/>
            <w:shd w:fill="CCEEFF" w:val="clear"/>
          </w:tcPr>
          <w:p>
            <w:pPr>
              <w:pStyle w:val="TableContents"/>
              <w:spacing w:before="0" w:after="0"/>
              <w:ind w:left="0" w:right="0" w:hanging="0"/>
              <w:jc w:val="left"/>
              <w:rPr/>
            </w:pPr>
            <w:hyperlink w:anchor="item7">
              <w:r>
                <w:rPr>
                  <w:rStyle w:val="InternetLink"/>
                  <w:rFonts w:ascii="times new roman" w:hAnsi="times new roman"/>
                  <w:sz w:val="20"/>
                </w:rPr>
                <w:t>Item 7 – Management’s Discussions and Analysis of Financial Condition and Results of Operations</w:t>
              </w:r>
            </w:hyperlink>
          </w:p>
        </w:tc>
        <w:tc>
          <w:tcPr>
            <w:tcW w:w="646" w:type="dxa"/>
            <w:tcBorders/>
            <w:shd w:fill="CCEEFF" w:val="clear"/>
            <w:vAlign w:val="bottom"/>
          </w:tcPr>
          <w:p>
            <w:pPr>
              <w:pStyle w:val="TableContents"/>
              <w:spacing w:before="0" w:after="0"/>
              <w:ind w:left="0" w:right="0" w:hanging="0"/>
              <w:jc w:val="right"/>
              <w:rPr/>
            </w:pPr>
            <w:hyperlink w:anchor="item7">
              <w:r>
                <w:rPr>
                  <w:rStyle w:val="InternetLink"/>
                  <w:rFonts w:ascii="times new roman" w:hAnsi="times new roman"/>
                  <w:sz w:val="20"/>
                </w:rPr>
                <w:t>31</w:t>
              </w:r>
            </w:hyperlink>
          </w:p>
        </w:tc>
      </w:tr>
      <w:tr>
        <w:trPr/>
        <w:tc>
          <w:tcPr>
            <w:tcW w:w="9559" w:type="dxa"/>
            <w:tcBorders/>
            <w:shd w:fill="FFFFFF" w:val="clear"/>
          </w:tcPr>
          <w:p>
            <w:pPr>
              <w:pStyle w:val="TableContents"/>
              <w:spacing w:before="0" w:after="0"/>
              <w:ind w:left="0" w:right="0" w:hanging="0"/>
              <w:jc w:val="left"/>
              <w:rPr/>
            </w:pPr>
            <w:hyperlink w:anchor="item7a">
              <w:r>
                <w:rPr>
                  <w:rStyle w:val="InternetLink"/>
                  <w:rFonts w:ascii="times new roman" w:hAnsi="times new roman"/>
                  <w:sz w:val="20"/>
                </w:rPr>
                <w:t>Item 7A – Quantitative and Qualitative Disclosure about Market Risk</w:t>
              </w:r>
            </w:hyperlink>
          </w:p>
        </w:tc>
        <w:tc>
          <w:tcPr>
            <w:tcW w:w="646" w:type="dxa"/>
            <w:tcBorders/>
            <w:shd w:fill="FFFFFF" w:val="clear"/>
            <w:vAlign w:val="bottom"/>
          </w:tcPr>
          <w:p>
            <w:pPr>
              <w:pStyle w:val="TableContents"/>
              <w:spacing w:before="0" w:after="0"/>
              <w:ind w:left="0" w:right="0" w:hanging="0"/>
              <w:jc w:val="right"/>
              <w:rPr/>
            </w:pPr>
            <w:hyperlink w:anchor="item7a">
              <w:r>
                <w:rPr>
                  <w:rStyle w:val="InternetLink"/>
                  <w:rFonts w:ascii="times new roman" w:hAnsi="times new roman"/>
                  <w:sz w:val="20"/>
                </w:rPr>
                <w:t>54</w:t>
              </w:r>
            </w:hyperlink>
          </w:p>
        </w:tc>
      </w:tr>
      <w:tr>
        <w:trPr/>
        <w:tc>
          <w:tcPr>
            <w:tcW w:w="9559" w:type="dxa"/>
            <w:tcBorders/>
            <w:shd w:fill="CCEEFF" w:val="clear"/>
          </w:tcPr>
          <w:p>
            <w:pPr>
              <w:pStyle w:val="TableContents"/>
              <w:spacing w:before="0" w:after="0"/>
              <w:ind w:left="0" w:right="0" w:hanging="0"/>
              <w:jc w:val="left"/>
              <w:rPr/>
            </w:pPr>
            <w:hyperlink w:anchor="item8">
              <w:r>
                <w:rPr>
                  <w:rStyle w:val="InternetLink"/>
                  <w:rFonts w:ascii="times new roman" w:hAnsi="times new roman"/>
                  <w:sz w:val="20"/>
                </w:rPr>
                <w:t>Item 8 – Financial Statements and Supplementary Data</w:t>
              </w:r>
            </w:hyperlink>
          </w:p>
        </w:tc>
        <w:tc>
          <w:tcPr>
            <w:tcW w:w="646" w:type="dxa"/>
            <w:tcBorders/>
            <w:shd w:fill="CCEEFF" w:val="clear"/>
            <w:vAlign w:val="bottom"/>
          </w:tcPr>
          <w:p>
            <w:pPr>
              <w:pStyle w:val="TableContents"/>
              <w:spacing w:before="0" w:after="0"/>
              <w:ind w:left="0" w:right="0" w:hanging="0"/>
              <w:jc w:val="right"/>
              <w:rPr/>
            </w:pPr>
            <w:hyperlink w:anchor="item8">
              <w:r>
                <w:rPr>
                  <w:rStyle w:val="InternetLink"/>
                  <w:rFonts w:ascii="times new roman" w:hAnsi="times new roman"/>
                  <w:sz w:val="20"/>
                </w:rPr>
                <w:t>55</w:t>
              </w:r>
            </w:hyperlink>
          </w:p>
        </w:tc>
      </w:tr>
      <w:tr>
        <w:trPr/>
        <w:tc>
          <w:tcPr>
            <w:tcW w:w="9559" w:type="dxa"/>
            <w:tcBorders/>
            <w:shd w:fill="FFFFFF" w:val="clear"/>
          </w:tcPr>
          <w:p>
            <w:pPr>
              <w:pStyle w:val="TableContents"/>
              <w:spacing w:before="0" w:after="0"/>
              <w:ind w:left="720" w:right="0" w:hanging="0"/>
              <w:jc w:val="left"/>
              <w:rPr/>
            </w:pPr>
            <w:hyperlink w:anchor="reportofaccountingfirm">
              <w:r>
                <w:rPr>
                  <w:rStyle w:val="InternetLink"/>
                  <w:rFonts w:ascii="times new roman" w:hAnsi="times new roman"/>
                  <w:sz w:val="20"/>
                </w:rPr>
                <w:t>Report of Independent Registered Public Accounting Firm</w:t>
              </w:r>
            </w:hyperlink>
          </w:p>
        </w:tc>
        <w:tc>
          <w:tcPr>
            <w:tcW w:w="646" w:type="dxa"/>
            <w:tcBorders/>
            <w:shd w:fill="FFFFFF" w:val="clear"/>
            <w:vAlign w:val="bottom"/>
          </w:tcPr>
          <w:p>
            <w:pPr>
              <w:pStyle w:val="TableContents"/>
              <w:spacing w:before="0" w:after="0"/>
              <w:ind w:left="0" w:right="0" w:hanging="0"/>
              <w:jc w:val="right"/>
              <w:rPr/>
            </w:pPr>
            <w:hyperlink w:anchor="reportofaccountingfirm">
              <w:r>
                <w:rPr>
                  <w:rStyle w:val="InternetLink"/>
                  <w:rFonts w:ascii="times new roman" w:hAnsi="times new roman"/>
                  <w:sz w:val="20"/>
                </w:rPr>
                <w:t>56</w:t>
              </w:r>
            </w:hyperlink>
          </w:p>
        </w:tc>
      </w:tr>
      <w:tr>
        <w:trPr/>
        <w:tc>
          <w:tcPr>
            <w:tcW w:w="9559" w:type="dxa"/>
            <w:tcBorders/>
            <w:shd w:fill="CCEEFF" w:val="clear"/>
          </w:tcPr>
          <w:p>
            <w:pPr>
              <w:pStyle w:val="TableContents"/>
              <w:spacing w:before="0" w:after="0"/>
              <w:ind w:left="720" w:right="0" w:hanging="0"/>
              <w:jc w:val="left"/>
              <w:rPr/>
            </w:pPr>
            <w:hyperlink w:anchor="balancesheets">
              <w:r>
                <w:rPr>
                  <w:rStyle w:val="InternetLink"/>
                  <w:rFonts w:ascii="times new roman" w:hAnsi="times new roman"/>
                  <w:sz w:val="20"/>
                </w:rPr>
                <w:t>Consolidated Balance Sheets as of December 31, 2009 and 2008</w:t>
              </w:r>
            </w:hyperlink>
          </w:p>
        </w:tc>
        <w:tc>
          <w:tcPr>
            <w:tcW w:w="646" w:type="dxa"/>
            <w:tcBorders/>
            <w:shd w:fill="CCEEFF" w:val="clear"/>
            <w:vAlign w:val="bottom"/>
          </w:tcPr>
          <w:p>
            <w:pPr>
              <w:pStyle w:val="TableContents"/>
              <w:spacing w:before="0" w:after="0"/>
              <w:ind w:left="0" w:right="0" w:hanging="0"/>
              <w:jc w:val="right"/>
              <w:rPr/>
            </w:pPr>
            <w:hyperlink w:anchor="balancesheets">
              <w:r>
                <w:rPr>
                  <w:rStyle w:val="InternetLink"/>
                  <w:rFonts w:ascii="times new roman" w:hAnsi="times new roman"/>
                  <w:sz w:val="20"/>
                </w:rPr>
                <w:t>57</w:t>
              </w:r>
            </w:hyperlink>
          </w:p>
        </w:tc>
      </w:tr>
      <w:tr>
        <w:trPr/>
        <w:tc>
          <w:tcPr>
            <w:tcW w:w="9559" w:type="dxa"/>
            <w:tcBorders/>
            <w:shd w:fill="FFFFFF" w:val="clear"/>
          </w:tcPr>
          <w:p>
            <w:pPr>
              <w:pStyle w:val="TableContents"/>
              <w:spacing w:before="0" w:after="0"/>
              <w:ind w:left="720" w:right="0" w:hanging="0"/>
              <w:jc w:val="left"/>
              <w:rPr/>
            </w:pPr>
            <w:hyperlink w:anchor="statementofoperations">
              <w:r>
                <w:rPr>
                  <w:rStyle w:val="InternetLink"/>
                  <w:rFonts w:ascii="times new roman" w:hAnsi="times new roman"/>
                  <w:sz w:val="20"/>
                </w:rPr>
                <w:t>Consolidated Statements of Operations for the Three Years Ended December 31, 2009</w:t>
              </w:r>
            </w:hyperlink>
          </w:p>
        </w:tc>
        <w:tc>
          <w:tcPr>
            <w:tcW w:w="646" w:type="dxa"/>
            <w:tcBorders/>
            <w:shd w:fill="FFFFFF" w:val="clear"/>
            <w:vAlign w:val="bottom"/>
          </w:tcPr>
          <w:p>
            <w:pPr>
              <w:pStyle w:val="TableContents"/>
              <w:spacing w:before="0" w:after="0"/>
              <w:ind w:left="0" w:right="0" w:hanging="0"/>
              <w:jc w:val="right"/>
              <w:rPr/>
            </w:pPr>
            <w:hyperlink w:anchor="statementofoperations">
              <w:r>
                <w:rPr>
                  <w:rStyle w:val="InternetLink"/>
                  <w:rFonts w:ascii="times new roman" w:hAnsi="times new roman"/>
                  <w:sz w:val="20"/>
                </w:rPr>
                <w:t>58</w:t>
              </w:r>
            </w:hyperlink>
          </w:p>
        </w:tc>
      </w:tr>
      <w:tr>
        <w:trPr/>
        <w:tc>
          <w:tcPr>
            <w:tcW w:w="9559" w:type="dxa"/>
            <w:tcBorders/>
            <w:shd w:fill="CCEEFF" w:val="clear"/>
          </w:tcPr>
          <w:p>
            <w:pPr>
              <w:pStyle w:val="TableContents"/>
              <w:spacing w:before="0" w:after="0"/>
              <w:ind w:left="720" w:right="0" w:hanging="0"/>
              <w:jc w:val="left"/>
              <w:rPr/>
            </w:pPr>
            <w:hyperlink w:anchor="statementsofstockholderequity">
              <w:r>
                <w:rPr>
                  <w:rStyle w:val="InternetLink"/>
                  <w:rFonts w:ascii="times new roman" w:hAnsi="times new roman"/>
                  <w:sz w:val="20"/>
                </w:rPr>
                <w:t>Consolidated Statements of Stockholders’ Equity for the Three Years Ended December 31, 2009</w:t>
              </w:r>
            </w:hyperlink>
          </w:p>
        </w:tc>
        <w:tc>
          <w:tcPr>
            <w:tcW w:w="646" w:type="dxa"/>
            <w:tcBorders/>
            <w:shd w:fill="CCEEFF" w:val="clear"/>
            <w:vAlign w:val="bottom"/>
          </w:tcPr>
          <w:p>
            <w:pPr>
              <w:pStyle w:val="TableContents"/>
              <w:spacing w:before="0" w:after="0"/>
              <w:ind w:left="0" w:right="0" w:hanging="0"/>
              <w:jc w:val="right"/>
              <w:rPr/>
            </w:pPr>
            <w:hyperlink w:anchor="statementsofstockholderequity">
              <w:r>
                <w:rPr>
                  <w:rStyle w:val="InternetLink"/>
                  <w:rFonts w:ascii="times new roman" w:hAnsi="times new roman"/>
                  <w:sz w:val="20"/>
                </w:rPr>
                <w:t>59</w:t>
              </w:r>
            </w:hyperlink>
          </w:p>
        </w:tc>
      </w:tr>
      <w:tr>
        <w:trPr/>
        <w:tc>
          <w:tcPr>
            <w:tcW w:w="9559" w:type="dxa"/>
            <w:tcBorders/>
            <w:shd w:fill="FFFFFF" w:val="clear"/>
          </w:tcPr>
          <w:p>
            <w:pPr>
              <w:pStyle w:val="TableContents"/>
              <w:spacing w:before="0" w:after="0"/>
              <w:ind w:left="720" w:right="0" w:hanging="0"/>
              <w:jc w:val="left"/>
              <w:rPr/>
            </w:pPr>
            <w:hyperlink w:anchor="cashflows">
              <w:r>
                <w:rPr>
                  <w:rStyle w:val="InternetLink"/>
                  <w:rFonts w:ascii="times new roman" w:hAnsi="times new roman"/>
                  <w:sz w:val="20"/>
                </w:rPr>
                <w:t>Consolidated Statements of Cash Flows for the Three Years Ended December 31, 2009</w:t>
              </w:r>
            </w:hyperlink>
          </w:p>
        </w:tc>
        <w:tc>
          <w:tcPr>
            <w:tcW w:w="646" w:type="dxa"/>
            <w:tcBorders/>
            <w:shd w:fill="FFFFFF" w:val="clear"/>
            <w:vAlign w:val="bottom"/>
          </w:tcPr>
          <w:p>
            <w:pPr>
              <w:pStyle w:val="TableContents"/>
              <w:spacing w:before="0" w:after="0"/>
              <w:ind w:left="0" w:right="0" w:hanging="0"/>
              <w:jc w:val="right"/>
              <w:rPr/>
            </w:pPr>
            <w:hyperlink w:anchor="cashflows">
              <w:r>
                <w:rPr>
                  <w:rStyle w:val="InternetLink"/>
                  <w:rFonts w:ascii="times new roman" w:hAnsi="times new roman"/>
                  <w:sz w:val="20"/>
                </w:rPr>
                <w:t>60</w:t>
              </w:r>
            </w:hyperlink>
          </w:p>
        </w:tc>
      </w:tr>
      <w:tr>
        <w:trPr/>
        <w:tc>
          <w:tcPr>
            <w:tcW w:w="9559" w:type="dxa"/>
            <w:tcBorders/>
            <w:shd w:fill="CCEEFF" w:val="clear"/>
          </w:tcPr>
          <w:p>
            <w:pPr>
              <w:pStyle w:val="TableContents"/>
              <w:spacing w:before="0" w:after="0"/>
              <w:ind w:left="720" w:right="0" w:hanging="0"/>
              <w:jc w:val="left"/>
              <w:rPr/>
            </w:pPr>
            <w:hyperlink w:anchor="notes">
              <w:r>
                <w:rPr>
                  <w:rStyle w:val="InternetLink"/>
                  <w:rFonts w:ascii="times new roman" w:hAnsi="times new roman"/>
                  <w:sz w:val="20"/>
                </w:rPr>
                <w:t>Notes to Consolidated Financial Statements</w:t>
              </w:r>
            </w:hyperlink>
          </w:p>
        </w:tc>
        <w:tc>
          <w:tcPr>
            <w:tcW w:w="646" w:type="dxa"/>
            <w:tcBorders/>
            <w:shd w:fill="CCEEFF" w:val="clear"/>
            <w:vAlign w:val="bottom"/>
          </w:tcPr>
          <w:p>
            <w:pPr>
              <w:pStyle w:val="TableContents"/>
              <w:spacing w:before="0" w:after="0"/>
              <w:ind w:left="0" w:right="0" w:hanging="0"/>
              <w:jc w:val="right"/>
              <w:rPr/>
            </w:pPr>
            <w:hyperlink w:anchor="notes">
              <w:r>
                <w:rPr>
                  <w:rStyle w:val="InternetLink"/>
                  <w:rFonts w:ascii="times new roman" w:hAnsi="times new roman"/>
                  <w:sz w:val="20"/>
                </w:rPr>
                <w:t>61</w:t>
              </w:r>
            </w:hyperlink>
          </w:p>
        </w:tc>
      </w:tr>
      <w:tr>
        <w:trPr/>
        <w:tc>
          <w:tcPr>
            <w:tcW w:w="9559" w:type="dxa"/>
            <w:tcBorders/>
            <w:shd w:fill="FFFFFF" w:val="clear"/>
          </w:tcPr>
          <w:p>
            <w:pPr>
              <w:pStyle w:val="TableContents"/>
              <w:spacing w:before="0" w:after="0"/>
              <w:ind w:left="720" w:right="0" w:hanging="0"/>
              <w:jc w:val="left"/>
              <w:rPr/>
            </w:pPr>
            <w:hyperlink w:anchor="scheduleii">
              <w:r>
                <w:rPr>
                  <w:rStyle w:val="InternetLink"/>
                  <w:rFonts w:ascii="times new roman" w:hAnsi="times new roman"/>
                  <w:sz w:val="20"/>
                </w:rPr>
                <w:t>Schedule II – Valuation and Qualifying Accounts</w:t>
              </w:r>
            </w:hyperlink>
          </w:p>
        </w:tc>
        <w:tc>
          <w:tcPr>
            <w:tcW w:w="646" w:type="dxa"/>
            <w:tcBorders/>
            <w:shd w:fill="FFFFFF" w:val="clear"/>
            <w:vAlign w:val="bottom"/>
          </w:tcPr>
          <w:p>
            <w:pPr>
              <w:pStyle w:val="TableContents"/>
              <w:spacing w:before="0" w:after="0"/>
              <w:ind w:left="0" w:right="0" w:hanging="0"/>
              <w:jc w:val="right"/>
              <w:rPr/>
            </w:pPr>
            <w:hyperlink w:anchor="scheduleii">
              <w:r>
                <w:rPr>
                  <w:rStyle w:val="InternetLink"/>
                  <w:rFonts w:ascii="times new roman" w:hAnsi="times new roman"/>
                  <w:sz w:val="20"/>
                </w:rPr>
                <w:t>106</w:t>
              </w:r>
            </w:hyperlink>
          </w:p>
        </w:tc>
      </w:tr>
      <w:tr>
        <w:trPr/>
        <w:tc>
          <w:tcPr>
            <w:tcW w:w="9559" w:type="dxa"/>
            <w:tcBorders/>
            <w:shd w:fill="CCEEFF" w:val="clear"/>
          </w:tcPr>
          <w:p>
            <w:pPr>
              <w:pStyle w:val="TableContents"/>
              <w:spacing w:before="0" w:after="0"/>
              <w:ind w:left="0" w:right="0" w:hanging="0"/>
              <w:jc w:val="left"/>
              <w:rPr/>
            </w:pPr>
            <w:hyperlink w:anchor="item9">
              <w:r>
                <w:rPr>
                  <w:rStyle w:val="InternetLink"/>
                  <w:rFonts w:ascii="times new roman" w:hAnsi="times new roman"/>
                  <w:sz w:val="20"/>
                </w:rPr>
                <w:t>Item 9 – Change in and Disagreements with Accountants on Accounting and Financial Disclosure</w:t>
              </w:r>
            </w:hyperlink>
          </w:p>
        </w:tc>
        <w:tc>
          <w:tcPr>
            <w:tcW w:w="646" w:type="dxa"/>
            <w:tcBorders/>
            <w:shd w:fill="CCEEFF" w:val="clear"/>
            <w:vAlign w:val="bottom"/>
          </w:tcPr>
          <w:p>
            <w:pPr>
              <w:pStyle w:val="TableContents"/>
              <w:spacing w:before="0" w:after="0"/>
              <w:ind w:left="0" w:right="0" w:hanging="0"/>
              <w:jc w:val="right"/>
              <w:rPr/>
            </w:pPr>
            <w:hyperlink w:anchor="item9">
              <w:r>
                <w:rPr>
                  <w:rStyle w:val="InternetLink"/>
                  <w:rFonts w:ascii="times new roman" w:hAnsi="times new roman"/>
                  <w:sz w:val="20"/>
                </w:rPr>
                <w:t>107</w:t>
              </w:r>
            </w:hyperlink>
          </w:p>
        </w:tc>
      </w:tr>
      <w:tr>
        <w:trPr/>
        <w:tc>
          <w:tcPr>
            <w:tcW w:w="9559" w:type="dxa"/>
            <w:tcBorders/>
            <w:shd w:fill="FFFFFF" w:val="clear"/>
          </w:tcPr>
          <w:p>
            <w:pPr>
              <w:pStyle w:val="TableContents"/>
              <w:spacing w:before="0" w:after="0"/>
              <w:ind w:left="0" w:right="0" w:hanging="0"/>
              <w:jc w:val="left"/>
              <w:rPr/>
            </w:pPr>
            <w:hyperlink w:anchor="item9a">
              <w:r>
                <w:rPr>
                  <w:rStyle w:val="InternetLink"/>
                  <w:rFonts w:ascii="times new roman" w:hAnsi="times new roman"/>
                  <w:sz w:val="20"/>
                </w:rPr>
                <w:t>Item 9A — Controls and Procedures</w:t>
              </w:r>
            </w:hyperlink>
          </w:p>
        </w:tc>
        <w:tc>
          <w:tcPr>
            <w:tcW w:w="646" w:type="dxa"/>
            <w:tcBorders/>
            <w:shd w:fill="FFFFFF" w:val="clear"/>
            <w:vAlign w:val="bottom"/>
          </w:tcPr>
          <w:p>
            <w:pPr>
              <w:pStyle w:val="TableContents"/>
              <w:spacing w:before="0" w:after="0"/>
              <w:ind w:left="0" w:right="0" w:hanging="0"/>
              <w:jc w:val="right"/>
              <w:rPr/>
            </w:pPr>
            <w:hyperlink w:anchor="item9a">
              <w:r>
                <w:rPr>
                  <w:rStyle w:val="InternetLink"/>
                  <w:rFonts w:ascii="times new roman" w:hAnsi="times new roman"/>
                  <w:sz w:val="20"/>
                </w:rPr>
                <w:t>108</w:t>
              </w:r>
            </w:hyperlink>
          </w:p>
        </w:tc>
      </w:tr>
      <w:tr>
        <w:trPr/>
        <w:tc>
          <w:tcPr>
            <w:tcW w:w="9559" w:type="dxa"/>
            <w:tcBorders/>
            <w:shd w:fill="CCEEFF" w:val="clear"/>
          </w:tcPr>
          <w:p>
            <w:pPr>
              <w:pStyle w:val="TableContents"/>
              <w:spacing w:before="0" w:after="0"/>
              <w:ind w:left="0" w:right="0" w:hanging="0"/>
              <w:jc w:val="left"/>
              <w:rPr/>
            </w:pPr>
            <w:hyperlink w:anchor="part3">
              <w:r>
                <w:rPr>
                  <w:rStyle w:val="InternetLink"/>
                  <w:rFonts w:ascii="times new roman" w:hAnsi="times new roman"/>
                  <w:sz w:val="20"/>
                </w:rPr>
                <w:t>PART III</w:t>
              </w:r>
            </w:hyperlink>
          </w:p>
        </w:tc>
        <w:tc>
          <w:tcPr>
            <w:tcW w:w="646" w:type="dxa"/>
            <w:tcBorders/>
            <w:shd w:fill="CCEEFF" w:val="clear"/>
            <w:vAlign w:val="bottom"/>
          </w:tcPr>
          <w:p>
            <w:pPr>
              <w:pStyle w:val="TableContents"/>
              <w:spacing w:before="0" w:after="0"/>
              <w:ind w:left="0" w:right="0" w:hanging="0"/>
              <w:jc w:val="right"/>
              <w:rPr/>
            </w:pPr>
            <w:hyperlink w:anchor="part3">
              <w:r>
                <w:rPr>
                  <w:rStyle w:val="InternetLink"/>
                  <w:rFonts w:ascii="times new roman" w:hAnsi="times new roman"/>
                  <w:sz w:val="20"/>
                </w:rPr>
                <w:t>112</w:t>
              </w:r>
            </w:hyperlink>
          </w:p>
        </w:tc>
      </w:tr>
      <w:tr>
        <w:trPr/>
        <w:tc>
          <w:tcPr>
            <w:tcW w:w="9559" w:type="dxa"/>
            <w:tcBorders/>
            <w:shd w:fill="FFFFFF" w:val="clear"/>
          </w:tcPr>
          <w:p>
            <w:pPr>
              <w:pStyle w:val="TableContents"/>
              <w:spacing w:before="0" w:after="0"/>
              <w:ind w:left="0" w:right="0" w:hanging="0"/>
              <w:jc w:val="left"/>
              <w:rPr/>
            </w:pPr>
            <w:hyperlink w:anchor="part4">
              <w:r>
                <w:rPr>
                  <w:rStyle w:val="InternetLink"/>
                  <w:rFonts w:ascii="times new roman" w:hAnsi="times new roman"/>
                  <w:sz w:val="20"/>
                </w:rPr>
                <w:t>PART IV</w:t>
              </w:r>
            </w:hyperlink>
          </w:p>
        </w:tc>
        <w:tc>
          <w:tcPr>
            <w:tcW w:w="646" w:type="dxa"/>
            <w:tcBorders/>
            <w:shd w:fill="FFFFFF" w:val="clear"/>
            <w:vAlign w:val="bottom"/>
          </w:tcPr>
          <w:p>
            <w:pPr>
              <w:pStyle w:val="TableContents"/>
              <w:spacing w:before="0" w:after="0"/>
              <w:ind w:left="0" w:right="0" w:hanging="0"/>
              <w:jc w:val="right"/>
              <w:rPr/>
            </w:pPr>
            <w:hyperlink w:anchor="part4">
              <w:r>
                <w:rPr>
                  <w:rStyle w:val="InternetLink"/>
                  <w:rFonts w:ascii="times new roman" w:hAnsi="times new roman"/>
                  <w:sz w:val="20"/>
                </w:rPr>
                <w:t>113</w:t>
              </w:r>
            </w:hyperlink>
          </w:p>
        </w:tc>
      </w:tr>
      <w:tr>
        <w:trPr/>
        <w:tc>
          <w:tcPr>
            <w:tcW w:w="9559" w:type="dxa"/>
            <w:tcBorders/>
            <w:shd w:fill="CCEEFF" w:val="clear"/>
          </w:tcPr>
          <w:p>
            <w:pPr>
              <w:pStyle w:val="TableContents"/>
              <w:spacing w:before="0" w:after="0"/>
              <w:ind w:left="0" w:right="0" w:hanging="0"/>
              <w:jc w:val="left"/>
              <w:rPr/>
            </w:pPr>
            <w:hyperlink w:anchor="part4">
              <w:r>
                <w:rPr>
                  <w:rStyle w:val="InternetLink"/>
                  <w:rFonts w:ascii="times new roman" w:hAnsi="times new roman"/>
                  <w:sz w:val="20"/>
                </w:rPr>
                <w:t>Item 15 – Exhibits, Financial Statement Schedules</w:t>
              </w:r>
            </w:hyperlink>
          </w:p>
        </w:tc>
        <w:tc>
          <w:tcPr>
            <w:tcW w:w="646" w:type="dxa"/>
            <w:tcBorders/>
            <w:shd w:fill="CCEEFF" w:val="clear"/>
            <w:vAlign w:val="bottom"/>
          </w:tcPr>
          <w:p>
            <w:pPr>
              <w:pStyle w:val="TableContents"/>
              <w:spacing w:before="0" w:after="0"/>
              <w:ind w:left="0" w:right="0" w:hanging="0"/>
              <w:jc w:val="right"/>
              <w:rPr/>
            </w:pPr>
            <w:hyperlink w:anchor="part4">
              <w:r>
                <w:rPr>
                  <w:rStyle w:val="InternetLink"/>
                  <w:rFonts w:ascii="times new roman" w:hAnsi="times new roman"/>
                  <w:sz w:val="20"/>
                </w:rPr>
                <w:t>113</w:t>
              </w:r>
            </w:hyperlink>
          </w:p>
        </w:tc>
      </w:tr>
      <w:tr>
        <w:trPr/>
        <w:tc>
          <w:tcPr>
            <w:tcW w:w="9559" w:type="dxa"/>
            <w:tcBorders/>
            <w:shd w:fill="FFFFFF" w:val="clear"/>
          </w:tcPr>
          <w:p>
            <w:pPr>
              <w:pStyle w:val="TableContents"/>
              <w:spacing w:before="0" w:after="0"/>
              <w:ind w:left="0" w:right="0" w:hanging="0"/>
              <w:jc w:val="left"/>
              <w:rPr/>
            </w:pPr>
            <w:hyperlink w:anchor="signatures">
              <w:r>
                <w:rPr>
                  <w:rStyle w:val="InternetLink"/>
                  <w:rFonts w:ascii="times new roman" w:hAnsi="times new roman"/>
                  <w:sz w:val="20"/>
                </w:rPr>
                <w:t>SIGNATURES</w:t>
              </w:r>
            </w:hyperlink>
          </w:p>
        </w:tc>
        <w:tc>
          <w:tcPr>
            <w:tcW w:w="646" w:type="dxa"/>
            <w:tcBorders/>
            <w:shd w:fill="FFFFFF" w:val="clear"/>
            <w:vAlign w:val="bottom"/>
          </w:tcPr>
          <w:p>
            <w:pPr>
              <w:pStyle w:val="TableContents"/>
              <w:spacing w:before="0" w:after="0"/>
              <w:ind w:left="0" w:right="0" w:hanging="0"/>
              <w:jc w:val="right"/>
              <w:rPr/>
            </w:pPr>
            <w:hyperlink w:anchor="signatures">
              <w:r>
                <w:rPr>
                  <w:rStyle w:val="InternetLink"/>
                  <w:rFonts w:ascii="times new roman" w:hAnsi="times new roman"/>
                  <w:sz w:val="20"/>
                </w:rPr>
                <w:t>152</w:t>
              </w:r>
            </w:hyperlink>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9" w:name="PGBRK"/>
      <w:bookmarkStart w:id="20" w:name="PGBRK"/>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1" w:name="FTR"/>
      <w:bookmarkStart w:id="22" w:name="FTR"/>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3" w:name="GLFTR"/>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 w:name="PN"/>
      <w:bookmarkEnd w:id="2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5" w:name="HDR"/>
      <w:bookmarkStart w:id="26" w:name="HDR"/>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ableofcontents">
        <w:bookmarkStart w:id="27" w:name="GLHDR"/>
        <w:bookmarkEnd w:id="2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u w:val="single"/>
        </w:rPr>
      </w:pPr>
      <w:bookmarkStart w:id="28" w:name="part1"/>
      <w:bookmarkEnd w:id="28"/>
      <w:r>
        <w:rPr>
          <w:rFonts w:ascii="Times New Roman" w:hAnsi="Times New Roman"/>
          <w:b/>
          <w:sz w:val="20"/>
          <w:u w:val="single"/>
        </w:rPr>
        <w:t>PART I</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Item 1 –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General Description of Our Business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 w:name="TAB19"/>
      <w:bookmarkEnd w:id="29"/>
      <w:r>
        <w:rPr>
          <w:rFonts w:ascii="Times New Roman" w:hAnsi="Times New Roman"/>
          <w:sz w:val="20"/>
        </w:rPr>
        <w:t xml:space="preserve">Reading International, Inc., a Nevada corporation (“RDI”), was incorporated in 1999 incident to our reincorporation in Nevada.  Our class A non-voting common stock (“Class A Stock”) and class B voting common stock (“Class B Stock”) are listed for trading on the NASDAQ under the symbols RDI and RDIB.  Our principal executive offices are located at 500 Citadel Drive, Suite 300, Commerce, California 90040.  Our general telephone number is (213) 235-2240 and our website is </w:t>
      </w:r>
      <w:r>
        <w:rPr>
          <w:rFonts w:ascii="Times New Roman" w:hAnsi="Times New Roman"/>
          <w:sz w:val="20"/>
          <w:u w:val="single"/>
        </w:rPr>
        <w:t>www.readingrdi.com</w:t>
      </w:r>
      <w:r>
        <w:rPr>
          <w:rFonts w:ascii="Times New Roman" w:hAnsi="Times New Roman"/>
          <w:sz w:val="20"/>
        </w:rPr>
        <w:t>.  It is our practice to make available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In this Annual Report, we from time to time use terms such as the “Company,” “Reading” and “we,” “us,” or “our” to refer collectively to RDI and our various consolidated subsidiaries and corporate predecessors.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0" w:name="TAB110"/>
      <w:bookmarkEnd w:id="30"/>
      <w:r>
        <w:rPr>
          <w:rFonts w:ascii="Times New Roman" w:hAnsi="Times New Roman"/>
          <w:b/>
          <w:sz w:val="20"/>
        </w:rPr>
        <w:t>We are an internationally diversified company principally focused on the development, ownership and operation of entertainment and real property assets in the United States, Australia, and New Zealand.  Currently, we operate in two business segments</w:t>
      </w:r>
      <w:r>
        <w:rPr>
          <w:rFonts w:ascii="Times New Roman" w:hAnsi="Times New Roman"/>
          <w:sz w:val="20"/>
        </w:rPr>
        <w:t>:</w:t>
      </w:r>
    </w:p>
    <w:p>
      <w:pPr>
        <w:pStyle w:val="TextBody"/>
        <w:spacing w:before="0" w:after="0"/>
        <w:ind w:left="0" w:right="0" w:hanging="0"/>
        <w:rPr/>
      </w:pPr>
      <w:r>
        <w:rPr/>
      </w:r>
    </w:p>
    <w:p>
      <w:pPr>
        <w:pStyle w:val="Normal"/>
        <w:spacing w:before="0" w:after="0"/>
        <w:rPr>
          <w:sz w:val="4"/>
          <w:szCs w:val="4"/>
        </w:rPr>
      </w:pPr>
      <w:r>
        <w:rPr>
          <w:sz w:val="4"/>
          <w:szCs w:val="4"/>
        </w:rPr>
      </w:r>
      <w:bookmarkStart w:id="31" w:name="list2"/>
      <w:bookmarkStart w:id="32" w:name="list2"/>
      <w:bookmarkEnd w:id="32"/>
    </w:p>
    <w:tbl>
      <w:tblPr>
        <w:tblW w:w="5000" w:type="pct"/>
        <w:jc w:val="left"/>
        <w:tblInd w:w="0" w:type="dxa"/>
        <w:tblCellMar>
          <w:top w:w="0" w:type="dxa"/>
          <w:left w:w="0" w:type="dxa"/>
          <w:bottom w:w="0" w:type="dxa"/>
          <w:right w:w="0" w:type="dxa"/>
        </w:tblCellMar>
      </w:tblPr>
      <w:tblGrid>
        <w:gridCol w:w="669"/>
        <w:gridCol w:w="9536"/>
      </w:tblGrid>
      <w:tr>
        <w:trPr/>
        <w:tc>
          <w:tcPr>
            <w:tcW w:w="66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  </w:t>
            </w:r>
          </w:p>
        </w:tc>
        <w:tc>
          <w:tcPr>
            <w:tcW w:w="953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Cinema Exhibition, through our 59 multiplex theaters,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33" w:name="list3"/>
      <w:bookmarkStart w:id="34" w:name="list3"/>
      <w:bookmarkEnd w:id="34"/>
    </w:p>
    <w:tbl>
      <w:tblPr>
        <w:tblW w:w="5000" w:type="pct"/>
        <w:jc w:val="left"/>
        <w:tblInd w:w="0" w:type="dxa"/>
        <w:tblCellMar>
          <w:top w:w="0" w:type="dxa"/>
          <w:left w:w="0" w:type="dxa"/>
          <w:bottom w:w="0" w:type="dxa"/>
          <w:right w:w="0" w:type="dxa"/>
        </w:tblCellMar>
      </w:tblPr>
      <w:tblGrid>
        <w:gridCol w:w="386"/>
        <w:gridCol w:w="9819"/>
      </w:tblGrid>
      <w:tr>
        <w:trPr/>
        <w:tc>
          <w:tcPr>
            <w:tcW w:w="38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(2)  </w:t>
            </w:r>
          </w:p>
        </w:tc>
        <w:tc>
          <w:tcPr>
            <w:tcW w:w="981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Real Estate, including real estate development and the rental of retail, commercial and live theater assets.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these two business segments complement one another, as the comparatively consistent cash flows generated by our cinema operations can be used to fund the front-end cash demands of our real estate development business.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5" w:name="TAB111"/>
      <w:bookmarkEnd w:id="35"/>
      <w:r>
        <w:rPr>
          <w:rFonts w:ascii="Times New Roman" w:hAnsi="Times New Roman"/>
          <w:sz w:val="20"/>
        </w:rPr>
        <w:t>At December 31, 2009, the book value of our assets was approximately $406.4 million; and as of that same date, we had a consolidated stockholders’ book equity of approximately $110.3 million.  Calculated based on book value, approximately $178.1 million of our assets relate to our cinema activities and approximately $197.5 million of our assets relate to our real estate activities.  At December 31, 2009, the allocation between our cinema assets and our non-cinema assets was approximately 44% and 56%, respectively.</w:t>
      </w:r>
    </w:p>
    <w:p>
      <w:pPr>
        <w:pStyle w:val="TextBody"/>
        <w:spacing w:before="0" w:after="0"/>
        <w:ind w:left="0" w:right="0" w:hanging="0"/>
        <w:jc w:val="center"/>
        <w:rPr/>
      </w:pPr>
      <w:r>
        <w:rPr/>
        <w:br/>
        <w:t> </w:t>
      </w:r>
      <w:r>
        <w:rPr/>
        <w:drawing>
          <wp:inline distT="0" distB="0" distL="0" distR="0">
            <wp:extent cx="2714625" cy="213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2133600"/>
                    </a:xfrm>
                    <a:prstGeom prst="rect">
                      <a:avLst/>
                    </a:prstGeom>
                  </pic:spPr>
                </pic:pic>
              </a:graphicData>
            </a:graphic>
          </wp:inline>
        </w:drawing>
      </w:r>
    </w:p>
    <w:p>
      <w:pPr>
        <w:pStyle w:val="TextBody"/>
        <w:spacing w:before="0" w:after="0"/>
        <w:ind w:left="720" w:right="0" w:hanging="0"/>
        <w:jc w:val="both"/>
        <w:rPr>
          <w:rFonts w:ascii="Times New Roman" w:hAnsi="Times New Roman"/>
          <w:sz w:val="20"/>
        </w:rPr>
      </w:pPr>
      <w:bookmarkStart w:id="36" w:name="TAB112"/>
      <w:bookmarkEnd w:id="36"/>
      <w:r>
        <w:rPr>
          <w:rFonts w:ascii="Times New Roman" w:hAnsi="Times New Roman"/>
          <w:sz w:val="20"/>
        </w:rPr>
        <w:t xml:space="preserve">For additional segment financial information, please see Note 22 – </w:t>
      </w:r>
      <w:r>
        <w:rPr>
          <w:rFonts w:ascii="Times New Roman" w:hAnsi="Times New Roman"/>
          <w:i/>
          <w:sz w:val="20"/>
        </w:rPr>
        <w:t>Business Segments and Geographic Area Information</w:t>
      </w:r>
      <w:r>
        <w:rPr>
          <w:rFonts w:ascii="Times New Roman" w:hAnsi="Times New Roman"/>
          <w:sz w:val="20"/>
        </w:rPr>
        <w:t xml:space="preserve"> to our 2009 Consolidated Financial Statements.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7" w:name="TAB113"/>
      <w:bookmarkEnd w:id="37"/>
      <w:r>
        <w:rPr>
          <w:rFonts w:ascii="Times New Roman" w:hAnsi="Times New Roman"/>
          <w:sz w:val="20"/>
        </w:rPr>
        <w:t>Recognizing that we are part of a world economy, we have diversified our assets among three countries: the United States, Australia, and New Zealand.  We currently have approximately 34% of our assets (based on net book value) in the United States, 50% in Australia and 16% in New Zealand compared to 38%, 44%, and 18% at the end of 2008.  For 2009, our gross revenue in these jurisdictions was $113.4 million, $80.8 million, and $22.8 million, respectively, compared to $99.8 million, $73.5 million, and $23.7 million for 2008.</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 w:name="PGBRK1"/>
      <w:bookmarkStart w:id="39" w:name="PGBRK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FTR1"/>
      <w:bookmarkStart w:id="41" w:name="FTR1"/>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2" w:name="GLFTR1"/>
      <w:bookmarkEnd w:id="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 w:name="PN1"/>
      <w:bookmarkEnd w:id="43"/>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HDR1"/>
      <w:bookmarkStart w:id="45" w:name="HDR1"/>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6" w:name="GLHDR1"/>
        <w:bookmarkEnd w:id="4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2724150" cy="2143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24150" cy="2143125"/>
                    </a:xfrm>
                    <a:prstGeom prst="rect">
                      <a:avLst/>
                    </a:prstGeom>
                  </pic:spPr>
                </pic:pic>
              </a:graphicData>
            </a:graphic>
          </wp:inline>
        </w:drawing>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7" w:name="TAB114"/>
      <w:bookmarkEnd w:id="47"/>
      <w:r>
        <w:rPr>
          <w:rFonts w:ascii="Times New Roman" w:hAnsi="Times New Roman"/>
          <w:sz w:val="20"/>
        </w:rPr>
        <w:t xml:space="preserve">For additional financial information concerning the geographic distribution of our business, please see Note 22 – </w:t>
      </w:r>
      <w:r>
        <w:rPr>
          <w:rFonts w:ascii="Times New Roman" w:hAnsi="Times New Roman"/>
          <w:i/>
          <w:sz w:val="20"/>
        </w:rPr>
        <w:t>Business Segments and Geographic Area Information</w:t>
      </w:r>
      <w:r>
        <w:rPr>
          <w:rFonts w:ascii="Times New Roman" w:hAnsi="Times New Roman"/>
          <w:sz w:val="20"/>
        </w:rPr>
        <w:t xml:space="preserve"> to our 2009 Consolidated Financial Statements.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8" w:name="TAB115"/>
      <w:bookmarkEnd w:id="48"/>
      <w:r>
        <w:rPr>
          <w:rFonts w:ascii="Times New Roman" w:hAnsi="Times New Roman"/>
          <w:sz w:val="20"/>
        </w:rPr>
        <w:t>While we do not believe the cinema exhibition business to be a growth business, we do believe it to be a business that will likely continue to generate fairly consistent cash flows in the years ahead even in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a nd from the acquisition of existing cinemas rather than from the development of new cinemas.  Over time, we anticipate that our cinema operations will become increasingly a source of cash flow to support our real estate oriented activities, rather than a focus of growth, and that our real estate activities will, again, over time become the principal thrust of our business.  We also, from time to time, invest in the shares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9" w:name="TAB116"/>
      <w:bookmarkEnd w:id="49"/>
      <w:r>
        <w:rPr>
          <w:rFonts w:ascii="Times New Roman" w:hAnsi="Times New Roman"/>
          <w:sz w:val="20"/>
        </w:rPr>
        <w:t>During the second half of 2008, and for most of 2009, the current market value of most commercial real estate has seen a significant decline.  While this decline has been, in our view, less pronounced in Australia and New Zealand than in the United States (and while the impact of the declines in Australia and New Zealand have been somewhat mitigated by renewed strength of the Australian and New Zealand dollar as compared to the US dollar during the later portions of 2009), values today are clearly less than they were at the end of 2007.  This has affected a few of our development projects resulting in impairment losses.  We believe, however, that the impact on us of this overall decline in real estate values has, in certain cases, been beneficial to us as we renegotiate lease terms for our existing cinemas and new lease terms for our cinemas in development.  The practical impact on our real estate holdings has been minimal, as we have continued to enjoy increases in rentals from the tenants in our retail holdings, and as our business plan generally calls for development of our raw land holdings over time for long-term development.  Of greater impact is the current lack of liquidity in the lending markets for real estate development, which may in certain cases delay our plans for development of certain properties, or necessitate the involvement of money partners in such developments.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0" w:name="TAB117"/>
      <w:bookmarkEnd w:id="50"/>
      <w:r>
        <w:rPr>
          <w:rFonts w:ascii="Times New Roman" w:hAnsi="Times New Roman"/>
          <w:sz w:val="20"/>
        </w:rPr>
        <w:t>Consistent with our philosophy of acquiring proven cash-flowing cinemas, on February 22, 2008 we acquired fifteen leasehold cinemas in Hawaii and California representing 181 screens for $70.2 million.  These cinemas are located in Hawaii and California and since the acquisition date through to December 31, 2008 and for the full year ended December 31, 2009 produced gross revenue of $66.9 million and $77.5 million, respectively.  This acquisition was financed, principally with a combination of institutional and seller financing totaling $71.0 million.  The purchase price is subject to downward adjustment depending upon future circumstances, up to a maximum possible downward adjustment of $21.0 million (the full amount of the seller financing).  As o f December 31, 2009, we have reduced the acquisition debt to $52.7 million, through a combination of purchase price adjustments to the seller financing and amortization of the institutional financing.  On February 12, 2010, the parties agreed to a further $4.2 million adjustment to the seller financing reducing the amount owed to $48.5 million.  As a result of the adjustments to date to the seller financing, the effective purchase price for these cinema assets has been reduced to $59.5 million as of February 12, 2010.</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 w:name="PGBRK2"/>
      <w:bookmarkStart w:id="52" w:name="PGBRK2"/>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FTR2"/>
      <w:bookmarkStart w:id="54" w:name="FTR2"/>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 w:name="GLFTR2"/>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 w:name="PN2"/>
      <w:bookmarkEnd w:id="56"/>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HDR2"/>
      <w:bookmarkStart w:id="58" w:name="HDR2"/>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9" w:name="GLHDR2"/>
        <w:bookmarkEnd w:id="5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both"/>
        <w:rPr>
          <w:rFonts w:ascii="Times New Roman" w:hAnsi="Times New Roman"/>
          <w:sz w:val="20"/>
        </w:rPr>
      </w:pPr>
      <w:bookmarkStart w:id="60" w:name="TAB118"/>
      <w:bookmarkEnd w:id="60"/>
      <w:r>
        <w:rPr>
          <w:rFonts w:ascii="Times New Roman" w:hAnsi="Times New Roman"/>
          <w:sz w:val="20"/>
        </w:rPr>
        <w:t>On September 16, 2008, we entered into an option agreement to sell our Auburn property for $28.5 million (AUS$36.0 million) as we believed that there were better opportunities for the deployment of such cash proceeds.  The holder of the option paid us $1.5 million (AUS$2.0 million) in fees with respect to that option, but in May 2009, elected not to proceed further.  Consequently, the option having terminated unexercised, we booked this $1.5 million in option fees as income for the quarter ended June 30, 2009.  Since the expiration of that option, the area in which our Auburn Property is located has received a vote in favor by Auburn Council for re-zoning to a new retail precinct.  This proposal is currently under consideration by the NSW planning ministry (the relevant authority) and if formalized will permit a variety of retail uses not previously permitted in the area.  In light of this development, we have determined not to sell our Auburn Property, but rather to proceed with the further development of that site, including the development of the currently vacant 2.1-acre parcel adjacent to the existing cinema/retail complex on the site as well as redevelopment of sectors within the already constructed centre to improve returns.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2008, we acquired or entered into agreements to acquire four contiguous properties in Brisbane, Australia, of approximately 50,000 square feet, which we intend to develop or gain entitlements that will effectively add value to the properties for an eventual sale.  The aggregate purchase price of these properties is $12.3 million (AUS$13.7 million), of which $2.5 million (AUS$2.8 million) relates to the three properties that have been acquired and $9.8 million (AUS$10.9 million) relates to the one property that is under contract to be acquired.  Our obligation to close on the fourth property is subject to certain conditions (which we may waive) including a rezoning of certain of the four properties.  We are currently in the process of pursuing an upgrade of the zoning of these properties to allow mo re intensive use.  This is a long-term development project.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April 30, 2009, we entered into an agreement to purchase for $3.8 million (NZ$5.2 million) a key property adjacent to our Manukau property in New Zealand, which provides a direct linkage between our Manukau property and a principal road servicing the area.  Through December 31, 2009, we had deposited a total of $706,000 (NZ$1.1 million) toward that purchase price, the balance being due on the settlement date of March 31, 2010.  We continue to progress the rezoning of this property from agricultural to industrial and warehouse uses.  This too is a long-term development project.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Historically, we have endeavored to match the currency in which we have financed our development with the jurisdiction within which these developments are located.  However, in February 2007 we broke with this policy and privately placed $50.0 million of 20-year trust preferred securities (“TPS”), with dividends fixed at 9.22% for the first five years, to serve as a long-term financing foundation for our real estate assets and to pay down our New Zealand and a portion of our Australia dollar denominated debt.  Although structured as the issuance of TPS by a related trust, the financing is essentially the same as an issuance of fully subordinated debt: the payments are tax deductible to us and the default remedies are the same as debt.  During the first quarter of 2009, we returned somewhat to our debt-to-local-currency matching policy by taking advantage of the then current market illiquidity for TPS to repurchase $22.9 million in face value of our TPS for $11.5 million.  In addition, in December 2008 we secured a waiver of all financial covenants with respect to our TPS for a period of nine years, in consideration of the payment of $1.6 million, consisting of an initial payment of $1.1 million and a contractual obligation to pay $270,000 in December 2011 and $270,000 in December 2014.  In the event that the remaining payments are not made, the only remedy is the termination of the waiver.  As a result of this transaction, in 2009, we enjoyed a $10.7 million gain on retirement of subordinated debt.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1" w:name="TAB119"/>
      <w:bookmarkEnd w:id="61"/>
      <w:r>
        <w:rPr>
          <w:rFonts w:ascii="Times New Roman" w:hAnsi="Times New Roman"/>
          <w:sz w:val="20"/>
        </w:rPr>
        <w:t>In summary, while we do have operating company attributes, we see ourselves principally as a geographically diversified company and intend to add to shareholder value by building the value of our portfolio of tangible assets including both entertainment and other types of land, brick, and mortar assets.  We endeavor to maintain a reasonable asset allocation between our domestic and overseas assets and operations, and between our cash generating cinema operations and our cash consuming real estate development activities.  We believe that by blending the cash generating capabilities of a cinema company with the investment and development opportunities of a real estate development company, we are unique among public companies with our business plan.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 w:name="PGBRK3"/>
      <w:bookmarkStart w:id="63" w:name="PGBRK3"/>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FTR3"/>
      <w:bookmarkStart w:id="65" w:name="FTR3"/>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6" w:name="GLFTR3"/>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 w:name="PN3"/>
      <w:bookmarkEnd w:id="67"/>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3"/>
      <w:bookmarkStart w:id="69" w:name="HDR3"/>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70" w:name="GLHDR3"/>
        <w:bookmarkEnd w:id="7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At December 31, 2009, our principal assets included: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1" w:name="list4"/>
      <w:bookmarkStart w:id="72" w:name="list4"/>
      <w:bookmarkEnd w:id="72"/>
    </w:p>
    <w:tbl>
      <w:tblPr>
        <w:tblW w:w="5000" w:type="pct"/>
        <w:jc w:val="left"/>
        <w:tblInd w:w="0" w:type="dxa"/>
        <w:tblCellMar>
          <w:top w:w="0" w:type="dxa"/>
          <w:left w:w="0" w:type="dxa"/>
          <w:bottom w:w="0" w:type="dxa"/>
          <w:right w:w="0" w:type="dxa"/>
        </w:tblCellMar>
      </w:tblPr>
      <w:tblGrid>
        <w:gridCol w:w="877"/>
        <w:gridCol w:w="9328"/>
      </w:tblGrid>
      <w:tr>
        <w:trPr/>
        <w:tc>
          <w:tcPr>
            <w:tcW w:w="87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interests in 57 cinemas comprising some 457 screens;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3" w:name="list5"/>
      <w:bookmarkStart w:id="74" w:name="list5"/>
      <w:bookmarkEnd w:id="7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fee interests in four live theaters (the Union Square, the Orpheum and Minetta Lane in Manhattan and the Royal George in Chicago);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5" w:name="list6"/>
      <w:bookmarkStart w:id="76" w:name="list6"/>
      <w:bookmarkEnd w:id="7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fee ownership of approximately 1.2 million square feet of developed commercial real estate, and approximately 15.3 million square feet of land;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7" w:name="list7"/>
      <w:bookmarkStart w:id="78" w:name="list7"/>
      <w:bookmarkEnd w:id="78"/>
    </w:p>
    <w:tbl>
      <w:tblPr>
        <w:tblW w:w="5000" w:type="pct"/>
        <w:jc w:val="left"/>
        <w:tblInd w:w="0" w:type="dxa"/>
        <w:tblCellMar>
          <w:top w:w="0" w:type="dxa"/>
          <w:left w:w="0" w:type="dxa"/>
          <w:bottom w:w="0" w:type="dxa"/>
          <w:right w:w="0" w:type="dxa"/>
        </w:tblCellMar>
      </w:tblPr>
      <w:tblGrid>
        <w:gridCol w:w="533"/>
        <w:gridCol w:w="9672"/>
      </w:tblGrid>
      <w:tr>
        <w:trPr/>
        <w:tc>
          <w:tcPr>
            <w:tcW w:w="53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cash, cash equivalents, and investments in marketable securities aggregating $27.7 million.</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Our Cinema Exhibition Activities and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General</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9" w:name="TAB120"/>
      <w:bookmarkEnd w:id="79"/>
      <w:r>
        <w:rPr>
          <w:rFonts w:ascii="Times New Roman" w:hAnsi="Times New Roman"/>
          <w:sz w:val="20"/>
        </w:rPr>
        <w:t>We conduct our cinema operations on four basic and rather simple premises: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0" w:name="list8"/>
      <w:bookmarkStart w:id="81" w:name="list8"/>
      <w:bookmarkEnd w:id="8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first, notwithstanding the enormous advances that have been made in home entertainment technology, humans are essentially social beings, and will continue to want to go beyond the home for their entertainment, provided that they are offered clean, comfortable and convenient facilities, with state of the art technology;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 w:name="list9"/>
      <w:bookmarkStart w:id="83" w:name="list9"/>
      <w:bookmarkEnd w:id="8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second, cinemas can be used as anchors for larger retail developments and our involvement in the cinema business can give us an advantage over other real estate developers or redevelopers who must identify and negotiate exclusively with third party anchor tenants;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4" w:name="list10"/>
      <w:bookmarkStart w:id="85" w:name="list10"/>
      <w:bookmarkEnd w:id="8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third, pure cinema operators can get themselves into financial difficulty as demands upon them to produce cinema based earnings growth tempt them into reinvesting their cash flow into increasingly marginal cinema sites.  While we believe that there will continue to be attractive cinema acquisition opportunities in the future, and believe that we have taken advantage of one such opportunity through our purchase of Consolidated Cinemas, we do not feel pressure to build or acquire cinemas for the sake of simply adding on units.  We intend to focus our cash flow on our real estate development and operating activities, to the extent that attractive cinema opportunities are not available to us;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6" w:name="list11"/>
      <w:bookmarkStart w:id="87" w:name="list11"/>
      <w:bookmarkEnd w:id="8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fourth, we are always open to the idea of converting an entertainment property to another use, if there is a higher and better use for the property, or to sell individual assets, if we are presented with an attractive opportunity.</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 w:name="PGBRK4"/>
      <w:bookmarkStart w:id="89" w:name="PGBRK4"/>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FTR4"/>
      <w:bookmarkStart w:id="91" w:name="FTR4"/>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2" w:name="GLFTR4"/>
      <w:bookmarkEnd w:id="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3" w:name="PN4"/>
      <w:bookmarkEnd w:id="93"/>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 w:name="HDR4"/>
      <w:bookmarkStart w:id="95" w:name="HDR4"/>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96" w:name="GLHDR4"/>
        <w:bookmarkEnd w:id="9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 w:hAnsi="Times New Roman"/>
          <w:sz w:val="20"/>
        </w:rPr>
      </w:pPr>
      <w:bookmarkStart w:id="97" w:name="TAB121"/>
      <w:bookmarkEnd w:id="97"/>
      <w:r>
        <w:rPr>
          <w:rFonts w:ascii="Times New Roman" w:hAnsi="Times New Roman"/>
          <w:sz w:val="20"/>
        </w:rPr>
        <w:t>Our current cinema assets that we own and/or manage are as set forth in the following chart:</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148"/>
        <w:gridCol w:w="1746"/>
        <w:gridCol w:w="1746"/>
        <w:gridCol w:w="1879"/>
        <w:gridCol w:w="1343"/>
        <w:gridCol w:w="1343"/>
      </w:tblGrid>
      <w:tr>
        <w:trPr/>
        <w:tc>
          <w:tcPr>
            <w:tcW w:w="2148" w:type="dxa"/>
            <w:tcBorders>
              <w:bottom w:val="double" w:sz="8" w:space="0" w:color="000000"/>
            </w:tcBorders>
            <w:shd w:fill="auto" w:val="clear"/>
          </w:tcPr>
          <w:p>
            <w:pPr>
              <w:pStyle w:val="TableContents"/>
              <w:spacing w:before="0" w:after="283"/>
              <w:rPr/>
            </w:pPr>
            <w:r>
              <w:rPr/>
              <w:t xml:space="preserve">  </w:t>
            </w:r>
          </w:p>
        </w:tc>
        <w:tc>
          <w:tcPr>
            <w:tcW w:w="1746"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Wholly Owned</w:t>
            </w:r>
          </w:p>
        </w:tc>
        <w:tc>
          <w:tcPr>
            <w:tcW w:w="1746" w:type="dxa"/>
            <w:tcBorders>
              <w:bottom w:val="double" w:sz="8" w:space="0" w:color="000000"/>
            </w:tcBorders>
            <w:shd w:fill="auto" w:val="clear"/>
          </w:tcPr>
          <w:p>
            <w:pPr>
              <w:pStyle w:val="TableContents"/>
              <w:spacing w:before="0" w:after="0"/>
              <w:ind w:left="0" w:right="0" w:hanging="0"/>
              <w:jc w:val="center"/>
              <w:rPr/>
            </w:pPr>
            <w:r>
              <w:rPr>
                <w:rFonts w:ascii="times new roman" w:hAnsi="times new roman"/>
                <w:sz w:val="20"/>
              </w:rPr>
              <w:t>Consolidated</w:t>
            </w:r>
            <w:hyperlink w:anchor="ref.id0e61ag">
              <w:r>
                <w:rPr>
                  <w:rStyle w:val="InternetLink"/>
                  <w:rFonts w:ascii="times new roman" w:hAnsi="times new roman"/>
                  <w:sz w:val="20"/>
                </w:rPr>
                <w:t>1</w:t>
              </w:r>
            </w:hyperlink>
          </w:p>
        </w:tc>
        <w:tc>
          <w:tcPr>
            <w:tcW w:w="1879" w:type="dxa"/>
            <w:tcBorders>
              <w:bottom w:val="double" w:sz="8" w:space="0" w:color="000000"/>
            </w:tcBorders>
            <w:shd w:fill="auto" w:val="clear"/>
          </w:tcPr>
          <w:p>
            <w:pPr>
              <w:pStyle w:val="TableContents"/>
              <w:spacing w:before="0" w:after="0"/>
              <w:ind w:left="0" w:right="0" w:hanging="0"/>
              <w:jc w:val="center"/>
              <w:rPr/>
            </w:pPr>
            <w:r>
              <w:rPr>
                <w:rFonts w:ascii="times new roman" w:hAnsi="times new roman"/>
                <w:sz w:val="20"/>
              </w:rPr>
              <w:t>Unconsolidated</w:t>
            </w:r>
            <w:hyperlink w:anchor="ref.id0en3ag">
              <w:r>
                <w:rPr>
                  <w:rStyle w:val="InternetLink"/>
                  <w:rFonts w:ascii="times new roman" w:hAnsi="times new roman"/>
                  <w:sz w:val="20"/>
                </w:rPr>
                <w:t>2</w:t>
              </w:r>
            </w:hyperlink>
          </w:p>
        </w:tc>
        <w:tc>
          <w:tcPr>
            <w:tcW w:w="1343" w:type="dxa"/>
            <w:tcBorders>
              <w:bottom w:val="double" w:sz="8" w:space="0" w:color="000000"/>
            </w:tcBorders>
            <w:shd w:fill="auto" w:val="clear"/>
          </w:tcPr>
          <w:p>
            <w:pPr>
              <w:pStyle w:val="TableContents"/>
              <w:spacing w:before="0" w:after="0"/>
              <w:ind w:left="0" w:right="0" w:hanging="0"/>
              <w:jc w:val="center"/>
              <w:rPr/>
            </w:pPr>
            <w:r>
              <w:rPr>
                <w:rFonts w:ascii="times new roman" w:hAnsi="times new roman"/>
                <w:sz w:val="20"/>
              </w:rPr>
              <w:t>Managed</w:t>
            </w:r>
            <w:hyperlink w:anchor="ref.id0e34ag">
              <w:r>
                <w:rPr>
                  <w:rStyle w:val="InternetLink"/>
                  <w:rFonts w:ascii="times new roman" w:hAnsi="times new roman"/>
                  <w:sz w:val="20"/>
                </w:rPr>
                <w:t>3</w:t>
              </w:r>
            </w:hyperlink>
          </w:p>
        </w:tc>
        <w:tc>
          <w:tcPr>
            <w:tcW w:w="1343" w:type="dxa"/>
            <w:tcBorders>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Totals</w:t>
            </w:r>
          </w:p>
        </w:tc>
      </w:tr>
      <w:tr>
        <w:trPr/>
        <w:tc>
          <w:tcPr>
            <w:tcW w:w="2148"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Australia</w:t>
            </w:r>
          </w:p>
        </w:tc>
        <w:tc>
          <w:tcPr>
            <w:tcW w:w="1746"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17 cinemas</w:t>
            </w:r>
          </w:p>
          <w:p>
            <w:pPr>
              <w:pStyle w:val="TableContents"/>
              <w:spacing w:before="0" w:after="0"/>
              <w:ind w:left="0" w:right="0" w:hanging="0"/>
              <w:jc w:val="center"/>
              <w:rPr>
                <w:rFonts w:ascii="times new roman" w:hAnsi="times new roman"/>
                <w:sz w:val="20"/>
              </w:rPr>
            </w:pPr>
            <w:r>
              <w:rPr>
                <w:rFonts w:ascii="times new roman" w:hAnsi="times new roman"/>
                <w:sz w:val="20"/>
              </w:rPr>
              <w:t>130 screens</w:t>
            </w:r>
          </w:p>
        </w:tc>
        <w:tc>
          <w:tcPr>
            <w:tcW w:w="1746"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 cinemas</w:t>
            </w:r>
          </w:p>
          <w:p>
            <w:pPr>
              <w:pStyle w:val="TableContents"/>
              <w:spacing w:before="0" w:after="0"/>
              <w:ind w:left="0" w:right="0" w:hanging="0"/>
              <w:jc w:val="center"/>
              <w:rPr>
                <w:rFonts w:ascii="times new roman" w:hAnsi="times new roman"/>
                <w:sz w:val="20"/>
              </w:rPr>
            </w:pPr>
            <w:r>
              <w:rPr>
                <w:rFonts w:ascii="times new roman" w:hAnsi="times new roman"/>
                <w:sz w:val="20"/>
              </w:rPr>
              <w:t>16 screens</w:t>
            </w:r>
          </w:p>
        </w:tc>
        <w:tc>
          <w:tcPr>
            <w:tcW w:w="1879" w:type="dxa"/>
            <w:tcBorders/>
            <w:shd w:fill="CCEEFF" w:val="clear"/>
            <w:tcMar>
              <w:bottom w:w="0" w:type="dxa"/>
            </w:tcMar>
          </w:tcPr>
          <w:p>
            <w:pPr>
              <w:pStyle w:val="TableContents"/>
              <w:spacing w:before="0" w:after="0"/>
              <w:ind w:left="0" w:right="0" w:hanging="0"/>
              <w:jc w:val="center"/>
              <w:rPr/>
            </w:pPr>
            <w:r>
              <w:rPr>
                <w:rFonts w:ascii="times new roman" w:hAnsi="times new roman"/>
                <w:sz w:val="20"/>
              </w:rPr>
              <w:t>1 cinema</w:t>
            </w:r>
            <w:hyperlink w:anchor="ref.id0excbg">
              <w:r>
                <w:rPr>
                  <w:rStyle w:val="InternetLink"/>
                  <w:rFonts w:ascii="times new roman" w:hAnsi="times new roman"/>
                  <w:sz w:val="20"/>
                </w:rPr>
                <w:t>4</w:t>
              </w:r>
            </w:hyperlink>
          </w:p>
          <w:p>
            <w:pPr>
              <w:pStyle w:val="TableContents"/>
              <w:spacing w:before="0" w:after="0"/>
              <w:ind w:left="0" w:right="0" w:hanging="0"/>
              <w:jc w:val="center"/>
              <w:rPr>
                <w:rFonts w:ascii="times new roman" w:hAnsi="times new roman"/>
                <w:sz w:val="20"/>
              </w:rPr>
            </w:pPr>
            <w:r>
              <w:rPr>
                <w:rFonts w:ascii="times new roman" w:hAnsi="times new roman"/>
                <w:sz w:val="20"/>
              </w:rPr>
              <w:t>16 screens</w:t>
            </w:r>
          </w:p>
        </w:tc>
        <w:tc>
          <w:tcPr>
            <w:tcW w:w="134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None</w:t>
            </w:r>
          </w:p>
        </w:tc>
        <w:tc>
          <w:tcPr>
            <w:tcW w:w="1343" w:type="dxa"/>
            <w:tcBorders/>
            <w:shd w:fill="CCEEFF" w:val="clear"/>
            <w:tcMar>
              <w:bottom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21 cinemas</w:t>
            </w:r>
          </w:p>
          <w:p>
            <w:pPr>
              <w:pStyle w:val="TableContents"/>
              <w:spacing w:before="0" w:after="0"/>
              <w:ind w:left="0" w:right="0" w:hanging="0"/>
              <w:jc w:val="center"/>
              <w:rPr>
                <w:rFonts w:ascii="times new roman" w:hAnsi="times new roman"/>
                <w:b/>
                <w:sz w:val="20"/>
              </w:rPr>
            </w:pPr>
            <w:r>
              <w:rPr>
                <w:rFonts w:ascii="times new roman" w:hAnsi="times new roman"/>
                <w:b/>
                <w:sz w:val="20"/>
              </w:rPr>
              <w:t>162 screens</w:t>
            </w:r>
          </w:p>
          <w:p>
            <w:pPr>
              <w:pStyle w:val="TableContents"/>
              <w:spacing w:before="0" w:after="0"/>
              <w:ind w:left="0" w:right="0" w:hanging="0"/>
              <w:rPr/>
            </w:pPr>
            <w:r>
              <w:rPr/>
              <w:t> </w:t>
            </w:r>
          </w:p>
        </w:tc>
      </w:tr>
      <w:tr>
        <w:trPr/>
        <w:tc>
          <w:tcPr>
            <w:tcW w:w="2148"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New Zealand</w:t>
            </w:r>
          </w:p>
          <w:p>
            <w:pPr>
              <w:pStyle w:val="TableContents"/>
              <w:spacing w:before="0" w:after="0"/>
              <w:ind w:left="0" w:right="0" w:hanging="0"/>
              <w:rPr/>
            </w:pPr>
            <w:r>
              <w:rPr/>
              <w:t> </w:t>
            </w:r>
          </w:p>
        </w:tc>
        <w:tc>
          <w:tcPr>
            <w:tcW w:w="1746"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 cinemas</w:t>
            </w:r>
          </w:p>
          <w:p>
            <w:pPr>
              <w:pStyle w:val="TableContents"/>
              <w:spacing w:before="0" w:after="0"/>
              <w:ind w:left="0" w:right="0" w:hanging="0"/>
              <w:jc w:val="center"/>
              <w:rPr>
                <w:rFonts w:ascii="times new roman" w:hAnsi="times new roman"/>
                <w:sz w:val="20"/>
              </w:rPr>
            </w:pPr>
            <w:r>
              <w:rPr>
                <w:rFonts w:ascii="times new roman" w:hAnsi="times new roman"/>
                <w:sz w:val="20"/>
              </w:rPr>
              <w:t>48 screens</w:t>
            </w:r>
          </w:p>
        </w:tc>
        <w:tc>
          <w:tcPr>
            <w:tcW w:w="1746"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None</w:t>
            </w:r>
          </w:p>
        </w:tc>
        <w:tc>
          <w:tcPr>
            <w:tcW w:w="1879" w:type="dxa"/>
            <w:tcBorders/>
            <w:shd w:fill="FFFFFF" w:val="clear"/>
            <w:tcMar>
              <w:bottom w:w="0" w:type="dxa"/>
            </w:tcMar>
          </w:tcPr>
          <w:p>
            <w:pPr>
              <w:pStyle w:val="TableContents"/>
              <w:spacing w:before="0" w:after="0"/>
              <w:ind w:left="0" w:right="0" w:hanging="0"/>
              <w:jc w:val="center"/>
              <w:rPr/>
            </w:pPr>
            <w:r>
              <w:rPr>
                <w:rFonts w:ascii="times new roman" w:hAnsi="times new roman"/>
                <w:sz w:val="20"/>
              </w:rPr>
              <w:t>3 cinemas</w:t>
            </w:r>
            <w:hyperlink w:anchor="ref.id0ewibg">
              <w:r>
                <w:rPr>
                  <w:rStyle w:val="InternetLink"/>
                  <w:rFonts w:ascii="times new roman" w:hAnsi="times new roman"/>
                  <w:sz w:val="20"/>
                </w:rPr>
                <w:t>5</w:t>
              </w:r>
            </w:hyperlink>
          </w:p>
          <w:p>
            <w:pPr>
              <w:pStyle w:val="TableContents"/>
              <w:spacing w:before="0" w:after="0"/>
              <w:ind w:left="0" w:right="0" w:hanging="0"/>
              <w:jc w:val="center"/>
              <w:rPr>
                <w:rFonts w:ascii="times new roman" w:hAnsi="times new roman"/>
                <w:sz w:val="20"/>
              </w:rPr>
            </w:pPr>
            <w:r>
              <w:rPr>
                <w:rFonts w:ascii="times new roman" w:hAnsi="times new roman"/>
                <w:sz w:val="20"/>
              </w:rPr>
              <w:t>16 screens</w:t>
            </w:r>
          </w:p>
        </w:tc>
        <w:tc>
          <w:tcPr>
            <w:tcW w:w="134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None</w:t>
            </w:r>
          </w:p>
        </w:tc>
        <w:tc>
          <w:tcPr>
            <w:tcW w:w="1343" w:type="dxa"/>
            <w:tcBorders/>
            <w:shd w:fill="FFFFFF" w:val="clear"/>
            <w:tcMar>
              <w:bottom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12 cinemas</w:t>
            </w:r>
          </w:p>
          <w:p>
            <w:pPr>
              <w:pStyle w:val="TableContents"/>
              <w:spacing w:before="0" w:after="0"/>
              <w:ind w:left="0" w:right="0" w:hanging="0"/>
              <w:jc w:val="center"/>
              <w:rPr>
                <w:rFonts w:ascii="times new roman" w:hAnsi="times new roman"/>
                <w:b/>
                <w:sz w:val="20"/>
              </w:rPr>
            </w:pPr>
            <w:r>
              <w:rPr>
                <w:rFonts w:ascii="times new roman" w:hAnsi="times new roman"/>
                <w:b/>
                <w:sz w:val="20"/>
              </w:rPr>
              <w:t>64 screens</w:t>
            </w:r>
          </w:p>
          <w:p>
            <w:pPr>
              <w:pStyle w:val="TableContents"/>
              <w:spacing w:before="0" w:after="0"/>
              <w:ind w:left="0" w:right="0" w:hanging="0"/>
              <w:rPr/>
            </w:pPr>
            <w:r>
              <w:rPr/>
              <w:t> </w:t>
            </w:r>
          </w:p>
        </w:tc>
      </w:tr>
      <w:tr>
        <w:trPr/>
        <w:tc>
          <w:tcPr>
            <w:tcW w:w="2148" w:type="dxa"/>
            <w:tcBorders>
              <w:bottom w:val="single" w:sz="12" w:space="0" w:color="000000"/>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w:t>
            </w:r>
          </w:p>
          <w:p>
            <w:pPr>
              <w:pStyle w:val="TableContents"/>
              <w:spacing w:before="0" w:after="0"/>
              <w:ind w:left="0" w:right="0" w:hanging="0"/>
              <w:rPr/>
            </w:pPr>
            <w:r>
              <w:rPr/>
              <w:t> </w:t>
            </w:r>
          </w:p>
        </w:tc>
        <w:tc>
          <w:tcPr>
            <w:tcW w:w="1746" w:type="dxa"/>
            <w:tcBorders>
              <w:bottom w:val="single" w:sz="12" w:space="0" w:color="000000"/>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23 cinemas</w:t>
            </w:r>
          </w:p>
          <w:p>
            <w:pPr>
              <w:pStyle w:val="TableContents"/>
              <w:spacing w:before="0" w:after="0"/>
              <w:ind w:left="0" w:right="0" w:hanging="0"/>
              <w:jc w:val="center"/>
              <w:rPr>
                <w:rFonts w:ascii="times new roman" w:hAnsi="times new roman"/>
                <w:sz w:val="20"/>
              </w:rPr>
            </w:pPr>
            <w:r>
              <w:rPr>
                <w:rFonts w:ascii="times new roman" w:hAnsi="times new roman"/>
                <w:sz w:val="20"/>
              </w:rPr>
              <w:t>225 screens</w:t>
            </w:r>
          </w:p>
          <w:p>
            <w:pPr>
              <w:pStyle w:val="TableContents"/>
              <w:spacing w:before="0" w:after="0"/>
              <w:ind w:left="0" w:right="0" w:hanging="0"/>
              <w:jc w:val="center"/>
              <w:rPr/>
            </w:pPr>
            <w:r>
              <w:rPr/>
              <w:t> </w:t>
            </w:r>
          </w:p>
        </w:tc>
        <w:tc>
          <w:tcPr>
            <w:tcW w:w="1746" w:type="dxa"/>
            <w:tcBorders>
              <w:bottom w:val="single" w:sz="12" w:space="0" w:color="000000"/>
            </w:tcBorders>
            <w:shd w:fill="CCEEFF" w:val="clear"/>
          </w:tcPr>
          <w:p>
            <w:pPr>
              <w:pStyle w:val="TableContents"/>
              <w:spacing w:before="0" w:after="0"/>
              <w:ind w:left="0" w:right="0" w:hanging="0"/>
              <w:jc w:val="center"/>
              <w:rPr/>
            </w:pPr>
            <w:r>
              <w:rPr>
                <w:rFonts w:ascii="times new roman" w:hAnsi="times new roman"/>
                <w:sz w:val="20"/>
              </w:rPr>
              <w:t>1 cinema</w:t>
            </w:r>
            <w:hyperlink w:anchor="ref.id0e4nbg">
              <w:r>
                <w:rPr>
                  <w:rStyle w:val="InternetLink"/>
                  <w:rFonts w:ascii="times new roman" w:hAnsi="times new roman"/>
                  <w:sz w:val="20"/>
                </w:rPr>
                <w:t>6</w:t>
              </w:r>
            </w:hyperlink>
          </w:p>
          <w:p>
            <w:pPr>
              <w:pStyle w:val="TableContents"/>
              <w:spacing w:before="0" w:after="0"/>
              <w:ind w:left="0" w:right="0" w:hanging="0"/>
              <w:jc w:val="center"/>
              <w:rPr>
                <w:rFonts w:ascii="times new roman" w:hAnsi="times new roman"/>
                <w:sz w:val="20"/>
              </w:rPr>
            </w:pPr>
            <w:r>
              <w:rPr>
                <w:rFonts w:ascii="times new roman" w:hAnsi="times new roman"/>
                <w:sz w:val="20"/>
              </w:rPr>
              <w:t>6 screens</w:t>
            </w:r>
          </w:p>
        </w:tc>
        <w:tc>
          <w:tcPr>
            <w:tcW w:w="1879" w:type="dxa"/>
            <w:tcBorders>
              <w:bottom w:val="single" w:sz="12" w:space="0" w:color="000000"/>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None</w:t>
            </w:r>
          </w:p>
        </w:tc>
        <w:tc>
          <w:tcPr>
            <w:tcW w:w="1343" w:type="dxa"/>
            <w:tcBorders>
              <w:bottom w:val="single" w:sz="12" w:space="0" w:color="000000"/>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 cinemas</w:t>
            </w:r>
          </w:p>
          <w:p>
            <w:pPr>
              <w:pStyle w:val="TableContents"/>
              <w:spacing w:before="0" w:after="0"/>
              <w:ind w:left="0" w:right="0" w:hanging="0"/>
              <w:jc w:val="center"/>
              <w:rPr>
                <w:rFonts w:ascii="times new roman" w:hAnsi="times new roman"/>
                <w:sz w:val="20"/>
              </w:rPr>
            </w:pPr>
            <w:r>
              <w:rPr>
                <w:rFonts w:ascii="times new roman" w:hAnsi="times new roman"/>
                <w:sz w:val="20"/>
              </w:rPr>
              <w:t>9 screens</w:t>
            </w:r>
          </w:p>
        </w:tc>
        <w:tc>
          <w:tcPr>
            <w:tcW w:w="1343" w:type="dxa"/>
            <w:tcBorders>
              <w:bottom w:val="single" w:sz="12" w:space="0" w:color="000000"/>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26 cinemas</w:t>
            </w:r>
          </w:p>
          <w:p>
            <w:pPr>
              <w:pStyle w:val="TableContents"/>
              <w:spacing w:before="0" w:after="0"/>
              <w:ind w:left="0" w:right="0" w:hanging="0"/>
              <w:jc w:val="center"/>
              <w:rPr>
                <w:rFonts w:ascii="times new roman" w:hAnsi="times new roman"/>
                <w:b/>
                <w:sz w:val="20"/>
              </w:rPr>
            </w:pPr>
            <w:r>
              <w:rPr>
                <w:rFonts w:ascii="times new roman" w:hAnsi="times new roman"/>
                <w:b/>
                <w:sz w:val="20"/>
              </w:rPr>
              <w:t>240 screens</w:t>
            </w:r>
          </w:p>
        </w:tc>
      </w:tr>
      <w:tr>
        <w:trPr/>
        <w:tc>
          <w:tcPr>
            <w:tcW w:w="2148" w:type="dxa"/>
            <w:tcBorders>
              <w:bottom w:val="double" w:sz="8" w:space="0" w:color="000000"/>
            </w:tcBorders>
            <w:shd w:fill="FFFFFF"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Totals</w:t>
            </w:r>
          </w:p>
        </w:tc>
        <w:tc>
          <w:tcPr>
            <w:tcW w:w="1746" w:type="dxa"/>
            <w:tcBorders>
              <w:bottom w:val="double" w:sz="8" w:space="0" w:color="000000"/>
            </w:tcBorders>
            <w:shd w:fill="FFFF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49 cinemas</w:t>
            </w:r>
          </w:p>
          <w:p>
            <w:pPr>
              <w:pStyle w:val="TableContents"/>
              <w:spacing w:before="0" w:after="0"/>
              <w:ind w:left="0" w:right="0" w:hanging="0"/>
              <w:jc w:val="center"/>
              <w:rPr>
                <w:rFonts w:ascii="times new roman" w:hAnsi="times new roman"/>
                <w:b/>
                <w:sz w:val="20"/>
              </w:rPr>
            </w:pPr>
            <w:r>
              <w:rPr>
                <w:rFonts w:ascii="times new roman" w:hAnsi="times new roman"/>
                <w:b/>
                <w:sz w:val="20"/>
              </w:rPr>
              <w:t>403 screens</w:t>
            </w:r>
          </w:p>
        </w:tc>
        <w:tc>
          <w:tcPr>
            <w:tcW w:w="1746" w:type="dxa"/>
            <w:tcBorders>
              <w:bottom w:val="double" w:sz="8" w:space="0" w:color="000000"/>
            </w:tcBorders>
            <w:shd w:fill="FFFF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 cinemas</w:t>
            </w:r>
          </w:p>
          <w:p>
            <w:pPr>
              <w:pStyle w:val="TableContents"/>
              <w:spacing w:before="0" w:after="0"/>
              <w:ind w:left="0" w:right="0" w:hanging="0"/>
              <w:jc w:val="center"/>
              <w:rPr>
                <w:rFonts w:ascii="times new roman" w:hAnsi="times new roman"/>
                <w:b/>
                <w:sz w:val="20"/>
              </w:rPr>
            </w:pPr>
            <w:r>
              <w:rPr>
                <w:rFonts w:ascii="times new roman" w:hAnsi="times new roman"/>
                <w:b/>
                <w:sz w:val="20"/>
              </w:rPr>
              <w:t>22 screens</w:t>
            </w:r>
          </w:p>
        </w:tc>
        <w:tc>
          <w:tcPr>
            <w:tcW w:w="1879" w:type="dxa"/>
            <w:tcBorders>
              <w:bottom w:val="double" w:sz="8" w:space="0" w:color="000000"/>
            </w:tcBorders>
            <w:shd w:fill="FFFF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 cinemas</w:t>
            </w:r>
          </w:p>
          <w:p>
            <w:pPr>
              <w:pStyle w:val="TableContents"/>
              <w:spacing w:before="0" w:after="0"/>
              <w:ind w:left="0" w:right="0" w:hanging="0"/>
              <w:jc w:val="center"/>
              <w:rPr>
                <w:rFonts w:ascii="times new roman" w:hAnsi="times new roman"/>
                <w:b/>
                <w:sz w:val="20"/>
              </w:rPr>
            </w:pPr>
            <w:r>
              <w:rPr>
                <w:rFonts w:ascii="times new roman" w:hAnsi="times new roman"/>
                <w:b/>
                <w:sz w:val="20"/>
              </w:rPr>
              <w:t>32 screens</w:t>
            </w:r>
          </w:p>
        </w:tc>
        <w:tc>
          <w:tcPr>
            <w:tcW w:w="1343" w:type="dxa"/>
            <w:tcBorders>
              <w:bottom w:val="double" w:sz="8" w:space="0" w:color="000000"/>
            </w:tcBorders>
            <w:shd w:fill="FFFF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 cinemas</w:t>
            </w:r>
          </w:p>
          <w:p>
            <w:pPr>
              <w:pStyle w:val="TableContents"/>
              <w:spacing w:before="0" w:after="0"/>
              <w:ind w:left="0" w:right="0" w:hanging="0"/>
              <w:jc w:val="center"/>
              <w:rPr>
                <w:rFonts w:ascii="times new roman" w:hAnsi="times new roman"/>
                <w:b/>
                <w:sz w:val="20"/>
              </w:rPr>
            </w:pPr>
            <w:r>
              <w:rPr>
                <w:rFonts w:ascii="times new roman" w:hAnsi="times new roman"/>
                <w:b/>
                <w:sz w:val="20"/>
              </w:rPr>
              <w:t>9 screens</w:t>
            </w:r>
          </w:p>
        </w:tc>
        <w:tc>
          <w:tcPr>
            <w:tcW w:w="1343" w:type="dxa"/>
            <w:tcBorders>
              <w:bottom w:val="double" w:sz="8" w:space="0" w:color="000000"/>
            </w:tcBorders>
            <w:shd w:fill="FFFF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59 cinemas</w:t>
            </w:r>
          </w:p>
          <w:p>
            <w:pPr>
              <w:pStyle w:val="TableContents"/>
              <w:spacing w:before="0" w:after="0"/>
              <w:ind w:left="0" w:right="0" w:hanging="0"/>
              <w:jc w:val="center"/>
              <w:rPr>
                <w:rFonts w:ascii="times new roman" w:hAnsi="times new roman"/>
                <w:b/>
                <w:sz w:val="20"/>
              </w:rPr>
            </w:pPr>
            <w:r>
              <w:rPr>
                <w:rFonts w:ascii="times new roman" w:hAnsi="times new roman"/>
                <w:b/>
                <w:sz w:val="20"/>
              </w:rPr>
              <w:t>466 screens</w:t>
            </w:r>
          </w:p>
        </w:tc>
      </w:tr>
    </w:tbl>
    <w:p>
      <w:pPr>
        <w:pStyle w:val="TextBody"/>
        <w:spacing w:before="0" w:after="0"/>
        <w:ind w:left="0" w:right="0" w:hanging="0"/>
        <w:rPr/>
      </w:pPr>
      <w:r>
        <w:rPr/>
      </w:r>
    </w:p>
    <w:p>
      <w:pPr>
        <w:pStyle w:val="HorizontalLine"/>
        <w:rPr/>
      </w:pPr>
      <w:r>
        <w:rPr/>
      </w:r>
    </w:p>
    <w:p>
      <w:pPr>
        <w:pStyle w:val="TextBody"/>
        <w:spacing w:before="0" w:after="0"/>
        <w:ind w:left="0" w:right="0" w:hanging="0"/>
        <w:jc w:val="both"/>
        <w:rPr>
          <w:rFonts w:ascii="Times New Roman" w:hAnsi="Times New Roman"/>
          <w:sz w:val="20"/>
        </w:rPr>
      </w:pPr>
      <w:bookmarkStart w:id="98" w:name="ref.ID0E61AG"/>
      <w:bookmarkEnd w:id="98"/>
      <w:r>
        <w:rPr>
          <w:rFonts w:ascii="Times New Roman" w:hAnsi="Times New Roman"/>
          <w:sz w:val="20"/>
        </w:rPr>
        <w:t>1 Cinemas owned and operated through consolidated, but not wholly owned subsidiaries.</w:t>
      </w:r>
    </w:p>
    <w:p>
      <w:pPr>
        <w:pStyle w:val="TextBody"/>
        <w:spacing w:before="0" w:after="0"/>
        <w:ind w:left="0" w:right="0" w:hanging="0"/>
        <w:jc w:val="both"/>
        <w:rPr/>
      </w:pPr>
      <w:bookmarkStart w:id="99" w:name="ref.ID0EN3AG"/>
      <w:bookmarkEnd w:id="99"/>
      <w:r>
        <w:rPr>
          <w:rFonts w:ascii="Times New Roman" w:hAnsi="Times New Roman"/>
          <w:sz w:val="20"/>
        </w:rPr>
        <w:t>2 Cinemas owned and operated through unconsolidated subsidiaries.</w:t>
      </w:r>
      <w:bookmarkStart w:id="100" w:name="ref.ID0E34AG"/>
      <w:bookmarkEnd w:id="100"/>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3 Cinemas in which we have no ownership interest, but which are operated by us under management agreements.</w:t>
      </w:r>
    </w:p>
    <w:p>
      <w:pPr>
        <w:pStyle w:val="TextBody"/>
        <w:spacing w:before="0" w:after="0"/>
        <w:ind w:left="0" w:right="0" w:hanging="0"/>
        <w:jc w:val="both"/>
        <w:rPr/>
      </w:pPr>
      <w:bookmarkStart w:id="101" w:name="ref.ID0EXCBG"/>
      <w:bookmarkEnd w:id="101"/>
      <w:r>
        <w:rPr>
          <w:rFonts w:ascii="Times New Roman" w:hAnsi="Times New Roman"/>
          <w:sz w:val="20"/>
        </w:rPr>
        <w:t>4 33.3% unincorporated joint venture interest.</w:t>
      </w:r>
      <w:bookmarkStart w:id="102" w:name="ref.ID0EWIBG"/>
      <w:bookmarkEnd w:id="102"/>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5 50% unincorporated joint venture interests.</w:t>
      </w:r>
    </w:p>
    <w:p>
      <w:pPr>
        <w:pStyle w:val="TextBody"/>
        <w:spacing w:before="0" w:after="0"/>
        <w:ind w:left="0" w:right="0" w:hanging="0"/>
        <w:jc w:val="both"/>
        <w:rPr>
          <w:rFonts w:ascii="Times New Roman" w:hAnsi="Times New Roman"/>
          <w:sz w:val="20"/>
        </w:rPr>
      </w:pPr>
      <w:bookmarkStart w:id="103" w:name="ref.ID0E4NBG"/>
      <w:bookmarkEnd w:id="103"/>
      <w:r>
        <w:rPr>
          <w:rFonts w:ascii="Times New Roman" w:hAnsi="Times New Roman"/>
          <w:sz w:val="20"/>
        </w:rPr>
        <w:t>6 The Angelika Film Center and Café in Manhattan is owned by a limited liability company in which we own a 50% interest with rights to manage.</w:t>
      </w:r>
    </w:p>
    <w:p>
      <w:pPr>
        <w:pStyle w:val="TextBody"/>
        <w:spacing w:before="0" w:after="0"/>
        <w:rPr/>
      </w:pPr>
      <w:r>
        <w:rPr/>
      </w:r>
    </w:p>
    <w:p>
      <w:pPr>
        <w:pStyle w:val="TextBody"/>
        <w:spacing w:before="0" w:after="0"/>
        <w:ind w:left="720" w:right="0" w:hanging="0"/>
        <w:jc w:val="left"/>
        <w:rPr>
          <w:rFonts w:ascii="Times New Roman" w:hAnsi="Times New Roman"/>
          <w:sz w:val="20"/>
        </w:rPr>
      </w:pPr>
      <w:bookmarkStart w:id="104" w:name="TAB122"/>
      <w:bookmarkEnd w:id="104"/>
      <w:r>
        <w:rPr>
          <w:rFonts w:ascii="Times New Roman" w:hAnsi="Times New Roman"/>
          <w:sz w:val="20"/>
        </w:rPr>
        <w:t>We focus on the ownership and operation of three categories of cinemas: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5" w:name="list12"/>
      <w:bookmarkStart w:id="106" w:name="list12"/>
      <w:bookmarkEnd w:id="106"/>
    </w:p>
    <w:tbl>
      <w:tblPr>
        <w:tblW w:w="5000" w:type="pct"/>
        <w:jc w:val="left"/>
        <w:tblInd w:w="0" w:type="dxa"/>
        <w:tblCellMar>
          <w:top w:w="0" w:type="dxa"/>
          <w:left w:w="0" w:type="dxa"/>
          <w:bottom w:w="0" w:type="dxa"/>
          <w:right w:w="0" w:type="dxa"/>
        </w:tblCellMar>
      </w:tblPr>
      <w:tblGrid>
        <w:gridCol w:w="569"/>
        <w:gridCol w:w="9636"/>
      </w:tblGrid>
      <w:tr>
        <w:trPr/>
        <w:tc>
          <w:tcPr>
            <w:tcW w:w="56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first, modern stadium seating multiplex cinemas featuring conventional film product;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7" w:name="list13"/>
      <w:bookmarkStart w:id="108" w:name="list13"/>
      <w:bookmarkEnd w:id="10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second, specialty and art cinemas, such as our Angelika Film Centers in Manhattan and Dallas and the Rialto cinema chain in New Zealand;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9" w:name="list14"/>
      <w:bookmarkStart w:id="110" w:name="list14"/>
      <w:bookmarkEnd w:id="11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third, in some markets, particularly small town markets that will not support the development of a modern stadium design multiplex cinema, conventional sloped floor cinemas.</w:t>
            </w:r>
          </w:p>
        </w:tc>
      </w:tr>
    </w:tbl>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also offer premium class seating and amenities in certain of our cinemas and are in the process of converting certain of our exiting cinemas to provide this premium offering.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1" w:name="TAB123"/>
      <w:bookmarkEnd w:id="111"/>
      <w:r>
        <w:rPr>
          <w:rFonts w:ascii="Times New Roman" w:hAnsi="Times New Roman"/>
          <w:sz w:val="20"/>
        </w:rPr>
        <w:t>Although we operate cinemas in three jurisdictions, the general nature of our operations and operating strategies does not vary materially from jurisdiction to jurisdiction.  In each jurisdiction, our gross receipts derive essentially from box office receipts, concession sales, and screen advertising.  Our ancillary revenue derives principally from theater rentals (for example, for film festivals and special events), ancillary programming (such as concerts and sporting events), and internet advertising and ticket sales.</w:t>
      </w:r>
    </w:p>
    <w:p>
      <w:pPr>
        <w:pStyle w:val="TextBody"/>
        <w:spacing w:before="0" w:after="0"/>
        <w:ind w:left="0" w:right="0" w:hanging="0"/>
        <w:rPr/>
      </w:pPr>
      <w:r>
        <w:rPr/>
      </w:r>
    </w:p>
    <w:p>
      <w:pPr>
        <w:pStyle w:val="TextBody"/>
        <w:spacing w:before="0" w:after="0"/>
        <w:ind w:left="720" w:right="0" w:hanging="0"/>
        <w:jc w:val="both"/>
        <w:rPr/>
      </w:pPr>
      <w:bookmarkStart w:id="112" w:name="TAB124"/>
      <w:bookmarkEnd w:id="112"/>
      <w:r>
        <w:rPr/>
        <w:t> </w:t>
      </w:r>
      <w:r>
        <w:rPr>
          <w:rFonts w:ascii="Times New Roman" w:hAnsi="Times New Roman"/>
          <w:sz w:val="20"/>
        </w:rPr>
        <w:t>Our cinemas derived approximately 71% of their 2009 revenue from box office receipts.  Ticket prices vary by location, and provide for reduced rates for senior citizens and children.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3" w:name="TAB125"/>
      <w:bookmarkEnd w:id="113"/>
      <w:r>
        <w:rPr>
          <w:rFonts w:ascii="Times New Roman" w:hAnsi="Times New Roman"/>
          <w:sz w:val="20"/>
        </w:rPr>
        <w:t>Show times and features are placed in advertisements in local newspapers and on our various websites.  In the United States, film distributors may also advertise certain feature films in various print, radio and television media, as well as on the internet and those costs are generally paid by distributors.  In Australia and New Zealand, the exhibitor typically pays the costs of local newspaper film advertisements, while the distributors are responsible for the cost of any national advertising campaign.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4" w:name="TAB126"/>
      <w:bookmarkEnd w:id="114"/>
      <w:r>
        <w:rPr>
          <w:rFonts w:ascii="Times New Roman" w:hAnsi="Times New Roman"/>
          <w:sz w:val="20"/>
        </w:rPr>
        <w:t>Concession sales accounted for approximately 25% of our total 2009 revenue.  Although certain cinemas have licenses for the sale and consumption of alcoholic beverages, concession products primarily include popcorn, candy, and soda.</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 w:name="PGBRK5"/>
      <w:bookmarkStart w:id="116" w:name="PGBRK5"/>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FTR5"/>
      <w:bookmarkStart w:id="118" w:name="FTR5"/>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9" w:name="GLFTR5"/>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 w:name="PN5"/>
      <w:bookmarkEnd w:id="120"/>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 w:name="HDR5"/>
      <w:bookmarkStart w:id="122" w:name="HDR5"/>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23" w:name="GLHDR5"/>
        <w:bookmarkEnd w:id="12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Screen advertising and other revenue contribute approximately 4% of our total 2009 revenue.  With the exception of certain rights that we have retained to sell to local advertisers, generally speaking, we are not in the screen advertising business and have contracted with a national screen advertising company to provide such advertising for us.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New Zealand, we also own a one-third interest in Rialto Distribution.  Rialto Distribution, an unincorporated joint venture, is engaged in the business of distributing art film in New Zealand and Australia.  The remaining 2/3 interest is owned by the founders of the company, who have been in the art film distribution business since 1993.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Management of Cinemas</w:t>
      </w: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24" w:name="TAB127"/>
      <w:bookmarkEnd w:id="124"/>
      <w:r>
        <w:rPr>
          <w:rFonts w:ascii="Times New Roman" w:hAnsi="Times New Roman"/>
          <w:sz w:val="20"/>
        </w:rPr>
        <w:t>With two exceptions, we manage all of our cinemas ourselves with executives located in Los Angeles, Manhattan, Melbourne, Australia, and Wellington, New Zealand.  Approximately 2,207 individuals were employed (on a full time or part time basis) in our cinema operations in 2009.  Our three New Zealand Rialto cinemas are owned by a joint venture in which Reading New Zealand is a 50% joint venture partner.  While we are principally responsible for the booking of the cinemas, our joint venture partner, Greater Union, manages the day-to-day operations of these cinemas.  In addition, we have a 1/3 interest in a 16-screen Brisbane cinema.  Greater Union manages that cinema as well.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Licensing/Pricing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5" w:name="TAB128"/>
      <w:bookmarkEnd w:id="125"/>
      <w:r>
        <w:rPr>
          <w:rFonts w:ascii="Times New Roman" w:hAnsi="Times New Roman"/>
          <w:sz w:val="20"/>
        </w:rPr>
        <w:t>Film product is available from a variety of sources ranging from the major film distributors such as Columbia, Disney, Buena Vista, DreamWorks, Fox, MGM, Paramount, Warner Bros, and Universal, to a variety of smaller independent film distributors such as Miramax.  In Australia and New Zealand, some of those major distributors distribute through local unaffiliated distributors.  The major film distributors dominate the market for mainstream conventional films.  Similarly, most art and specialty films come from the art and specialty divisions of these major distributors, such as Fox’s Searchlight and Miramax.  Generally speaking, film payment terms are based upon an agreed upon percentage of box office receipts which will vary from film to film as films are licensed in Australia, New Zealand and the United States on a film-by-film, theater by theater basis.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6" w:name="TAB129"/>
      <w:bookmarkEnd w:id="126"/>
      <w:r>
        <w:rPr>
          <w:rFonts w:ascii="Times New Roman" w:hAnsi="Times New Roman"/>
          <w:sz w:val="20"/>
        </w:rPr>
        <w:t>While in certain markets film may be allocated by the distributor among competitive cinemas, typically in the markets in which we operate, we have access to all conventional film products.  In the art and specialty markets, due to the limited number of prints available, we from time to time are unable to license all of the films that we might desire to play.  In summary, while in some markets we are subject to film allocation, on the whole, access to film product has not in recent periods been a major impediment to our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Competition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7" w:name="TAB130"/>
      <w:bookmarkEnd w:id="127"/>
      <w:r>
        <w:rPr>
          <w:rFonts w:ascii="Times New Roman" w:hAnsi="Times New Roman"/>
          <w:sz w:val="20"/>
        </w:rPr>
        <w:t>In each of the United States, Australia, and New Zealand, film patrons typically select the cinema that they are going to go to first by selecting the film they want to see, and then by selecting the cinema in which they would prefer to see it.  Accordingly, 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many markets, the number of prints in distribution is less than the number of exhibitors seeking that film for that market, and distributors typically take the position that they are free to provide or not provide their films to particular exhibitors, at their complete and absolute discretion.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8" w:name="TAB131"/>
      <w:bookmarkEnd w:id="128"/>
      <w:r>
        <w:rPr>
          <w:rFonts w:ascii="Times New Roman" w:hAnsi="Times New Roman"/>
          <w:sz w:val="20"/>
        </w:rPr>
        <w:t>Competition for films can be intense, depending upon the number of cinemas in a particular market.  Our ability to obtain top grossing first run feature films may be adversely impacted by our comparatively small size, and the limited number of screens we can supply to distributors.  Moreover, because of the dramatic consolidation of screens into the hands of a few very large and powerful exhibitors such as Regal and AMC, these mega exhibition companies are in a position to offer distributors access to many more screens in major markets than we can.  Accordingly, distributors may decide to give preferences to these mega exhibitors when it comes to licensing top grossing films, rather than deal with independents such as ourselves.  The situation is d ifferent in Australia and New Zealand where typically every major multiplex cinema has access to all of the film currently in distribution, regardless of the ownership of that multiplex cinema.</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9" w:name="PGBRK6"/>
      <w:bookmarkStart w:id="130" w:name="PGBRK6"/>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 w:name="FTR6"/>
      <w:bookmarkStart w:id="132" w:name="FTR6"/>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3" w:name="GLFTR6"/>
      <w:bookmarkEnd w:id="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4" w:name="PN6"/>
      <w:bookmarkEnd w:id="134"/>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 w:name="HDR6"/>
      <w:bookmarkStart w:id="136" w:name="HDR6"/>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37" w:name="GLHDR6"/>
        <w:bookmarkEnd w:id="13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both"/>
        <w:rPr>
          <w:rFonts w:ascii="Times New Roman" w:hAnsi="Times New Roman"/>
          <w:sz w:val="20"/>
        </w:rPr>
      </w:pPr>
      <w:bookmarkStart w:id="138" w:name="TAB132"/>
      <w:bookmarkEnd w:id="138"/>
      <w:r>
        <w:rPr>
          <w:rFonts w:ascii="Times New Roman" w:hAnsi="Times New Roman"/>
          <w:sz w:val="20"/>
        </w:rPr>
        <w:t>Once a patron has selected the film, the choice of cinema is typically impacted by the quality of the cinema experience offered weighed against convenience and cost.  For example, most cinema patrons seem to prefer a modern stadium design multiplex, to an older sloped floor cinema, and to prefer a cinema that either offers convenient access to free parking (or public transport) over a cinema that does not.  However, if the film they desire to see is only available at a limited number of locations, they will typically chose the film over the quality of the cinema and/or the convenience of the cinema.  Generally speaking, our cinemas are modern multiplex cinemas with good and convenient parking.  As discussed further below, the availability of 3D or digital technology and/or premium class seating can also be a factor in the preference of one cinema over another.</w:t>
      </w:r>
    </w:p>
    <w:p>
      <w:pPr>
        <w:pStyle w:val="TextBody"/>
        <w:spacing w:before="0" w:after="0"/>
        <w:ind w:left="0" w:right="0" w:hanging="0"/>
        <w:rPr/>
      </w:pPr>
      <w:r>
        <w:rPr/>
      </w:r>
    </w:p>
    <w:p>
      <w:pPr>
        <w:pStyle w:val="TextBody"/>
        <w:spacing w:before="0" w:after="0"/>
        <w:ind w:left="720" w:right="0" w:hanging="0"/>
        <w:jc w:val="both"/>
        <w:rPr/>
      </w:pPr>
      <w:bookmarkStart w:id="139" w:name="TAB133"/>
      <w:bookmarkEnd w:id="139"/>
      <w:r>
        <w:rPr/>
        <w:t> </w:t>
      </w:r>
      <w:r>
        <w:rPr>
          <w:rFonts w:ascii="Times New Roman" w:hAnsi="Times New Roman"/>
          <w:sz w:val="20"/>
        </w:rPr>
        <w:t>The film exhibition markets in the United States, Australia, and New Zealand are to a certain extent dominated by a limited number of major exhibition companies.  The principal exhibiters in the United States are Regal (with 6,768 screens in 548 cinemas), AMC (with 4,574 screens in 304 cinemas), Cinemark (with 4,908 screens in 426 cinemas), and Carmike (with 2,285 screens in 247 cinemas).  At the present time, we are the 12th largest exhibitor with 1% of the box office in the United States with 231 screens in 24 cinemas.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0" w:name="TAB134"/>
      <w:bookmarkEnd w:id="140"/>
      <w:r>
        <w:rPr>
          <w:rFonts w:ascii="Times New Roman" w:hAnsi="Times New Roman"/>
          <w:sz w:val="20"/>
        </w:rPr>
        <w:t>The principal exhibitors in Australia include a joint venture of Greater Union and Village (GUV) in certain suburban multiplexes.  The major exhibitors control approximately 68% of the total cinema box office: Village/Greater Union/Birch Carroll and Coyle 47% and Hoyts Cinemas (“Hoyts”) 21%.  Greater Union has 239 screens nationally; Village 217 screens; Birch Carroll &amp; Coyle (a subsidiary of Greater Union) 230 screens and Hoyts 319 screens.  By comparison, our 146 screens represent approximately 7% of the total box office.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1" w:name="TAB135"/>
      <w:bookmarkEnd w:id="141"/>
      <w:r>
        <w:rPr>
          <w:rFonts w:ascii="Times New Roman" w:hAnsi="Times New Roman"/>
          <w:sz w:val="20"/>
        </w:rPr>
        <w:t>The major players in New Zealand are Sky Cinemas with 106 screens nationally, Hoyts with 49 screens, and Reading with 48 screens (not including partnerships).  The major exhibitors in New Zealand control approximately 67% of the total box office: Sky Cinemas 36%, Hoyts 16%, and Reading 15% (Sky and Reading market share figures again do not include any partnership theaters).  In February 2010, Greater Union acquired Sky Cinemas resulting in a greater concentration of cinema assets in Australia and New Zealand.</w:t>
      </w: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42" w:name="TAB136"/>
      <w:bookmarkEnd w:id="142"/>
      <w:r>
        <w:rPr>
          <w:rFonts w:ascii="Times New Roman" w:hAnsi="Times New Roman"/>
          <w:sz w:val="20"/>
        </w:rPr>
        <w:t>Greater Union is the owner of Birch Carroll &amp; Coyle in Australia and Sky Cinemas in New Zealand.  In addition, generally speaking, all new multiplex cinema projects announced by Village are being jointly developed by a joint venture comprised of Greater Union and Village.  These companies have substantial capital resources.  Village had a publicly reported consolidated net worth of approximately $608.6 million (AUS$755.6 million) at June 30, 2009.  The Greater Union organization does not separately publish financial reports, but its parent, Amalgamated Holdings, had a publicly reported consolidated net worth of approximately $482.6 million (AUS$599.1 million) at June 30, 2009.  Hoyts is privately held and does not publish financial re ports.  Hoyts is currently owned by Pacific Equity Partners.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3" w:name="TAB137"/>
      <w:bookmarkEnd w:id="143"/>
      <w:r>
        <w:rPr>
          <w:rFonts w:ascii="Times New Roman" w:hAnsi="Times New Roman"/>
          <w:sz w:val="20"/>
        </w:rPr>
        <w:t>In Australia, the industry is also somewhat vertically integrated in that Roadshow Film Distributors, a subsidiary of Village, serves as a distributor of film in Australia and New Zealand for Warner Brothers and New Line Cinema.  Films produced or distributed by the majority of the local international independent producers are also distributed by Roadshow Film Distributors.  Hoyts is also involved in film production and distribution.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Digital and 3D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4" w:name="TAB138"/>
      <w:bookmarkEnd w:id="144"/>
      <w:r>
        <w:rPr>
          <w:rFonts w:ascii="Times New Roman" w:hAnsi="Times New Roman"/>
          <w:sz w:val="20"/>
        </w:rPr>
        <w:t>After years of uncertainty as to the future of digital and 3D exhibition and the impact of these technologies on cinema exhibition, it now appears that the industry is going digital, and that the major exhibitors are in the process of equipping at least one auditorium in each of their significant locations with 3D capability.  In 2009, cinemagoers demonstrated a strong appetite for and a willingness to pay premium prices for 3D movies.  The release schedule for 2010 lists 17 titles for 3D release, compared to 14 titles for 2009.</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5" w:name="TAB139"/>
      <w:bookmarkEnd w:id="145"/>
      <w:r>
        <w:rPr>
          <w:rFonts w:ascii="Times New Roman" w:hAnsi="Times New Roman"/>
          <w:sz w:val="20"/>
        </w:rPr>
        <w:t>By mid-year, we anticipate that we will have 3D projectors in not less than 28 out of the 53 cinema locations that we either wholly own or consolidate.  We believe that the transition from film to digital projectors, while likely inevitable, will take some time to roll out and our business plan is to be selective in our selection of auditoriums to be fitted out with such technology, identifying those situations where premiums can best be achieved by having such projection capabilities.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6" w:name="PGBRK7"/>
      <w:bookmarkStart w:id="147" w:name="PGBRK7"/>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 w:name="FTR7"/>
      <w:bookmarkStart w:id="149" w:name="FTR7"/>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0" w:name="GLFTR7"/>
      <w:bookmarkEnd w:id="1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1" w:name="PN7"/>
      <w:bookmarkEnd w:id="151"/>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HDR7"/>
      <w:bookmarkStart w:id="153" w:name="HDR7"/>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54" w:name="GLHDR7"/>
        <w:bookmarkEnd w:id="15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In-Home Competition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the case of “in-home” entertainment alternatives, the industry is faced with the significant leaps achieved in recent periods in both the quality and affordability of in-home entertainment systems and in the accessibility to entertainment programming through cable, satellite, and DVD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domestic and international cinema operations.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5" w:name="TAB140"/>
      <w:bookmarkEnd w:id="155"/>
      <w:r>
        <w:rPr>
          <w:rFonts w:ascii="Times New Roman" w:hAnsi="Times New Roman"/>
          <w:sz w:val="20"/>
        </w:rPr>
        <w:t xml:space="preserve">Competitive issues are discussed in greater detail above under the caption, </w:t>
      </w:r>
      <w:r>
        <w:rPr>
          <w:rFonts w:ascii="Times New Roman" w:hAnsi="Times New Roman"/>
          <w:i/>
          <w:sz w:val="20"/>
        </w:rPr>
        <w:t>Competition</w:t>
      </w:r>
      <w:r>
        <w:rPr>
          <w:rFonts w:ascii="Times New Roman" w:hAnsi="Times New Roman"/>
          <w:sz w:val="20"/>
        </w:rPr>
        <w:t xml:space="preserve">, and under the caption, Item 1A - </w:t>
      </w:r>
      <w:r>
        <w:rPr>
          <w:rFonts w:ascii="Times New Roman" w:hAnsi="Times New Roman"/>
          <w:i/>
          <w:sz w:val="20"/>
        </w:rPr>
        <w:t>Risk Factors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Seasonality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6" w:name="TAB141"/>
      <w:bookmarkEnd w:id="156"/>
      <w:r>
        <w:rPr>
          <w:rFonts w:ascii="Times New Roman" w:hAnsi="Times New Roman"/>
          <w:sz w:val="20"/>
        </w:rPr>
        <w:t>Major films are generally released to coincide with holidays.  With the exception of Christmas and New Years, this fact provides some balancing of our revenue because there is no material overlap between holidays in the United States and those in Australia and New Zealand.  Distributors will delay, in certain cases, releases in Australia and New Zealand to take advantage of Australia and New Zealand holidays that are not celebrated in the United States.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Employees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7" w:name="TAB142"/>
      <w:bookmarkEnd w:id="157"/>
      <w:r>
        <w:rPr>
          <w:rFonts w:ascii="Times New Roman" w:hAnsi="Times New Roman"/>
          <w:sz w:val="20"/>
        </w:rPr>
        <w:t>We have 60 full time executive and administrative employees and approximately 2,147 cinema employees.  Our cinema employees in Wellington, New Zealand and our projectionists in Hawaii are unionized.  None of our other employees is subject to union contracts.  Our one union contract with respect to our projectionists in Hawaii expires on March 31, 2012.  Our union contracts with respect to Wellington, New Zealand expired in January 2010.  We are currently in the process of renegotiating these contracts.  None of our Australia based employees is unionized.  Overall, we are of the view that the existence of these contracts does not materially increase our costs of labor or our ability to compete.  We believe our relations with our employees to be generally good.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Our Real Estate Activities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8" w:name="TAB143"/>
      <w:bookmarkEnd w:id="158"/>
      <w:r>
        <w:rPr>
          <w:rFonts w:ascii="Times New Roman" w:hAnsi="Times New Roman"/>
          <w:sz w:val="20"/>
        </w:rPr>
        <w:t>Our real estate activities have historically consisted principally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9" w:name="list15"/>
      <w:bookmarkStart w:id="160" w:name="list15"/>
      <w:bookmarkEnd w:id="16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ownership of fee or long-term leasehold interests in properties used in our cinema exhibition activities or which were acquired for the development of cinemas or  cinema based real estate development projects;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1" w:name="list16"/>
      <w:bookmarkStart w:id="162" w:name="list16"/>
      <w:bookmarkEnd w:id="162"/>
    </w:p>
    <w:tbl>
      <w:tblPr>
        <w:tblW w:w="5000" w:type="pct"/>
        <w:jc w:val="left"/>
        <w:tblInd w:w="0" w:type="dxa"/>
        <w:tblCellMar>
          <w:top w:w="0" w:type="dxa"/>
          <w:left w:w="0" w:type="dxa"/>
          <w:bottom w:w="0" w:type="dxa"/>
          <w:right w:w="0" w:type="dxa"/>
        </w:tblCellMar>
      </w:tblPr>
      <w:tblGrid>
        <w:gridCol w:w="719"/>
        <w:gridCol w:w="9486"/>
      </w:tblGrid>
      <w:tr>
        <w:trPr/>
        <w:tc>
          <w:tcPr>
            <w:tcW w:w="71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acquisition of fee interests for general real estate development;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3" w:name="list17"/>
      <w:bookmarkStart w:id="164" w:name="list17"/>
      <w:bookmarkEnd w:id="164"/>
    </w:p>
    <w:tbl>
      <w:tblPr>
        <w:tblW w:w="5000" w:type="pct"/>
        <w:jc w:val="left"/>
        <w:tblInd w:w="0" w:type="dxa"/>
        <w:tblCellMar>
          <w:top w:w="0" w:type="dxa"/>
          <w:left w:w="0" w:type="dxa"/>
          <w:bottom w:w="0" w:type="dxa"/>
          <w:right w:w="0" w:type="dxa"/>
        </w:tblCellMar>
      </w:tblPr>
      <w:tblGrid>
        <w:gridCol w:w="1034"/>
        <w:gridCol w:w="9171"/>
      </w:tblGrid>
      <w:tr>
        <w:trPr/>
        <w:tc>
          <w:tcPr>
            <w:tcW w:w="103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leasing to shows of our live theaters;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5" w:name="list18"/>
      <w:bookmarkStart w:id="166" w:name="list18"/>
      <w:bookmarkEnd w:id="166"/>
    </w:p>
    <w:tbl>
      <w:tblPr>
        <w:tblW w:w="5000" w:type="pct"/>
        <w:jc w:val="left"/>
        <w:tblInd w:w="0" w:type="dxa"/>
        <w:tblCellMar>
          <w:top w:w="0" w:type="dxa"/>
          <w:left w:w="0" w:type="dxa"/>
          <w:bottom w:w="0" w:type="dxa"/>
          <w:right w:w="0" w:type="dxa"/>
        </w:tblCellMar>
      </w:tblPr>
      <w:tblGrid>
        <w:gridCol w:w="667"/>
        <w:gridCol w:w="9538"/>
      </w:tblGrid>
      <w:tr>
        <w:trPr/>
        <w:tc>
          <w:tcPr>
            <w:tcW w:w="66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redevelopment of existing cinema sites to their highest and best use.</w:t>
            </w:r>
          </w:p>
        </w:tc>
      </w:tr>
    </w:tbl>
    <w:p>
      <w:pPr>
        <w:pStyle w:val="TextBody"/>
        <w:spacing w:before="0" w:after="0"/>
        <w:ind w:left="0" w:right="0" w:hanging="0"/>
        <w:rPr/>
      </w:pPr>
      <w:r>
        <w:rPr/>
      </w:r>
    </w:p>
    <w:p>
      <w:pPr>
        <w:pStyle w:val="TextBody"/>
        <w:spacing w:before="0" w:after="0"/>
        <w:ind w:left="741" w:right="0" w:hanging="0"/>
        <w:jc w:val="both"/>
        <w:rPr>
          <w:rFonts w:ascii="Times New Roman" w:hAnsi="Times New Roman"/>
          <w:sz w:val="20"/>
        </w:rPr>
      </w:pPr>
      <w:bookmarkStart w:id="167" w:name="TAB144"/>
      <w:bookmarkEnd w:id="167"/>
      <w:r>
        <w:rPr>
          <w:rFonts w:ascii="Times New Roman" w:hAnsi="Times New Roman"/>
          <w:sz w:val="20"/>
        </w:rPr>
        <w:t>While we report our real estate as a separate segment, it has historically operated as an integral portion of our overall business and, again historically, has principally been in support of that business.  In recent periods, however, we have acquired or developed properties which do not have any cinema or other entertainment component.  As opportunities for cinema development become more limited, it is likely that our real estate activities will continue to expand beyond the development of entertainment-oriented properties.  Our senior executives oversee and participate in both the cinema and real estate aspects of our business.  We also employ a number of full time real estate professionals to assist us in our non-cinema real estate developmen t activities and non-cinema property management activities.</w:t>
      </w:r>
    </w:p>
    <w:p>
      <w:pPr>
        <w:pStyle w:val="TextBody"/>
        <w:spacing w:before="0" w:after="0"/>
        <w:ind w:left="0" w:right="0" w:hanging="0"/>
        <w:rPr/>
      </w:pPr>
      <w:r>
        <w:rPr/>
      </w:r>
    </w:p>
    <w:p>
      <w:pPr>
        <w:pStyle w:val="TextBody"/>
        <w:spacing w:before="0" w:after="0"/>
        <w:ind w:left="741" w:right="0" w:hanging="0"/>
        <w:jc w:val="both"/>
        <w:rPr>
          <w:rFonts w:ascii="Times New Roman" w:hAnsi="Times New Roman"/>
          <w:sz w:val="20"/>
        </w:rPr>
      </w:pPr>
      <w:bookmarkStart w:id="168" w:name="TAB145"/>
      <w:bookmarkEnd w:id="168"/>
      <w:r>
        <w:rPr>
          <w:rFonts w:ascii="Times New Roman" w:hAnsi="Times New Roman"/>
          <w:sz w:val="20"/>
        </w:rPr>
        <w:t xml:space="preserve">Our real estate activities, holdings and developments are described in greater detail in Item 2 – </w:t>
      </w:r>
      <w:r>
        <w:rPr>
          <w:rFonts w:ascii="Times New Roman" w:hAnsi="Times New Roman"/>
          <w:i/>
          <w:sz w:val="20"/>
        </w:rPr>
        <w:t>Properties</w:t>
      </w:r>
      <w:r>
        <w:rPr>
          <w:rFonts w:ascii="Times New Roman" w:hAnsi="Times New Roman"/>
          <w:sz w:val="20"/>
        </w:rPr>
        <w:t>, and that discussion is not repeated here.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9" w:name="PGBRK8"/>
      <w:bookmarkStart w:id="170" w:name="PGBRK8"/>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1" w:name="FTR8"/>
      <w:bookmarkStart w:id="172" w:name="FTR8"/>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3" w:name="GLFTR8"/>
      <w:bookmarkEnd w:id="1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4" w:name="PN8"/>
      <w:bookmarkEnd w:id="174"/>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 w:name="HDR8"/>
      <w:bookmarkStart w:id="176" w:name="HDR8"/>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77" w:name="GLHDR8"/>
        <w:bookmarkEnd w:id="1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bookmarkStart w:id="178" w:name="item1a"/>
      <w:bookmarkEnd w:id="178"/>
      <w:r>
        <w:rPr>
          <w:rFonts w:ascii="Times New Roman" w:hAnsi="Times New Roman"/>
          <w:b/>
          <w:sz w:val="20"/>
          <w:u w:val="single"/>
        </w:rPr>
        <w:t>Item 1A – Risk Factors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Business Risk Factors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currently engaged principally in the cinema exhibition and real estate businesses.  Since we operate in two business segments (cinema exhibition and real estate), we have discussed separately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theater operations as real estate operations – since we are principally in the business of renting space to producers rather than in licensing or producing plays ourselves – the cinema exhibition and live theater businesses share certain risk factors and are, accordingly, discussed togethe r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Cinema Exhibition and Live Theater Business Risk Factors</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We operate in a highly competitive environment, with many competitors who are significantly larger and may have significantly better access to funds than do we.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a comparatively small cinema operator and face competition from much larger cinema exhibitors.  These larger circuits are able to offer distributors more screens in more markets – including markets where they may be the exclusive exhibitor – than can we.  In some cases, faced with such competition, we may not be able to get access to all of the films we want, which may adversely affect our revenue and profitability.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These larger competitors may also enjoy (i) greater cash flow, which can be used to develop additional cinemas, including cinemas that may be competitive with our existing cinemas, (ii) better access to equity capital and debt, and (iii) better visibility to landlords and real estate developers, than do we.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We face competition from other sources of entertainment and other entertainment delivery systems.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Both our cinema and live theater operations face competition from developing “in-home” sources of entertainment.  These include competition from DVDs, pay television, cable and satellite television, the internet and other sources of entertainment, and video games.  The quality of in-house entertainment systems has increased while the cost of such systems has decreased in recent periods, and some consumers may prefer the security of an ”in-home” entertainment experience to the more public experience offered by our cinemas and live theaters.  The movie distributors have been responding to these developments by, in some cases, decreasing the period of time between cinema release and the date such product is made available to “in-home” forms of distribution.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narrowing of this so-called “window” for cinema exhibition may be problematic since film-licensing fees have historically been front end loaded.  On the other hand, the significant quantity of films produced in recent periods has probably had more to do, at least to date, with the shortening of the time most movies play in the cinemas, than any shortening of the cinema exhibition window.  In recent periods, there has been discussion about the possibility of eliminating the cinema window altogether for certain films, in favor of a simultaneous release in multiple channels of distribution, such as theaters, pay-per-view, and DVD.  However, again to date, this move has been strenuously resisted by the cinema exhibition industry and we view the total elimination of the cinema exhibition window , while theoretically possible, to be unlikely.</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9" w:name="PGBRK9"/>
      <w:bookmarkStart w:id="180" w:name="PGBRK9"/>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 w:name="FTR9"/>
      <w:bookmarkStart w:id="182" w:name="FTR9"/>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3" w:name="GLFTR9"/>
      <w:bookmarkEnd w:id="1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4" w:name="PN9"/>
      <w:bookmarkEnd w:id="184"/>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 w:name="HDR9"/>
      <w:bookmarkStart w:id="186" w:name="HDR9"/>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87" w:name="GLHDR9"/>
        <w:bookmarkEnd w:id="18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Times New Roman" w:hAnsi="Times New Roman"/>
          <w:sz w:val="20"/>
        </w:rPr>
      </w:pPr>
      <w:r>
        <w:rPr>
          <w:rFonts w:ascii="Times New Roman" w:hAnsi="Times New Roman"/>
          <w:sz w:val="20"/>
        </w:rPr>
        <w:t>However, there is the risk that, over time, distributors may move towards simultaneous release of motion picture product in multiple channels of distribution.  This would adversely affect the competitive advantage enjoyed by cinemas over “in-home” forms of entertainment, as it may be that both the cinema market and the “in-home” market will have simultaneous access to motion picture product.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also face competition from various other forms of “beyond-the-home” entertainment, including sporting events, concerts, restaurants, casinos, video game arcades, and nightclubs.  Our cinemas also face competition from live theaters and vice versa.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Competition from less expensive “in-home” entertainment alternatives may be intensified as a result of the current economic recession.</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Our cinemas operations depend upon access to film that is attractive to our patrons and our live theater operations depend upon the continued attractiveness of our theaters to producers.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ability to generate revenue and profits is largely dependent on factors outside of our control, specifically, the continued ability of motion picture and live theater producers to produce films and plays that are attractive to audiences, and the willingness of these producers to license their films to our cinemas and to rent our theaters for the presentation of their plays.  To the extent that popular movies and plays are produced, our cinema and live theater activities are ultimately dependent upon our ability, in the face of competition from other cinema and live theater operators, to book these movies and plays into our facilities.</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Adverse economic conditions could materially affect our business by reducing discretionary income and by limiting or reducing sources of film and live theater funding.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Cinema and live theater attendance is a luxury, not a necessity.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which are very risky due to the absence of any ability to recoup investment in secondary markets like DVD or cable.</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Our screen advertising revenue may decline.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Over the past several years, cinema exhibitors have been looking increasingly to screen advertising as a way to boost income.  No assurances can be given that this source of income will be continuing or that the use of such advertising will not ultimately prove to be counterproductive by giving consumers a disincentive to choose going to the movies over “in-home” entertainment alternatives.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face uncertainty as to the timing and direction of technological innovations in the cinema exhibition business and as to our access to those technologies.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It is generally assumed that eventually, and perhaps in the relatively near future, cinema exhibition will change over from film projection to digital projection technology.  Such technology offers various cost benefits to both distributors and exhibitors.  While the cost of such a conversion could be substantial, it is presently difficult to forecast the costs of such conversion or how these costs will be shared.  Also, we anticipate that, as with most technologies, the cost of the equipment will decline significantly over time.  As technologies are always evolving, it is, of course, also possible that other new technologies may evolve that will adversely affect the competitiveness of current cinema exhibition technology.  In recent periods, the major exhibitors both in the United Sta tes and in Australia have made significant commitments to move to digital equipment.  It is likely that, in order to keep pace, we will be required in the near future to invest significant funds to move to a digital circuit.  Our larger and better-capitalized competitors may have an advantage, due to, among other things, their ability to negotiate for volume discounts and to preempt access to such equipment.  These same considerations generally apply also to the installation of 3D cinema projection capability.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8" w:name="PGBRK10"/>
      <w:bookmarkStart w:id="189" w:name="PGBRK10"/>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FTR10"/>
      <w:bookmarkStart w:id="191" w:name="FTR10"/>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2" w:name="GLFTR10"/>
      <w:bookmarkEnd w:id="1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3" w:name="PN10"/>
      <w:bookmarkEnd w:id="193"/>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 w:name="HDR10"/>
      <w:bookmarkStart w:id="195" w:name="HDR10"/>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96" w:name="GLHDR10"/>
        <w:bookmarkEnd w:id="19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Real Estate Development and Ownership Business Risks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operate in a highly competitive environment, in which we must compete against companies with much greater financial and human resources than we have.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than do we and may be able to achieve greater economies of scale than can we.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Risks Related to the Real Estate Industry Generally</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i/>
          <w:sz w:val="20"/>
        </w:rPr>
      </w:pPr>
      <w:r>
        <w:rPr>
          <w:rFonts w:ascii="Times New Roman" w:hAnsi="Times New Roman"/>
          <w:i/>
          <w:sz w:val="20"/>
        </w:rPr>
        <w:t>Our financial performance will be affected by risks associated with the real estate industry generally.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7" w:name="TAB146"/>
      <w:bookmarkEnd w:id="197"/>
      <w:r>
        <w:rPr>
          <w:rFonts w:ascii="Times New Roman" w:hAnsi="Times New Roman"/>
          <w:sz w:val="20"/>
        </w:rPr>
        <w:t>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 oriented properties, (iii) reduced attractiveness of our properties to tenants; (iv) competition from other properties, (v) inability to collect rent from tenants, (vi) increased operating costs, including real estate taxes, insurance premiums and utilities, (vii) costs of complying with changes in government regulations, (viii) the relative illiquidity of real estate investments and (ix) decreases in sources of both construction and long-term lending as traditional sources of such funding leave or reduce their commitments to real estate based lending.  In addition, periods of economic slowdown or recession, rising interest rates or declining demand for real estate, or the public perception that any of these events may occur, could result in declining rents or increased lease defaults.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may incur costs complying with the Americans with Disabilities Act and similar laws.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8" w:name="TAB147"/>
      <w:bookmarkEnd w:id="198"/>
      <w:r>
        <w:rPr>
          <w:rFonts w:ascii="Times New Roman" w:hAnsi="Times New Roman"/>
          <w:sz w:val="20"/>
        </w:rPr>
        <w:t>Under the Americans with Disabilities Act and similar statutory regimes in Australia and New Zealand or under applicable state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Illiquidity of real estate investments could impede our ability to respond to adverse changes in the performance of our properties.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9" w:name="TAB148"/>
      <w:bookmarkEnd w:id="199"/>
      <w:r>
        <w:rPr>
          <w:rFonts w:ascii="Times New Roman" w:hAnsi="Times New Roman"/>
          <w:sz w:val="20"/>
        </w:rPr>
        <w:t>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Real estate development involves a variety of risks.</w:t>
      </w: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sz w:val="20"/>
        </w:rPr>
        <w:t>Real estate development includes a variety of risks, including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00" w:name="list19"/>
      <w:bookmarkStart w:id="201" w:name="list19"/>
      <w:bookmarkEnd w:id="20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identification and acquisition of suitable development properties.</w:t>
            </w:r>
            <w:r>
              <w:rPr>
                <w:rFonts w:ascii="Times New Roman" w:hAnsi="Times New Roman"/>
                <w:sz w:val="20"/>
              </w:rPr>
              <w:t>  Competition for suitable development properties is intense.  Our ability to identify and acquire development properties may be limited by our size and resources.  Also, as we and our affiliates are considered to be “foreign owned” for purposes of certain Australia and New Zealand statutes, we have been in the past, and may in the future be, subject to regulations that are not applicable to other persons doing business in those countries.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2" w:name="list20"/>
      <w:bookmarkStart w:id="203" w:name="list20"/>
      <w:bookmarkEnd w:id="20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procurement of necessary land use entitlements for the project.</w:t>
            </w:r>
            <w:r>
              <w:rPr>
                <w:rFonts w:ascii="Times New Roman" w:hAnsi="Times New Roman"/>
                <w:sz w:val="20"/>
              </w:rPr>
              <w:t>  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 w:name="PGBRK11"/>
      <w:bookmarkStart w:id="205" w:name="PGBRK11"/>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FTR11"/>
      <w:bookmarkStart w:id="207" w:name="FTR11"/>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8" w:name="GLFTR11"/>
      <w:bookmarkEnd w:id="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9" w:name="PN11"/>
      <w:bookmarkEnd w:id="209"/>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HDR11"/>
      <w:bookmarkStart w:id="211" w:name="HDR11"/>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2" w:name="GLHDR11"/>
        <w:bookmarkEnd w:id="21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13" w:name="list21"/>
      <w:bookmarkStart w:id="214" w:name="list21"/>
      <w:bookmarkEnd w:id="21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construction of the project on time and on budget.</w:t>
            </w:r>
            <w:r>
              <w:rPr>
                <w:rFonts w:ascii="Times New Roman" w:hAnsi="Times New Roman"/>
                <w:sz w:val="20"/>
              </w:rPr>
              <w:t>  Construction risks include the availability and cost of finance; the availability and costs of material and labor; the costs of dealing with unknown site conditions (including addressing pollution or environmental wastes deposited upon the property by prior owners); inclement weather conditions; and the ever-present potential for labor related disruptions.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5" w:name="list22"/>
      <w:bookmarkStart w:id="216" w:name="list22"/>
      <w:bookmarkEnd w:id="21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leasing or sell-out of the project.</w:t>
            </w:r>
            <w:r>
              <w:rPr>
                <w:rFonts w:ascii="Times New Roman" w:hAnsi="Times New Roman"/>
                <w:sz w:val="20"/>
              </w:rPr>
              <w:t>  Ultimately, there are risks involved in the leasing of a rental property or the sale of a condominium or built-for-sale property.  Leasing or sale can be influenced by economic factors that are neither known nor knowable at the commencement of the development process and by local, national, and even international economic conditions, both real and perceived.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7" w:name="list23"/>
      <w:bookmarkStart w:id="218" w:name="list23"/>
      <w:bookmarkEnd w:id="21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refinancing of completed properties.</w:t>
            </w:r>
            <w:r>
              <w:rPr>
                <w:rFonts w:ascii="Times New Roman" w:hAnsi="Times New Roman"/>
                <w:sz w:val="20"/>
              </w:rPr>
              <w:t>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To date, we have been successful in negotiating development loans with roll over or other provisions mitigating our need to refinance immediately upon completion of construction.</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The ownership of properties involves risk.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ownership of investment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Furthermore, as our properties are typically developed around an entertainment use, the attractiveness of these properties to tenants, sources of finance and real estate investors will be influenced by market perceptions of the benefits and detriments of such entertainment type 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International Business Risks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international operations are subject to a variety of risks, including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19" w:name="list24"/>
      <w:bookmarkStart w:id="220" w:name="list24"/>
      <w:bookmarkEnd w:id="22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Risk of currency fluctuations.</w:t>
            </w:r>
            <w:r>
              <w:rPr>
                <w:rFonts w:ascii="Times New Roman" w:hAnsi="Times New Roman"/>
                <w:sz w:val="20"/>
              </w:rPr>
              <w:t>  While we report our earnings and assets in US dollars, substantial portions of our revenue and of our obligations are denominated in either Australian or New Zealand dollars.  The value of these currencies can vary significantly compared to the US dollar and compared to each other.  We typically have not hedged against these currency fluctuations, but rather have relied upon the natural hedges that exist as a result of the fact that our film costs are typically fixed as a percentage of the box office, and our local operating costs and obligations are likewise typically denominated in local currencies.  However, we do have debt at our parent company level that is serviced by our overseas cash flow and our ability to service t his debt could be adversely impacted by declines in the relative value of the Australian and New Zealand dollar compared to the US dollar.  Set forth below is a chart of the exchange ratios between these three currencies over the past twenty years: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1" w:name="PGBRK12"/>
      <w:bookmarkStart w:id="222" w:name="PGBRK12"/>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FTR12"/>
      <w:bookmarkStart w:id="224" w:name="FTR12"/>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5" w:name="GLFTR12"/>
      <w:bookmarkEnd w:id="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6" w:name="PN12"/>
      <w:bookmarkEnd w:id="226"/>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HDR12"/>
      <w:bookmarkStart w:id="228" w:name="HDR12"/>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29" w:name="GLHDR12"/>
        <w:bookmarkEnd w:id="2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pPr>
      <w:r>
        <w:rPr/>
        <w:drawing>
          <wp:inline distT="0" distB="0" distL="0" distR="0">
            <wp:extent cx="5915025" cy="3876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15025" cy="3876675"/>
                    </a:xfrm>
                    <a:prstGeom prst="rect">
                      <a:avLst/>
                    </a:prstGeom>
                  </pic:spPr>
                </pic:pic>
              </a:graphicData>
            </a:graphic>
          </wp:inline>
        </w:drawing>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0" w:name="list25"/>
      <w:bookmarkStart w:id="231" w:name="list25"/>
      <w:bookmarkEnd w:id="23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Risk of adverse government regulation.  </w:t>
            </w:r>
            <w:r>
              <w:rPr>
                <w:rFonts w:ascii="Times New Roman" w:hAnsi="Times New Roman"/>
                <w:sz w:val="20"/>
              </w:rPr>
              <w:t>At the present time, we believe that relations between the United States, Australia, and New Zealand are good.  However, no assurances can be given that this relationship will continue and that Australia and New Zealand will not in the future seek to regulate more highly the business done by US companies in their countries.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Risks Associated with Certain Discontinued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Operating Results, Financial Structure and Certain Tax Matters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From time to time, we may have negative working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recent years, as we have invested our cash in new acquisitions and the development of our existing properties, we have from time to time had negative working capital.  This negative working capital, which we consider to be akin to an interest free loan, is typical in the cinema exhibition industry, since revenue are received in advance of our obligation to pay film licensing fees, rent and other costs.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have substantial short to medium term debt.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Generally speaking, we have historically financed our operations through relatively short-term debt.  No assurances can be given that we will be able to refinance this debt, or if we can, that the terms will be reasonable.  However, as a counterbalance to this debt, we have significant unencumbered real property assets, which could be sold to pay debt or encumbered to assist in the refinancing of existing debt, if necessary.</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2" w:name="PGBRK13"/>
      <w:bookmarkStart w:id="233" w:name="PGBRK13"/>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 w:name="FTR13"/>
      <w:bookmarkStart w:id="235" w:name="FTR13"/>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6" w:name="GLFTR13"/>
      <w:bookmarkEnd w:id="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7" w:name="PN13"/>
      <w:bookmarkEnd w:id="237"/>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8" w:name="HDR13"/>
      <w:bookmarkStart w:id="239" w:name="HDR13"/>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40" w:name="GLHDR13"/>
        <w:bookmarkEnd w:id="24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In February 2007, we issued $50.0 million in 20-year TPS, and utilized the net proceeds principally to retire short-term bank debt in New Zealand and Australia.  However, the interest rate on our TPS is only fixed for five years, and since we have used US dollar denominated obligations to retire debt denominated in New Zealand and Australian dollars, this transaction and use of net proceeds has increased our exposure to currency risk.  In the first quarter of 2009, we repurchased $22.9 million of our TPS at a 50% discount.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financing of 15 additional cinemas in 2008, we have taken on substantial additional debt.  This transaction was, in essence, 100% financed, resulting in an increase in our debt for book purposes from $177.2 million at December 31, 2007 to $248.2 million as of February 22, 2008.  As of December 31, 2009, this total debt had been reduced to $227.0 million.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the present time, corporate borrowers both domestically and internationally are facing a severe shortage of liquidity.  No assurances can be given that we will be able to refinance our debt as it becomes due.</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have substantial lease liabilities.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Most of our cinemas operate in leased facilities.  These leases typically have cost of living or other rent adjustment features and require that we operate the properties as cinemas.  A down 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The Internal Revenue Service has given us notice of a claimed liability of $20.9 million in income taxes, plus interest of $25.5 million as of December 31, 2009.</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While we believe that we have good defenses to this liability, the claimed exposure is substantial compared to our net worth, and significantly in excess of our current or anticipated near term liquidity.  This contingent liability is discussed in greater detail under Item 3 – </w:t>
      </w:r>
      <w:r>
        <w:rPr>
          <w:rFonts w:ascii="Times New Roman" w:hAnsi="Times New Roman"/>
          <w:i/>
          <w:sz w:val="20"/>
        </w:rPr>
        <w:t>Legal Proceedings:  Tax Audit Litigation</w:t>
      </w:r>
      <w:r>
        <w:rPr>
          <w:rFonts w:ascii="Times New Roman" w:hAnsi="Times New Roman"/>
          <w:sz w:val="20"/>
        </w:rPr>
        <w:t>.  If we were to lose on this matter, we would also be confronted with a potential additional $5.4 million in taxes to the California Franchise Tax Board, plus interest of approximately $7.3 million.</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Our stock is thinly traded.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stock is thinly traded, with an average daily volume in 2009 of only approximately 31,000 shares.  This can result in significant volatility, as demand by buyers and sellers can easily get out of balance.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Ownership Structure, Corporate Governance, and Change of Control Risks</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The interests of our controlling stockholder may conflict with your interests.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Mr. James J. Cotter beneficially owns 70.4% of our outstanding Class B Stock.  Our Class A Stock is essentially non-voting, while our Class B Stock represents all of the voting power of our Company.  As a result, as of December 31, 2009, Mr. Cotter controlled 70.4% of the voting power of all of our outstanding common stock.  For as long as Mr. Cotter continues to own shares of common stock representing more than 50% of the voting power of our common stock, he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Mr. Cotter will also have the power to prevent or cause a change in control, and could take other actions that might be desirable to Mr. Cotter but not to other stockholders.  In addition, Mr. Cotter and his affiliates have controlling interests in companies in related and unrelated industries.  In the future, we may participate in transactions with these companies (see Note 26 – </w:t>
      </w:r>
      <w:r>
        <w:rPr>
          <w:rFonts w:ascii="Times New Roman" w:hAnsi="Times New Roman"/>
          <w:i/>
          <w:sz w:val="20"/>
        </w:rPr>
        <w:t>Related Parties and Transactions</w:t>
      </w:r>
      <w:r>
        <w:rPr>
          <w:rFonts w:ascii="Times New Roman" w:hAnsi="Times New Roman"/>
          <w:sz w:val="20"/>
        </w:rPr>
        <w: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1" w:name="PGBRK14"/>
      <w:bookmarkStart w:id="242" w:name="PGBRK14"/>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FTR14"/>
      <w:bookmarkStart w:id="244" w:name="FTR14"/>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5" w:name="GLFTR14"/>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6" w:name="PN14"/>
      <w:bookmarkEnd w:id="246"/>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HDR14"/>
      <w:bookmarkStart w:id="248" w:name="HDR14"/>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49" w:name="GLHDR14"/>
        <w:bookmarkEnd w:id="2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Since we are a Controlled Company, our Directors have determined to take advantage of certain exemptions provide by the NASDAQ from the corporate governance rules adopted by that Exchange.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Generally speaking, the NASDAQ requires listed companies to meet certain minimum corporate governance provisions.  However, a Controlled Corporation, such as we, may elect not to be governed by certain of these provisions.  Our board of directors has elected to exempt our Company from requirements that (i) at least a majority of our directors be independent, (ii) nominees to our board of directors be nominated by a committee comprised entirely of independent directors or by a majority of our Company’s independent directors, and (iii) the compensation of our chief executive officer be determined or recommended to our board of directors by a compensation committee comprised entirely of independent directors or by a majority of our Company’s independent directors.  Notwithstanding the determinati on by our board of directors to opt-out of these NASDAQ requirements, a majority of our board of directors is nevertheless currently comprised of independent directors, and our compensation committee is nevertheless currently comprised entirely of independent directors.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0" w:name="PGBRK15"/>
      <w:bookmarkStart w:id="251" w:name="PGBRK15"/>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2" w:name="FTR15"/>
      <w:bookmarkStart w:id="253" w:name="FTR15"/>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4" w:name="GLFTR15"/>
      <w:bookmarkEnd w:id="2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5" w:name="PN15"/>
      <w:bookmarkEnd w:id="255"/>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HDR15"/>
      <w:bookmarkStart w:id="257" w:name="HDR15"/>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58" w:name="GLHDR15"/>
        <w:bookmarkEnd w:id="2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u w:val="single"/>
        </w:rPr>
      </w:pPr>
      <w:bookmarkStart w:id="259" w:name="item1b"/>
      <w:bookmarkEnd w:id="259"/>
      <w:r>
        <w:rPr>
          <w:rFonts w:ascii="Times New Roman" w:hAnsi="Times New Roman"/>
          <w:b/>
          <w:sz w:val="20"/>
          <w:u w:val="single"/>
        </w:rPr>
        <w:t>Item 1B - Unresolved Staff Comments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260" w:name="TAB149"/>
      <w:bookmarkEnd w:id="260"/>
      <w:r>
        <w:rPr>
          <w:rFonts w:ascii="Times New Roman" w:hAnsi="Times New Roman"/>
          <w:sz w:val="20"/>
        </w:rPr>
        <w:t>None.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1" w:name="PGBRK16"/>
      <w:bookmarkStart w:id="262" w:name="PGBRK16"/>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FTR16"/>
      <w:bookmarkStart w:id="264" w:name="FTR16"/>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5" w:name="GLFTR16"/>
      <w:bookmarkEnd w:id="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6" w:name="PN16"/>
      <w:bookmarkEnd w:id="266"/>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HDR16"/>
      <w:bookmarkStart w:id="268" w:name="HDR16"/>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69" w:name="GLHDR16"/>
        <w:bookmarkEnd w:id="26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u w:val="single"/>
        </w:rPr>
      </w:pPr>
      <w:bookmarkStart w:id="270" w:name="item2"/>
      <w:bookmarkEnd w:id="270"/>
      <w:r>
        <w:rPr>
          <w:rFonts w:ascii="Times New Roman" w:hAnsi="Times New Roman"/>
          <w:b/>
          <w:sz w:val="20"/>
          <w:u w:val="single"/>
        </w:rPr>
        <w:t>Item 2 – 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Executive and Administrative Offices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1" w:name="TAB150"/>
      <w:bookmarkEnd w:id="271"/>
      <w:r>
        <w:rPr>
          <w:rFonts w:ascii="Times New Roman" w:hAnsi="Times New Roman"/>
          <w:sz w:val="20"/>
        </w:rPr>
        <w:t>We lease approximately 8,582 square feet of office space in Commerce, California to serve as our executive headquarters.  We own an 8,783 square foot office building in Melbourne, Australia, approximately 4,500 square feet of which serves as the headquarters for our Australia and New Zealand operations (the remainder being leased to an unrelated third party).  We occupy approximately 2,000 square feet at our Village East leasehold property for administrative purposes.  We also own a residential condominium unit in Los Angeles, used as executive office and residential space by our Chairman and Chief Executive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Entertainment 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Entertainment Use Leasehold Interests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2" w:name="TAB151"/>
      <w:bookmarkEnd w:id="272"/>
      <w:r>
        <w:rPr>
          <w:rFonts w:ascii="Times New Roman" w:hAnsi="Times New Roman"/>
          <w:sz w:val="20"/>
        </w:rPr>
        <w:t>As of December 31, 2009, we lease approximately 2.15 million square feet of completed cinema space in the United States, Australia, and New Zealand as follows: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700"/>
        <w:gridCol w:w="2977"/>
        <w:gridCol w:w="5528"/>
      </w:tblGrid>
      <w:tr>
        <w:trPr/>
        <w:tc>
          <w:tcPr>
            <w:tcW w:w="1700" w:type="dxa"/>
            <w:tcBorders>
              <w:bottom w:val="double" w:sz="8" w:space="0" w:color="000000"/>
            </w:tcBorders>
            <w:shd w:fill="auto" w:val="clear"/>
            <w:vAlign w:val="bottom"/>
          </w:tcPr>
          <w:p>
            <w:pPr>
              <w:pStyle w:val="TableContents"/>
              <w:spacing w:before="0" w:after="283"/>
              <w:rPr/>
            </w:pPr>
            <w:r>
              <w:rPr/>
              <w:t xml:space="preserve">  </w:t>
            </w:r>
          </w:p>
        </w:tc>
        <w:tc>
          <w:tcPr>
            <w:tcW w:w="2977"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Aggregate Square Footage</w:t>
            </w:r>
          </w:p>
        </w:tc>
        <w:tc>
          <w:tcPr>
            <w:tcW w:w="552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Approximate Range of Remaining Lease Terms (including renewals)</w:t>
            </w:r>
          </w:p>
        </w:tc>
      </w:tr>
      <w:tr>
        <w:trPr/>
        <w:tc>
          <w:tcPr>
            <w:tcW w:w="170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w:t>
            </w:r>
          </w:p>
        </w:tc>
        <w:tc>
          <w:tcPr>
            <w:tcW w:w="2977" w:type="dxa"/>
            <w:tcBorders/>
            <w:shd w:fill="CCEE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988,013</w:t>
            </w:r>
          </w:p>
        </w:tc>
        <w:tc>
          <w:tcPr>
            <w:tcW w:w="5528" w:type="dxa"/>
            <w:tcBorders/>
            <w:shd w:fill="CCEE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2010 – 2049</w:t>
            </w:r>
          </w:p>
        </w:tc>
      </w:tr>
      <w:tr>
        <w:trPr/>
        <w:tc>
          <w:tcPr>
            <w:tcW w:w="1700"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Australia</w:t>
            </w:r>
          </w:p>
        </w:tc>
        <w:tc>
          <w:tcPr>
            <w:tcW w:w="2977" w:type="dxa"/>
            <w:tcBorders/>
            <w:shd w:fill="FFFF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817,820</w:t>
            </w:r>
          </w:p>
        </w:tc>
        <w:tc>
          <w:tcPr>
            <w:tcW w:w="5528" w:type="dxa"/>
            <w:tcBorders/>
            <w:shd w:fill="FFFF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2016 – 2049</w:t>
            </w:r>
          </w:p>
        </w:tc>
      </w:tr>
      <w:tr>
        <w:trPr/>
        <w:tc>
          <w:tcPr>
            <w:tcW w:w="170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New Zealand</w:t>
            </w:r>
          </w:p>
        </w:tc>
        <w:tc>
          <w:tcPr>
            <w:tcW w:w="2977" w:type="dxa"/>
            <w:tcBorders/>
            <w:shd w:fill="CCEE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340,000</w:t>
            </w:r>
          </w:p>
        </w:tc>
        <w:tc>
          <w:tcPr>
            <w:tcW w:w="5528" w:type="dxa"/>
            <w:tcBorders/>
            <w:shd w:fill="CCEE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2023 – 2034</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22, 2008, we acquired 15 pre-existing cinemas from a third party, comprising approximately 727,000 square feet of cinema improvements in the United States.  This space is reflected in the above table.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12, 2010, we entered into a lease for an approximately 33,000 8-screen art cinema to be built as a part of the Mosaic District in the Greater Washington DC area.  This lease is not reflected in the above table.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Entertainment Use Fee Interests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3" w:name="TAB152"/>
      <w:bookmarkEnd w:id="273"/>
      <w:r>
        <w:rPr>
          <w:rFonts w:ascii="Times New Roman" w:hAnsi="Times New Roman"/>
          <w:sz w:val="20"/>
        </w:rPr>
        <w:t>In Australia, we own as of December 31, 2009 approximately 3.2 million square feet of land at eight locations plus one strata title estate consisting of 22,000 square feet.  Most of this land is located in the greater metropolitan areas of Brisbane, Melbourne, Perth, and Sydney, including the 50.6-acre Burwood site in suburban Melbourne that we are holding for development and which is anticipated to include a cinema component.  Of these fee interests, approximately 860,000 square feet is currently improved with cinemas.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4" w:name="TAB153"/>
      <w:bookmarkEnd w:id="274"/>
      <w:r>
        <w:rPr>
          <w:rFonts w:ascii="Times New Roman" w:hAnsi="Times New Roman"/>
          <w:sz w:val="20"/>
        </w:rPr>
        <w:t>In New Zealand, we own as of December 31, 2009 a 152,000 square foot site, which includes an existing 335,000 square foot, nine-level parking structure in the heart of Wellington, the capital of New Zealand.  All but 38,000 square feet of the Wellington site has been developed as an ETRC that incorporates the existing parking garage.  The remaining land is currently leased and is slated for development as phase two of our Wellington ETRC.  We own the fee interests underlying four additional cinemas in New Zealand, which properties include approximately 12,000 square feet of ancillary retail space.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5" w:name="TAB154"/>
      <w:bookmarkEnd w:id="275"/>
      <w:r>
        <w:rPr>
          <w:rFonts w:ascii="Times New Roman" w:hAnsi="Times New Roman"/>
          <w:sz w:val="20"/>
        </w:rPr>
        <w:t>In the United States, we own as of December 31, 2009, approximately 128,000 square feet of improved real estate comprised of four live theater buildings which include approximately 58,000 square feet of leasable space, the fee interest in our Cinemas 1, 2 &amp; 3 in Manhattan (held through a limited liability company in which we have a 75% managing member interest).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Live Theaters (Liberty Theaters)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6" w:name="TAB155"/>
      <w:bookmarkEnd w:id="276"/>
      <w:r>
        <w:rPr>
          <w:rFonts w:ascii="Times New Roman" w:hAnsi="Times New Roman"/>
          <w:sz w:val="20"/>
        </w:rPr>
        <w:t>Included among our real estate holdings are four “Off Broadway” style live theaters, operated through our Liberty Theaters subsidiary.  We lease theater auditoriums to the producers of “Off Broadway” theatrical productions and provide various box office and concession services.  The terms of our leases are, naturally, principally dependent upon the commercial success of our tenants.  STOMP has been playing at our Orpheum Theatre in excess of 10 years.  While we attempt to choose productions that we believe will be successful, we have no control over the production itself.  At the current time, we have three single auditorium theaters in Manhattan: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7" w:name="PGBRK17"/>
      <w:bookmarkStart w:id="278" w:name="PGBRK17"/>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9" w:name="FTR17"/>
      <w:bookmarkStart w:id="280" w:name="FTR17"/>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1" w:name="GLFTR17"/>
      <w:bookmarkEnd w:id="2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2" w:name="PN17"/>
      <w:bookmarkEnd w:id="282"/>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3" w:name="HDR17"/>
      <w:bookmarkStart w:id="284" w:name="HDR17"/>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85" w:name="GLHDR17"/>
        <w:bookmarkEnd w:id="28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286" w:name="list26"/>
      <w:bookmarkStart w:id="287" w:name="list26"/>
      <w:bookmarkEnd w:id="287"/>
    </w:p>
    <w:tbl>
      <w:tblPr>
        <w:tblW w:w="5000" w:type="pct"/>
        <w:jc w:val="left"/>
        <w:tblInd w:w="0" w:type="dxa"/>
        <w:tblCellMar>
          <w:top w:w="0" w:type="dxa"/>
          <w:left w:w="0" w:type="dxa"/>
          <w:bottom w:w="0" w:type="dxa"/>
          <w:right w:w="0" w:type="dxa"/>
        </w:tblCellMar>
      </w:tblPr>
      <w:tblGrid>
        <w:gridCol w:w="1486"/>
        <w:gridCol w:w="8719"/>
      </w:tblGrid>
      <w:tr>
        <w:trPr/>
        <w:tc>
          <w:tcPr>
            <w:tcW w:w="14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Minetta Lane (399 seats);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8" w:name="list27"/>
      <w:bookmarkStart w:id="289" w:name="list27"/>
      <w:bookmarkEnd w:id="289"/>
    </w:p>
    <w:tbl>
      <w:tblPr>
        <w:tblW w:w="5000" w:type="pct"/>
        <w:jc w:val="left"/>
        <w:tblInd w:w="0" w:type="dxa"/>
        <w:tblCellMar>
          <w:top w:w="0" w:type="dxa"/>
          <w:left w:w="0" w:type="dxa"/>
          <w:bottom w:w="0" w:type="dxa"/>
          <w:right w:w="0" w:type="dxa"/>
        </w:tblCellMar>
      </w:tblPr>
      <w:tblGrid>
        <w:gridCol w:w="1486"/>
        <w:gridCol w:w="8719"/>
      </w:tblGrid>
      <w:tr>
        <w:trPr/>
        <w:tc>
          <w:tcPr>
            <w:tcW w:w="14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Orpheum (347 seats);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0" w:name="list28"/>
      <w:bookmarkStart w:id="291" w:name="list28"/>
      <w:bookmarkEnd w:id="291"/>
    </w:p>
    <w:tbl>
      <w:tblPr>
        <w:tblW w:w="5000" w:type="pct"/>
        <w:jc w:val="left"/>
        <w:tblInd w:w="0" w:type="dxa"/>
        <w:tblCellMar>
          <w:top w:w="0" w:type="dxa"/>
          <w:left w:w="0" w:type="dxa"/>
          <w:bottom w:w="0" w:type="dxa"/>
          <w:right w:w="0" w:type="dxa"/>
        </w:tblCellMar>
      </w:tblPr>
      <w:tblGrid>
        <w:gridCol w:w="1486"/>
        <w:gridCol w:w="8719"/>
      </w:tblGrid>
      <w:tr>
        <w:trPr/>
        <w:tc>
          <w:tcPr>
            <w:tcW w:w="14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Union Square (499 seats).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also own a four-auditorium theater complex, the Royal George in Chicago (main stage 452 seats, cabaret 199 seats, great room 100 seats and gallery 60 seats).  We own the fee interest in each of these theaters.  Two of the properties, the Union Square and the Royal George, have ancillary retail and office space.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primarily in the business of leasing theater space.  However, we may from time to time participate as an investor in a play, which can help facilitate the production of the play at one of our facilities, and do from time to time rent space on a basis that allows us to share in a production’s revenue or profits.  Revenue, expense, and profits are reported as a part of the real estate segment of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Joint Venture Cinema Interests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2" w:name="TAB156"/>
      <w:bookmarkEnd w:id="292"/>
      <w:r>
        <w:rPr>
          <w:rFonts w:ascii="Times New Roman" w:hAnsi="Times New Roman"/>
          <w:sz w:val="20"/>
        </w:rPr>
        <w:t>We also hold real estate through several unincorporated joint ventures, two 75% owned subsidiaries, and one majority-owned subsidiary, as described below:</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3" w:name="list29"/>
      <w:bookmarkStart w:id="294" w:name="list29"/>
      <w:bookmarkEnd w:id="29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Australia, we own a 66% unincorporated joint venture interest in a leased 5-screen multiplex cinema in Melbourne, a 75% interest in a subsidiary company that leases two cinemas with eleven screens in two Australian country towns, and a 33% unincorporated joint venture interest in a 16-screen leasehold cinema in a suburb of Brisbane.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5" w:name="list30"/>
      <w:bookmarkStart w:id="296" w:name="list30"/>
      <w:bookmarkEnd w:id="29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New Zealand, we own a 50% unincorporated joint venture interest in three cinemas with 16 screens in the New Zealand cities of Auckland, Christchurch, and Dunedin.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7" w:name="list31"/>
      <w:bookmarkStart w:id="298" w:name="list31"/>
      <w:bookmarkEnd w:id="29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the United States, we own a 50% membership interest in Angelika Film Center, LLC, which holds the lease to the approximately 17,000 square foot Angelika Film Center &amp; Café in the Soho district of Manhattan.  We also hold the management rights with respect to this asset.  We also own a 75% managing member interest in the limited liability company that owns our Cinemas 1, 2 &amp; 3 property.</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Income Producing Real Estate Holdings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299" w:name="TAB157"/>
      <w:bookmarkEnd w:id="299"/>
      <w:r>
        <w:rPr>
          <w:rFonts w:ascii="Times New Roman" w:hAnsi="Times New Roman"/>
          <w:sz w:val="20"/>
        </w:rPr>
        <w:t>We own, as of December 31, 2009 fee interests in approximately 935,000 square feet of income producing properties (including certain properties principally occupied by our cinemas).  In the case of properties leased to our cinema operations, these numbers include an internal allocation of “rent” for such facilities.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0" w:name="PGBRK18"/>
      <w:bookmarkStart w:id="301" w:name="PGBRK18"/>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2" w:name="FTR18"/>
      <w:bookmarkStart w:id="303" w:name="FTR18"/>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4" w:name="GLFTR18"/>
      <w:bookmarkEnd w:id="3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5" w:name="PN18"/>
      <w:bookmarkEnd w:id="305"/>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6" w:name="HDR18"/>
      <w:bookmarkStart w:id="307" w:name="HDR18"/>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08" w:name="GLHDR18"/>
        <w:bookmarkEnd w:id="30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28" w:type="dxa"/>
          <w:left w:w="0" w:type="dxa"/>
          <w:bottom w:w="28" w:type="dxa"/>
          <w:right w:w="0" w:type="dxa"/>
        </w:tblCellMar>
      </w:tblPr>
      <w:tblGrid>
        <w:gridCol w:w="2857"/>
        <w:gridCol w:w="2858"/>
        <w:gridCol w:w="2176"/>
        <w:gridCol w:w="2314"/>
      </w:tblGrid>
      <w:tr>
        <w:trPr/>
        <w:tc>
          <w:tcPr>
            <w:tcW w:w="2857"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pPr>
            <w:r>
              <w:rPr>
                <w:rFonts w:ascii="times new roman" w:hAnsi="times new roman"/>
                <w:b/>
                <w:sz w:val="20"/>
              </w:rPr>
              <w:t>Property</w:t>
            </w:r>
            <w:hyperlink w:anchor="ref.id0ead">
              <w:r>
                <w:rPr>
                  <w:rStyle w:val="InternetLink"/>
                  <w:rFonts w:ascii="times new roman" w:hAnsi="times new roman"/>
                  <w:b/>
                  <w:sz w:val="20"/>
                </w:rPr>
                <w:t>7</w:t>
              </w:r>
            </w:hyperlink>
          </w:p>
        </w:tc>
        <w:tc>
          <w:tcPr>
            <w:tcW w:w="2858"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Square Feet of Improvements</w:t>
            </w:r>
          </w:p>
          <w:p>
            <w:pPr>
              <w:pStyle w:val="TableContents"/>
              <w:spacing w:before="0" w:after="0"/>
              <w:ind w:left="0" w:right="0" w:hanging="0"/>
              <w:jc w:val="center"/>
              <w:rPr>
                <w:rFonts w:ascii="times new roman" w:hAnsi="times new roman"/>
                <w:b/>
                <w:sz w:val="20"/>
              </w:rPr>
            </w:pPr>
            <w:r>
              <w:rPr>
                <w:rFonts w:ascii="times new roman" w:hAnsi="times new roman"/>
                <w:b/>
                <w:sz w:val="20"/>
              </w:rPr>
              <w:t>(rental/entertainment)</w:t>
            </w:r>
          </w:p>
        </w:tc>
        <w:tc>
          <w:tcPr>
            <w:tcW w:w="2176"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Percentage Leased</w:t>
            </w:r>
          </w:p>
        </w:tc>
        <w:tc>
          <w:tcPr>
            <w:tcW w:w="2314"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Gross Book Value</w:t>
            </w:r>
          </w:p>
          <w:p>
            <w:pPr>
              <w:pStyle w:val="TableContents"/>
              <w:spacing w:before="0" w:after="0"/>
              <w:ind w:left="0" w:right="0" w:hanging="0"/>
              <w:jc w:val="center"/>
              <w:rPr>
                <w:rFonts w:ascii="times new roman" w:hAnsi="times new roman"/>
                <w:b/>
                <w:sz w:val="20"/>
              </w:rPr>
            </w:pPr>
            <w:r>
              <w:rPr>
                <w:rFonts w:ascii="times new roman" w:hAnsi="times new roman"/>
                <w:b/>
                <w:sz w:val="20"/>
              </w:rPr>
              <w:t>(in U.S. Dollars)</w:t>
            </w:r>
          </w:p>
        </w:tc>
      </w:tr>
      <w:tr>
        <w:trPr/>
        <w:tc>
          <w:tcPr>
            <w:tcW w:w="2857"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Auburn</w:t>
            </w:r>
          </w:p>
          <w:p>
            <w:pPr>
              <w:pStyle w:val="TableContents"/>
              <w:spacing w:before="0" w:after="0"/>
              <w:ind w:left="0" w:right="0" w:hanging="0"/>
              <w:jc w:val="center"/>
              <w:rPr>
                <w:rFonts w:ascii="times new roman" w:hAnsi="times new roman"/>
                <w:sz w:val="20"/>
              </w:rPr>
            </w:pPr>
            <w:r>
              <w:rPr>
                <w:rFonts w:ascii="times new roman" w:hAnsi="times new roman"/>
                <w:sz w:val="20"/>
              </w:rPr>
              <w:t>100 Parramatta Road</w:t>
            </w:r>
          </w:p>
          <w:p>
            <w:pPr>
              <w:pStyle w:val="TableContents"/>
              <w:spacing w:before="0" w:after="0"/>
              <w:ind w:left="0" w:right="0" w:hanging="0"/>
              <w:jc w:val="center"/>
              <w:rPr>
                <w:rFonts w:ascii="times new roman" w:hAnsi="times new roman"/>
                <w:sz w:val="20"/>
              </w:rPr>
            </w:pPr>
            <w:r>
              <w:rPr>
                <w:rFonts w:ascii="times new roman" w:hAnsi="times new roman"/>
                <w:sz w:val="20"/>
              </w:rPr>
              <w:t>Auburn, NSW, Australia</w:t>
            </w:r>
          </w:p>
        </w:tc>
        <w:tc>
          <w:tcPr>
            <w:tcW w:w="2858"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57,000 / 57,000</w:t>
            </w:r>
          </w:p>
          <w:p>
            <w:pPr>
              <w:pStyle w:val="TableContents"/>
              <w:spacing w:before="0" w:after="0"/>
              <w:ind w:left="0" w:right="0" w:hanging="0"/>
              <w:jc w:val="center"/>
              <w:rPr>
                <w:rFonts w:ascii="times new roman" w:hAnsi="times new roman"/>
                <w:sz w:val="20"/>
              </w:rPr>
            </w:pPr>
            <w:r>
              <w:rPr>
                <w:rFonts w:ascii="times new roman" w:hAnsi="times new roman"/>
                <w:sz w:val="20"/>
              </w:rPr>
              <w:t>Plus an 871-space subterranean parking structure</w:t>
            </w:r>
          </w:p>
        </w:tc>
        <w:tc>
          <w:tcPr>
            <w:tcW w:w="2176"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81%</w:t>
            </w:r>
          </w:p>
        </w:tc>
        <w:tc>
          <w:tcPr>
            <w:tcW w:w="2314" w:type="dxa"/>
            <w:tcBorders>
              <w:bottom w:val="single" w:sz="12" w:space="0" w:color="000000"/>
            </w:tcBorders>
            <w:shd w:fill="CCEEFF" w:val="clear"/>
            <w:tcMar>
              <w:top w:w="0" w:type="dxa"/>
            </w:tcMar>
            <w:vAlign w:val="center"/>
          </w:tcPr>
          <w:p>
            <w:pPr>
              <w:pStyle w:val="TableContents"/>
              <w:spacing w:before="0" w:after="0"/>
              <w:ind w:left="288" w:right="0" w:hanging="0"/>
              <w:jc w:val="right"/>
              <w:rPr>
                <w:rFonts w:ascii="times new roman" w:hAnsi="times new roman"/>
                <w:sz w:val="20"/>
              </w:rPr>
            </w:pPr>
            <w:bookmarkStart w:id="309" w:name="TAB158"/>
            <w:bookmarkEnd w:id="309"/>
            <w:r>
              <w:rPr>
                <w:rFonts w:ascii="times new roman" w:hAnsi="times new roman"/>
                <w:sz w:val="20"/>
              </w:rPr>
              <w:t>$   32,149,000</w:t>
            </w:r>
          </w:p>
        </w:tc>
      </w:tr>
      <w:tr>
        <w:trPr/>
        <w:tc>
          <w:tcPr>
            <w:tcW w:w="2857"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Belmont</w:t>
            </w:r>
          </w:p>
          <w:p>
            <w:pPr>
              <w:pStyle w:val="TableContents"/>
              <w:spacing w:before="0" w:after="0"/>
              <w:ind w:left="0" w:right="0" w:hanging="0"/>
              <w:jc w:val="center"/>
              <w:rPr>
                <w:rFonts w:ascii="times new roman" w:hAnsi="times new roman"/>
                <w:sz w:val="20"/>
              </w:rPr>
            </w:pPr>
            <w:r>
              <w:rPr>
                <w:rFonts w:ascii="times new roman" w:hAnsi="times new roman"/>
                <w:sz w:val="20"/>
              </w:rPr>
              <w:t>Knutsford Ave and</w:t>
            </w:r>
          </w:p>
          <w:p>
            <w:pPr>
              <w:pStyle w:val="TableContents"/>
              <w:spacing w:before="0" w:after="0"/>
              <w:ind w:left="0" w:right="0" w:hanging="0"/>
              <w:jc w:val="center"/>
              <w:rPr>
                <w:rFonts w:ascii="times new roman" w:hAnsi="times new roman"/>
                <w:sz w:val="20"/>
              </w:rPr>
            </w:pPr>
            <w:r>
              <w:rPr>
                <w:rFonts w:ascii="times new roman" w:hAnsi="times new roman"/>
                <w:sz w:val="20"/>
              </w:rPr>
              <w:t>Fulham St</w:t>
            </w:r>
          </w:p>
          <w:p>
            <w:pPr>
              <w:pStyle w:val="TableContents"/>
              <w:spacing w:before="0" w:after="0"/>
              <w:ind w:left="0" w:right="0" w:hanging="0"/>
              <w:jc w:val="center"/>
              <w:rPr>
                <w:rFonts w:ascii="times new roman" w:hAnsi="times new roman"/>
                <w:sz w:val="20"/>
              </w:rPr>
            </w:pPr>
            <w:r>
              <w:rPr>
                <w:rFonts w:ascii="times new roman" w:hAnsi="times new roman"/>
                <w:sz w:val="20"/>
              </w:rPr>
              <w:t>Belmont, WA, Australia</w:t>
            </w:r>
          </w:p>
        </w:tc>
        <w:tc>
          <w:tcPr>
            <w:tcW w:w="2858"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19,000 / 49,000</w:t>
            </w:r>
          </w:p>
        </w:tc>
        <w:tc>
          <w:tcPr>
            <w:tcW w:w="2176"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93%</w:t>
            </w:r>
          </w:p>
        </w:tc>
        <w:tc>
          <w:tcPr>
            <w:tcW w:w="2314" w:type="dxa"/>
            <w:tcBorders>
              <w:bottom w:val="single" w:sz="12" w:space="0" w:color="000000"/>
            </w:tcBorders>
            <w:shd w:fill="FFFFFF" w:val="clear"/>
            <w:tcMar>
              <w:top w:w="0" w:type="dxa"/>
            </w:tcMar>
            <w:vAlign w:val="center"/>
          </w:tcPr>
          <w:p>
            <w:pPr>
              <w:pStyle w:val="TableContents"/>
              <w:spacing w:before="0" w:after="0"/>
              <w:ind w:left="288" w:right="0" w:hanging="0"/>
              <w:jc w:val="right"/>
              <w:rPr>
                <w:rFonts w:ascii="times new roman" w:hAnsi="times new roman"/>
                <w:sz w:val="20"/>
              </w:rPr>
            </w:pPr>
            <w:bookmarkStart w:id="310" w:name="TAB159"/>
            <w:bookmarkEnd w:id="310"/>
            <w:r>
              <w:rPr>
                <w:rFonts w:ascii="times new roman" w:hAnsi="times new roman"/>
                <w:sz w:val="20"/>
              </w:rPr>
              <w:t>$   13,892,000</w:t>
            </w:r>
          </w:p>
        </w:tc>
      </w:tr>
      <w:tr>
        <w:trPr/>
        <w:tc>
          <w:tcPr>
            <w:tcW w:w="2857" w:type="dxa"/>
            <w:tcBorders>
              <w:bottom w:val="single" w:sz="12" w:space="0" w:color="000000"/>
            </w:tcBorders>
            <w:shd w:fill="CCEEFF" w:val="clear"/>
            <w:tcMar>
              <w:top w:w="0" w:type="dxa"/>
            </w:tcMar>
            <w:vAlign w:val="center"/>
          </w:tcPr>
          <w:p>
            <w:pPr>
              <w:pStyle w:val="TableContents"/>
              <w:spacing w:before="0" w:after="0"/>
              <w:ind w:left="0" w:right="0" w:hanging="0"/>
              <w:jc w:val="center"/>
              <w:rPr/>
            </w:pPr>
            <w:r>
              <w:rPr>
                <w:rFonts w:ascii="times new roman" w:hAnsi="times new roman"/>
                <w:sz w:val="20"/>
              </w:rPr>
              <w:t>Cinemas 1, 2 &amp; 3</w:t>
            </w:r>
            <w:hyperlink w:anchor="ref.id0emjac">
              <w:r>
                <w:rPr>
                  <w:rStyle w:val="InternetLink"/>
                  <w:rFonts w:ascii="times new roman" w:hAnsi="times new roman"/>
                  <w:sz w:val="20"/>
                </w:rPr>
                <w:t>8</w:t>
              </w:r>
            </w:hyperlink>
          </w:p>
          <w:p>
            <w:pPr>
              <w:pStyle w:val="TableContents"/>
              <w:spacing w:before="0" w:after="0"/>
              <w:ind w:left="0" w:right="0" w:hanging="0"/>
              <w:jc w:val="center"/>
              <w:rPr>
                <w:rFonts w:ascii="times new roman" w:hAnsi="times new roman"/>
                <w:sz w:val="20"/>
              </w:rPr>
            </w:pPr>
            <w:r>
              <w:rPr>
                <w:rFonts w:ascii="times new roman" w:hAnsi="times new roman"/>
                <w:sz w:val="20"/>
              </w:rPr>
              <w:t>1003 Third Avenue</w:t>
            </w:r>
          </w:p>
          <w:p>
            <w:pPr>
              <w:pStyle w:val="TableContents"/>
              <w:spacing w:before="0" w:after="0"/>
              <w:ind w:left="0" w:right="0" w:hanging="0"/>
              <w:jc w:val="center"/>
              <w:rPr>
                <w:rFonts w:ascii="times new roman" w:hAnsi="times new roman"/>
                <w:sz w:val="20"/>
              </w:rPr>
            </w:pPr>
            <w:r>
              <w:rPr>
                <w:rFonts w:ascii="times new roman" w:hAnsi="times new roman"/>
                <w:sz w:val="20"/>
              </w:rPr>
              <w:t>Manhattan, NY, USA</w:t>
            </w:r>
          </w:p>
        </w:tc>
        <w:tc>
          <w:tcPr>
            <w:tcW w:w="2858"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 / 24,000</w:t>
            </w:r>
          </w:p>
        </w:tc>
        <w:tc>
          <w:tcPr>
            <w:tcW w:w="2176"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314" w:type="dxa"/>
            <w:tcBorders>
              <w:bottom w:val="single" w:sz="12" w:space="0" w:color="000000"/>
            </w:tcBorders>
            <w:shd w:fill="CCEEFF" w:val="clear"/>
            <w:tcMar>
              <w:top w:w="0" w:type="dxa"/>
            </w:tcMar>
            <w:vAlign w:val="center"/>
          </w:tcPr>
          <w:p>
            <w:pPr>
              <w:pStyle w:val="TableContents"/>
              <w:spacing w:before="0" w:after="0"/>
              <w:ind w:left="288" w:right="0" w:hanging="0"/>
              <w:jc w:val="right"/>
              <w:rPr>
                <w:rFonts w:ascii="times new roman" w:hAnsi="times new roman"/>
                <w:sz w:val="20"/>
              </w:rPr>
            </w:pPr>
            <w:bookmarkStart w:id="311" w:name="TAB160"/>
            <w:bookmarkEnd w:id="311"/>
            <w:r>
              <w:rPr>
                <w:rFonts w:ascii="times new roman" w:hAnsi="times new roman"/>
                <w:sz w:val="20"/>
              </w:rPr>
              <w:t>$   23,389,000</w:t>
            </w:r>
          </w:p>
        </w:tc>
      </w:tr>
      <w:tr>
        <w:trPr/>
        <w:tc>
          <w:tcPr>
            <w:tcW w:w="2857"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Courtenay Central</w:t>
            </w:r>
          </w:p>
          <w:p>
            <w:pPr>
              <w:pStyle w:val="TableContents"/>
              <w:spacing w:before="0" w:after="0"/>
              <w:ind w:left="0" w:right="0" w:hanging="0"/>
              <w:jc w:val="center"/>
              <w:rPr>
                <w:rFonts w:ascii="times new roman" w:hAnsi="times new roman"/>
                <w:sz w:val="20"/>
              </w:rPr>
            </w:pPr>
            <w:r>
              <w:rPr>
                <w:rFonts w:ascii="times new roman" w:hAnsi="times new roman"/>
                <w:sz w:val="20"/>
              </w:rPr>
              <w:t>100 Courtenay Place</w:t>
            </w:r>
          </w:p>
          <w:p>
            <w:pPr>
              <w:pStyle w:val="TableContents"/>
              <w:spacing w:before="0" w:after="0"/>
              <w:ind w:left="0" w:right="0" w:hanging="0"/>
              <w:jc w:val="center"/>
              <w:rPr>
                <w:rFonts w:ascii="times new roman" w:hAnsi="times new roman"/>
                <w:sz w:val="20"/>
              </w:rPr>
            </w:pPr>
            <w:r>
              <w:rPr>
                <w:rFonts w:ascii="times new roman" w:hAnsi="times new roman"/>
                <w:sz w:val="20"/>
              </w:rPr>
              <w:t>Wellington, New Zealand</w:t>
            </w:r>
          </w:p>
        </w:tc>
        <w:tc>
          <w:tcPr>
            <w:tcW w:w="2858"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38,000 / 68,000</w:t>
            </w:r>
          </w:p>
          <w:p>
            <w:pPr>
              <w:pStyle w:val="TableContents"/>
              <w:spacing w:before="0" w:after="0"/>
              <w:ind w:left="0" w:right="0" w:hanging="0"/>
              <w:jc w:val="center"/>
              <w:rPr>
                <w:rFonts w:ascii="times new roman" w:hAnsi="times new roman"/>
                <w:sz w:val="20"/>
              </w:rPr>
            </w:pPr>
            <w:r>
              <w:rPr>
                <w:rFonts w:ascii="times new roman" w:hAnsi="times new roman"/>
                <w:sz w:val="20"/>
              </w:rPr>
              <w:t>Plus a 245,000 square foot parking structure</w:t>
            </w:r>
          </w:p>
        </w:tc>
        <w:tc>
          <w:tcPr>
            <w:tcW w:w="2176"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77%</w:t>
            </w:r>
          </w:p>
        </w:tc>
        <w:tc>
          <w:tcPr>
            <w:tcW w:w="2314" w:type="dxa"/>
            <w:tcBorders>
              <w:bottom w:val="single" w:sz="12" w:space="0" w:color="000000"/>
            </w:tcBorders>
            <w:shd w:fill="FFFFFF" w:val="clear"/>
            <w:tcMar>
              <w:top w:w="0" w:type="dxa"/>
            </w:tcMar>
            <w:vAlign w:val="center"/>
          </w:tcPr>
          <w:p>
            <w:pPr>
              <w:pStyle w:val="TableContents"/>
              <w:spacing w:before="0" w:after="0"/>
              <w:ind w:left="288" w:right="0" w:hanging="0"/>
              <w:jc w:val="right"/>
              <w:rPr>
                <w:rFonts w:ascii="times new roman" w:hAnsi="times new roman"/>
                <w:sz w:val="20"/>
              </w:rPr>
            </w:pPr>
            <w:bookmarkStart w:id="312" w:name="TAB161"/>
            <w:bookmarkEnd w:id="312"/>
            <w:r>
              <w:rPr>
                <w:rFonts w:ascii="times new roman" w:hAnsi="times new roman"/>
                <w:sz w:val="20"/>
              </w:rPr>
              <w:t>$   23,025,000</w:t>
            </w:r>
          </w:p>
        </w:tc>
      </w:tr>
      <w:tr>
        <w:trPr/>
        <w:tc>
          <w:tcPr>
            <w:tcW w:w="2857"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Indooroopilly,</w:t>
            </w:r>
          </w:p>
          <w:p>
            <w:pPr>
              <w:pStyle w:val="TableContents"/>
              <w:spacing w:before="0" w:after="0"/>
              <w:ind w:left="0" w:right="0" w:hanging="0"/>
              <w:jc w:val="center"/>
              <w:rPr>
                <w:rFonts w:ascii="times new roman" w:hAnsi="times new roman"/>
                <w:sz w:val="20"/>
              </w:rPr>
            </w:pPr>
            <w:r>
              <w:rPr>
                <w:rFonts w:ascii="times new roman" w:hAnsi="times new roman"/>
                <w:sz w:val="20"/>
              </w:rPr>
              <w:t>70 Station Road</w:t>
            </w:r>
          </w:p>
          <w:p>
            <w:pPr>
              <w:pStyle w:val="TableContents"/>
              <w:spacing w:before="0" w:after="0"/>
              <w:ind w:left="0" w:right="0" w:hanging="0"/>
              <w:jc w:val="center"/>
              <w:rPr>
                <w:rFonts w:ascii="times new roman" w:hAnsi="times new roman"/>
                <w:sz w:val="20"/>
              </w:rPr>
            </w:pPr>
            <w:r>
              <w:rPr>
                <w:rFonts w:ascii="times new roman" w:hAnsi="times new roman"/>
                <w:sz w:val="20"/>
              </w:rPr>
              <w:t>Brisbane, Australia</w:t>
            </w:r>
          </w:p>
        </w:tc>
        <w:tc>
          <w:tcPr>
            <w:tcW w:w="2858"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28,000/0</w:t>
            </w:r>
          </w:p>
        </w:tc>
        <w:tc>
          <w:tcPr>
            <w:tcW w:w="2176"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w:t>
            </w:r>
          </w:p>
        </w:tc>
        <w:tc>
          <w:tcPr>
            <w:tcW w:w="2314" w:type="dxa"/>
            <w:tcBorders>
              <w:bottom w:val="single" w:sz="12" w:space="0" w:color="000000"/>
            </w:tcBorders>
            <w:shd w:fill="CCEEFF" w:val="clear"/>
            <w:tcMar>
              <w:top w:w="0" w:type="dxa"/>
            </w:tcMar>
            <w:vAlign w:val="center"/>
          </w:tcPr>
          <w:p>
            <w:pPr>
              <w:pStyle w:val="TableContents"/>
              <w:spacing w:before="0" w:after="0"/>
              <w:ind w:left="288" w:right="0" w:hanging="0"/>
              <w:jc w:val="right"/>
              <w:rPr>
                <w:rFonts w:ascii="times new roman" w:hAnsi="times new roman"/>
                <w:sz w:val="20"/>
              </w:rPr>
            </w:pPr>
            <w:bookmarkStart w:id="313" w:name="TAB162"/>
            <w:bookmarkEnd w:id="313"/>
            <w:r>
              <w:rPr>
                <w:rFonts w:ascii="times new roman" w:hAnsi="times new roman"/>
                <w:sz w:val="20"/>
              </w:rPr>
              <w:t>$   11,838,000</w:t>
            </w:r>
          </w:p>
        </w:tc>
      </w:tr>
      <w:tr>
        <w:trPr/>
        <w:tc>
          <w:tcPr>
            <w:tcW w:w="2857"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Invercargill Cinema</w:t>
            </w:r>
          </w:p>
          <w:p>
            <w:pPr>
              <w:pStyle w:val="TableContents"/>
              <w:spacing w:before="0" w:after="0"/>
              <w:ind w:left="0" w:right="0" w:hanging="0"/>
              <w:jc w:val="center"/>
              <w:rPr>
                <w:rFonts w:ascii="times new roman" w:hAnsi="times new roman"/>
                <w:sz w:val="20"/>
              </w:rPr>
            </w:pPr>
            <w:r>
              <w:rPr>
                <w:rFonts w:ascii="times new roman" w:hAnsi="times new roman"/>
                <w:sz w:val="20"/>
              </w:rPr>
              <w:t>29 Dee Street</w:t>
            </w:r>
          </w:p>
          <w:p>
            <w:pPr>
              <w:pStyle w:val="TableContents"/>
              <w:spacing w:before="0" w:after="0"/>
              <w:ind w:left="0" w:right="0" w:hanging="0"/>
              <w:jc w:val="center"/>
              <w:rPr>
                <w:rFonts w:ascii="times new roman" w:hAnsi="times new roman"/>
                <w:sz w:val="20"/>
              </w:rPr>
            </w:pPr>
            <w:r>
              <w:rPr>
                <w:rFonts w:ascii="times new roman" w:hAnsi="times new roman"/>
                <w:sz w:val="20"/>
              </w:rPr>
              <w:t>Invercargill, New Zealand</w:t>
            </w:r>
          </w:p>
        </w:tc>
        <w:tc>
          <w:tcPr>
            <w:tcW w:w="2858"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7,000 / 20,000</w:t>
            </w:r>
          </w:p>
        </w:tc>
        <w:tc>
          <w:tcPr>
            <w:tcW w:w="2176"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80%</w:t>
            </w:r>
          </w:p>
        </w:tc>
        <w:tc>
          <w:tcPr>
            <w:tcW w:w="2314" w:type="dxa"/>
            <w:tcBorders>
              <w:bottom w:val="single" w:sz="12" w:space="0" w:color="000000"/>
            </w:tcBorders>
            <w:shd w:fill="FFFFFF" w:val="clear"/>
            <w:tcMar>
              <w:top w:w="0" w:type="dxa"/>
            </w:tcMar>
            <w:vAlign w:val="center"/>
          </w:tcPr>
          <w:p>
            <w:pPr>
              <w:pStyle w:val="TableContents"/>
              <w:spacing w:before="0" w:after="0"/>
              <w:ind w:left="288" w:right="0" w:hanging="0"/>
              <w:jc w:val="right"/>
              <w:rPr>
                <w:rFonts w:ascii="times new roman" w:hAnsi="times new roman"/>
                <w:sz w:val="20"/>
              </w:rPr>
            </w:pPr>
            <w:bookmarkStart w:id="314" w:name="TAB163"/>
            <w:bookmarkEnd w:id="314"/>
            <w:r>
              <w:rPr>
                <w:rFonts w:ascii="times new roman" w:hAnsi="times new roman"/>
                <w:sz w:val="20"/>
              </w:rPr>
              <w:t>$     2,853,000</w:t>
            </w:r>
          </w:p>
        </w:tc>
      </w:tr>
      <w:tr>
        <w:trPr/>
        <w:tc>
          <w:tcPr>
            <w:tcW w:w="2857"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Lake Taupo Motel</w:t>
            </w:r>
          </w:p>
          <w:p>
            <w:pPr>
              <w:pStyle w:val="TableContents"/>
              <w:spacing w:before="0" w:after="0"/>
              <w:ind w:left="0" w:right="0" w:hanging="0"/>
              <w:jc w:val="center"/>
              <w:rPr>
                <w:rFonts w:ascii="times new roman" w:hAnsi="times new roman"/>
                <w:sz w:val="20"/>
              </w:rPr>
            </w:pPr>
            <w:r>
              <w:rPr>
                <w:rFonts w:ascii="times new roman" w:hAnsi="times new roman"/>
                <w:sz w:val="20"/>
              </w:rPr>
              <w:t>138-140 Lake Terrace Road</w:t>
            </w:r>
          </w:p>
          <w:p>
            <w:pPr>
              <w:pStyle w:val="TableContents"/>
              <w:spacing w:before="0" w:after="0"/>
              <w:ind w:left="0" w:right="0" w:hanging="0"/>
              <w:jc w:val="center"/>
              <w:rPr>
                <w:rFonts w:ascii="times new roman" w:hAnsi="times new roman"/>
                <w:sz w:val="20"/>
              </w:rPr>
            </w:pPr>
            <w:r>
              <w:rPr>
                <w:rFonts w:ascii="times new roman" w:hAnsi="times new roman"/>
                <w:sz w:val="20"/>
              </w:rPr>
              <w:t>Taupo, New Zealand</w:t>
            </w:r>
          </w:p>
        </w:tc>
        <w:tc>
          <w:tcPr>
            <w:tcW w:w="2858"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22,000 / 0</w:t>
            </w:r>
          </w:p>
        </w:tc>
        <w:tc>
          <w:tcPr>
            <w:tcW w:w="2176"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Short-term rentals</w:t>
            </w:r>
          </w:p>
        </w:tc>
        <w:tc>
          <w:tcPr>
            <w:tcW w:w="2314" w:type="dxa"/>
            <w:tcBorders>
              <w:bottom w:val="single" w:sz="12" w:space="0" w:color="000000"/>
            </w:tcBorders>
            <w:shd w:fill="CCEEFF" w:val="clear"/>
            <w:tcMar>
              <w:top w:w="0" w:type="dxa"/>
            </w:tcMar>
            <w:vAlign w:val="center"/>
          </w:tcPr>
          <w:p>
            <w:pPr>
              <w:pStyle w:val="TableContents"/>
              <w:spacing w:before="0" w:after="0"/>
              <w:ind w:left="288" w:right="0" w:hanging="0"/>
              <w:jc w:val="right"/>
              <w:rPr>
                <w:rFonts w:ascii="times new roman" w:hAnsi="times new roman"/>
                <w:sz w:val="20"/>
              </w:rPr>
            </w:pPr>
            <w:bookmarkStart w:id="315" w:name="TAB164"/>
            <w:bookmarkEnd w:id="315"/>
            <w:r>
              <w:rPr>
                <w:rFonts w:ascii="times new roman" w:hAnsi="times new roman"/>
                <w:sz w:val="20"/>
              </w:rPr>
              <w:t>$     2,002,000</w:t>
            </w:r>
          </w:p>
        </w:tc>
      </w:tr>
      <w:tr>
        <w:trPr/>
        <w:tc>
          <w:tcPr>
            <w:tcW w:w="2857"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Maitland Cinema</w:t>
            </w:r>
          </w:p>
          <w:p>
            <w:pPr>
              <w:pStyle w:val="TableContents"/>
              <w:spacing w:before="0" w:after="0"/>
              <w:ind w:left="0" w:right="0" w:hanging="0"/>
              <w:jc w:val="center"/>
              <w:rPr>
                <w:rFonts w:ascii="times new roman" w:hAnsi="times new roman"/>
                <w:sz w:val="20"/>
              </w:rPr>
            </w:pPr>
            <w:r>
              <w:rPr>
                <w:rFonts w:ascii="times new roman" w:hAnsi="times new roman"/>
                <w:sz w:val="20"/>
              </w:rPr>
              <w:t>Ken Tubman Drive</w:t>
            </w:r>
          </w:p>
          <w:p>
            <w:pPr>
              <w:pStyle w:val="TableContents"/>
              <w:spacing w:before="0" w:after="0"/>
              <w:ind w:left="0" w:right="0" w:hanging="0"/>
              <w:jc w:val="center"/>
              <w:rPr>
                <w:rFonts w:ascii="times new roman" w:hAnsi="times new roman"/>
                <w:sz w:val="20"/>
              </w:rPr>
            </w:pPr>
            <w:r>
              <w:rPr>
                <w:rFonts w:ascii="times new roman" w:hAnsi="times new roman"/>
                <w:sz w:val="20"/>
              </w:rPr>
              <w:t>Maitland, NSW, Australia</w:t>
            </w:r>
          </w:p>
        </w:tc>
        <w:tc>
          <w:tcPr>
            <w:tcW w:w="2858"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 / 22,000</w:t>
            </w:r>
          </w:p>
        </w:tc>
        <w:tc>
          <w:tcPr>
            <w:tcW w:w="2176"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314" w:type="dxa"/>
            <w:tcBorders>
              <w:bottom w:val="single" w:sz="12" w:space="0" w:color="000000"/>
            </w:tcBorders>
            <w:shd w:fill="FFFFFF" w:val="clear"/>
            <w:tcMar>
              <w:top w:w="0" w:type="dxa"/>
            </w:tcMar>
            <w:vAlign w:val="center"/>
          </w:tcPr>
          <w:p>
            <w:pPr>
              <w:pStyle w:val="TableContents"/>
              <w:spacing w:before="0" w:after="0"/>
              <w:ind w:left="288" w:right="0" w:hanging="0"/>
              <w:jc w:val="right"/>
              <w:rPr>
                <w:rFonts w:ascii="times new roman" w:hAnsi="times new roman"/>
                <w:sz w:val="20"/>
              </w:rPr>
            </w:pPr>
            <w:bookmarkStart w:id="316" w:name="TAB165"/>
            <w:bookmarkEnd w:id="316"/>
            <w:r>
              <w:rPr>
                <w:rFonts w:ascii="times new roman" w:hAnsi="times new roman"/>
                <w:sz w:val="20"/>
              </w:rPr>
              <w:t>$     2,136,000</w:t>
            </w:r>
          </w:p>
        </w:tc>
      </w:tr>
      <w:tr>
        <w:trPr/>
        <w:tc>
          <w:tcPr>
            <w:tcW w:w="2857"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Minetta Lane Theatre</w:t>
            </w:r>
          </w:p>
          <w:p>
            <w:pPr>
              <w:pStyle w:val="TableContents"/>
              <w:spacing w:before="0" w:after="0"/>
              <w:ind w:left="0" w:right="0" w:hanging="0"/>
              <w:jc w:val="center"/>
              <w:rPr>
                <w:rFonts w:ascii="times new roman" w:hAnsi="times new roman"/>
                <w:sz w:val="20"/>
              </w:rPr>
            </w:pPr>
            <w:r>
              <w:rPr>
                <w:rFonts w:ascii="times new roman" w:hAnsi="times new roman"/>
                <w:sz w:val="20"/>
              </w:rPr>
              <w:t>18-22 Minetta Lane</w:t>
            </w:r>
          </w:p>
          <w:p>
            <w:pPr>
              <w:pStyle w:val="TableContents"/>
              <w:spacing w:before="0" w:after="0"/>
              <w:ind w:left="0" w:right="0" w:hanging="0"/>
              <w:jc w:val="center"/>
              <w:rPr>
                <w:rFonts w:ascii="times new roman" w:hAnsi="times new roman"/>
                <w:sz w:val="20"/>
              </w:rPr>
            </w:pPr>
            <w:r>
              <w:rPr>
                <w:rFonts w:ascii="times new roman" w:hAnsi="times new roman"/>
                <w:sz w:val="20"/>
              </w:rPr>
              <w:t>Manhattan, NY, USA</w:t>
            </w:r>
          </w:p>
        </w:tc>
        <w:tc>
          <w:tcPr>
            <w:tcW w:w="2858"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 / 9,000</w:t>
            </w:r>
          </w:p>
        </w:tc>
        <w:tc>
          <w:tcPr>
            <w:tcW w:w="2176"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314" w:type="dxa"/>
            <w:tcBorders>
              <w:bottom w:val="single" w:sz="12" w:space="0" w:color="000000"/>
            </w:tcBorders>
            <w:shd w:fill="CCEEFF" w:val="clear"/>
            <w:tcMar>
              <w:top w:w="0" w:type="dxa"/>
            </w:tcMar>
            <w:vAlign w:val="center"/>
          </w:tcPr>
          <w:p>
            <w:pPr>
              <w:pStyle w:val="TableContents"/>
              <w:spacing w:before="0" w:after="0"/>
              <w:ind w:left="288" w:right="0" w:hanging="0"/>
              <w:jc w:val="right"/>
              <w:rPr>
                <w:rFonts w:ascii="times new roman" w:hAnsi="times new roman"/>
                <w:sz w:val="20"/>
              </w:rPr>
            </w:pPr>
            <w:bookmarkStart w:id="317" w:name="TAB166"/>
            <w:bookmarkEnd w:id="317"/>
            <w:r>
              <w:rPr>
                <w:rFonts w:ascii="times new roman" w:hAnsi="times new roman"/>
                <w:sz w:val="20"/>
              </w:rPr>
              <w:t>$     8,299,000</w:t>
            </w:r>
          </w:p>
        </w:tc>
      </w:tr>
      <w:tr>
        <w:trPr/>
        <w:tc>
          <w:tcPr>
            <w:tcW w:w="2857"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Napier Cinema</w:t>
            </w:r>
          </w:p>
          <w:p>
            <w:pPr>
              <w:pStyle w:val="TableContents"/>
              <w:spacing w:before="0" w:after="0"/>
              <w:ind w:left="0" w:right="0" w:hanging="0"/>
              <w:jc w:val="center"/>
              <w:rPr>
                <w:rFonts w:ascii="times new roman" w:hAnsi="times new roman"/>
                <w:sz w:val="20"/>
              </w:rPr>
            </w:pPr>
            <w:r>
              <w:rPr>
                <w:rFonts w:ascii="times new roman" w:hAnsi="times new roman"/>
                <w:sz w:val="20"/>
              </w:rPr>
              <w:t>154 Station Street</w:t>
            </w:r>
          </w:p>
          <w:p>
            <w:pPr>
              <w:pStyle w:val="TableContents"/>
              <w:spacing w:before="0" w:after="0"/>
              <w:ind w:left="0" w:right="0" w:hanging="0"/>
              <w:jc w:val="center"/>
              <w:rPr>
                <w:rFonts w:ascii="times new roman" w:hAnsi="times new roman"/>
                <w:sz w:val="20"/>
              </w:rPr>
            </w:pPr>
            <w:r>
              <w:rPr>
                <w:rFonts w:ascii="times new roman" w:hAnsi="times new roman"/>
                <w:sz w:val="20"/>
              </w:rPr>
              <w:t>Napier, New Zealand</w:t>
            </w:r>
          </w:p>
        </w:tc>
        <w:tc>
          <w:tcPr>
            <w:tcW w:w="2858"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 / 18,000</w:t>
            </w:r>
          </w:p>
        </w:tc>
        <w:tc>
          <w:tcPr>
            <w:tcW w:w="2176"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w:t>
            </w:r>
          </w:p>
        </w:tc>
        <w:tc>
          <w:tcPr>
            <w:tcW w:w="2314" w:type="dxa"/>
            <w:tcBorders>
              <w:bottom w:val="single" w:sz="12" w:space="0" w:color="000000"/>
            </w:tcBorders>
            <w:shd w:fill="FFFFFF" w:val="clear"/>
            <w:tcMar>
              <w:top w:w="0" w:type="dxa"/>
            </w:tcMar>
            <w:vAlign w:val="center"/>
          </w:tcPr>
          <w:p>
            <w:pPr>
              <w:pStyle w:val="TableContents"/>
              <w:spacing w:before="0" w:after="0"/>
              <w:ind w:left="288" w:right="0" w:hanging="0"/>
              <w:jc w:val="right"/>
              <w:rPr>
                <w:rFonts w:ascii="times new roman" w:hAnsi="times new roman"/>
                <w:sz w:val="20"/>
              </w:rPr>
            </w:pPr>
            <w:bookmarkStart w:id="318" w:name="TAB167"/>
            <w:bookmarkEnd w:id="318"/>
            <w:r>
              <w:rPr>
                <w:rFonts w:ascii="times new roman" w:hAnsi="times new roman"/>
                <w:sz w:val="20"/>
              </w:rPr>
              <w:t>$     2,931,000</w:t>
            </w:r>
          </w:p>
        </w:tc>
      </w:tr>
      <w:tr>
        <w:trPr/>
        <w:tc>
          <w:tcPr>
            <w:tcW w:w="2857"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Newmarket</w:t>
            </w:r>
          </w:p>
          <w:p>
            <w:pPr>
              <w:pStyle w:val="TableContents"/>
              <w:spacing w:before="0" w:after="0"/>
              <w:ind w:left="0" w:right="0" w:hanging="0"/>
              <w:jc w:val="center"/>
              <w:rPr>
                <w:rFonts w:ascii="times new roman" w:hAnsi="times new roman"/>
                <w:sz w:val="20"/>
              </w:rPr>
            </w:pPr>
            <w:r>
              <w:rPr>
                <w:rFonts w:ascii="times new roman" w:hAnsi="times new roman"/>
                <w:sz w:val="20"/>
              </w:rPr>
              <w:t>Newmarket, QLD, Australia</w:t>
            </w:r>
          </w:p>
        </w:tc>
        <w:tc>
          <w:tcPr>
            <w:tcW w:w="2858"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93,000 / 0</w:t>
            </w:r>
          </w:p>
        </w:tc>
        <w:tc>
          <w:tcPr>
            <w:tcW w:w="2176"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w:t>
            </w:r>
          </w:p>
        </w:tc>
        <w:tc>
          <w:tcPr>
            <w:tcW w:w="2314" w:type="dxa"/>
            <w:tcBorders>
              <w:bottom w:val="single" w:sz="12" w:space="0" w:color="000000"/>
            </w:tcBorders>
            <w:shd w:fill="CCEEFF" w:val="clear"/>
            <w:tcMar>
              <w:top w:w="0" w:type="dxa"/>
            </w:tcMar>
            <w:vAlign w:val="center"/>
          </w:tcPr>
          <w:p>
            <w:pPr>
              <w:pStyle w:val="TableContents"/>
              <w:spacing w:before="0" w:after="0"/>
              <w:ind w:left="288" w:right="0" w:hanging="0"/>
              <w:jc w:val="right"/>
              <w:rPr>
                <w:rFonts w:ascii="times new roman" w:hAnsi="times new roman"/>
                <w:sz w:val="20"/>
              </w:rPr>
            </w:pPr>
            <w:bookmarkStart w:id="319" w:name="TAB168"/>
            <w:bookmarkEnd w:id="319"/>
            <w:r>
              <w:rPr>
                <w:rFonts w:ascii="times new roman" w:hAnsi="times new roman"/>
                <w:sz w:val="20"/>
              </w:rPr>
              <w:t>$   38,861,000</w:t>
            </w:r>
          </w:p>
        </w:tc>
      </w:tr>
      <w:tr>
        <w:trPr/>
        <w:tc>
          <w:tcPr>
            <w:tcW w:w="2857"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Orpheum Theatre</w:t>
            </w:r>
          </w:p>
          <w:p>
            <w:pPr>
              <w:pStyle w:val="TableContents"/>
              <w:spacing w:before="0" w:after="0"/>
              <w:ind w:left="0" w:right="0" w:hanging="0"/>
              <w:jc w:val="center"/>
              <w:rPr>
                <w:rFonts w:ascii="times new roman" w:hAnsi="times new roman"/>
                <w:sz w:val="20"/>
              </w:rPr>
            </w:pPr>
            <w:r>
              <w:rPr>
                <w:rFonts w:ascii="times new roman" w:hAnsi="times new roman"/>
                <w:sz w:val="20"/>
              </w:rPr>
              <w:t>126 2nd Street</w:t>
            </w:r>
          </w:p>
          <w:p>
            <w:pPr>
              <w:pStyle w:val="TableContents"/>
              <w:spacing w:before="0" w:after="0"/>
              <w:ind w:left="0" w:right="0" w:hanging="0"/>
              <w:jc w:val="center"/>
              <w:rPr>
                <w:rFonts w:ascii="times new roman" w:hAnsi="times new roman"/>
                <w:sz w:val="20"/>
              </w:rPr>
            </w:pPr>
            <w:r>
              <w:rPr>
                <w:rFonts w:ascii="times new roman" w:hAnsi="times new roman"/>
                <w:sz w:val="20"/>
              </w:rPr>
              <w:t>Manhattan, NY, USA</w:t>
            </w:r>
          </w:p>
        </w:tc>
        <w:tc>
          <w:tcPr>
            <w:tcW w:w="2858"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 / 5,000</w:t>
            </w:r>
          </w:p>
        </w:tc>
        <w:tc>
          <w:tcPr>
            <w:tcW w:w="2176"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314" w:type="dxa"/>
            <w:tcBorders>
              <w:bottom w:val="single" w:sz="12" w:space="0" w:color="000000"/>
            </w:tcBorders>
            <w:shd w:fill="FFFFFF" w:val="clear"/>
            <w:tcMar>
              <w:top w:w="0" w:type="dxa"/>
            </w:tcMar>
            <w:vAlign w:val="center"/>
          </w:tcPr>
          <w:p>
            <w:pPr>
              <w:pStyle w:val="TableContents"/>
              <w:spacing w:before="0" w:after="0"/>
              <w:ind w:left="288" w:right="0" w:hanging="0"/>
              <w:jc w:val="right"/>
              <w:rPr>
                <w:rFonts w:ascii="times new roman" w:hAnsi="times new roman"/>
                <w:sz w:val="20"/>
              </w:rPr>
            </w:pPr>
            <w:bookmarkStart w:id="320" w:name="TAB169"/>
            <w:bookmarkEnd w:id="320"/>
            <w:r>
              <w:rPr>
                <w:rFonts w:ascii="times new roman" w:hAnsi="times new roman"/>
                <w:sz w:val="20"/>
              </w:rPr>
              <w:t>$     3,349,000</w:t>
            </w:r>
          </w:p>
        </w:tc>
      </w:tr>
      <w:tr>
        <w:trPr/>
        <w:tc>
          <w:tcPr>
            <w:tcW w:w="2857"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Royal George</w:t>
            </w:r>
          </w:p>
          <w:p>
            <w:pPr>
              <w:pStyle w:val="TableContents"/>
              <w:spacing w:before="0" w:after="0"/>
              <w:ind w:left="0" w:right="0" w:hanging="0"/>
              <w:jc w:val="center"/>
              <w:rPr>
                <w:rFonts w:ascii="times new roman" w:hAnsi="times new roman"/>
                <w:sz w:val="20"/>
              </w:rPr>
            </w:pPr>
            <w:r>
              <w:rPr>
                <w:rFonts w:ascii="times new roman" w:hAnsi="times new roman"/>
                <w:sz w:val="20"/>
              </w:rPr>
              <w:t>1633 N. Halsted Street</w:t>
            </w:r>
          </w:p>
          <w:p>
            <w:pPr>
              <w:pStyle w:val="TableContents"/>
              <w:spacing w:before="0" w:after="0"/>
              <w:ind w:left="0" w:right="0" w:hanging="0"/>
              <w:jc w:val="center"/>
              <w:rPr>
                <w:rFonts w:ascii="times new roman" w:hAnsi="times new roman"/>
                <w:sz w:val="20"/>
              </w:rPr>
            </w:pPr>
            <w:r>
              <w:rPr>
                <w:rFonts w:ascii="times new roman" w:hAnsi="times new roman"/>
                <w:sz w:val="20"/>
              </w:rPr>
              <w:t>Chicago, IL, USA</w:t>
            </w:r>
          </w:p>
        </w:tc>
        <w:tc>
          <w:tcPr>
            <w:tcW w:w="2858"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37,000 / 23,000</w:t>
            </w:r>
          </w:p>
          <w:p>
            <w:pPr>
              <w:pStyle w:val="TableContents"/>
              <w:spacing w:before="0" w:after="0"/>
              <w:ind w:left="0" w:right="0" w:hanging="0"/>
              <w:jc w:val="center"/>
              <w:rPr>
                <w:rFonts w:ascii="times new roman" w:hAnsi="times new roman"/>
                <w:sz w:val="20"/>
              </w:rPr>
            </w:pPr>
            <w:r>
              <w:rPr>
                <w:rFonts w:ascii="times new roman" w:hAnsi="times new roman"/>
                <w:sz w:val="20"/>
              </w:rPr>
              <w:t>Plus 21,000 square feet of parking</w:t>
            </w:r>
          </w:p>
        </w:tc>
        <w:tc>
          <w:tcPr>
            <w:tcW w:w="2176"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91%</w:t>
            </w:r>
          </w:p>
        </w:tc>
        <w:tc>
          <w:tcPr>
            <w:tcW w:w="2314" w:type="dxa"/>
            <w:tcBorders>
              <w:bottom w:val="single" w:sz="12" w:space="0" w:color="000000"/>
            </w:tcBorders>
            <w:shd w:fill="CCEEFF" w:val="clear"/>
            <w:tcMar>
              <w:top w:w="0" w:type="dxa"/>
            </w:tcMar>
            <w:vAlign w:val="center"/>
          </w:tcPr>
          <w:p>
            <w:pPr>
              <w:pStyle w:val="TableContents"/>
              <w:spacing w:before="0" w:after="0"/>
              <w:ind w:left="288" w:right="0" w:hanging="0"/>
              <w:jc w:val="right"/>
              <w:rPr>
                <w:rFonts w:ascii="times new roman" w:hAnsi="times new roman"/>
                <w:sz w:val="20"/>
              </w:rPr>
            </w:pPr>
            <w:bookmarkStart w:id="321" w:name="TAB170"/>
            <w:bookmarkEnd w:id="321"/>
            <w:r>
              <w:rPr>
                <w:rFonts w:ascii="times new roman" w:hAnsi="times new roman"/>
                <w:sz w:val="20"/>
              </w:rPr>
              <w:t>$     3,438,000</w:t>
            </w:r>
          </w:p>
        </w:tc>
      </w:tr>
      <w:tr>
        <w:trPr/>
        <w:tc>
          <w:tcPr>
            <w:tcW w:w="2857"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Rotorua Cinema</w:t>
            </w:r>
          </w:p>
          <w:p>
            <w:pPr>
              <w:pStyle w:val="TableContents"/>
              <w:spacing w:before="0" w:after="0"/>
              <w:ind w:left="0" w:right="0" w:hanging="0"/>
              <w:jc w:val="center"/>
              <w:rPr>
                <w:rFonts w:ascii="times new roman" w:hAnsi="times new roman"/>
                <w:sz w:val="20"/>
              </w:rPr>
            </w:pPr>
            <w:r>
              <w:rPr>
                <w:rFonts w:ascii="times new roman" w:hAnsi="times new roman"/>
                <w:sz w:val="20"/>
              </w:rPr>
              <w:t>1281 Eruera Street</w:t>
            </w:r>
          </w:p>
          <w:p>
            <w:pPr>
              <w:pStyle w:val="TableContents"/>
              <w:spacing w:before="0" w:after="0"/>
              <w:ind w:left="0" w:right="0" w:hanging="0"/>
              <w:jc w:val="center"/>
              <w:rPr>
                <w:rFonts w:ascii="times new roman" w:hAnsi="times new roman"/>
                <w:sz w:val="20"/>
              </w:rPr>
            </w:pPr>
            <w:r>
              <w:rPr>
                <w:rFonts w:ascii="times new roman" w:hAnsi="times new roman"/>
                <w:sz w:val="20"/>
              </w:rPr>
              <w:t>Rotorua, New Zealand</w:t>
            </w:r>
          </w:p>
        </w:tc>
        <w:tc>
          <w:tcPr>
            <w:tcW w:w="2858"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 / 19,000</w:t>
            </w:r>
          </w:p>
        </w:tc>
        <w:tc>
          <w:tcPr>
            <w:tcW w:w="2176"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314" w:type="dxa"/>
            <w:tcBorders>
              <w:bottom w:val="single" w:sz="12" w:space="0" w:color="000000"/>
            </w:tcBorders>
            <w:shd w:fill="FFFFFF" w:val="clear"/>
            <w:tcMar>
              <w:top w:w="0" w:type="dxa"/>
            </w:tcMar>
            <w:vAlign w:val="center"/>
          </w:tcPr>
          <w:p>
            <w:pPr>
              <w:pStyle w:val="TableContents"/>
              <w:spacing w:before="0" w:after="0"/>
              <w:ind w:left="288" w:right="0" w:hanging="0"/>
              <w:jc w:val="right"/>
              <w:rPr>
                <w:rFonts w:ascii="times new roman" w:hAnsi="times new roman"/>
                <w:sz w:val="20"/>
              </w:rPr>
            </w:pPr>
            <w:bookmarkStart w:id="322" w:name="TAB171"/>
            <w:bookmarkEnd w:id="322"/>
            <w:r>
              <w:rPr>
                <w:rFonts w:ascii="times new roman" w:hAnsi="times new roman"/>
                <w:sz w:val="20"/>
              </w:rPr>
              <w:t>$     2,672,000</w:t>
            </w:r>
          </w:p>
        </w:tc>
      </w:tr>
      <w:tr>
        <w:trPr/>
        <w:tc>
          <w:tcPr>
            <w:tcW w:w="2857" w:type="dxa"/>
            <w:tcBorders>
              <w:bottom w:val="double" w:sz="8"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Union Square Theatre</w:t>
            </w:r>
          </w:p>
          <w:p>
            <w:pPr>
              <w:pStyle w:val="TableContents"/>
              <w:spacing w:before="0" w:after="0"/>
              <w:ind w:left="0" w:right="0" w:hanging="0"/>
              <w:jc w:val="center"/>
              <w:rPr>
                <w:rFonts w:ascii="times new roman" w:hAnsi="times new roman"/>
                <w:sz w:val="20"/>
              </w:rPr>
            </w:pPr>
            <w:r>
              <w:rPr>
                <w:rFonts w:ascii="times new roman" w:hAnsi="times new roman"/>
                <w:sz w:val="20"/>
              </w:rPr>
              <w:t>100 E. 17th Street</w:t>
            </w:r>
          </w:p>
          <w:p>
            <w:pPr>
              <w:pStyle w:val="TableContents"/>
              <w:spacing w:before="0" w:after="0"/>
              <w:ind w:left="0" w:right="0" w:hanging="0"/>
              <w:jc w:val="center"/>
              <w:rPr>
                <w:rFonts w:ascii="times new roman" w:hAnsi="times new roman"/>
                <w:sz w:val="20"/>
              </w:rPr>
            </w:pPr>
            <w:r>
              <w:rPr>
                <w:rFonts w:ascii="times new roman" w:hAnsi="times new roman"/>
                <w:sz w:val="20"/>
              </w:rPr>
              <w:t>Manhattan, NY, USA</w:t>
            </w:r>
          </w:p>
        </w:tc>
        <w:tc>
          <w:tcPr>
            <w:tcW w:w="2858" w:type="dxa"/>
            <w:tcBorders>
              <w:bottom w:val="double" w:sz="8"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21,000 / 17,000</w:t>
            </w:r>
          </w:p>
        </w:tc>
        <w:tc>
          <w:tcPr>
            <w:tcW w:w="2176" w:type="dxa"/>
            <w:tcBorders>
              <w:bottom w:val="double" w:sz="8"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w:t>
            </w:r>
          </w:p>
        </w:tc>
        <w:tc>
          <w:tcPr>
            <w:tcW w:w="2314" w:type="dxa"/>
            <w:tcBorders>
              <w:bottom w:val="double" w:sz="8" w:space="0" w:color="000000"/>
            </w:tcBorders>
            <w:shd w:fill="CCEEFF" w:val="clear"/>
            <w:tcMar>
              <w:top w:w="0" w:type="dxa"/>
            </w:tcMar>
            <w:vAlign w:val="center"/>
          </w:tcPr>
          <w:p>
            <w:pPr>
              <w:pStyle w:val="TableContents"/>
              <w:spacing w:before="0" w:after="0"/>
              <w:ind w:left="288" w:right="0" w:hanging="0"/>
              <w:jc w:val="right"/>
              <w:rPr>
                <w:rFonts w:ascii="times new roman" w:hAnsi="times new roman"/>
                <w:sz w:val="20"/>
              </w:rPr>
            </w:pPr>
            <w:bookmarkStart w:id="323" w:name="TAB172"/>
            <w:bookmarkEnd w:id="323"/>
            <w:r>
              <w:rPr>
                <w:rFonts w:ascii="times new roman" w:hAnsi="times new roman"/>
                <w:sz w:val="20"/>
              </w:rPr>
              <w:t>$     9,050,000</w:t>
            </w:r>
          </w:p>
        </w:tc>
      </w:tr>
    </w:tbl>
    <w:p>
      <w:pPr>
        <w:pStyle w:val="TextBody"/>
        <w:spacing w:before="0" w:after="0"/>
        <w:rPr/>
      </w:pPr>
      <w:r>
        <w:rPr/>
      </w:r>
    </w:p>
    <w:p>
      <w:pPr>
        <w:pStyle w:val="HorizontalLine"/>
        <w:rPr/>
      </w:pPr>
      <w:r>
        <w:rPr/>
      </w:r>
    </w:p>
    <w:p>
      <w:pPr>
        <w:pStyle w:val="TextBody"/>
        <w:spacing w:before="0" w:after="0"/>
        <w:rPr/>
      </w:pPr>
      <w:r>
        <w:rPr/>
        <w:t> </w:t>
      </w:r>
      <w:r>
        <w:rPr>
          <w:rFonts w:ascii="Times New Roman" w:hAnsi="Times New Roman"/>
          <w:sz w:val="20"/>
        </w:rPr>
        <w:t>7 Rental square footage refers to the amount of area available to be rented to third parties and the percentage leased is the amount of rental square footage currently leased to third parties.  A number of our real estate holdings include entertainment components rented to one or more of our subsidiaries.  The rental area to such subsidiaries is noted under the entertainment square footage.  The gross book value refers to the gross carrying cost of the land and buildings of the property.  Book value and rental information are as of December 31, 2009.</w:t>
      </w:r>
    </w:p>
    <w:p>
      <w:pPr>
        <w:pStyle w:val="TextBody"/>
        <w:spacing w:before="0" w:after="0"/>
        <w:rPr/>
      </w:pPr>
      <w:r>
        <w:rPr/>
        <w:t> </w:t>
      </w:r>
      <w:r>
        <w:rPr>
          <w:rFonts w:ascii="Times New Roman" w:hAnsi="Times New Roman"/>
          <w:sz w:val="20"/>
        </w:rPr>
        <w:t>8 This property is owned by a limited liability company in which we hold a 75% managing interest.  The remaining 25% is owned by Sutton Hill Investments, LLC, a company owned in equal parts by our Chairman and Chief Executive Officer, Mr. James J. Cotter, and Michael Forman, a major shareholder in our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4" w:name="PGBRK19"/>
      <w:bookmarkStart w:id="325" w:name="PGBRK19"/>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6" w:name="FTR19"/>
      <w:bookmarkStart w:id="327" w:name="FTR19"/>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8" w:name="GLFTR19"/>
      <w:bookmarkEnd w:id="3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9" w:name="PN19"/>
      <w:bookmarkEnd w:id="329"/>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0" w:name="HDR19"/>
      <w:bookmarkStart w:id="331" w:name="HDR19"/>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32" w:name="GLHDR19"/>
        <w:bookmarkEnd w:id="3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Long-Term Leasehold Real Estate Holdings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addition, in certain cases we have long-term leases that we view more akin to real estate investments than cinema leases.  As of December 31, 2009, we had approximately 179,000 square foot of space subject to such long-term leases.</w:t>
      </w:r>
    </w:p>
    <w:p>
      <w:pPr>
        <w:pStyle w:val="TextBody"/>
        <w:spacing w:before="0" w:after="0"/>
        <w:ind w:left="0" w:right="0" w:hanging="0"/>
        <w:rPr/>
      </w:pPr>
      <w:r>
        <w:rPr/>
        <w:t> </w:t>
      </w:r>
    </w:p>
    <w:tbl>
      <w:tblPr>
        <w:tblW w:w="5000" w:type="pct"/>
        <w:jc w:val="left"/>
        <w:tblInd w:w="0" w:type="dxa"/>
        <w:tblCellMar>
          <w:top w:w="28" w:type="dxa"/>
          <w:left w:w="0" w:type="dxa"/>
          <w:bottom w:w="28" w:type="dxa"/>
          <w:right w:w="0" w:type="dxa"/>
        </w:tblCellMar>
      </w:tblPr>
      <w:tblGrid>
        <w:gridCol w:w="2519"/>
        <w:gridCol w:w="2646"/>
        <w:gridCol w:w="2520"/>
        <w:gridCol w:w="2520"/>
      </w:tblGrid>
      <w:tr>
        <w:trPr/>
        <w:tc>
          <w:tcPr>
            <w:tcW w:w="2519"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pPr>
            <w:r>
              <w:rPr>
                <w:rFonts w:ascii="times new roman" w:hAnsi="times new roman"/>
                <w:b/>
                <w:sz w:val="20"/>
              </w:rPr>
              <w:t>Property</w:t>
            </w:r>
            <w:hyperlink w:anchor="ref.id0e5c">
              <w:r>
                <w:rPr>
                  <w:rStyle w:val="InternetLink"/>
                  <w:rFonts w:ascii="times new roman" w:hAnsi="times new roman"/>
                  <w:b/>
                  <w:sz w:val="20"/>
                </w:rPr>
                <w:t>9</w:t>
              </w:r>
            </w:hyperlink>
          </w:p>
        </w:tc>
        <w:tc>
          <w:tcPr>
            <w:tcW w:w="2646"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Square Footage</w:t>
            </w:r>
          </w:p>
          <w:p>
            <w:pPr>
              <w:pStyle w:val="TableContents"/>
              <w:spacing w:before="0" w:after="0"/>
              <w:ind w:left="0" w:right="0" w:hanging="0"/>
              <w:jc w:val="center"/>
              <w:rPr>
                <w:rFonts w:ascii="times new roman" w:hAnsi="times new roman"/>
                <w:b/>
                <w:sz w:val="20"/>
              </w:rPr>
            </w:pPr>
            <w:r>
              <w:rPr>
                <w:rFonts w:ascii="times new roman" w:hAnsi="times new roman"/>
                <w:b/>
                <w:sz w:val="20"/>
              </w:rPr>
              <w:t>(rental/entertainment)</w:t>
            </w:r>
          </w:p>
        </w:tc>
        <w:tc>
          <w:tcPr>
            <w:tcW w:w="2520"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Percentage Leased</w:t>
            </w:r>
          </w:p>
        </w:tc>
        <w:tc>
          <w:tcPr>
            <w:tcW w:w="2520"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Gross Book Value</w:t>
            </w:r>
          </w:p>
          <w:p>
            <w:pPr>
              <w:pStyle w:val="TableContents"/>
              <w:spacing w:before="0" w:after="0"/>
              <w:ind w:left="0" w:right="0" w:hanging="0"/>
              <w:jc w:val="center"/>
              <w:rPr>
                <w:rFonts w:ascii="times new roman" w:hAnsi="times new roman"/>
                <w:b/>
                <w:sz w:val="20"/>
              </w:rPr>
            </w:pPr>
            <w:r>
              <w:rPr>
                <w:rFonts w:ascii="times new roman" w:hAnsi="times new roman"/>
                <w:b/>
                <w:sz w:val="20"/>
              </w:rPr>
              <w:t>(in U.S. Dollars)</w:t>
            </w:r>
          </w:p>
        </w:tc>
      </w:tr>
      <w:tr>
        <w:trPr/>
        <w:tc>
          <w:tcPr>
            <w:tcW w:w="2519"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Manville</w:t>
            </w:r>
          </w:p>
        </w:tc>
        <w:tc>
          <w:tcPr>
            <w:tcW w:w="2646"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 / 46,000</w:t>
            </w:r>
          </w:p>
        </w:tc>
        <w:tc>
          <w:tcPr>
            <w:tcW w:w="2520"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520" w:type="dxa"/>
            <w:tcBorders>
              <w:bottom w:val="single" w:sz="12" w:space="0" w:color="000000"/>
            </w:tcBorders>
            <w:shd w:fill="CCEEFF" w:val="clear"/>
            <w:tcMar>
              <w:top w:w="0" w:type="dxa"/>
            </w:tcMar>
            <w:vAlign w:val="center"/>
          </w:tcPr>
          <w:p>
            <w:pPr>
              <w:pStyle w:val="TableContents"/>
              <w:spacing w:before="0" w:after="0"/>
              <w:ind w:left="288" w:right="0" w:hanging="0"/>
              <w:jc w:val="left"/>
              <w:rPr/>
            </w:pPr>
            <w:bookmarkStart w:id="333" w:name="TAB173"/>
            <w:bookmarkEnd w:id="333"/>
            <w:r>
              <w:rPr/>
              <w:t> </w:t>
            </w:r>
            <w:bookmarkStart w:id="334" w:name="TAB22"/>
            <w:bookmarkEnd w:id="334"/>
            <w:r>
              <w:rPr>
                <w:spacing w:val="180"/>
              </w:rPr>
              <w:t>   </w:t>
            </w:r>
            <w:bookmarkStart w:id="335" w:name="TAB21"/>
            <w:bookmarkEnd w:id="335"/>
            <w:r>
              <w:rPr>
                <w:spacing w:val="180"/>
              </w:rPr>
              <w:t>   </w:t>
            </w:r>
            <w:bookmarkStart w:id="336" w:name="TAB2"/>
            <w:bookmarkEnd w:id="336"/>
            <w:r>
              <w:rPr>
                <w:spacing w:val="180"/>
              </w:rPr>
              <w:t>   </w:t>
            </w:r>
            <w:r>
              <w:rPr/>
              <w:t> </w:t>
            </w:r>
            <w:r>
              <w:rPr>
                <w:rFonts w:ascii="times new roman" w:hAnsi="times new roman"/>
                <w:sz w:val="20"/>
              </w:rPr>
              <w:t>$     1,928,000</w:t>
            </w:r>
          </w:p>
        </w:tc>
      </w:tr>
      <w:tr>
        <w:trPr/>
        <w:tc>
          <w:tcPr>
            <w:tcW w:w="2519"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Tower</w:t>
            </w:r>
          </w:p>
        </w:tc>
        <w:tc>
          <w:tcPr>
            <w:tcW w:w="2646"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 / 16,000</w:t>
            </w:r>
          </w:p>
        </w:tc>
        <w:tc>
          <w:tcPr>
            <w:tcW w:w="2520" w:type="dxa"/>
            <w:tcBorders>
              <w:bottom w:val="single" w:sz="12"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520" w:type="dxa"/>
            <w:tcBorders>
              <w:bottom w:val="single" w:sz="12" w:space="0" w:color="000000"/>
            </w:tcBorders>
            <w:shd w:fill="FFFFFF" w:val="clear"/>
            <w:tcMar>
              <w:top w:w="0" w:type="dxa"/>
            </w:tcMar>
            <w:vAlign w:val="center"/>
          </w:tcPr>
          <w:p>
            <w:pPr>
              <w:pStyle w:val="TableContents"/>
              <w:spacing w:before="0" w:after="0"/>
              <w:ind w:left="288" w:right="0" w:hanging="0"/>
              <w:jc w:val="left"/>
              <w:rPr/>
            </w:pPr>
            <w:bookmarkStart w:id="337" w:name="TAB174"/>
            <w:bookmarkEnd w:id="337"/>
            <w:r>
              <w:rPr/>
              <w:t> </w:t>
            </w:r>
            <w:bookmarkStart w:id="338" w:name="TAB25"/>
            <w:bookmarkEnd w:id="338"/>
            <w:r>
              <w:rPr>
                <w:spacing w:val="180"/>
              </w:rPr>
              <w:t>   </w:t>
            </w:r>
            <w:bookmarkStart w:id="339" w:name="TAB24"/>
            <w:bookmarkEnd w:id="339"/>
            <w:r>
              <w:rPr>
                <w:spacing w:val="180"/>
              </w:rPr>
              <w:t>   </w:t>
            </w:r>
            <w:bookmarkStart w:id="340" w:name="TAB23"/>
            <w:bookmarkEnd w:id="340"/>
            <w:r>
              <w:rPr>
                <w:spacing w:val="180"/>
              </w:rPr>
              <w:t>   </w:t>
            </w:r>
            <w:r>
              <w:rPr/>
              <w:t> </w:t>
            </w:r>
            <w:r>
              <w:rPr>
                <w:rFonts w:ascii="times new roman" w:hAnsi="times new roman"/>
                <w:sz w:val="20"/>
              </w:rPr>
              <w:t>$        260,000</w:t>
            </w:r>
          </w:p>
        </w:tc>
      </w:tr>
      <w:tr>
        <w:trPr/>
        <w:tc>
          <w:tcPr>
            <w:tcW w:w="2519"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Village East</w:t>
            </w:r>
          </w:p>
        </w:tc>
        <w:tc>
          <w:tcPr>
            <w:tcW w:w="2646"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 / 37,000</w:t>
            </w:r>
          </w:p>
        </w:tc>
        <w:tc>
          <w:tcPr>
            <w:tcW w:w="2520" w:type="dxa"/>
            <w:tcBorders>
              <w:bottom w:val="single" w:sz="12" w:space="0" w:color="000000"/>
            </w:tcBorders>
            <w:shd w:fill="CCEE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w:t>
            </w:r>
          </w:p>
        </w:tc>
        <w:tc>
          <w:tcPr>
            <w:tcW w:w="2520" w:type="dxa"/>
            <w:tcBorders>
              <w:bottom w:val="single" w:sz="12" w:space="0" w:color="000000"/>
            </w:tcBorders>
            <w:shd w:fill="CCEEFF" w:val="clear"/>
            <w:tcMar>
              <w:top w:w="0" w:type="dxa"/>
            </w:tcMar>
            <w:vAlign w:val="center"/>
          </w:tcPr>
          <w:p>
            <w:pPr>
              <w:pStyle w:val="TableContents"/>
              <w:spacing w:before="0" w:after="0"/>
              <w:ind w:left="288" w:right="0" w:hanging="0"/>
              <w:jc w:val="left"/>
              <w:rPr/>
            </w:pPr>
            <w:bookmarkStart w:id="341" w:name="TAB175"/>
            <w:bookmarkEnd w:id="341"/>
            <w:r>
              <w:rPr/>
              <w:t> </w:t>
            </w:r>
            <w:bookmarkStart w:id="342" w:name="TAB28"/>
            <w:bookmarkEnd w:id="342"/>
            <w:r>
              <w:rPr>
                <w:spacing w:val="180"/>
              </w:rPr>
              <w:t>   </w:t>
            </w:r>
            <w:bookmarkStart w:id="343" w:name="TAB27"/>
            <w:bookmarkEnd w:id="343"/>
            <w:r>
              <w:rPr>
                <w:spacing w:val="180"/>
              </w:rPr>
              <w:t>   </w:t>
            </w:r>
            <w:bookmarkStart w:id="344" w:name="TAB26"/>
            <w:bookmarkEnd w:id="344"/>
            <w:r>
              <w:rPr>
                <w:spacing w:val="180"/>
              </w:rPr>
              <w:t>   </w:t>
            </w:r>
            <w:r>
              <w:rPr/>
              <w:t> </w:t>
            </w:r>
            <w:r>
              <w:rPr>
                <w:rFonts w:ascii="times new roman" w:hAnsi="times new roman"/>
                <w:sz w:val="20"/>
              </w:rPr>
              <w:t>$     4,476,000</w:t>
            </w:r>
          </w:p>
        </w:tc>
      </w:tr>
      <w:tr>
        <w:trPr/>
        <w:tc>
          <w:tcPr>
            <w:tcW w:w="2519" w:type="dxa"/>
            <w:tcBorders>
              <w:bottom w:val="double" w:sz="8"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Waurn Ponds</w:t>
            </w:r>
          </w:p>
        </w:tc>
        <w:tc>
          <w:tcPr>
            <w:tcW w:w="2646" w:type="dxa"/>
            <w:tcBorders>
              <w:bottom w:val="double" w:sz="8"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6,000 / 52,000</w:t>
            </w:r>
          </w:p>
        </w:tc>
        <w:tc>
          <w:tcPr>
            <w:tcW w:w="2520" w:type="dxa"/>
            <w:tcBorders>
              <w:bottom w:val="double" w:sz="8" w:space="0" w:color="000000"/>
            </w:tcBorders>
            <w:shd w:fill="FFFFFF"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w:t>
            </w:r>
          </w:p>
        </w:tc>
        <w:tc>
          <w:tcPr>
            <w:tcW w:w="2520" w:type="dxa"/>
            <w:tcBorders>
              <w:bottom w:val="double" w:sz="8" w:space="0" w:color="000000"/>
            </w:tcBorders>
            <w:shd w:fill="FFFFFF" w:val="clear"/>
            <w:tcMar>
              <w:top w:w="0" w:type="dxa"/>
            </w:tcMar>
            <w:vAlign w:val="center"/>
          </w:tcPr>
          <w:p>
            <w:pPr>
              <w:pStyle w:val="TableContents"/>
              <w:spacing w:before="0" w:after="0"/>
              <w:ind w:left="288" w:right="0" w:hanging="0"/>
              <w:jc w:val="left"/>
              <w:rPr/>
            </w:pPr>
            <w:bookmarkStart w:id="345" w:name="TAB176"/>
            <w:bookmarkEnd w:id="345"/>
            <w:r>
              <w:rPr/>
              <w:t> </w:t>
            </w:r>
            <w:bookmarkStart w:id="346" w:name="TAB211"/>
            <w:bookmarkEnd w:id="346"/>
            <w:r>
              <w:rPr>
                <w:spacing w:val="180"/>
              </w:rPr>
              <w:t>   </w:t>
            </w:r>
            <w:bookmarkStart w:id="347" w:name="TAB210"/>
            <w:bookmarkEnd w:id="347"/>
            <w:r>
              <w:rPr>
                <w:spacing w:val="180"/>
              </w:rPr>
              <w:t>   </w:t>
            </w:r>
            <w:bookmarkStart w:id="348" w:name="TAB29"/>
            <w:bookmarkEnd w:id="348"/>
            <w:r>
              <w:rPr>
                <w:spacing w:val="180"/>
              </w:rPr>
              <w:t>   </w:t>
            </w:r>
            <w:r>
              <w:rPr/>
              <w:t> </w:t>
            </w:r>
            <w:r>
              <w:rPr>
                <w:rFonts w:ascii="times new roman" w:hAnsi="times new roman"/>
                <w:sz w:val="20"/>
              </w:rPr>
              <w:t>$     6,320,000</w:t>
            </w:r>
          </w:p>
        </w:tc>
      </w:tr>
    </w:tbl>
    <w:p>
      <w:pPr>
        <w:pStyle w:val="TextBody"/>
        <w:spacing w:before="0" w:after="0"/>
        <w:rPr/>
      </w:pPr>
      <w:r>
        <w:rPr/>
      </w:r>
    </w:p>
    <w:p>
      <w:pPr>
        <w:pStyle w:val="HorizontalLine"/>
        <w:rPr/>
      </w:pPr>
      <w:r>
        <w:rPr/>
      </w:r>
    </w:p>
    <w:p>
      <w:pPr>
        <w:pStyle w:val="TextBody"/>
        <w:spacing w:before="0" w:after="0"/>
        <w:rPr/>
      </w:pPr>
      <w:bookmarkStart w:id="349" w:name="ref.ID0EFRAK"/>
      <w:bookmarkEnd w:id="349"/>
      <w:r>
        <w:rPr/>
        <w:t> </w:t>
      </w:r>
      <w:r>
        <w:rPr>
          <w:rFonts w:ascii="Times New Roman" w:hAnsi="Times New Roman"/>
          <w:sz w:val="20"/>
        </w:rPr>
        <w:t>9  Rental square footage refers to the amount of area available to be rented to third parties, and the percentage leased is the amount of rental square footage currently leased to third parties.  A number of our long-term leasehold real estate properties include entertainment components rented to one or more of our subsidiaries.  The rental area to such subsidiaries is noted under the entertainment square footage.  Book value includes the entire investment in the leased property, including any cinema fit-out.  Rental and book value information is as of December 31, 2009.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0" w:name="PGBRK20"/>
      <w:bookmarkStart w:id="351" w:name="PGBRK20"/>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 w:name="FTR20"/>
      <w:bookmarkStart w:id="353" w:name="FTR20"/>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4" w:name="GLFTR20"/>
      <w:bookmarkEnd w:id="3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5" w:name="PN20"/>
      <w:bookmarkEnd w:id="355"/>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 w:name="HDR20"/>
      <w:bookmarkStart w:id="357" w:name="HDR20"/>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8" w:name="GLHDR20"/>
        <w:bookmarkEnd w:id="3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Real Estate Development Properties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59" w:name="TAB177"/>
      <w:bookmarkEnd w:id="359"/>
      <w:r>
        <w:rPr>
          <w:rFonts w:ascii="Times New Roman" w:hAnsi="Times New Roman"/>
          <w:sz w:val="20"/>
        </w:rPr>
        <w:t>We are engaged in several real estate development projects:</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2082"/>
        <w:gridCol w:w="1607"/>
        <w:gridCol w:w="105"/>
        <w:gridCol w:w="126"/>
        <w:gridCol w:w="1084"/>
        <w:gridCol w:w="105"/>
        <w:gridCol w:w="5096"/>
      </w:tblGrid>
      <w:tr>
        <w:trPr/>
        <w:tc>
          <w:tcPr>
            <w:tcW w:w="2082"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pPr>
            <w:r>
              <w:rPr>
                <w:rFonts w:ascii="times new roman" w:hAnsi="times new roman"/>
                <w:b/>
                <w:sz w:val="20"/>
              </w:rPr>
              <w:t>Property</w:t>
            </w:r>
            <w:hyperlink w:anchor="ref.id0esibk">
              <w:r>
                <w:rPr>
                  <w:rStyle w:val="InternetLink"/>
                  <w:rFonts w:ascii="times new roman" w:hAnsi="times new roman"/>
                  <w:b/>
                  <w:sz w:val="20"/>
                </w:rPr>
                <w:t>10</w:t>
              </w:r>
            </w:hyperlink>
          </w:p>
        </w:tc>
        <w:tc>
          <w:tcPr>
            <w:tcW w:w="1607"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Square Footage/ Acreage</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210" w:type="dxa"/>
            <w:gridSpan w:val="2"/>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Gross Book Value</w:t>
            </w:r>
          </w:p>
          <w:p>
            <w:pPr>
              <w:pStyle w:val="TableContents"/>
              <w:spacing w:before="0" w:after="0"/>
              <w:ind w:left="0" w:right="0" w:hanging="0"/>
              <w:jc w:val="center"/>
              <w:rPr>
                <w:rFonts w:ascii="times new roman" w:hAnsi="times new roman"/>
                <w:b/>
                <w:sz w:val="20"/>
              </w:rPr>
            </w:pPr>
            <w:r>
              <w:rPr>
                <w:rFonts w:ascii="times new roman" w:hAnsi="times new roman"/>
                <w:b/>
                <w:sz w:val="20"/>
              </w:rPr>
              <w:t>(in U.S. Dollars)</w:t>
            </w:r>
          </w:p>
        </w:tc>
        <w:tc>
          <w:tcPr>
            <w:tcW w:w="10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5096"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Status</w:t>
            </w:r>
          </w:p>
        </w:tc>
      </w:tr>
      <w:tr>
        <w:trPr/>
        <w:tc>
          <w:tcPr>
            <w:tcW w:w="2082" w:type="dxa"/>
            <w:tcBorders>
              <w:bottom w:val="single" w:sz="12"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Auburn, Sydney, Australia</w:t>
            </w:r>
          </w:p>
          <w:p>
            <w:pPr>
              <w:pStyle w:val="TableContents"/>
              <w:spacing w:before="0" w:after="0"/>
              <w:ind w:left="360" w:right="0" w:hanging="360"/>
              <w:jc w:val="left"/>
              <w:rPr>
                <w:rFonts w:ascii="times new roman" w:hAnsi="times new roman"/>
                <w:sz w:val="20"/>
              </w:rPr>
            </w:pPr>
            <w:r>
              <w:rPr>
                <w:rFonts w:ascii="times new roman" w:hAnsi="times new roman"/>
                <w:sz w:val="20"/>
              </w:rPr>
              <w:t>Land adjacent to our existing development</w:t>
            </w:r>
          </w:p>
        </w:tc>
        <w:tc>
          <w:tcPr>
            <w:tcW w:w="1607" w:type="dxa"/>
            <w:tcBorders>
              <w:bottom w:val="single" w:sz="12" w:space="0" w:color="000000"/>
            </w:tcBorders>
            <w:shd w:fill="CCEE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 acres</w:t>
            </w:r>
          </w:p>
        </w:tc>
        <w:tc>
          <w:tcPr>
            <w:tcW w:w="105" w:type="dxa"/>
            <w:tcBorders/>
            <w:shd w:fill="CCEEFF"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single" w:sz="12" w:space="0" w:color="000000"/>
            </w:tcBorders>
            <w:shd w:fill="CCEEFF" w:val="clear"/>
            <w:tcMar>
              <w:top w:w="0" w:type="dxa"/>
            </w:tcMar>
            <w:vAlign w:val="bottom"/>
          </w:tcPr>
          <w:p>
            <w:pPr>
              <w:pStyle w:val="TableContents"/>
              <w:spacing w:before="0" w:after="283"/>
              <w:ind w:left="252" w:right="0" w:hanging="0"/>
              <w:jc w:val="right"/>
              <w:rPr>
                <w:rFonts w:ascii="times new roman" w:hAnsi="times new roman"/>
                <w:sz w:val="20"/>
              </w:rPr>
            </w:pPr>
            <w:bookmarkStart w:id="360" w:name="TAB178"/>
            <w:bookmarkEnd w:id="360"/>
            <w:r>
              <w:rPr>
                <w:rFonts w:ascii="times new roman" w:hAnsi="times new roman"/>
                <w:sz w:val="20"/>
              </w:rPr>
              <w:t>1,820,000</w:t>
            </w:r>
          </w:p>
        </w:tc>
        <w:tc>
          <w:tcPr>
            <w:tcW w:w="105" w:type="dxa"/>
            <w:tcBorders/>
            <w:shd w:fill="CCEEFF" w:val="clear"/>
            <w:tcMar>
              <w:top w:w="0" w:type="dxa"/>
              <w:bottom w:w="0" w:type="dxa"/>
            </w:tcMar>
            <w:vAlign w:val="bottom"/>
          </w:tcPr>
          <w:p>
            <w:pPr>
              <w:pStyle w:val="TableContents"/>
              <w:spacing w:before="0" w:after="283"/>
              <w:jc w:val="left"/>
              <w:rPr/>
            </w:pPr>
            <w:r>
              <w:rPr/>
              <w:t> </w:t>
            </w:r>
          </w:p>
        </w:tc>
        <w:tc>
          <w:tcPr>
            <w:tcW w:w="5096" w:type="dxa"/>
            <w:tcBorders>
              <w:bottom w:val="single" w:sz="12"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 longer held for sale.  Buyer has elected not to proceed with its option to acquire this property, and we have elected to continue to hold the property for development for the foreseeable future.</w:t>
            </w:r>
          </w:p>
        </w:tc>
      </w:tr>
      <w:tr>
        <w:trPr/>
        <w:tc>
          <w:tcPr>
            <w:tcW w:w="2082" w:type="dxa"/>
            <w:tcBorders>
              <w:bottom w:val="single" w:sz="12" w:space="0" w:color="000000"/>
            </w:tcBorders>
            <w:shd w:fill="FFFF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Burwood, Victoria, Australia</w:t>
            </w:r>
          </w:p>
        </w:tc>
        <w:tc>
          <w:tcPr>
            <w:tcW w:w="1607" w:type="dxa"/>
            <w:tcBorders>
              <w:bottom w:val="single" w:sz="12"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50.6 acres</w:t>
            </w:r>
          </w:p>
        </w:tc>
        <w:tc>
          <w:tcPr>
            <w:tcW w:w="105" w:type="dxa"/>
            <w:tcBorders/>
            <w:shd w:fill="FFFFFF"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single" w:sz="12" w:space="0" w:color="000000"/>
            </w:tcBorders>
            <w:shd w:fill="FFFFFF" w:val="clear"/>
            <w:tcMar>
              <w:top w:w="0" w:type="dxa"/>
            </w:tcMar>
            <w:vAlign w:val="bottom"/>
          </w:tcPr>
          <w:p>
            <w:pPr>
              <w:pStyle w:val="TableContents"/>
              <w:spacing w:before="0" w:after="283"/>
              <w:ind w:left="252" w:right="0" w:hanging="0"/>
              <w:jc w:val="right"/>
              <w:rPr>
                <w:rFonts w:ascii="times new roman" w:hAnsi="times new roman"/>
                <w:sz w:val="20"/>
              </w:rPr>
            </w:pPr>
            <w:bookmarkStart w:id="361" w:name="TAB179"/>
            <w:bookmarkEnd w:id="361"/>
            <w:r>
              <w:rPr>
                <w:rFonts w:ascii="times new roman" w:hAnsi="times new roman"/>
                <w:sz w:val="20"/>
              </w:rPr>
              <w:t>46,707,000</w:t>
            </w:r>
          </w:p>
        </w:tc>
        <w:tc>
          <w:tcPr>
            <w:tcW w:w="105" w:type="dxa"/>
            <w:tcBorders/>
            <w:shd w:fill="FFFFFF" w:val="clear"/>
            <w:tcMar>
              <w:top w:w="0" w:type="dxa"/>
              <w:bottom w:w="0" w:type="dxa"/>
            </w:tcMar>
            <w:vAlign w:val="bottom"/>
          </w:tcPr>
          <w:p>
            <w:pPr>
              <w:pStyle w:val="TableContents"/>
              <w:spacing w:before="0" w:after="283"/>
              <w:jc w:val="left"/>
              <w:rPr/>
            </w:pPr>
            <w:r>
              <w:rPr/>
              <w:t> </w:t>
            </w:r>
          </w:p>
        </w:tc>
        <w:tc>
          <w:tcPr>
            <w:tcW w:w="5096" w:type="dxa"/>
            <w:tcBorders>
              <w:bottom w:val="single" w:sz="12" w:space="0" w:color="000000"/>
            </w:tcBorders>
            <w:shd w:fill="FFFF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Development Overlay Plan approved in December 2008 for 394,000 sq ft retail, 211,000 sq ft service/ noncore retail, 215,000 sq ft Commercial office, 700 dwellings.  Next steps are determining staging and Town planning applications.  Land filling works on hold.</w:t>
            </w:r>
          </w:p>
        </w:tc>
      </w:tr>
      <w:tr>
        <w:trPr/>
        <w:tc>
          <w:tcPr>
            <w:tcW w:w="2082" w:type="dxa"/>
            <w:tcBorders>
              <w:bottom w:val="single" w:sz="12"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Courtenay Central, Wellington, New Zealand</w:t>
            </w:r>
          </w:p>
          <w:p>
            <w:pPr>
              <w:pStyle w:val="TableContents"/>
              <w:spacing w:before="0" w:after="0"/>
              <w:ind w:left="0" w:right="0" w:hanging="0"/>
              <w:jc w:val="left"/>
              <w:rPr>
                <w:rFonts w:ascii="times new roman" w:hAnsi="times new roman"/>
                <w:sz w:val="20"/>
              </w:rPr>
            </w:pPr>
            <w:r>
              <w:rPr>
                <w:rFonts w:ascii="times new roman" w:hAnsi="times new roman"/>
                <w:sz w:val="20"/>
              </w:rPr>
              <w:t>Land adjacent to our existing development</w:t>
            </w:r>
          </w:p>
        </w:tc>
        <w:tc>
          <w:tcPr>
            <w:tcW w:w="1607" w:type="dxa"/>
            <w:tcBorders>
              <w:bottom w:val="single" w:sz="12" w:space="0" w:color="000000"/>
            </w:tcBorders>
            <w:shd w:fill="CCEE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0.9 acre</w:t>
            </w:r>
          </w:p>
        </w:tc>
        <w:tc>
          <w:tcPr>
            <w:tcW w:w="105" w:type="dxa"/>
            <w:tcBorders/>
            <w:shd w:fill="CCEEFF"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single" w:sz="12" w:space="0" w:color="000000"/>
            </w:tcBorders>
            <w:shd w:fill="CCEEFF" w:val="clear"/>
            <w:tcMar>
              <w:top w:w="0" w:type="dxa"/>
            </w:tcMar>
            <w:vAlign w:val="bottom"/>
          </w:tcPr>
          <w:p>
            <w:pPr>
              <w:pStyle w:val="TableContents"/>
              <w:spacing w:before="0" w:after="283"/>
              <w:ind w:left="252" w:right="0" w:hanging="0"/>
              <w:jc w:val="right"/>
              <w:rPr>
                <w:rFonts w:ascii="times new roman" w:hAnsi="times new roman"/>
                <w:sz w:val="20"/>
              </w:rPr>
            </w:pPr>
            <w:bookmarkStart w:id="362" w:name="TAB180"/>
            <w:bookmarkEnd w:id="362"/>
            <w:r>
              <w:rPr>
                <w:rFonts w:ascii="times new roman" w:hAnsi="times new roman"/>
                <w:sz w:val="20"/>
              </w:rPr>
              <w:t>3,138,000</w:t>
            </w:r>
          </w:p>
        </w:tc>
        <w:tc>
          <w:tcPr>
            <w:tcW w:w="105" w:type="dxa"/>
            <w:tcBorders/>
            <w:shd w:fill="CCEEFF" w:val="clear"/>
            <w:tcMar>
              <w:top w:w="0" w:type="dxa"/>
              <w:bottom w:w="0" w:type="dxa"/>
            </w:tcMar>
            <w:vAlign w:val="bottom"/>
          </w:tcPr>
          <w:p>
            <w:pPr>
              <w:pStyle w:val="TableContents"/>
              <w:spacing w:before="0" w:after="283"/>
              <w:jc w:val="left"/>
              <w:rPr/>
            </w:pPr>
            <w:r>
              <w:rPr/>
              <w:t> </w:t>
            </w:r>
          </w:p>
        </w:tc>
        <w:tc>
          <w:tcPr>
            <w:tcW w:w="5096" w:type="dxa"/>
            <w:tcBorders>
              <w:bottom w:val="single" w:sz="12"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Have regulatory approval for expansion; we are in the preliminary stages of developing this property.</w:t>
            </w:r>
          </w:p>
        </w:tc>
      </w:tr>
      <w:tr>
        <w:trPr/>
        <w:tc>
          <w:tcPr>
            <w:tcW w:w="2082" w:type="dxa"/>
            <w:tcBorders>
              <w:bottom w:val="single" w:sz="12" w:space="0" w:color="000000"/>
            </w:tcBorders>
            <w:shd w:fill="FFFF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Moonee Ponds, Victoria, Australia</w:t>
            </w:r>
          </w:p>
        </w:tc>
        <w:tc>
          <w:tcPr>
            <w:tcW w:w="1607" w:type="dxa"/>
            <w:tcBorders>
              <w:bottom w:val="single" w:sz="12"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 acres</w:t>
            </w:r>
          </w:p>
        </w:tc>
        <w:tc>
          <w:tcPr>
            <w:tcW w:w="105" w:type="dxa"/>
            <w:tcBorders/>
            <w:shd w:fill="FFFFFF"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single" w:sz="12" w:space="0" w:color="000000"/>
            </w:tcBorders>
            <w:shd w:fill="FFFFFF" w:val="clear"/>
            <w:tcMar>
              <w:top w:w="0" w:type="dxa"/>
            </w:tcMar>
            <w:vAlign w:val="bottom"/>
          </w:tcPr>
          <w:p>
            <w:pPr>
              <w:pStyle w:val="TableContents"/>
              <w:spacing w:before="0" w:after="283"/>
              <w:ind w:left="252" w:right="0" w:hanging="0"/>
              <w:jc w:val="right"/>
              <w:rPr>
                <w:rFonts w:ascii="times new roman" w:hAnsi="times new roman"/>
                <w:sz w:val="20"/>
              </w:rPr>
            </w:pPr>
            <w:bookmarkStart w:id="363" w:name="TAB181"/>
            <w:bookmarkEnd w:id="363"/>
            <w:r>
              <w:rPr>
                <w:rFonts w:ascii="times new roman" w:hAnsi="times new roman"/>
                <w:sz w:val="20"/>
              </w:rPr>
              <w:t>10,864,000</w:t>
            </w:r>
          </w:p>
        </w:tc>
        <w:tc>
          <w:tcPr>
            <w:tcW w:w="105" w:type="dxa"/>
            <w:tcBorders/>
            <w:shd w:fill="FFFFFF" w:val="clear"/>
            <w:tcMar>
              <w:top w:w="0" w:type="dxa"/>
              <w:bottom w:w="0" w:type="dxa"/>
            </w:tcMar>
            <w:vAlign w:val="bottom"/>
          </w:tcPr>
          <w:p>
            <w:pPr>
              <w:pStyle w:val="TableContents"/>
              <w:spacing w:before="0" w:after="283"/>
              <w:jc w:val="left"/>
              <w:rPr/>
            </w:pPr>
            <w:r>
              <w:rPr/>
              <w:t> </w:t>
            </w:r>
          </w:p>
        </w:tc>
        <w:tc>
          <w:tcPr>
            <w:tcW w:w="5096" w:type="dxa"/>
            <w:tcBorders>
              <w:bottom w:val="single" w:sz="12" w:space="0" w:color="000000"/>
            </w:tcBorders>
            <w:shd w:fill="FFFF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 planning stages of determining best use depending on factors including development of adjacent properties.  Zoned for high-density as a “Principal Activity Area.”</w:t>
            </w:r>
          </w:p>
        </w:tc>
      </w:tr>
      <w:tr>
        <w:trPr/>
        <w:tc>
          <w:tcPr>
            <w:tcW w:w="2082" w:type="dxa"/>
            <w:tcBorders>
              <w:bottom w:val="single" w:sz="12"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Taringa, Queensland, Australia</w:t>
            </w:r>
          </w:p>
        </w:tc>
        <w:tc>
          <w:tcPr>
            <w:tcW w:w="1607" w:type="dxa"/>
            <w:tcBorders>
              <w:bottom w:val="single" w:sz="12" w:space="0" w:color="000000"/>
            </w:tcBorders>
            <w:shd w:fill="CCEE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Own 0.54 acres, and under contract for a further 1.5 acres</w:t>
            </w:r>
          </w:p>
        </w:tc>
        <w:tc>
          <w:tcPr>
            <w:tcW w:w="105" w:type="dxa"/>
            <w:tcBorders/>
            <w:shd w:fill="CCEEFF"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single" w:sz="12" w:space="0" w:color="000000"/>
            </w:tcBorders>
            <w:shd w:fill="CCEEFF" w:val="clear"/>
            <w:tcMar>
              <w:top w:w="0" w:type="dxa"/>
            </w:tcMar>
            <w:vAlign w:val="bottom"/>
          </w:tcPr>
          <w:p>
            <w:pPr>
              <w:pStyle w:val="TableContents"/>
              <w:spacing w:before="0" w:after="283"/>
              <w:ind w:left="252" w:right="0" w:hanging="0"/>
              <w:jc w:val="right"/>
              <w:rPr>
                <w:rFonts w:ascii="times new roman" w:hAnsi="times new roman"/>
                <w:sz w:val="20"/>
              </w:rPr>
            </w:pPr>
            <w:bookmarkStart w:id="364" w:name="TAB182"/>
            <w:bookmarkEnd w:id="364"/>
            <w:r>
              <w:rPr>
                <w:rFonts w:ascii="times new roman" w:hAnsi="times new roman"/>
                <w:sz w:val="20"/>
              </w:rPr>
              <w:t>4,030,000</w:t>
            </w:r>
          </w:p>
        </w:tc>
        <w:tc>
          <w:tcPr>
            <w:tcW w:w="105" w:type="dxa"/>
            <w:tcBorders/>
            <w:shd w:fill="CCEEFF" w:val="clear"/>
            <w:tcMar>
              <w:top w:w="0" w:type="dxa"/>
              <w:bottom w:w="0" w:type="dxa"/>
            </w:tcMar>
            <w:vAlign w:val="bottom"/>
          </w:tcPr>
          <w:p>
            <w:pPr>
              <w:pStyle w:val="TableContents"/>
              <w:spacing w:before="0" w:after="283"/>
              <w:jc w:val="left"/>
              <w:rPr/>
            </w:pPr>
            <w:r>
              <w:rPr/>
              <w:t> </w:t>
            </w:r>
          </w:p>
        </w:tc>
        <w:tc>
          <w:tcPr>
            <w:tcW w:w="5096" w:type="dxa"/>
            <w:tcBorders>
              <w:bottom w:val="single" w:sz="12"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Working on plans to develop 225,000 to 350,000 square feet of a commercial, retail, and residential development conditional upon obtaining a rezoning approval.</w:t>
            </w:r>
          </w:p>
        </w:tc>
      </w:tr>
      <w:tr>
        <w:trPr/>
        <w:tc>
          <w:tcPr>
            <w:tcW w:w="2082" w:type="dxa"/>
            <w:tcBorders>
              <w:bottom w:val="single" w:sz="12" w:space="0" w:color="000000"/>
            </w:tcBorders>
            <w:shd w:fill="FFFFFF" w:val="clear"/>
            <w:tcMar>
              <w:top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Newmarket, Queensland, Australia</w:t>
            </w:r>
          </w:p>
          <w:p>
            <w:pPr>
              <w:pStyle w:val="TableContents"/>
              <w:spacing w:before="0" w:after="0"/>
              <w:ind w:left="360" w:right="0" w:hanging="360"/>
              <w:jc w:val="left"/>
              <w:rPr>
                <w:rFonts w:ascii="times new roman" w:hAnsi="times new roman"/>
                <w:sz w:val="20"/>
              </w:rPr>
            </w:pPr>
            <w:r>
              <w:rPr>
                <w:rFonts w:ascii="times new roman" w:hAnsi="times new roman"/>
                <w:sz w:val="20"/>
              </w:rPr>
              <w:t>Land adjacent to our existing development</w:t>
            </w:r>
          </w:p>
        </w:tc>
        <w:tc>
          <w:tcPr>
            <w:tcW w:w="1607" w:type="dxa"/>
            <w:tcBorders>
              <w:bottom w:val="single" w:sz="12"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13,390 sq. ft.</w:t>
            </w:r>
          </w:p>
        </w:tc>
        <w:tc>
          <w:tcPr>
            <w:tcW w:w="105" w:type="dxa"/>
            <w:tcBorders/>
            <w:shd w:fill="FFFFFF"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single" w:sz="12" w:space="0" w:color="000000"/>
            </w:tcBorders>
            <w:shd w:fill="FFFFFF" w:val="clear"/>
            <w:tcMar>
              <w:top w:w="0" w:type="dxa"/>
            </w:tcMar>
            <w:vAlign w:val="bottom"/>
          </w:tcPr>
          <w:p>
            <w:pPr>
              <w:pStyle w:val="TableContents"/>
              <w:spacing w:before="0" w:after="283"/>
              <w:ind w:left="252" w:right="0" w:hanging="0"/>
              <w:jc w:val="right"/>
              <w:rPr>
                <w:rFonts w:ascii="times new roman" w:hAnsi="times new roman"/>
                <w:sz w:val="20"/>
              </w:rPr>
            </w:pPr>
            <w:bookmarkStart w:id="365" w:name="TAB183"/>
            <w:bookmarkEnd w:id="365"/>
            <w:r>
              <w:rPr>
                <w:rFonts w:ascii="times new roman" w:hAnsi="times new roman"/>
                <w:sz w:val="20"/>
              </w:rPr>
              <w:t>2,429,000</w:t>
            </w:r>
          </w:p>
        </w:tc>
        <w:tc>
          <w:tcPr>
            <w:tcW w:w="105" w:type="dxa"/>
            <w:tcBorders/>
            <w:shd w:fill="FFFFFF" w:val="clear"/>
            <w:tcMar>
              <w:top w:w="0" w:type="dxa"/>
              <w:bottom w:w="0" w:type="dxa"/>
            </w:tcMar>
            <w:vAlign w:val="bottom"/>
          </w:tcPr>
          <w:p>
            <w:pPr>
              <w:pStyle w:val="TableContents"/>
              <w:spacing w:before="0" w:after="283"/>
              <w:jc w:val="left"/>
              <w:rPr/>
            </w:pPr>
            <w:r>
              <w:rPr/>
              <w:t> </w:t>
            </w:r>
          </w:p>
        </w:tc>
        <w:tc>
          <w:tcPr>
            <w:tcW w:w="5096" w:type="dxa"/>
            <w:tcBorders>
              <w:bottom w:val="single" w:sz="12" w:space="0" w:color="000000"/>
            </w:tcBorders>
            <w:shd w:fill="FFFF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Analyzing if plans for cinema should be replaced with plans for additional retail space.</w:t>
            </w:r>
          </w:p>
        </w:tc>
      </w:tr>
      <w:tr>
        <w:trPr/>
        <w:tc>
          <w:tcPr>
            <w:tcW w:w="2082" w:type="dxa"/>
            <w:tcBorders>
              <w:bottom w:val="single" w:sz="12" w:space="0" w:color="000000"/>
            </w:tcBorders>
            <w:shd w:fill="CCEEFF" w:val="clear"/>
            <w:tcMar>
              <w:top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Lake Taupo, Taupo, New Zealand</w:t>
            </w:r>
          </w:p>
          <w:p>
            <w:pPr>
              <w:pStyle w:val="TableContents"/>
              <w:spacing w:before="0" w:after="0"/>
              <w:ind w:left="360" w:right="0" w:hanging="360"/>
              <w:jc w:val="left"/>
              <w:rPr>
                <w:rFonts w:ascii="times new roman" w:hAnsi="times new roman"/>
                <w:sz w:val="20"/>
              </w:rPr>
            </w:pPr>
            <w:r>
              <w:rPr>
                <w:rFonts w:ascii="times new roman" w:hAnsi="times new roman"/>
                <w:sz w:val="20"/>
              </w:rPr>
              <w:t>Land adjacent to our existing development</w:t>
            </w:r>
          </w:p>
        </w:tc>
        <w:tc>
          <w:tcPr>
            <w:tcW w:w="1607" w:type="dxa"/>
            <w:tcBorders>
              <w:bottom w:val="single" w:sz="12" w:space="0" w:color="000000"/>
            </w:tcBorders>
            <w:shd w:fill="CCEE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0.5 acre</w:t>
            </w:r>
          </w:p>
        </w:tc>
        <w:tc>
          <w:tcPr>
            <w:tcW w:w="105" w:type="dxa"/>
            <w:tcBorders/>
            <w:shd w:fill="CCEEFF"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single" w:sz="12" w:space="0" w:color="000000"/>
            </w:tcBorders>
            <w:shd w:fill="CCEEFF" w:val="clear"/>
            <w:tcMar>
              <w:top w:w="0" w:type="dxa"/>
            </w:tcMar>
            <w:vAlign w:val="bottom"/>
          </w:tcPr>
          <w:p>
            <w:pPr>
              <w:pStyle w:val="TableContents"/>
              <w:spacing w:before="0" w:after="283"/>
              <w:ind w:left="252" w:right="0" w:hanging="0"/>
              <w:jc w:val="right"/>
              <w:rPr>
                <w:rFonts w:ascii="times new roman" w:hAnsi="times new roman"/>
                <w:sz w:val="20"/>
              </w:rPr>
            </w:pPr>
            <w:bookmarkStart w:id="366" w:name="TAB184"/>
            <w:bookmarkEnd w:id="366"/>
            <w:r>
              <w:rPr>
                <w:rFonts w:ascii="times new roman" w:hAnsi="times new roman"/>
                <w:sz w:val="20"/>
              </w:rPr>
              <w:t>726,000</w:t>
            </w:r>
          </w:p>
        </w:tc>
        <w:tc>
          <w:tcPr>
            <w:tcW w:w="105" w:type="dxa"/>
            <w:tcBorders/>
            <w:shd w:fill="CCEEFF" w:val="clear"/>
            <w:tcMar>
              <w:top w:w="0" w:type="dxa"/>
              <w:bottom w:w="0" w:type="dxa"/>
            </w:tcMar>
            <w:vAlign w:val="bottom"/>
          </w:tcPr>
          <w:p>
            <w:pPr>
              <w:pStyle w:val="TableContents"/>
              <w:spacing w:before="0" w:after="283"/>
              <w:jc w:val="left"/>
              <w:rPr/>
            </w:pPr>
            <w:r>
              <w:rPr/>
              <w:t> </w:t>
            </w:r>
          </w:p>
        </w:tc>
        <w:tc>
          <w:tcPr>
            <w:tcW w:w="5096" w:type="dxa"/>
            <w:tcBorders>
              <w:bottom w:val="single" w:sz="12"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 20,000 square foot residential development site that is currently subject to development review.</w:t>
            </w:r>
          </w:p>
        </w:tc>
      </w:tr>
      <w:tr>
        <w:trPr/>
        <w:tc>
          <w:tcPr>
            <w:tcW w:w="2082" w:type="dxa"/>
            <w:tcBorders>
              <w:bottom w:val="double" w:sz="8" w:space="0" w:color="000000"/>
            </w:tcBorders>
            <w:shd w:fill="FFFFFF" w:val="clear"/>
            <w:tcMar>
              <w:top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Manakau, Auckland, New Zealand</w:t>
            </w:r>
          </w:p>
        </w:tc>
        <w:tc>
          <w:tcPr>
            <w:tcW w:w="1607" w:type="dxa"/>
            <w:tcBorders>
              <w:bottom w:val="double" w:sz="8"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64.0 acres zoned agricultural</w:t>
            </w:r>
          </w:p>
          <w:p>
            <w:pPr>
              <w:pStyle w:val="TableContents"/>
              <w:spacing w:before="0" w:after="0"/>
              <w:ind w:left="0" w:right="0" w:hanging="0"/>
              <w:jc w:val="center"/>
              <w:rPr>
                <w:rFonts w:ascii="times new roman" w:hAnsi="times new roman"/>
                <w:sz w:val="20"/>
              </w:rPr>
            </w:pPr>
            <w:r>
              <w:rPr>
                <w:rFonts w:ascii="times new roman" w:hAnsi="times new roman"/>
                <w:sz w:val="20"/>
              </w:rPr>
              <w:t>6.4 acres zoned industrial (currently under contract)</w:t>
            </w:r>
          </w:p>
        </w:tc>
        <w:tc>
          <w:tcPr>
            <w:tcW w:w="105" w:type="dxa"/>
            <w:tcBorders/>
            <w:shd w:fill="FFFFFF" w:val="clear"/>
            <w:tcMar>
              <w:top w:w="0" w:type="dxa"/>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double" w:sz="8" w:space="0" w:color="000000"/>
            </w:tcBorders>
            <w:shd w:fill="FFFFFF" w:val="clear"/>
            <w:tcMar>
              <w:top w:w="0" w:type="dxa"/>
            </w:tcMar>
            <w:vAlign w:val="bottom"/>
          </w:tcPr>
          <w:p>
            <w:pPr>
              <w:pStyle w:val="TableContents"/>
              <w:spacing w:before="0" w:after="283"/>
              <w:ind w:left="252" w:right="0" w:hanging="0"/>
              <w:jc w:val="right"/>
              <w:rPr>
                <w:rFonts w:ascii="times new roman" w:hAnsi="times new roman"/>
                <w:sz w:val="20"/>
              </w:rPr>
            </w:pPr>
            <w:bookmarkStart w:id="367" w:name="TAB185"/>
            <w:bookmarkEnd w:id="367"/>
            <w:r>
              <w:rPr>
                <w:rFonts w:ascii="times new roman" w:hAnsi="times new roman"/>
                <w:sz w:val="20"/>
              </w:rPr>
              <w:t>9,293,000</w:t>
            </w:r>
          </w:p>
        </w:tc>
        <w:tc>
          <w:tcPr>
            <w:tcW w:w="105" w:type="dxa"/>
            <w:tcBorders/>
            <w:shd w:fill="FFFFFF" w:val="clear"/>
            <w:tcMar>
              <w:top w:w="0" w:type="dxa"/>
              <w:bottom w:w="0" w:type="dxa"/>
            </w:tcMar>
            <w:vAlign w:val="bottom"/>
          </w:tcPr>
          <w:p>
            <w:pPr>
              <w:pStyle w:val="TableContents"/>
              <w:spacing w:before="0" w:after="283"/>
              <w:jc w:val="left"/>
              <w:rPr/>
            </w:pPr>
            <w:r>
              <w:rPr/>
              <w:t> </w:t>
            </w:r>
          </w:p>
        </w:tc>
        <w:tc>
          <w:tcPr>
            <w:tcW w:w="5096" w:type="dxa"/>
            <w:tcBorders>
              <w:bottom w:val="double" w:sz="8" w:space="0" w:color="000000"/>
            </w:tcBorders>
            <w:shd w:fill="FFFF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bulk of the land is zoned for agriculture and currently used for horticulture commercial purposes.  We are currently working in cooperation with adjoining landowners to complete a master plan to rezone our land and the neighbors’ lands into a distribution and manufacturing industrial park.  The remainder of the land (currently under contract) is zoned industrial, but is currently unimproved.  The property is adjacent to our larger parcel and links our existing parcel with the existing road network.  The contract is scheduled to close on March 31, 2010.</w:t>
            </w:r>
          </w:p>
        </w:tc>
      </w:tr>
    </w:tbl>
    <w:p>
      <w:pPr>
        <w:pStyle w:val="TextBody"/>
        <w:spacing w:before="0" w:after="0"/>
        <w:ind w:left="0" w:right="0" w:hanging="0"/>
        <w:rPr/>
      </w:pPr>
      <w:r>
        <w:rPr/>
      </w:r>
    </w:p>
    <w:p>
      <w:pPr>
        <w:pStyle w:val="HorizontalLine"/>
        <w:rPr/>
      </w:pPr>
      <w:r>
        <w:rPr/>
      </w:r>
    </w:p>
    <w:p>
      <w:pPr>
        <w:pStyle w:val="TextBody"/>
        <w:spacing w:before="0" w:after="0"/>
        <w:ind w:left="0" w:right="0" w:hanging="0"/>
        <w:rPr/>
      </w:pPr>
      <w:bookmarkStart w:id="368" w:name="ref.ID0ESIBK"/>
      <w:bookmarkEnd w:id="368"/>
      <w:r>
        <w:rPr/>
        <w:t xml:space="preserve">  </w:t>
      </w:r>
      <w:r>
        <w:rPr>
          <w:rFonts w:ascii="Times New Roman" w:hAnsi="Times New Roman"/>
          <w:sz w:val="20"/>
        </w:rPr>
        <w:t>10 A number of our real estate holdings include additional land held for development.  In addition, we have acquired certain parcels for future development.  The gross book value includes, as applicable, the land, building, development costs, and capitalized interest.</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9" w:name="PGBRK21"/>
      <w:bookmarkStart w:id="370" w:name="PGBRK21"/>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1" w:name="FTR21"/>
      <w:bookmarkStart w:id="372" w:name="FTR21"/>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3" w:name="GLFTR21"/>
      <w:bookmarkEnd w:id="3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4" w:name="PN21"/>
      <w:bookmarkEnd w:id="374"/>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5" w:name="HDR21"/>
      <w:bookmarkStart w:id="376" w:name="HDR21"/>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77" w:name="GLHDR21"/>
        <w:bookmarkEnd w:id="3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Other Property Interests and Investments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Place 57, Manhattan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own a 25% membership interest in the limited liability company that has developed the site of our former Sutton Cinema on 57th Street just east of 3rd Avenue in Manhattan, as a 143,000 square foot residential condominium tower, with a ground floor retail unit and a resident manager’s apartment.  The project is now sold out as the remaining commercial unit was sold in February 2009 for approximately $3.8 million.  At December 31, 2009, all debt on the project had been repaid, and we had received distributions totaling $12.8 million from this project, on an investment of $3.0 million made in 2004.</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Landplan Property Partners, Ltd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2006, we formed Landplan Property Partners, Ltd (“Reading Landplan”) to identify, acquire, develop, or redevelop properties on an opportunistic basis in Australia and New Zealand.  These properties are held in separate special purpose entities, which are collectively referred to as “Reading Landplan.”  The Chief Executive Officer of Reading Landplan has, as a part of his compensation arrangement, what is now a 15% incentive interest in each of the various special purpose entities.  That incentive interest is (i) subordinated to our right to receive an 11% compounded return on investment and (ii) calculated on a aggregate or pooled basis taking into account the performance of all of the properties held by these special purpose entities.  The properties held through Land plan currently consist of the holdings described above as being located at Indooroopilly, Taringa, Lake Taupo (including the adjacent undeveloped parcel), and Manukau.</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Non-operating Properties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own the fee interest in 25 parcels comprising 195 acres in Pennsylvania and Delaware.  These acres consist primarily of vacant land.  We believe the value of these properties to be immaterial to our asset base, and while they are available for sale, we are not actively involved in the marketing of such properties.  With the exception of certain properties located in Philadelphia (including the raised railroad bed leading to the old Reading Railroad Station), the properties are principally located in rural areas of Pennsylvania and Delaware.  Additionally, we own a condominium in the Los Angeles, California area that is used for offsite corporate meetings and by our Chief Executive Officer when he is in town.  These properties are unencumbered with any debt and lien free.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8" w:name="PGBRK22"/>
      <w:bookmarkStart w:id="379" w:name="PGBRK22"/>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FTR22"/>
      <w:bookmarkStart w:id="381" w:name="FTR22"/>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2" w:name="GLFTR22"/>
      <w:bookmarkEnd w:id="3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3" w:name="PN22"/>
      <w:bookmarkEnd w:id="383"/>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4" w:name="HDR22"/>
      <w:bookmarkStart w:id="385" w:name="HDR22"/>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86" w:name="GLHDR22"/>
        <w:bookmarkEnd w:id="38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u w:val="single"/>
        </w:rPr>
      </w:pPr>
      <w:bookmarkStart w:id="387" w:name="item3"/>
      <w:bookmarkEnd w:id="387"/>
      <w:r>
        <w:rPr>
          <w:rFonts w:ascii="Times New Roman" w:hAnsi="Times New Roman"/>
          <w:b/>
          <w:sz w:val="20"/>
          <w:u w:val="single"/>
        </w:rPr>
        <w:t>Item 3 – Legal Proceedings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Tax Audit/Litigation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Internal Revenue Service (the “IRS”) completed its audits of the tax return of Reading Entertainment Inc. (“RDGE”) for its tax years ended December 31, 1996 through December 31, 1999 and the tax return of Craig Corporation (“CRG”) for its tax year ended June 30, 1997.  These companies are each now wholly owned subsidiaries of RDI, but for the time periods under audit, were not consolidated with RDI for tax purposes.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The Stater S tock was received by RDGE from CRG as a part of a private placement of securities by RDGE, which closed in October 1996.  A second issue involving an equipment-leasing transaction entered into by RDGE (discussed below) has been conceded by RDGE resulting in a net tax refund.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By letters dated November 9, 2001, the IRS issued reports of examination proposing changes to the tax returns of RDGE and CRG for the years in question (the “Examination Reports”).  The Examination Report for each of RDGE and CRG proposed that the gains on the disposition by RDGE of Stater Stock, reported as taxable on the RDGE return, should be allocated to CRG.  As reported, the gain resulted in no additional tax to RDGE inasmuch as the gain was entirely offset by a net operating loss carry forward of RDGE.  This proposed change would result in an additional tax liability for CRG of approximately $20.9 million plus interest of approximately $25.5 million as of December 31, 2009.  In addition, this proposal would result in California tax liability of approximately $5.4 million plus interest of approximately $7.3 million as of December 31, 2009.  Accordingly, this proposed change represented, as of December 31, 2009, an exposure of approximately $59.1 million.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Moreover, California has “amnesty” provisions imposing additional liability on taxpayers who are determined to have materially underreported their taxable income.  While these provisions have been criticized by a number of corporate taxpayers to the extent that they apply to tax liabilities that are being contested in good faith, no assurances can be given that these new provisions will be applied in a manner that would mitigate the impact on such taxpayers.  Accordingly, these provisions may cause an additional $4.0 million exposure to CRG, for a total exposure of approximately $63.1 million.  We have accrued $6.1 million in accordance with the cumulative probability approach prescribed in Financial Accounting Standards Board (“FASB”) Accounting Standards Codification (“ASC&amp; #8221;) 740-10-25 – </w:t>
      </w:r>
      <w:r>
        <w:rPr>
          <w:rFonts w:ascii="Times New Roman" w:hAnsi="Times New Roman"/>
          <w:i/>
          <w:sz w:val="20"/>
        </w:rPr>
        <w:t>Income Taxes</w:t>
      </w:r>
      <w:r>
        <w:rPr>
          <w:rFonts w:ascii="Times New Roman" w:hAnsi="Times New Roman"/>
          <w:sz w:val="20"/>
        </w:rPr>
        <w:t xml:space="preserve"> in relation to this exposure and believe that the possible total settlement amount will be between $6.1 million and $63.1 million.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early February 2005, we had a mediation conference with the IRS concerning this proposed change.  The mediation was conducted by two mediators, one of whom was selected by the taxpayer from the private sector and one of whom was an employee of the IRS.  In connection with this mediation, we and the IRS each prepared written submissions to the mediators setting forth our respective cases.  In its written submission, the IRS noted that it had offered to settle its claims against us at 30% of the proposed change, and reiterated this offer at the mediation.  This offer constituted, in effect, an offer to settle for a payment of $5.0 million federal tax, plus interest, for an aggregate settlement amount of approximately $8.0 million.  Based on advice of counsel given after reviewing the materials submitted by the IRS to the mediation panel, and the oral presentation made by the IRS to the mediation panel and the comments of the mediators (including the IRS mediator), we determined not to accept this offer.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Notices of deficiency (“N/D”) dated June 29, 2006 were received with respect to each of  RDGE and CRG determining proposed deficiencies of $20.9 million for CRG and a total of $349,000 for RDGE for the tax years 1997, 1998 and 1999.</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intend to litigate aggressively the Stater matter in the U.S. Tax Court.  A case was filed with the court on September 26, 2006 for each respective N/D.  While there are always risks in litigation, we believe that a settlement at the level currently offered by the IRS would substantially understate the strength of our position and the likelihood that we would prevail in a trial of these matters.  We have filed a motion for summary judgment in the matter.  The trial previously scheduled for March 2010 has been postponed, pending the outcome of our summary judgment motion, and as of this date, no new trial date has been fixed.  It is assumed, however, that if our summary judgment motion is not granted, the case will go to trial in midyear.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8" w:name="PGBRK23"/>
      <w:bookmarkStart w:id="389" w:name="PGBRK23"/>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0" w:name="FTR23"/>
      <w:bookmarkStart w:id="391" w:name="FTR23"/>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2" w:name="GLFTR23"/>
      <w:bookmarkEnd w:id="3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3" w:name="PN23"/>
      <w:bookmarkEnd w:id="393"/>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4" w:name="HDR23"/>
      <w:bookmarkStart w:id="395" w:name="HDR23"/>
      <w:bookmarkEnd w:id="3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96" w:name="GLHDR23"/>
        <w:bookmarkEnd w:id="39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these tax liabilities relate to time periods prior to the Consolidation of CDL, RDGE, and CRG into Reading International, Inc. and since RDGE and CRG continue to exist as wholly owned subsidiaries of RDI, it is expected that any adverse determination would be limited in recourse to the assets of RDGE or CRG, as the case may be, and not to the general assets of RDI.  At the present time, the assets of these subsidiaries are comprised principally of RDI securities.  Accordingly, we do not anticipate, even if there were to be an adverse judgment in favor of the IRS that the satisfaction of that judgment would interfere with the internal operation or result in any levy upon or loss of any of our material operating assets.  However, the satisfaction of any such adverse judgment would result in a material dilution to existing stockholder interests.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N/D issued to RDGE was conceded by RDGE in August 2008.  The net result related to the equipment leasing transaction entered into by RDGE is expected to be a refund of approximately $750,000 in federal alternative minimum tax for the year 1996, offset by a payment of approximately $600,000 in  federal and state income taxes, for the years 1997-99, plus interest.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Environmental and Asbestos Claims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 ironmental laws is material in amount.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in the process of remediating certain environmental issues with respect to our 50-acre Burwood site in Melbourne.  That property was at one time used as a brickworks and we have discovered petroleum and asbestos at the site.  During 2007, we developed a plan for the remediation of these materials, in some cases through removal and in other cases through encapsulation.  As of December 31, 2009, we estimate that the total site preparation costs associated with the removal of this contaminated soil will be $8.6 million (AUS$9.6 million) and as of that date we had incurred a total of $6.6 million (AUS$7.4 million) of these costs.  We do not believe that this has added materially to the overall development cost of the site, as much of the work is being done in connection with the excavation an d other development activity already contemplated for the property.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Whitehorse Center Litigation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97" w:name="TAB186"/>
      <w:bookmarkEnd w:id="397"/>
      <w:r>
        <w:rPr>
          <w:rFonts w:ascii="Times New Roman" w:hAnsi="Times New Roman"/>
          <w:sz w:val="20"/>
        </w:rPr>
        <w:t>On October 30, 2000, we commenced litigation in the Supreme Court of Victoria at Melbourne, Commercial and Equity Division, against our joint venture partner and the controlling stockholders of our joint venture partner in the Whitehorse Shopping Center.  That action is entitled Reading Entertainment Australia Pty, Ltd vs. Burstone Victoria Pty, Ltd and May Way Khor and David Frederick Burr, and was brought to collect on a promissory note (the “K/B Promissory Note”) evidencing a loan that we made to Ms. Khor and Mr. Burr and that was guaranteed by Burstone Victoria Pty, Ltd (“Burstone” and collectively with Ms. Khor and Mr. Burr, the “Burstone Parties”).  The Burstone Parties asserted in defense certain set-offs and counterclaims, a lleging, in essence, that we had breached our alleged obligations to proceed with the development of the Whitehorse Shopping Center, causing the Burstone Parties damages.  On May 10, 2005, a mixed judgment was entered by the trial court.  Appeal rights have been exhausted and the net result of that judgment has been the payment to us by the defendants during the 2008 first quarter of $830,000 (AUS$901,000) and $314,000 (AUS$333,000) during the 2008 second quarter that are included in other income.  Additionally, this net result requires us to be responsible to reimburse the Burstone Parties for 60% of their out-of-pocket legal fees.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8" w:name="PGBRK24"/>
      <w:bookmarkStart w:id="399" w:name="PGBRK24"/>
      <w:bookmarkEnd w:id="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0" w:name="FTR24"/>
      <w:bookmarkStart w:id="401" w:name="FTR24"/>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2" w:name="GLFTR24"/>
      <w:bookmarkEnd w:id="4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3" w:name="PN24"/>
      <w:bookmarkEnd w:id="403"/>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4" w:name="HDR24"/>
      <w:bookmarkStart w:id="405" w:name="HDR24"/>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06" w:name="GLHDR24"/>
        <w:bookmarkEnd w:id="40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Mackie Litigation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07" w:name="TAB187"/>
      <w:bookmarkEnd w:id="407"/>
      <w:r>
        <w:rPr>
          <w:rFonts w:ascii="Times New Roman" w:hAnsi="Times New Roman"/>
          <w:sz w:val="20"/>
        </w:rPr>
        <w:t>On November 7, 2005, we were sued in the Supreme Court of Victoria at Melbourne by a former construction contractor with respect to the discontinued development of an ETRC at Frankston, Victoria.  The action is entitled Mackie Group Pty Ltd v. Reading Properties Pty Ltd, and in it the former contractor seeks payment of a claimed fee in the amount of $898,000 (AUS$1.0 million).  We do not believe that any such fee is owed, and are contesting the claim.  Discovery has now been completed by both parties.  We have offered in settlement an amount of $781,000 (AUS$870,000) and they have countered with an amount of $1.1 million (AUS$1.2 million).  In relation to this claim, we have accrued a litigation related loss of $781,000 (AUS$870,000) at D ecember 31, 2009.</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08" w:name="TAB188"/>
      <w:bookmarkEnd w:id="408"/>
      <w:r>
        <w:rPr>
          <w:rFonts w:ascii="Times New Roman" w:hAnsi="Times New Roman"/>
          <w:sz w:val="20"/>
        </w:rPr>
        <w:t>In a hearing conducted on November 22 and 29, 2006, we successfully defended an application for summary judgment brought by Mackie and were awarded costs for part of the preparation of our defense to the application.  A bill of costs has been prepared by a cost consultant in the sum of $20,000 (AUS$25,000) (including disbursements).  On April 27, 2007, we received payment for those costs in the sum of $17,000 (AUS$19,000).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Attempts to mediate the dispute have not been successful.  The trial date on this matter is set for March 17, 2010.  We believe that we have adequate support for our position and that a reserve for these claims is not required as the likelihood of an unfavorable outcome is not probable and reasonably capable of being estimated.</w:t>
      </w:r>
    </w:p>
    <w:p>
      <w:pPr>
        <w:pStyle w:val="TextBody"/>
        <w:spacing w:before="0" w:after="0"/>
        <w:ind w:left="0" w:right="0" w:firstLine="720"/>
        <w:jc w:val="both"/>
        <w:rPr/>
      </w:pPr>
      <w:r>
        <w:rPr/>
        <w:t> </w:t>
      </w:r>
      <w:r>
        <w:rPr/>
        <w:b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Malulani Investments Litigation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09" w:name="TAB189"/>
      <w:bookmarkEnd w:id="409"/>
      <w:r>
        <w:rPr>
          <w:rFonts w:ascii="Times New Roman" w:hAnsi="Times New Roman"/>
          <w:sz w:val="20"/>
        </w:rPr>
        <w:t xml:space="preserve">In December 2006, we and Magoon Acquisition and Development, LLC, another noncontrolling shareholder in Malulani Investments, Limited (“MIL”) commenced a lawsuit against certain officers and directors of MIL alleging various direct and derivative claims for breach of fiduciary duty and waste and seeking, among other things, access to various company books and records.  As certain of these claims were brought derivatively, MIL was also named as a defendant in that litigation.  That case was brought in the Circuit Court of the First Circuit Hawaii, in Honolulu, and is called </w:t>
      </w:r>
      <w:r>
        <w:rPr>
          <w:rFonts w:ascii="Times New Roman" w:hAnsi="Times New Roman"/>
          <w:i/>
          <w:sz w:val="20"/>
        </w:rPr>
        <w:t>Magoon Acquisition &amp; Development, LLC; a California limited liability company, Reading International, Inc.; a Nevada corporation, an d James J. Cotter vs. Malulani Investments, Limited, a Hawaii Corporation, Easton T. Mason; John R. Dwyer, Jr.; Philip Gray; Kenwei Chong (Civil No. 06-1-2156-12 (GWBC)</w:t>
      </w:r>
      <w:r>
        <w:rPr>
          <w:rFonts w:ascii="Times New Roman" w:hAnsi="Times New Roman"/>
          <w:sz w:val="20"/>
        </w:rPr>
        <w: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10" w:name="TAB190"/>
      <w:bookmarkEnd w:id="410"/>
      <w:r>
        <w:rPr>
          <w:rFonts w:ascii="Times New Roman" w:hAnsi="Times New Roman"/>
          <w:sz w:val="20"/>
        </w:rPr>
        <w:t>On July 2, 2009, Magoon LLC and we entered into a settlement agreement (the “Settlement Terms”) with respect to the MIL Litigation.  Under the Settlement Terms, Magoon LLC and we received $2.5 million in cash, a $6.75 million three-year 6.25% secured promissory note issued by The Malulani Group (“TMG”), the parent company of MIL, and a ten-year “tail interest” in MIL and TMG in exchange for the transfer of all ownership interests in MIL and TMG held by both Magoon, LLC and RDI and for the release of all claims against the defendants in this matter.  The tail interest allows us to participate in certain distributions made by MIL or TMG, and in certain cases, the distributions received by shareholders of MIL or TMG.  The tai l interest, however, continues only for a period of ten years and we cannot assure that we will in fact receive any distributions from this tail interest.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11" w:name="TAB191"/>
      <w:bookmarkEnd w:id="411"/>
      <w:r>
        <w:rPr>
          <w:rFonts w:ascii="Times New Roman" w:hAnsi="Times New Roman"/>
          <w:sz w:val="20"/>
        </w:rPr>
        <w:t>Pursuant to the Settlement Terms, we transferred all of our interests in MIL to TMG and Magoon LLC transferred all of its interest in MIL and TMG to TMG, and there was a mutual release of claims.  Mr. Cotter, our Chairman, Chief Executive Officer and principal shareholder and a director of MIL, simultaneously settled his related claims for mutual general releases and resigned from the Board of Directors of MIL.</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12" w:name="TAB192"/>
      <w:bookmarkEnd w:id="412"/>
      <w:r>
        <w:rPr>
          <w:rFonts w:ascii="Times New Roman" w:hAnsi="Times New Roman"/>
          <w:sz w:val="20"/>
        </w:rPr>
        <w:t>Under the terms of our Amended and Restated Shareholder Agreement with Magoon LLC, we are entitled to receive, on a priority basis, 100% of any proceeds from any disposition of the shares in MIL and TMG held by us or Magoon LLC until we (Reading) have recouped substantially all of our litigation costs and the cost of our investment in MIL.  Accordingly, we were entitled to all of the cash proceeds of the settlement, plus all distribution with respect to the promissory note until we have recouped both our litigation costs and the cost of our investment.  Thereafter, Magoon LLC will receive some distributions under the promissory note and the tail interest (if any) until it has recouped its investment in MIL and TMG.  Thereafter, any distributions under the ta il interest, if any, we will share with Magoon LLC in accordance with the sharing formula set forth in the Amended and Restated Shareholder Agreement between ourselves and Magoon LLC.</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3" w:name="PGBRK25"/>
      <w:bookmarkStart w:id="414" w:name="PGBRK25"/>
      <w:bookmarkEnd w:id="4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5" w:name="FTR25"/>
      <w:bookmarkStart w:id="416" w:name="FTR25"/>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17" w:name="GLFTR25"/>
      <w:bookmarkEnd w:id="4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8" w:name="PN25"/>
      <w:bookmarkEnd w:id="418"/>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9" w:name="HDR25"/>
      <w:bookmarkStart w:id="420" w:name="HDR25"/>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21" w:name="GLHDR25"/>
        <w:bookmarkEnd w:id="42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bookmarkStart w:id="422" w:name="item4"/>
      <w:bookmarkEnd w:id="422"/>
      <w:r>
        <w:rPr>
          <w:rFonts w:ascii="Times New Roman" w:hAnsi="Times New Roman"/>
          <w:b/>
          <w:sz w:val="20"/>
          <w:u w:val="single"/>
        </w:rPr>
        <w:t>Item 4 – [Reserved.]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3" w:name="PGBRK26"/>
      <w:bookmarkStart w:id="424" w:name="PGBRK26"/>
      <w:bookmarkEnd w:id="4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5" w:name="FTR26"/>
      <w:bookmarkStart w:id="426" w:name="FTR26"/>
      <w:bookmarkEnd w:id="4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27" w:name="GLFTR26"/>
      <w:bookmarkEnd w:id="4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8" w:name="PN26"/>
      <w:bookmarkEnd w:id="428"/>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9" w:name="HDR26"/>
      <w:bookmarkStart w:id="430" w:name="HDR26"/>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31" w:name="GLHDR26"/>
        <w:bookmarkEnd w:id="43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jc w:val="center"/>
        <w:rPr>
          <w:rFonts w:ascii="Times New Roman" w:hAnsi="Times New Roman"/>
          <w:b/>
          <w:sz w:val="20"/>
          <w:u w:val="single"/>
        </w:rPr>
      </w:pPr>
      <w:bookmarkStart w:id="432" w:name="part2"/>
      <w:bookmarkEnd w:id="432"/>
      <w:r>
        <w:rPr>
          <w:rFonts w:ascii="Times New Roman" w:hAnsi="Times New Roman"/>
          <w:b/>
          <w:sz w:val="20"/>
          <w:u w:val="single"/>
        </w:rPr>
        <w:t>PART II</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Item 5 – Market for Registrant’s Common Equity, Related Stockholder Matters and Issuer Purchases of Equity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           </w:t>
      </w:r>
      <w:r>
        <w:rPr>
          <w:rFonts w:ascii="Times New Roman" w:hAnsi="Times New Roman"/>
          <w:b/>
          <w:sz w:val="20"/>
          <w:u w:val="single"/>
        </w:rPr>
        <w:t>Market Price of and Dividends on the Registrant’s Common Equity and Related Stockholder Matters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Market Information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Reading International, Inc., a Nevada corporation (“RDI” and collectively with our consolidated subsidiaries and corporate predecessors, the “Company,” “Reading” and “we,” “us,” or “our”), was incorporated in 1999.  Historically, we have been listed on the AMEX and due to the 2008 purchase of the AMEX by the NYSE Alternext US, we were listed on that exchange at December 31, 2008.  During July 2009, we moved our listing from NYSE Alternext to NASDAQ.</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high and low closing prices of the RDI and RDIB common stock for each of the quarters in 2009 and 2008 as reported by NASDAQ:</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501"/>
        <w:gridCol w:w="2547"/>
        <w:gridCol w:w="107"/>
        <w:gridCol w:w="125"/>
        <w:gridCol w:w="955"/>
        <w:gridCol w:w="107"/>
        <w:gridCol w:w="107"/>
        <w:gridCol w:w="125"/>
        <w:gridCol w:w="926"/>
        <w:gridCol w:w="107"/>
        <w:gridCol w:w="107"/>
        <w:gridCol w:w="125"/>
        <w:gridCol w:w="955"/>
        <w:gridCol w:w="107"/>
        <w:gridCol w:w="106"/>
        <w:gridCol w:w="125"/>
        <w:gridCol w:w="955"/>
        <w:gridCol w:w="118"/>
      </w:tblGrid>
      <w:tr>
        <w:trPr/>
        <w:tc>
          <w:tcPr>
            <w:tcW w:w="2501" w:type="dxa"/>
            <w:tcBorders/>
            <w:shd w:fill="auto" w:val="clear"/>
            <w:vAlign w:val="bottom"/>
          </w:tcPr>
          <w:p>
            <w:pPr>
              <w:pStyle w:val="TableContents"/>
              <w:spacing w:before="0" w:after="283"/>
              <w:rPr/>
            </w:pPr>
            <w:r>
              <w:rPr/>
              <w:t xml:space="preserve">  </w:t>
            </w:r>
          </w:p>
        </w:tc>
        <w:tc>
          <w:tcPr>
            <w:tcW w:w="254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234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Stock</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237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 Stock</w:t>
            </w:r>
          </w:p>
        </w:tc>
        <w:tc>
          <w:tcPr>
            <w:tcW w:w="118" w:type="dxa"/>
            <w:tcBorders/>
            <w:shd w:fill="auto" w:val="clear"/>
            <w:vAlign w:val="bottom"/>
          </w:tcPr>
          <w:p>
            <w:pPr>
              <w:pStyle w:val="TableContents"/>
              <w:spacing w:before="0" w:after="283"/>
              <w:jc w:val="left"/>
              <w:rPr/>
            </w:pPr>
            <w:r>
              <w:rPr/>
              <w:t> </w:t>
            </w:r>
          </w:p>
        </w:tc>
      </w:tr>
      <w:tr>
        <w:trPr/>
        <w:tc>
          <w:tcPr>
            <w:tcW w:w="2501"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2547"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08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5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8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w:t>
            </w:r>
          </w:p>
        </w:tc>
        <w:tc>
          <w:tcPr>
            <w:tcW w:w="10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08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w:t>
            </w:r>
          </w:p>
        </w:tc>
        <w:tc>
          <w:tcPr>
            <w:tcW w:w="118" w:type="dxa"/>
            <w:tcBorders/>
            <w:shd w:fill="auto" w:val="clear"/>
            <w:vAlign w:val="bottom"/>
          </w:tcPr>
          <w:p>
            <w:pPr>
              <w:pStyle w:val="TableContents"/>
              <w:spacing w:before="0" w:after="283"/>
              <w:jc w:val="left"/>
              <w:rPr/>
            </w:pPr>
            <w:r>
              <w:rPr/>
              <w:t> </w:t>
            </w:r>
          </w:p>
        </w:tc>
      </w:tr>
      <w:tr>
        <w:trPr/>
        <w:tc>
          <w:tcPr>
            <w:tcW w:w="2501" w:type="dxa"/>
            <w:tcBorders/>
            <w:shd w:fill="auto" w:val="clear"/>
            <w:vAlign w:val="bottom"/>
          </w:tcPr>
          <w:p>
            <w:pPr>
              <w:pStyle w:val="TableContents"/>
              <w:spacing w:before="0" w:after="283"/>
              <w:rPr/>
            </w:pPr>
            <w:r>
              <w:rPr/>
              <w:t xml:space="preserve">  </w:t>
            </w:r>
          </w:p>
        </w:tc>
        <w:tc>
          <w:tcPr>
            <w:tcW w:w="254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51"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2501" w:type="dxa"/>
            <w:tcBorders>
              <w:bottom w:val="single" w:sz="12"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25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Fourth Quarter</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33" w:name="TAB193"/>
            <w:bookmarkEnd w:id="433"/>
            <w:r>
              <w:rPr>
                <w:rFonts w:ascii="times new roman" w:hAnsi="times new roman"/>
                <w:sz w:val="20"/>
              </w:rPr>
              <w:t>4.60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shd w:fill="CCEEFF" w:val="clear"/>
            <w:vAlign w:val="bottom"/>
          </w:tcPr>
          <w:p>
            <w:pPr>
              <w:pStyle w:val="TableContents"/>
              <w:spacing w:before="0" w:after="283"/>
              <w:ind w:left="72" w:right="0" w:hanging="0"/>
              <w:jc w:val="right"/>
              <w:rPr>
                <w:rFonts w:ascii="times new roman" w:hAnsi="times new roman"/>
                <w:sz w:val="20"/>
              </w:rPr>
            </w:pPr>
            <w:bookmarkStart w:id="434" w:name="TAB194"/>
            <w:bookmarkEnd w:id="434"/>
            <w:r>
              <w:rPr>
                <w:rFonts w:ascii="times new roman" w:hAnsi="times new roman"/>
                <w:sz w:val="20"/>
              </w:rPr>
              <w:t>3.80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35" w:name="TAB195"/>
            <w:bookmarkEnd w:id="435"/>
            <w:r>
              <w:rPr>
                <w:rFonts w:ascii="times new roman" w:hAnsi="times new roman"/>
                <w:sz w:val="20"/>
              </w:rPr>
              <w:t>9.50</w:t>
            </w:r>
          </w:p>
        </w:tc>
        <w:tc>
          <w:tcPr>
            <w:tcW w:w="1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36" w:name="TAB196"/>
            <w:bookmarkEnd w:id="436"/>
            <w:r>
              <w:rPr>
                <w:rFonts w:ascii="times new roman" w:hAnsi="times new roman"/>
                <w:sz w:val="20"/>
              </w:rPr>
              <w:t>5.00</w:t>
            </w:r>
          </w:p>
        </w:tc>
        <w:tc>
          <w:tcPr>
            <w:tcW w:w="118" w:type="dxa"/>
            <w:tcBorders/>
            <w:shd w:fill="CCEEFF" w:val="clear"/>
            <w:vAlign w:val="bottom"/>
          </w:tcPr>
          <w:p>
            <w:pPr>
              <w:pStyle w:val="TableContents"/>
              <w:spacing w:before="0" w:after="283"/>
              <w:jc w:val="left"/>
              <w:rPr/>
            </w:pPr>
            <w:r>
              <w:rPr/>
              <w:t> </w:t>
            </w:r>
          </w:p>
        </w:tc>
      </w:tr>
      <w:tr>
        <w:trPr/>
        <w:tc>
          <w:tcPr>
            <w:tcW w:w="2501" w:type="dxa"/>
            <w:tcBorders/>
            <w:shd w:fill="FFFFFF" w:val="clear"/>
            <w:vAlign w:val="bottom"/>
          </w:tcPr>
          <w:p>
            <w:pPr>
              <w:pStyle w:val="TableContents"/>
              <w:spacing w:before="0" w:after="283"/>
              <w:rPr/>
            </w:pPr>
            <w:r>
              <w:rPr/>
              <w:t xml:space="preserve">  </w:t>
            </w:r>
          </w:p>
        </w:tc>
        <w:tc>
          <w:tcPr>
            <w:tcW w:w="25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Third Quarter</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37" w:name="TAB197"/>
            <w:bookmarkEnd w:id="437"/>
            <w:r>
              <w:rPr>
                <w:rFonts w:ascii="times new roman" w:hAnsi="times new roman"/>
                <w:sz w:val="20"/>
              </w:rPr>
              <w:t>4.69</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shd w:fill="FFFFFF" w:val="clear"/>
            <w:vAlign w:val="bottom"/>
          </w:tcPr>
          <w:p>
            <w:pPr>
              <w:pStyle w:val="TableContents"/>
              <w:spacing w:before="0" w:after="283"/>
              <w:ind w:left="72" w:right="0" w:hanging="0"/>
              <w:jc w:val="right"/>
              <w:rPr>
                <w:rFonts w:ascii="times new roman" w:hAnsi="times new roman"/>
                <w:sz w:val="20"/>
              </w:rPr>
            </w:pPr>
            <w:bookmarkStart w:id="438" w:name="TAB198"/>
            <w:bookmarkEnd w:id="438"/>
            <w:r>
              <w:rPr>
                <w:rFonts w:ascii="times new roman" w:hAnsi="times new roman"/>
                <w:sz w:val="20"/>
              </w:rPr>
              <w:t>3.70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39" w:name="TAB199"/>
            <w:bookmarkEnd w:id="439"/>
            <w:r>
              <w:rPr>
                <w:rFonts w:ascii="times new roman" w:hAnsi="times new roman"/>
                <w:sz w:val="20"/>
              </w:rPr>
              <w:t>7.78</w:t>
            </w:r>
          </w:p>
        </w:tc>
        <w:tc>
          <w:tcPr>
            <w:tcW w:w="107"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40" w:name="TAB1100"/>
            <w:bookmarkEnd w:id="440"/>
            <w:r>
              <w:rPr>
                <w:rFonts w:ascii="times new roman" w:hAnsi="times new roman"/>
                <w:sz w:val="20"/>
              </w:rPr>
              <w:t>5.14</w:t>
            </w:r>
          </w:p>
        </w:tc>
        <w:tc>
          <w:tcPr>
            <w:tcW w:w="118" w:type="dxa"/>
            <w:tcBorders/>
            <w:shd w:fill="FFFFFF" w:val="clear"/>
            <w:vAlign w:val="bottom"/>
          </w:tcPr>
          <w:p>
            <w:pPr>
              <w:pStyle w:val="TableContents"/>
              <w:spacing w:before="0" w:after="283"/>
              <w:jc w:val="left"/>
              <w:rPr/>
            </w:pPr>
            <w:r>
              <w:rPr/>
              <w:t> </w:t>
            </w:r>
          </w:p>
        </w:tc>
      </w:tr>
      <w:tr>
        <w:trPr/>
        <w:tc>
          <w:tcPr>
            <w:tcW w:w="2501" w:type="dxa"/>
            <w:tcBorders/>
            <w:shd w:fill="CCEEFF" w:val="clear"/>
            <w:vAlign w:val="bottom"/>
          </w:tcPr>
          <w:p>
            <w:pPr>
              <w:pStyle w:val="TableContents"/>
              <w:spacing w:before="0" w:after="283"/>
              <w:rPr/>
            </w:pPr>
            <w:r>
              <w:rPr/>
              <w:t xml:space="preserve">  </w:t>
            </w:r>
          </w:p>
        </w:tc>
        <w:tc>
          <w:tcPr>
            <w:tcW w:w="25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Second Quarter</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41" w:name="TAB1101"/>
            <w:bookmarkEnd w:id="441"/>
            <w:r>
              <w:rPr>
                <w:rFonts w:ascii="times new roman" w:hAnsi="times new roman"/>
                <w:sz w:val="20"/>
              </w:rPr>
              <w:t>4.96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shd w:fill="CCEEFF" w:val="clear"/>
            <w:vAlign w:val="bottom"/>
          </w:tcPr>
          <w:p>
            <w:pPr>
              <w:pStyle w:val="TableContents"/>
              <w:spacing w:before="0" w:after="283"/>
              <w:ind w:left="72" w:right="0" w:hanging="0"/>
              <w:jc w:val="right"/>
              <w:rPr>
                <w:rFonts w:ascii="times new roman" w:hAnsi="times new roman"/>
                <w:sz w:val="20"/>
              </w:rPr>
            </w:pPr>
            <w:bookmarkStart w:id="442" w:name="TAB1102"/>
            <w:bookmarkEnd w:id="442"/>
            <w:r>
              <w:rPr>
                <w:rFonts w:ascii="times new roman" w:hAnsi="times new roman"/>
                <w:sz w:val="20"/>
              </w:rPr>
              <w:t>3.25</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43" w:name="TAB1103"/>
            <w:bookmarkEnd w:id="443"/>
            <w:r>
              <w:rPr>
                <w:rFonts w:ascii="times new roman" w:hAnsi="times new roman"/>
                <w:sz w:val="20"/>
              </w:rPr>
              <w:t>7.00</w:t>
            </w:r>
          </w:p>
        </w:tc>
        <w:tc>
          <w:tcPr>
            <w:tcW w:w="1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44" w:name="TAB1104"/>
            <w:bookmarkEnd w:id="444"/>
            <w:r>
              <w:rPr>
                <w:rFonts w:ascii="times new roman" w:hAnsi="times new roman"/>
                <w:sz w:val="20"/>
              </w:rPr>
              <w:t>4.06</w:t>
            </w:r>
          </w:p>
        </w:tc>
        <w:tc>
          <w:tcPr>
            <w:tcW w:w="118" w:type="dxa"/>
            <w:tcBorders/>
            <w:shd w:fill="CCEEFF" w:val="clear"/>
            <w:vAlign w:val="bottom"/>
          </w:tcPr>
          <w:p>
            <w:pPr>
              <w:pStyle w:val="TableContents"/>
              <w:spacing w:before="0" w:after="283"/>
              <w:jc w:val="left"/>
              <w:rPr/>
            </w:pPr>
            <w:r>
              <w:rPr/>
              <w:t> </w:t>
            </w:r>
          </w:p>
        </w:tc>
      </w:tr>
      <w:tr>
        <w:trPr/>
        <w:tc>
          <w:tcPr>
            <w:tcW w:w="2501" w:type="dxa"/>
            <w:tcBorders/>
            <w:shd w:fill="FFFFFF" w:val="clear"/>
            <w:vAlign w:val="bottom"/>
          </w:tcPr>
          <w:p>
            <w:pPr>
              <w:pStyle w:val="TableContents"/>
              <w:spacing w:before="0" w:after="283"/>
              <w:rPr/>
            </w:pPr>
            <w:r>
              <w:rPr/>
              <w:t xml:space="preserve">  </w:t>
            </w:r>
          </w:p>
        </w:tc>
        <w:tc>
          <w:tcPr>
            <w:tcW w:w="25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First Quarter</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45" w:name="TAB1105"/>
            <w:bookmarkEnd w:id="445"/>
            <w:r>
              <w:rPr>
                <w:rFonts w:ascii="times new roman" w:hAnsi="times new roman"/>
                <w:sz w:val="20"/>
              </w:rPr>
              <w:t>4.00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shd w:fill="FFFFFF" w:val="clear"/>
            <w:vAlign w:val="bottom"/>
          </w:tcPr>
          <w:p>
            <w:pPr>
              <w:pStyle w:val="TableContents"/>
              <w:spacing w:before="0" w:after="283"/>
              <w:ind w:left="72" w:right="0" w:hanging="0"/>
              <w:jc w:val="right"/>
              <w:rPr>
                <w:rFonts w:ascii="times new roman" w:hAnsi="times new roman"/>
                <w:sz w:val="20"/>
              </w:rPr>
            </w:pPr>
            <w:bookmarkStart w:id="446" w:name="TAB1106"/>
            <w:bookmarkEnd w:id="446"/>
            <w:r>
              <w:rPr>
                <w:rFonts w:ascii="times new roman" w:hAnsi="times new roman"/>
                <w:sz w:val="20"/>
              </w:rPr>
              <w:t>2.90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47" w:name="TAB1107"/>
            <w:bookmarkEnd w:id="447"/>
            <w:r>
              <w:rPr>
                <w:rFonts w:ascii="times new roman" w:hAnsi="times new roman"/>
                <w:sz w:val="20"/>
              </w:rPr>
              <w:t>4.25</w:t>
            </w:r>
          </w:p>
        </w:tc>
        <w:tc>
          <w:tcPr>
            <w:tcW w:w="107"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48" w:name="TAB1108"/>
            <w:bookmarkEnd w:id="448"/>
            <w:r>
              <w:rPr>
                <w:rFonts w:ascii="times new roman" w:hAnsi="times new roman"/>
                <w:sz w:val="20"/>
              </w:rPr>
              <w:t>3.52</w:t>
            </w:r>
          </w:p>
        </w:tc>
        <w:tc>
          <w:tcPr>
            <w:tcW w:w="118" w:type="dxa"/>
            <w:tcBorders/>
            <w:shd w:fill="FFFFFF" w:val="clear"/>
            <w:vAlign w:val="bottom"/>
          </w:tcPr>
          <w:p>
            <w:pPr>
              <w:pStyle w:val="TableContents"/>
              <w:spacing w:before="0" w:after="283"/>
              <w:jc w:val="left"/>
              <w:rPr/>
            </w:pPr>
            <w:r>
              <w:rPr/>
              <w:t> </w:t>
            </w:r>
          </w:p>
        </w:tc>
      </w:tr>
      <w:tr>
        <w:trPr/>
        <w:tc>
          <w:tcPr>
            <w:tcW w:w="2501" w:type="dxa"/>
            <w:tcBorders/>
            <w:shd w:fill="CCEEFF" w:val="clear"/>
            <w:vAlign w:val="bottom"/>
          </w:tcPr>
          <w:p>
            <w:pPr>
              <w:pStyle w:val="TableContents"/>
              <w:spacing w:before="0" w:after="283"/>
              <w:rPr/>
            </w:pPr>
            <w:r>
              <w:rPr/>
              <w:t xml:space="preserve">  </w:t>
            </w:r>
          </w:p>
        </w:tc>
        <w:tc>
          <w:tcPr>
            <w:tcW w:w="2547"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2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2501" w:type="dxa"/>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25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Fourth Quarter</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49" w:name="TAB1109"/>
            <w:bookmarkEnd w:id="449"/>
            <w:r>
              <w:rPr>
                <w:rFonts w:ascii="times new roman" w:hAnsi="times new roman"/>
                <w:sz w:val="20"/>
              </w:rPr>
              <w:t>6.90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shd w:fill="FFFFFF" w:val="clear"/>
            <w:vAlign w:val="bottom"/>
          </w:tcPr>
          <w:p>
            <w:pPr>
              <w:pStyle w:val="TableContents"/>
              <w:spacing w:before="0" w:after="283"/>
              <w:ind w:left="72" w:right="0" w:hanging="0"/>
              <w:jc w:val="right"/>
              <w:rPr>
                <w:rFonts w:ascii="times new roman" w:hAnsi="times new roman"/>
                <w:sz w:val="20"/>
              </w:rPr>
            </w:pPr>
            <w:bookmarkStart w:id="450" w:name="TAB1110"/>
            <w:bookmarkEnd w:id="450"/>
            <w:r>
              <w:rPr>
                <w:rFonts w:ascii="times new roman" w:hAnsi="times new roman"/>
                <w:sz w:val="20"/>
              </w:rPr>
              <w:t>3.70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51" w:name="TAB1111"/>
            <w:bookmarkEnd w:id="451"/>
            <w:r>
              <w:rPr>
                <w:rFonts w:ascii="times new roman" w:hAnsi="times new roman"/>
                <w:sz w:val="20"/>
              </w:rPr>
              <w:t>8.00</w:t>
            </w:r>
          </w:p>
        </w:tc>
        <w:tc>
          <w:tcPr>
            <w:tcW w:w="107"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52" w:name="TAB1112"/>
            <w:bookmarkEnd w:id="452"/>
            <w:r>
              <w:rPr>
                <w:rFonts w:ascii="times new roman" w:hAnsi="times new roman"/>
                <w:sz w:val="20"/>
              </w:rPr>
              <w:t>3.90</w:t>
            </w:r>
          </w:p>
        </w:tc>
        <w:tc>
          <w:tcPr>
            <w:tcW w:w="118" w:type="dxa"/>
            <w:tcBorders/>
            <w:shd w:fill="FFFFFF" w:val="clear"/>
            <w:vAlign w:val="bottom"/>
          </w:tcPr>
          <w:p>
            <w:pPr>
              <w:pStyle w:val="TableContents"/>
              <w:spacing w:before="0" w:after="283"/>
              <w:jc w:val="left"/>
              <w:rPr/>
            </w:pPr>
            <w:r>
              <w:rPr/>
              <w:t> </w:t>
            </w:r>
          </w:p>
        </w:tc>
      </w:tr>
      <w:tr>
        <w:trPr/>
        <w:tc>
          <w:tcPr>
            <w:tcW w:w="2501" w:type="dxa"/>
            <w:tcBorders/>
            <w:shd w:fill="CCEEFF" w:val="clear"/>
            <w:vAlign w:val="bottom"/>
          </w:tcPr>
          <w:p>
            <w:pPr>
              <w:pStyle w:val="TableContents"/>
              <w:spacing w:before="0" w:after="283"/>
              <w:rPr/>
            </w:pPr>
            <w:r>
              <w:rPr/>
              <w:t xml:space="preserve">  </w:t>
            </w:r>
          </w:p>
        </w:tc>
        <w:tc>
          <w:tcPr>
            <w:tcW w:w="25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Third Quarter</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53" w:name="TAB1113"/>
            <w:bookmarkEnd w:id="453"/>
            <w:r>
              <w:rPr>
                <w:rFonts w:ascii="times new roman" w:hAnsi="times new roman"/>
                <w:sz w:val="20"/>
              </w:rPr>
              <w:t>8.00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shd w:fill="CCEEFF" w:val="clear"/>
            <w:vAlign w:val="bottom"/>
          </w:tcPr>
          <w:p>
            <w:pPr>
              <w:pStyle w:val="TableContents"/>
              <w:spacing w:before="0" w:after="283"/>
              <w:ind w:left="72" w:right="0" w:hanging="0"/>
              <w:jc w:val="right"/>
              <w:rPr>
                <w:rFonts w:ascii="times new roman" w:hAnsi="times new roman"/>
                <w:sz w:val="20"/>
              </w:rPr>
            </w:pPr>
            <w:bookmarkStart w:id="454" w:name="TAB1114"/>
            <w:bookmarkEnd w:id="454"/>
            <w:r>
              <w:rPr>
                <w:rFonts w:ascii="times new roman" w:hAnsi="times new roman"/>
                <w:sz w:val="20"/>
              </w:rPr>
              <w:t>6.55</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55" w:name="TAB1115"/>
            <w:bookmarkEnd w:id="455"/>
            <w:r>
              <w:rPr>
                <w:rFonts w:ascii="times new roman" w:hAnsi="times new roman"/>
                <w:sz w:val="20"/>
              </w:rPr>
              <w:t>9.25</w:t>
            </w:r>
          </w:p>
        </w:tc>
        <w:tc>
          <w:tcPr>
            <w:tcW w:w="1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56" w:name="TAB1116"/>
            <w:bookmarkEnd w:id="456"/>
            <w:r>
              <w:rPr>
                <w:rFonts w:ascii="times new roman" w:hAnsi="times new roman"/>
                <w:sz w:val="20"/>
              </w:rPr>
              <w:t>7.90</w:t>
            </w:r>
          </w:p>
        </w:tc>
        <w:tc>
          <w:tcPr>
            <w:tcW w:w="118" w:type="dxa"/>
            <w:tcBorders/>
            <w:shd w:fill="CCEEFF" w:val="clear"/>
            <w:vAlign w:val="bottom"/>
          </w:tcPr>
          <w:p>
            <w:pPr>
              <w:pStyle w:val="TableContents"/>
              <w:spacing w:before="0" w:after="283"/>
              <w:jc w:val="left"/>
              <w:rPr/>
            </w:pPr>
            <w:r>
              <w:rPr/>
              <w:t> </w:t>
            </w:r>
          </w:p>
        </w:tc>
      </w:tr>
      <w:tr>
        <w:trPr/>
        <w:tc>
          <w:tcPr>
            <w:tcW w:w="2501" w:type="dxa"/>
            <w:tcBorders/>
            <w:shd w:fill="FFFFFF" w:val="clear"/>
            <w:vAlign w:val="bottom"/>
          </w:tcPr>
          <w:p>
            <w:pPr>
              <w:pStyle w:val="TableContents"/>
              <w:spacing w:before="0" w:after="283"/>
              <w:rPr/>
            </w:pPr>
            <w:r>
              <w:rPr/>
              <w:t xml:space="preserve">  </w:t>
            </w:r>
          </w:p>
        </w:tc>
        <w:tc>
          <w:tcPr>
            <w:tcW w:w="25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Second Quarter</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57" w:name="TAB1117"/>
            <w:bookmarkEnd w:id="457"/>
            <w:r>
              <w:rPr>
                <w:rFonts w:ascii="times new roman" w:hAnsi="times new roman"/>
                <w:sz w:val="20"/>
              </w:rPr>
              <w:t>9.70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shd w:fill="FFFFFF" w:val="clear"/>
            <w:vAlign w:val="bottom"/>
          </w:tcPr>
          <w:p>
            <w:pPr>
              <w:pStyle w:val="TableContents"/>
              <w:spacing w:before="0" w:after="283"/>
              <w:ind w:left="72" w:right="0" w:hanging="0"/>
              <w:jc w:val="right"/>
              <w:rPr>
                <w:rFonts w:ascii="times new roman" w:hAnsi="times new roman"/>
                <w:sz w:val="20"/>
              </w:rPr>
            </w:pPr>
            <w:bookmarkStart w:id="458" w:name="TAB1118"/>
            <w:bookmarkEnd w:id="458"/>
            <w:r>
              <w:rPr>
                <w:rFonts w:ascii="times new roman" w:hAnsi="times new roman"/>
                <w:sz w:val="20"/>
              </w:rPr>
              <w:t>7.75</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59" w:name="TAB1119"/>
            <w:bookmarkEnd w:id="459"/>
            <w:r>
              <w:rPr>
                <w:rFonts w:ascii="times new roman" w:hAnsi="times new roman"/>
                <w:sz w:val="20"/>
              </w:rPr>
              <w:t>10.50</w:t>
            </w:r>
          </w:p>
        </w:tc>
        <w:tc>
          <w:tcPr>
            <w:tcW w:w="107"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FFFFFF" w:val="clear"/>
            <w:vAlign w:val="bottom"/>
          </w:tcPr>
          <w:p>
            <w:pPr>
              <w:pStyle w:val="TableContents"/>
              <w:spacing w:before="0" w:after="283"/>
              <w:ind w:left="116" w:right="0" w:hanging="0"/>
              <w:jc w:val="right"/>
              <w:rPr>
                <w:rFonts w:ascii="times new roman" w:hAnsi="times new roman"/>
                <w:sz w:val="20"/>
              </w:rPr>
            </w:pPr>
            <w:bookmarkStart w:id="460" w:name="TAB1120"/>
            <w:bookmarkEnd w:id="460"/>
            <w:r>
              <w:rPr>
                <w:rFonts w:ascii="times new roman" w:hAnsi="times new roman"/>
                <w:sz w:val="20"/>
              </w:rPr>
              <w:t>9.25</w:t>
            </w:r>
          </w:p>
        </w:tc>
        <w:tc>
          <w:tcPr>
            <w:tcW w:w="118" w:type="dxa"/>
            <w:tcBorders/>
            <w:shd w:fill="FFFFFF" w:val="clear"/>
            <w:vAlign w:val="bottom"/>
          </w:tcPr>
          <w:p>
            <w:pPr>
              <w:pStyle w:val="TableContents"/>
              <w:spacing w:before="0" w:after="283"/>
              <w:jc w:val="left"/>
              <w:rPr/>
            </w:pPr>
            <w:r>
              <w:rPr/>
              <w:t> </w:t>
            </w:r>
          </w:p>
        </w:tc>
      </w:tr>
      <w:tr>
        <w:trPr/>
        <w:tc>
          <w:tcPr>
            <w:tcW w:w="2501" w:type="dxa"/>
            <w:tcBorders/>
            <w:shd w:fill="CCEEFF" w:val="clear"/>
            <w:vAlign w:val="bottom"/>
          </w:tcPr>
          <w:p>
            <w:pPr>
              <w:pStyle w:val="TableContents"/>
              <w:spacing w:before="0" w:after="283"/>
              <w:rPr/>
            </w:pPr>
            <w:r>
              <w:rPr/>
              <w:t xml:space="preserve">  </w:t>
            </w:r>
          </w:p>
        </w:tc>
        <w:tc>
          <w:tcPr>
            <w:tcW w:w="25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First Quarter</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61" w:name="TAB1121"/>
            <w:bookmarkEnd w:id="461"/>
            <w:r>
              <w:rPr>
                <w:rFonts w:ascii="times new roman" w:hAnsi="times new roman"/>
                <w:sz w:val="20"/>
              </w:rPr>
              <w:t>10.00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6" w:type="dxa"/>
            <w:tcBorders/>
            <w:shd w:fill="CCEEFF" w:val="clear"/>
            <w:vAlign w:val="bottom"/>
          </w:tcPr>
          <w:p>
            <w:pPr>
              <w:pStyle w:val="TableContents"/>
              <w:spacing w:before="0" w:after="283"/>
              <w:ind w:left="72" w:right="0" w:hanging="0"/>
              <w:jc w:val="right"/>
              <w:rPr>
                <w:rFonts w:ascii="times new roman" w:hAnsi="times new roman"/>
                <w:sz w:val="20"/>
              </w:rPr>
            </w:pPr>
            <w:bookmarkStart w:id="462" w:name="TAB1122"/>
            <w:bookmarkEnd w:id="462"/>
            <w:r>
              <w:rPr>
                <w:rFonts w:ascii="times new roman" w:hAnsi="times new roman"/>
                <w:sz w:val="20"/>
              </w:rPr>
              <w:t>9.34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63" w:name="TAB1123"/>
            <w:bookmarkEnd w:id="463"/>
            <w:r>
              <w:rPr>
                <w:rFonts w:ascii="times new roman" w:hAnsi="times new roman"/>
                <w:sz w:val="20"/>
              </w:rPr>
              <w:t>10.50</w:t>
            </w:r>
          </w:p>
        </w:tc>
        <w:tc>
          <w:tcPr>
            <w:tcW w:w="1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ind w:left="116" w:right="0" w:hanging="0"/>
              <w:jc w:val="right"/>
              <w:rPr>
                <w:rFonts w:ascii="times new roman" w:hAnsi="times new roman"/>
                <w:sz w:val="20"/>
              </w:rPr>
            </w:pPr>
            <w:bookmarkStart w:id="464" w:name="TAB1124"/>
            <w:bookmarkEnd w:id="464"/>
            <w:r>
              <w:rPr>
                <w:rFonts w:ascii="times new roman" w:hAnsi="times new roman"/>
                <w:sz w:val="20"/>
              </w:rPr>
              <w:t>10.00</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Holders of Record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number of holders of record of our Class A Stock and Class B Stock in 2009 was approximately 3,500 and 300, respectively.  On March 11, 2010, the closing price per share of our Class A Stock was $4.45, and the closing price per share of our Class B Stock was $8.55.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Dividends on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never declared a cash dividend on our common stock and we have no current plans to declare a dividend; however, we review this matter on an ongoing basis.</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(b)</w:t>
      </w:r>
      <w:bookmarkStart w:id="465" w:name="TAB212"/>
      <w:bookmarkEnd w:id="465"/>
      <w:r>
        <w:rPr>
          <w:color w:val="000000"/>
          <w:spacing w:val="180"/>
        </w:rPr>
        <w:t> </w:t>
      </w:r>
      <w:r>
        <w:rPr>
          <w:rFonts w:ascii="Times New Roman" w:hAnsi="Times New Roman"/>
          <w:b/>
          <w:sz w:val="20"/>
          <w:u w:val="single"/>
        </w:rPr>
        <w:t>Recent Sales of Unregistered Securities; Use of Proceeds from Registered Securities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(c)</w:t>
      </w:r>
      <w:bookmarkStart w:id="466" w:name="TAB213"/>
      <w:bookmarkEnd w:id="466"/>
      <w:r>
        <w:rPr>
          <w:color w:val="000000"/>
          <w:spacing w:val="180"/>
        </w:rPr>
        <w:t> </w:t>
      </w:r>
      <w:r>
        <w:rPr>
          <w:rFonts w:ascii="Times New Roman" w:hAnsi="Times New Roman"/>
          <w:b/>
          <w:sz w:val="20"/>
          <w:u w:val="single"/>
        </w:rPr>
        <w:t>Purchases of Equity Securities by the Issuer and Affiliated Purchasers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7" w:name="PGBRK27"/>
      <w:bookmarkStart w:id="468" w:name="PGBRK27"/>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 w:name="FTR27"/>
      <w:bookmarkStart w:id="470" w:name="FTR27"/>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71" w:name="GLFTR27"/>
      <w:bookmarkEnd w:id="4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2" w:name="PN27"/>
      <w:bookmarkEnd w:id="472"/>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3" w:name="HDR27"/>
      <w:bookmarkStart w:id="474" w:name="HDR27"/>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75" w:name="GLHDR27"/>
        <w:bookmarkEnd w:id="4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bookmarkStart w:id="476" w:name="item6"/>
      <w:bookmarkEnd w:id="476"/>
      <w:r>
        <w:rPr>
          <w:rFonts w:ascii="Times New Roman" w:hAnsi="Times New Roman"/>
          <w:b/>
          <w:sz w:val="20"/>
          <w:u w:val="single"/>
        </w:rPr>
        <w:t>Item 6 – Selected Financial Data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sets forth certain historical financial data regarding our Company.  This information is derived in part from, and should be read in conjunction with our consolidated financial statements included in Item 8 of this Annual Report on Form 10-K for the year ended December 31, 2009 (the “2009 Annual Report”), and the related notes to the consolidated financial statements (dollars in thousands, except per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18"/>
        <w:gridCol w:w="96"/>
        <w:gridCol w:w="125"/>
        <w:gridCol w:w="1049"/>
        <w:gridCol w:w="105"/>
        <w:gridCol w:w="96"/>
        <w:gridCol w:w="125"/>
        <w:gridCol w:w="1049"/>
        <w:gridCol w:w="105"/>
        <w:gridCol w:w="96"/>
        <w:gridCol w:w="125"/>
        <w:gridCol w:w="1049"/>
        <w:gridCol w:w="105"/>
        <w:gridCol w:w="95"/>
        <w:gridCol w:w="125"/>
        <w:gridCol w:w="1049"/>
        <w:gridCol w:w="105"/>
        <w:gridCol w:w="96"/>
        <w:gridCol w:w="125"/>
        <w:gridCol w:w="1049"/>
        <w:gridCol w:w="118"/>
      </w:tblGrid>
      <w:tr>
        <w:trPr/>
        <w:tc>
          <w:tcPr>
            <w:tcW w:w="3318"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6673"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or for the Year Ended December 31,</w:t>
            </w:r>
          </w:p>
        </w:tc>
        <w:tc>
          <w:tcPr>
            <w:tcW w:w="118" w:type="dxa"/>
            <w:tcBorders/>
            <w:shd w:fill="auto" w:val="clear"/>
            <w:vAlign w:val="bottom"/>
          </w:tcPr>
          <w:p>
            <w:pPr>
              <w:pStyle w:val="TableContents"/>
              <w:spacing w:before="0" w:after="283"/>
              <w:jc w:val="left"/>
              <w:rPr/>
            </w:pPr>
            <w:r>
              <w:rPr/>
              <w:t> </w:t>
            </w:r>
          </w:p>
        </w:tc>
      </w:tr>
      <w:tr>
        <w:trPr/>
        <w:tc>
          <w:tcPr>
            <w:tcW w:w="3318"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117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0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2006</w:t>
            </w:r>
          </w:p>
        </w:tc>
        <w:tc>
          <w:tcPr>
            <w:tcW w:w="10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2005</w:t>
            </w:r>
          </w:p>
        </w:tc>
        <w:tc>
          <w:tcPr>
            <w:tcW w:w="118" w:type="dxa"/>
            <w:tcBorders/>
            <w:shd w:fill="auto"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Revenue</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77" w:name="TAB1125"/>
            <w:bookmarkEnd w:id="477"/>
            <w:r>
              <w:rPr>
                <w:rFonts w:ascii="times new roman" w:hAnsi="times new roman"/>
                <w:sz w:val="20"/>
              </w:rPr>
              <w:t>217,014</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78" w:name="TAB1126"/>
            <w:bookmarkEnd w:id="478"/>
            <w:r>
              <w:rPr>
                <w:rFonts w:ascii="times new roman" w:hAnsi="times new roman"/>
                <w:sz w:val="20"/>
              </w:rPr>
              <w:t>197,054</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79" w:name="TAB1127"/>
            <w:bookmarkEnd w:id="479"/>
            <w:r>
              <w:rPr>
                <w:rFonts w:ascii="times new roman" w:hAnsi="times new roman"/>
                <w:sz w:val="20"/>
              </w:rPr>
              <w:t>119,235</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80" w:name="TAB1128"/>
            <w:bookmarkEnd w:id="480"/>
            <w:r>
              <w:rPr>
                <w:rFonts w:ascii="times new roman" w:hAnsi="times new roman"/>
                <w:sz w:val="20"/>
              </w:rPr>
              <w:t>106,125</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81" w:name="TAB1129"/>
            <w:bookmarkEnd w:id="481"/>
            <w:r>
              <w:rPr>
                <w:rFonts w:ascii="times new roman" w:hAnsi="times new roman"/>
                <w:sz w:val="20"/>
              </w:rPr>
              <w:t>98,105</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Operating income (loss)</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82" w:name="TAB1130"/>
            <w:bookmarkEnd w:id="482"/>
            <w:r>
              <w:rPr>
                <w:rFonts w:ascii="times new roman" w:hAnsi="times new roman"/>
                <w:sz w:val="20"/>
              </w:rPr>
              <w:t>13,922</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83" w:name="TAB1131"/>
            <w:bookmarkEnd w:id="483"/>
            <w:r>
              <w:rPr>
                <w:rFonts w:ascii="times new roman" w:hAnsi="times new roman"/>
                <w:sz w:val="20"/>
              </w:rPr>
              <w:t>(2,288</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84" w:name="TAB1132"/>
            <w:bookmarkEnd w:id="484"/>
            <w:r>
              <w:rPr>
                <w:rFonts w:ascii="times new roman" w:hAnsi="times new roman"/>
                <w:sz w:val="20"/>
              </w:rPr>
              <w:t>5,149</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85" w:name="TAB1133"/>
            <w:bookmarkEnd w:id="485"/>
            <w:r>
              <w:rPr>
                <w:rFonts w:ascii="times new roman" w:hAnsi="times new roman"/>
                <w:sz w:val="20"/>
              </w:rPr>
              <w:t>2,415</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86" w:name="TAB1134"/>
            <w:bookmarkEnd w:id="486"/>
            <w:r>
              <w:rPr>
                <w:rFonts w:ascii="times new roman" w:hAnsi="times new roman"/>
                <w:sz w:val="20"/>
              </w:rPr>
              <w:t>(6,372</w:t>
            </w:r>
          </w:p>
        </w:tc>
        <w:tc>
          <w:tcPr>
            <w:tcW w:w="1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18" w:type="dxa"/>
            <w:tcBorders/>
            <w:shd w:fill="CCEE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Gain from discontinued operations</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87" w:name="TAB1135"/>
            <w:bookmarkEnd w:id="487"/>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88" w:name="TAB1136"/>
            <w:bookmarkEnd w:id="488"/>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89" w:name="TAB1137"/>
            <w:bookmarkEnd w:id="489"/>
            <w:r>
              <w:rPr>
                <w:rFonts w:ascii="times new roman" w:hAnsi="times new roman"/>
                <w:sz w:val="20"/>
              </w:rPr>
              <w:t>1,912</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90" w:name="TAB1138"/>
            <w:bookmarkEnd w:id="490"/>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91" w:name="TAB1139"/>
            <w:bookmarkEnd w:id="491"/>
            <w:r>
              <w:rPr>
                <w:rFonts w:ascii="times new roman" w:hAnsi="times new roman"/>
                <w:sz w:val="20"/>
              </w:rPr>
              <w:t>12,231</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Net income (loss)</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92" w:name="TAB1140"/>
            <w:bookmarkEnd w:id="492"/>
            <w:r>
              <w:rPr>
                <w:rFonts w:ascii="times new roman" w:hAnsi="times new roman"/>
                <w:sz w:val="20"/>
              </w:rPr>
              <w:t>6,482</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93" w:name="TAB1141"/>
            <w:bookmarkEnd w:id="493"/>
            <w:r>
              <w:rPr>
                <w:rFonts w:ascii="times new roman" w:hAnsi="times new roman"/>
                <w:sz w:val="20"/>
              </w:rPr>
              <w:t>(16,189</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94" w:name="TAB1142"/>
            <w:bookmarkEnd w:id="494"/>
            <w:r>
              <w:rPr>
                <w:rFonts w:ascii="times new roman" w:hAnsi="times new roman"/>
                <w:sz w:val="20"/>
              </w:rPr>
              <w:t>(1,100</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95" w:name="TAB1143"/>
            <w:bookmarkEnd w:id="495"/>
            <w:r>
              <w:rPr>
                <w:rFonts w:ascii="times new roman" w:hAnsi="times new roman"/>
                <w:sz w:val="20"/>
              </w:rPr>
              <w:t>4,528</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496" w:name="TAB1144"/>
            <w:bookmarkEnd w:id="496"/>
            <w:r>
              <w:rPr>
                <w:rFonts w:ascii="times new roman" w:hAnsi="times new roman"/>
                <w:sz w:val="20"/>
              </w:rPr>
              <w:t>1,568</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income (loss) attributable to Reading International, Inc. shareholders</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97" w:name="TAB1145"/>
            <w:bookmarkEnd w:id="497"/>
            <w:r>
              <w:rPr>
                <w:rFonts w:ascii="times new roman" w:hAnsi="times new roman"/>
                <w:sz w:val="20"/>
              </w:rPr>
              <w:t>6,094</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98" w:name="TAB1146"/>
            <w:bookmarkEnd w:id="498"/>
            <w:r>
              <w:rPr>
                <w:rFonts w:ascii="times new roman" w:hAnsi="times new roman"/>
                <w:sz w:val="20"/>
              </w:rPr>
              <w:t>(16,809</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499" w:name="TAB1147"/>
            <w:bookmarkEnd w:id="499"/>
            <w:r>
              <w:rPr>
                <w:rFonts w:ascii="times new roman" w:hAnsi="times new roman"/>
                <w:sz w:val="20"/>
              </w:rPr>
              <w:t>(2,103</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00" w:name="TAB1148"/>
            <w:bookmarkEnd w:id="500"/>
            <w:r>
              <w:rPr>
                <w:rFonts w:ascii="times new roman" w:hAnsi="times new roman"/>
                <w:sz w:val="20"/>
              </w:rPr>
              <w:t>3,856</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01" w:name="TAB1149"/>
            <w:bookmarkEnd w:id="501"/>
            <w:r>
              <w:rPr>
                <w:rFonts w:ascii="times new roman" w:hAnsi="times new roman"/>
                <w:sz w:val="20"/>
              </w:rPr>
              <w:t>989</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Basic earnings (loss) per share – continuing operations</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02" w:name="TAB1150"/>
            <w:bookmarkEnd w:id="502"/>
            <w:r>
              <w:rPr>
                <w:rFonts w:ascii="times new roman" w:hAnsi="times new roman"/>
                <w:sz w:val="20"/>
              </w:rPr>
              <w:t>0.27</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03" w:name="TAB1151"/>
            <w:bookmarkEnd w:id="503"/>
            <w:r>
              <w:rPr>
                <w:rFonts w:ascii="times new roman" w:hAnsi="times new roman"/>
                <w:sz w:val="20"/>
              </w:rPr>
              <w:t>(0.75</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04" w:name="TAB1152"/>
            <w:bookmarkEnd w:id="504"/>
            <w:r>
              <w:rPr>
                <w:rFonts w:ascii="times new roman" w:hAnsi="times new roman"/>
                <w:sz w:val="20"/>
              </w:rPr>
              <w:t>(0.18</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05" w:name="TAB1153"/>
            <w:bookmarkEnd w:id="505"/>
            <w:r>
              <w:rPr>
                <w:rFonts w:ascii="times new roman" w:hAnsi="times new roman"/>
                <w:sz w:val="20"/>
              </w:rPr>
              <w:t>0.17</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06" w:name="TAB1154"/>
            <w:bookmarkEnd w:id="506"/>
            <w:r>
              <w:rPr>
                <w:rFonts w:ascii="times new roman" w:hAnsi="times new roman"/>
                <w:sz w:val="20"/>
              </w:rPr>
              <w:t>(0.51</w:t>
            </w:r>
          </w:p>
        </w:tc>
        <w:tc>
          <w:tcPr>
            <w:tcW w:w="1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18"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Basic earnings (loss) per share – discontinued operations</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07" w:name="TAB1155"/>
            <w:bookmarkEnd w:id="507"/>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08" w:name="TAB1156"/>
            <w:bookmarkEnd w:id="508"/>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09" w:name="TAB1157"/>
            <w:bookmarkEnd w:id="509"/>
            <w:r>
              <w:rPr>
                <w:rFonts w:ascii="times new roman" w:hAnsi="times new roman"/>
                <w:sz w:val="20"/>
              </w:rPr>
              <w:t>0.09</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10" w:name="TAB1158"/>
            <w:bookmarkEnd w:id="510"/>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11" w:name="TAB1159"/>
            <w:bookmarkEnd w:id="511"/>
            <w:r>
              <w:rPr>
                <w:rFonts w:ascii="times new roman" w:hAnsi="times new roman"/>
                <w:sz w:val="20"/>
              </w:rPr>
              <w:t>0.55</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Basic earnings (loss) per share</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12" w:name="TAB1160"/>
            <w:bookmarkEnd w:id="512"/>
            <w:r>
              <w:rPr>
                <w:rFonts w:ascii="times new roman" w:hAnsi="times new roman"/>
                <w:sz w:val="20"/>
              </w:rPr>
              <w:t>0.27</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13" w:name="TAB1161"/>
            <w:bookmarkEnd w:id="513"/>
            <w:r>
              <w:rPr>
                <w:rFonts w:ascii="times new roman" w:hAnsi="times new roman"/>
                <w:sz w:val="20"/>
              </w:rPr>
              <w:t>(0.75</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14" w:name="TAB1162"/>
            <w:bookmarkEnd w:id="514"/>
            <w:r>
              <w:rPr>
                <w:rFonts w:ascii="times new roman" w:hAnsi="times new roman"/>
                <w:sz w:val="20"/>
              </w:rPr>
              <w:t>(0.09</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15" w:name="TAB1163"/>
            <w:bookmarkEnd w:id="515"/>
            <w:r>
              <w:rPr>
                <w:rFonts w:ascii="times new roman" w:hAnsi="times new roman"/>
                <w:sz w:val="20"/>
              </w:rPr>
              <w:t>0.17</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16" w:name="TAB1164"/>
            <w:bookmarkEnd w:id="516"/>
            <w:r>
              <w:rPr>
                <w:rFonts w:ascii="times new roman" w:hAnsi="times new roman"/>
                <w:sz w:val="20"/>
              </w:rPr>
              <w:t>0.04</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Diluted earnings (loss) per share – continuing operations</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17" w:name="TAB1165"/>
            <w:bookmarkEnd w:id="517"/>
            <w:r>
              <w:rPr>
                <w:rFonts w:ascii="times new roman" w:hAnsi="times new roman"/>
                <w:sz w:val="20"/>
              </w:rPr>
              <w:t>0.27</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18" w:name="TAB1166"/>
            <w:bookmarkEnd w:id="518"/>
            <w:r>
              <w:rPr>
                <w:rFonts w:ascii="times new roman" w:hAnsi="times new roman"/>
                <w:sz w:val="20"/>
              </w:rPr>
              <w:t>(0.75</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19" w:name="TAB1167"/>
            <w:bookmarkEnd w:id="519"/>
            <w:r>
              <w:rPr>
                <w:rFonts w:ascii="times new roman" w:hAnsi="times new roman"/>
                <w:sz w:val="20"/>
              </w:rPr>
              <w:t>(0.18</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20" w:name="TAB1168"/>
            <w:bookmarkEnd w:id="520"/>
            <w:r>
              <w:rPr>
                <w:rFonts w:ascii="times new roman" w:hAnsi="times new roman"/>
                <w:sz w:val="20"/>
              </w:rPr>
              <w:t>0.17</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21" w:name="TAB1169"/>
            <w:bookmarkEnd w:id="521"/>
            <w:r>
              <w:rPr>
                <w:rFonts w:ascii="times new roman" w:hAnsi="times new roman"/>
                <w:sz w:val="20"/>
              </w:rPr>
              <w:t>(0.51</w:t>
            </w:r>
          </w:p>
        </w:tc>
        <w:tc>
          <w:tcPr>
            <w:tcW w:w="11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18" w:type="dxa"/>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Diluted earnings per share – discontinued operations</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22" w:name="TAB1170"/>
            <w:bookmarkEnd w:id="522"/>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23" w:name="TAB1171"/>
            <w:bookmarkEnd w:id="523"/>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24" w:name="TAB1172"/>
            <w:bookmarkEnd w:id="524"/>
            <w:r>
              <w:rPr>
                <w:rFonts w:ascii="times new roman" w:hAnsi="times new roman"/>
                <w:sz w:val="20"/>
              </w:rPr>
              <w:t>0.09</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25" w:name="TAB1173"/>
            <w:bookmarkEnd w:id="525"/>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26" w:name="TAB1174"/>
            <w:bookmarkEnd w:id="526"/>
            <w:r>
              <w:rPr>
                <w:rFonts w:ascii="times new roman" w:hAnsi="times new roman"/>
                <w:sz w:val="20"/>
              </w:rPr>
              <w:t>0.55</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Diluted earnings (loss) per share</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27" w:name="TAB1175"/>
            <w:bookmarkEnd w:id="527"/>
            <w:r>
              <w:rPr>
                <w:rFonts w:ascii="times new roman" w:hAnsi="times new roman"/>
                <w:sz w:val="20"/>
              </w:rPr>
              <w:t>0.27</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28" w:name="TAB1176"/>
            <w:bookmarkEnd w:id="528"/>
            <w:r>
              <w:rPr>
                <w:rFonts w:ascii="times new roman" w:hAnsi="times new roman"/>
                <w:sz w:val="20"/>
              </w:rPr>
              <w:t>(0.75</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29" w:name="TAB1177"/>
            <w:bookmarkEnd w:id="529"/>
            <w:r>
              <w:rPr>
                <w:rFonts w:ascii="times new roman" w:hAnsi="times new roman"/>
                <w:sz w:val="20"/>
              </w:rPr>
              <w:t>(0.09</w:t>
            </w:r>
          </w:p>
        </w:tc>
        <w:tc>
          <w:tcPr>
            <w:tcW w:w="10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30" w:name="TAB1178"/>
            <w:bookmarkEnd w:id="530"/>
            <w:r>
              <w:rPr>
                <w:rFonts w:ascii="times new roman" w:hAnsi="times new roman"/>
                <w:sz w:val="20"/>
              </w:rPr>
              <w:t>0.17</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31" w:name="TAB1179"/>
            <w:bookmarkEnd w:id="531"/>
            <w:r>
              <w:rPr>
                <w:rFonts w:ascii="times new roman" w:hAnsi="times new roman"/>
                <w:sz w:val="20"/>
              </w:rPr>
              <w:t>0.04</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Other Information:</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283"/>
              <w:rPr/>
            </w:pPr>
            <w:r>
              <w:rPr/>
              <w:t xml:space="preserve">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outstanding</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22,588,403</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22,482,605</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22,482,605</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22,476,355</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22,485,948</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Weighted average shares outstanding</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22,580,942</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22,425,941</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22,249,967</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Weighted average dilutive shares outstanding</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22,767,735</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22,674,818</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22,249,967</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283"/>
              <w:rPr/>
            </w:pPr>
            <w:r>
              <w:rPr/>
              <w:t xml:space="preserve">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32" w:name="TAB1180"/>
            <w:bookmarkEnd w:id="532"/>
            <w:r>
              <w:rPr>
                <w:rFonts w:ascii="times new roman" w:hAnsi="times new roman"/>
                <w:sz w:val="20"/>
              </w:rPr>
              <w:t>406,417</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33" w:name="TAB1181"/>
            <w:bookmarkEnd w:id="533"/>
            <w:r>
              <w:rPr>
                <w:rFonts w:ascii="times new roman" w:hAnsi="times new roman"/>
                <w:sz w:val="20"/>
              </w:rPr>
              <w:t>371,870</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34" w:name="TAB1182"/>
            <w:bookmarkEnd w:id="534"/>
            <w:r>
              <w:rPr>
                <w:rFonts w:ascii="times new roman" w:hAnsi="times new roman"/>
                <w:sz w:val="20"/>
              </w:rPr>
              <w:t>346,071</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35" w:name="TAB1183"/>
            <w:bookmarkEnd w:id="535"/>
            <w:r>
              <w:rPr>
                <w:rFonts w:ascii="times new roman" w:hAnsi="times new roman"/>
                <w:sz w:val="20"/>
              </w:rPr>
              <w:t>289,231</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36" w:name="TAB1184"/>
            <w:bookmarkEnd w:id="536"/>
            <w:r>
              <w:rPr>
                <w:rFonts w:ascii="times new roman" w:hAnsi="times new roman"/>
                <w:sz w:val="20"/>
              </w:rPr>
              <w:t>253,057</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debt</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37" w:name="TAB1185"/>
            <w:bookmarkEnd w:id="537"/>
            <w:r>
              <w:rPr>
                <w:rFonts w:ascii="times new roman" w:hAnsi="times new roman"/>
                <w:sz w:val="20"/>
              </w:rPr>
              <w:t>226,993</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38" w:name="TAB1186"/>
            <w:bookmarkEnd w:id="538"/>
            <w:r>
              <w:rPr>
                <w:rFonts w:ascii="times new roman" w:hAnsi="times new roman"/>
                <w:sz w:val="20"/>
              </w:rPr>
              <w:t>239,162</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39" w:name="TAB1187"/>
            <w:bookmarkEnd w:id="539"/>
            <w:r>
              <w:rPr>
                <w:rFonts w:ascii="times new roman" w:hAnsi="times new roman"/>
                <w:sz w:val="20"/>
              </w:rPr>
              <w:t>177,195</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40" w:name="TAB1188"/>
            <w:bookmarkEnd w:id="540"/>
            <w:r>
              <w:rPr>
                <w:rFonts w:ascii="times new roman" w:hAnsi="times new roman"/>
                <w:sz w:val="20"/>
              </w:rPr>
              <w:t>130,212</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41" w:name="TAB1189"/>
            <w:bookmarkEnd w:id="541"/>
            <w:r>
              <w:rPr>
                <w:rFonts w:ascii="times new roman" w:hAnsi="times new roman"/>
                <w:sz w:val="20"/>
              </w:rPr>
              <w:t>109,320</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Working capital (deficit)</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42" w:name="TAB1190"/>
            <w:bookmarkEnd w:id="542"/>
            <w:r>
              <w:rPr>
                <w:rFonts w:ascii="times new roman" w:hAnsi="times new roman"/>
                <w:sz w:val="20"/>
              </w:rPr>
              <w:t>(16,229</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43" w:name="TAB1191"/>
            <w:bookmarkEnd w:id="543"/>
            <w:r>
              <w:rPr>
                <w:rFonts w:ascii="times new roman" w:hAnsi="times new roman"/>
                <w:sz w:val="20"/>
              </w:rPr>
              <w:t>12,516</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44" w:name="TAB1192"/>
            <w:bookmarkEnd w:id="544"/>
            <w:r>
              <w:rPr>
                <w:rFonts w:ascii="times new roman" w:hAnsi="times new roman"/>
                <w:sz w:val="20"/>
              </w:rPr>
              <w:t>6,345</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45" w:name="TAB1193"/>
            <w:bookmarkEnd w:id="545"/>
            <w:r>
              <w:rPr>
                <w:rFonts w:ascii="times new roman" w:hAnsi="times new roman"/>
                <w:sz w:val="20"/>
              </w:rPr>
              <w:t>(6,997</w:t>
            </w:r>
          </w:p>
        </w:tc>
        <w:tc>
          <w:tcPr>
            <w:tcW w:w="10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46" w:name="TAB1194"/>
            <w:bookmarkEnd w:id="546"/>
            <w:r>
              <w:rPr>
                <w:rFonts w:ascii="times new roman" w:hAnsi="times new roman"/>
                <w:sz w:val="20"/>
              </w:rPr>
              <w:t>(14,282</w:t>
            </w:r>
          </w:p>
        </w:tc>
        <w:tc>
          <w:tcPr>
            <w:tcW w:w="1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equity</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47" w:name="TAB1195"/>
            <w:bookmarkEnd w:id="547"/>
            <w:r>
              <w:rPr>
                <w:rFonts w:ascii="times new roman" w:hAnsi="times new roman"/>
                <w:sz w:val="20"/>
              </w:rPr>
              <w:t>110,263</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48" w:name="TAB1196"/>
            <w:bookmarkEnd w:id="548"/>
            <w:r>
              <w:rPr>
                <w:rFonts w:ascii="times new roman" w:hAnsi="times new roman"/>
                <w:sz w:val="20"/>
              </w:rPr>
              <w:t>69,447</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49" w:name="TAB1197"/>
            <w:bookmarkEnd w:id="549"/>
            <w:r>
              <w:rPr>
                <w:rFonts w:ascii="times new roman" w:hAnsi="times new roman"/>
                <w:sz w:val="20"/>
              </w:rPr>
              <w:t>124,197</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50" w:name="TAB1198"/>
            <w:bookmarkEnd w:id="550"/>
            <w:r>
              <w:rPr>
                <w:rFonts w:ascii="times new roman" w:hAnsi="times new roman"/>
                <w:sz w:val="20"/>
              </w:rPr>
              <w:t>110,262</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51" w:name="TAB1199"/>
            <w:bookmarkEnd w:id="551"/>
            <w:r>
              <w:rPr>
                <w:rFonts w:ascii="times new roman" w:hAnsi="times new roman"/>
                <w:sz w:val="20"/>
              </w:rPr>
              <w:t>102,483</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283"/>
              <w:rPr/>
            </w:pPr>
            <w:r>
              <w:rPr/>
              <w:t xml:space="preserve">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EBIT</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52" w:name="TAB1200"/>
            <w:bookmarkEnd w:id="552"/>
            <w:r>
              <w:rPr>
                <w:rFonts w:ascii="times new roman" w:hAnsi="times new roman"/>
                <w:sz w:val="20"/>
              </w:rPr>
              <w:t>22,618</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53" w:name="TAB1201"/>
            <w:bookmarkEnd w:id="553"/>
            <w:r>
              <w:rPr>
                <w:rFonts w:ascii="times new roman" w:hAnsi="times new roman"/>
                <w:sz w:val="20"/>
              </w:rPr>
              <w:t>1,030</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54" w:name="TAB1202"/>
            <w:bookmarkEnd w:id="554"/>
            <w:r>
              <w:rPr>
                <w:rFonts w:ascii="times new roman" w:hAnsi="times new roman"/>
                <w:sz w:val="20"/>
              </w:rPr>
              <w:t>8,098</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55" w:name="TAB1203"/>
            <w:bookmarkEnd w:id="555"/>
            <w:r>
              <w:rPr>
                <w:rFonts w:ascii="times new roman" w:hAnsi="times new roman"/>
                <w:sz w:val="20"/>
              </w:rPr>
              <w:t>12,734</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56" w:name="TAB1204"/>
            <w:bookmarkEnd w:id="556"/>
            <w:r>
              <w:rPr>
                <w:rFonts w:ascii="times new roman" w:hAnsi="times new roman"/>
                <w:sz w:val="20"/>
              </w:rPr>
              <w:t>6,671</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57" w:name="TAB1205"/>
            <w:bookmarkEnd w:id="557"/>
            <w:r>
              <w:rPr>
                <w:rFonts w:ascii="times new roman" w:hAnsi="times new roman"/>
                <w:sz w:val="20"/>
              </w:rPr>
              <w:t>15,168</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58" w:name="TAB1206"/>
            <w:bookmarkEnd w:id="558"/>
            <w:r>
              <w:rPr>
                <w:rFonts w:ascii="times new roman" w:hAnsi="times new roman"/>
                <w:sz w:val="20"/>
              </w:rPr>
              <w:t>18,558</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59" w:name="TAB1207"/>
            <w:bookmarkEnd w:id="559"/>
            <w:r>
              <w:rPr>
                <w:rFonts w:ascii="times new roman" w:hAnsi="times new roman"/>
                <w:sz w:val="20"/>
              </w:rPr>
              <w:t>11,921</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60" w:name="TAB1208"/>
            <w:bookmarkEnd w:id="560"/>
            <w:r>
              <w:rPr>
                <w:rFonts w:ascii="times new roman" w:hAnsi="times new roman"/>
                <w:sz w:val="20"/>
              </w:rPr>
              <w:t>13,212</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61" w:name="TAB1209"/>
            <w:bookmarkEnd w:id="561"/>
            <w:r>
              <w:rPr>
                <w:rFonts w:ascii="times new roman" w:hAnsi="times new roman"/>
                <w:sz w:val="20"/>
              </w:rPr>
              <w:t>12,384</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Add:  Adjustments for discontinued operations</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62" w:name="TAB1210"/>
            <w:bookmarkEnd w:id="562"/>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63" w:name="TAB1211"/>
            <w:bookmarkEnd w:id="563"/>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64" w:name="TAB1212"/>
            <w:bookmarkEnd w:id="564"/>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65" w:name="TAB1213"/>
            <w:bookmarkEnd w:id="565"/>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vAlign w:val="bottom"/>
          </w:tcPr>
          <w:p>
            <w:pPr>
              <w:pStyle w:val="TableContents"/>
              <w:spacing w:before="0" w:after="283"/>
              <w:ind w:left="72" w:right="0" w:hanging="0"/>
              <w:jc w:val="right"/>
              <w:rPr>
                <w:rFonts w:ascii="times new roman" w:hAnsi="times new roman"/>
                <w:sz w:val="20"/>
              </w:rPr>
            </w:pPr>
            <w:bookmarkStart w:id="566" w:name="TAB1214"/>
            <w:bookmarkEnd w:id="566"/>
            <w:r>
              <w:rPr>
                <w:rFonts w:ascii="times new roman" w:hAnsi="times new roman"/>
                <w:sz w:val="20"/>
              </w:rPr>
              <w:t>567</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EBITDA</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67" w:name="TAB1215"/>
            <w:bookmarkEnd w:id="567"/>
            <w:r>
              <w:rPr>
                <w:rFonts w:ascii="times new roman" w:hAnsi="times new roman"/>
                <w:sz w:val="20"/>
              </w:rPr>
              <w:t>37,786</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68" w:name="TAB1216"/>
            <w:bookmarkEnd w:id="568"/>
            <w:r>
              <w:rPr>
                <w:rFonts w:ascii="times new roman" w:hAnsi="times new roman"/>
                <w:sz w:val="20"/>
              </w:rPr>
              <w:t>19,588</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69" w:name="TAB1217"/>
            <w:bookmarkEnd w:id="569"/>
            <w:r>
              <w:rPr>
                <w:rFonts w:ascii="times new roman" w:hAnsi="times new roman"/>
                <w:sz w:val="20"/>
              </w:rPr>
              <w:t>20,019</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70" w:name="TAB1218"/>
            <w:bookmarkEnd w:id="570"/>
            <w:r>
              <w:rPr>
                <w:rFonts w:ascii="times new roman" w:hAnsi="times new roman"/>
                <w:sz w:val="20"/>
              </w:rPr>
              <w:t>25,946</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71" w:name="TAB1219"/>
            <w:bookmarkEnd w:id="571"/>
            <w:r>
              <w:rPr>
                <w:rFonts w:ascii="times new roman" w:hAnsi="times new roman"/>
                <w:sz w:val="20"/>
              </w:rPr>
              <w:t>19,622</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to EBITDA</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12.21</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8.85</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5.02</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5.57</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283"/>
              <w:rPr/>
            </w:pPr>
            <w:r>
              <w:rPr/>
              <w:t xml:space="preserve">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3318"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Capital expenditure (including acquisitions)</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72" w:name="TAB1220"/>
            <w:bookmarkEnd w:id="572"/>
            <w:r>
              <w:rPr>
                <w:rFonts w:ascii="times new roman" w:hAnsi="times new roman"/>
                <w:sz w:val="20"/>
              </w:rPr>
              <w:t>5,686</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73" w:name="TAB1221"/>
            <w:bookmarkEnd w:id="573"/>
            <w:r>
              <w:rPr>
                <w:rFonts w:ascii="times new roman" w:hAnsi="times new roman"/>
                <w:sz w:val="20"/>
              </w:rPr>
              <w:t>75,167</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74" w:name="TAB1222"/>
            <w:bookmarkEnd w:id="574"/>
            <w:r>
              <w:rPr>
                <w:rFonts w:ascii="times new roman" w:hAnsi="times new roman"/>
                <w:sz w:val="20"/>
              </w:rPr>
              <w:t>42,414</w:t>
            </w:r>
          </w:p>
        </w:tc>
        <w:tc>
          <w:tcPr>
            <w:tcW w:w="10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75" w:name="TAB1223"/>
            <w:bookmarkEnd w:id="575"/>
            <w:r>
              <w:rPr>
                <w:rFonts w:ascii="times new roman" w:hAnsi="times new roman"/>
                <w:sz w:val="20"/>
              </w:rPr>
              <w:t>16,389</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ind w:left="72" w:right="0" w:hanging="0"/>
              <w:jc w:val="right"/>
              <w:rPr>
                <w:rFonts w:ascii="times new roman" w:hAnsi="times new roman"/>
                <w:sz w:val="20"/>
              </w:rPr>
            </w:pPr>
            <w:bookmarkStart w:id="576" w:name="TAB1224"/>
            <w:bookmarkEnd w:id="576"/>
            <w:r>
              <w:rPr>
                <w:rFonts w:ascii="times new roman" w:hAnsi="times new roman"/>
                <w:sz w:val="20"/>
              </w:rPr>
              <w:t>53,954</w:t>
            </w:r>
          </w:p>
        </w:tc>
        <w:tc>
          <w:tcPr>
            <w:tcW w:w="118" w:type="dxa"/>
            <w:tcBorders/>
            <w:shd w:fill="CCEEFF" w:val="clear"/>
            <w:vAlign w:val="bottom"/>
          </w:tcPr>
          <w:p>
            <w:pPr>
              <w:pStyle w:val="TableContents"/>
              <w:spacing w:before="0" w:after="283"/>
              <w:jc w:val="left"/>
              <w:rPr/>
            </w:pPr>
            <w:r>
              <w:rPr/>
              <w:t> </w:t>
            </w:r>
          </w:p>
        </w:tc>
      </w:tr>
      <w:tr>
        <w:trPr/>
        <w:tc>
          <w:tcPr>
            <w:tcW w:w="3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Number of employees at 12/31</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2,207</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1,986</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1,383</w:t>
            </w:r>
          </w:p>
        </w:tc>
        <w:tc>
          <w:tcPr>
            <w:tcW w:w="105"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1,451</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1,523</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EBIT presented above represents net income (loss) adjusted for interest expense (calculated net of interest income) and income tax expense.  EBIT is presented for informational purposes to show the significance of depreciation and amortization in the calculation of EBITDA.  We use EBIT in our evaluation of our operating results since we believe that it is useful as a measure of financial performance, particularly for us as a multinational company.  We believe it is a useful measure of financial performance principally for the following reasons: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77" w:name="list32"/>
      <w:bookmarkStart w:id="578" w:name="list32"/>
      <w:bookmarkEnd w:id="57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since we operate in multiple tax jurisdictions, we find EBIT removes the impact of the varying tax rates and tax regimes in the jurisdictions in which we operate.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79" w:name="list33"/>
      <w:bookmarkStart w:id="580" w:name="list33"/>
      <w:bookmarkEnd w:id="58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addition, we find EBIT useful as a financial measure that removes the impact from our effective tax rate of factors not directly related to our business operations, such as, whether we have acquired operating assets by purchasing those assets directly, or indirectly by purchasing the stock of a company that might hold such operating assets.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1" w:name="PGBRK28"/>
      <w:bookmarkStart w:id="582" w:name="PGBRK28"/>
      <w:bookmarkEnd w:id="5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3" w:name="FTR28"/>
      <w:bookmarkStart w:id="584" w:name="FTR28"/>
      <w:bookmarkEnd w:id="5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85" w:name="GLFTR28"/>
      <w:bookmarkEnd w:id="5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6" w:name="PN28"/>
      <w:bookmarkEnd w:id="586"/>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7" w:name="HDR28"/>
      <w:bookmarkStart w:id="588" w:name="HDR28"/>
      <w:bookmarkEnd w:id="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89" w:name="GLHDR28"/>
        <w:bookmarkEnd w:id="58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590" w:name="list34"/>
      <w:bookmarkStart w:id="591" w:name="list34"/>
      <w:bookmarkEnd w:id="59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use of EBIT as a financial measure also (i) removes the impact of tax timing differences which may vary from time to time and from jurisdiction to jurisdiction, (ii) allows us to compare our performance to that achieved by other companies, and (iii) is useful as a financial measure that removes the impact of our historically significant net loss carry forwards.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92" w:name="list35"/>
      <w:bookmarkStart w:id="593" w:name="list35"/>
      <w:bookmarkEnd w:id="59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elimination of net interest expense helps us to compare our operating performance to those companies that may have more or less debt than we do.</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EBITDA presented above is net income (loss) adjusted for interest expense (again, calculated net of interest income), income tax expense, and in addition depreciation and amortization expense.  We use EBITDA in our evaluation of our performance since we believe that EBITDA provides a useful measure of financial performance and value.  We believe this principally for the following reasons: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94" w:name="list36"/>
      <w:bookmarkStart w:id="595" w:name="list36"/>
      <w:bookmarkEnd w:id="59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believe that EBITDA is an industry comparative measure of financial performance.  It is, in our experience, a measure commonly used by analysts and financial commentators who report on the cinema exhibition and real estate industries and a measure used by financial institutions in underwriting the creditworthiness of companies in these industries.  Accordingly, our management monitors this calculation as a method of judging our performance against our peers and market expectations and our creditworthiness.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96" w:name="list37"/>
      <w:bookmarkStart w:id="597" w:name="list37"/>
      <w:bookmarkEnd w:id="59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also,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expect that investors may use EBITDA to judge our ability to generate cash, as a basis of comparison to other companies engaged in the cinema exhibition and real estate businesses and as a basis to value our company against such other companies.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Neither EBIT nor EBITDA is a measurement of financial performance under accounting principles generally accepted in the United States of America and should not be considered in isolation or construed as a substitute for net income or other operations data or cash flow data prepared in accordance with accounting principles generally accepted in the United States for purposes of analyzing our profitability.  The exclusion of various components such as interest, taxes, depreciation, and amortization necessarily limit the usefulness of these measures when assessing our financial performance, as not all funds depicted by EBITDA are available for management’s discretionary use.  For example, a substantial portion of such funds are subject to contractual restrictions and functional requirements to service debt, to f und necessary capital expenditures and to meet other commitments from time to time as described in more detail in this Annual Report on Form 10-K.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EBIT and EBITDA also fail to take into account the cost of interest and taxes.  Interest is clearly a real cost that for us is paid periodically as accrued.  Taxes may or may not be a current cash item but are nevertheless real costs that, in most situations, must eventually be paid.  A company that realizes taxable earnings in high tax jurisdictions may be ultimately less valuable than a company that realizes the same amount of taxable earnings in a low tax jurisdiction.  EBITDA fails to take into account the cost of depreciation and amortization and the fact that assets will eventually wear out and have to be replaced.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8" w:name="PGBRK29"/>
      <w:bookmarkStart w:id="599" w:name="PGBRK29"/>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0" w:name="FTR29"/>
      <w:bookmarkStart w:id="601" w:name="FTR29"/>
      <w:bookmarkEnd w:id="6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02" w:name="GLFTR29"/>
      <w:bookmarkEnd w:id="6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3" w:name="PN29"/>
      <w:bookmarkEnd w:id="603"/>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4" w:name="HDR29"/>
      <w:bookmarkStart w:id="605" w:name="HDR29"/>
      <w:bookmarkEnd w:id="6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06" w:name="GLHDR29"/>
        <w:bookmarkEnd w:id="60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EBITDA, as calculated by us, may not be comparable to similarly titled measures reported by other companies.  A reconciliation of net income (loss) to EBIT and EBITDA is presented below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775"/>
        <w:gridCol w:w="102"/>
        <w:gridCol w:w="125"/>
        <w:gridCol w:w="946"/>
        <w:gridCol w:w="102"/>
        <w:gridCol w:w="102"/>
        <w:gridCol w:w="125"/>
        <w:gridCol w:w="967"/>
        <w:gridCol w:w="109"/>
        <w:gridCol w:w="102"/>
        <w:gridCol w:w="125"/>
        <w:gridCol w:w="946"/>
        <w:gridCol w:w="109"/>
        <w:gridCol w:w="102"/>
        <w:gridCol w:w="124"/>
        <w:gridCol w:w="946"/>
        <w:gridCol w:w="102"/>
        <w:gridCol w:w="102"/>
        <w:gridCol w:w="125"/>
        <w:gridCol w:w="946"/>
        <w:gridCol w:w="123"/>
      </w:tblGrid>
      <w:tr>
        <w:trPr/>
        <w:tc>
          <w:tcPr>
            <w:tcW w:w="3775" w:type="dxa"/>
            <w:tcBorders>
              <w:bottom w:val="double" w:sz="8" w:space="0" w:color="000000"/>
            </w:tcBorders>
            <w:shd w:fill="auto" w:val="clear"/>
            <w:vAlign w:val="bottom"/>
          </w:tcPr>
          <w:p>
            <w:pPr>
              <w:pStyle w:val="TableContents"/>
              <w:spacing w:before="0" w:after="283"/>
              <w:rPr/>
            </w:pPr>
            <w:r>
              <w:rPr/>
              <w:t xml:space="preserve">  </w:t>
            </w:r>
          </w:p>
        </w:tc>
        <w:tc>
          <w:tcPr>
            <w:tcW w:w="102" w:type="dxa"/>
            <w:tcBorders/>
            <w:shd w:fill="auto" w:val="clear"/>
            <w:tcMar>
              <w:bottom w:w="0" w:type="dxa"/>
            </w:tcMar>
            <w:vAlign w:val="bottom"/>
          </w:tcPr>
          <w:p>
            <w:pPr>
              <w:pStyle w:val="TableContents"/>
              <w:spacing w:before="0" w:after="283"/>
              <w:rPr/>
            </w:pPr>
            <w:r>
              <w:rPr/>
              <w:t> </w:t>
            </w:r>
          </w:p>
        </w:tc>
        <w:tc>
          <w:tcPr>
            <w:tcW w:w="107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09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07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2007</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07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2006</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07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2005</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775" w:type="dxa"/>
            <w:tcBorders/>
            <w:shd w:fill="CCEE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income (loss) attributable to Reading International, Inc. shareholders</w:t>
            </w:r>
          </w:p>
        </w:tc>
        <w:tc>
          <w:tcPr>
            <w:tcW w:w="102"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tcMar>
              <w:bottom w:w="0" w:type="dxa"/>
            </w:tcMar>
            <w:vAlign w:val="bottom"/>
          </w:tcPr>
          <w:p>
            <w:pPr>
              <w:pStyle w:val="TableContents"/>
              <w:spacing w:before="0" w:after="283"/>
              <w:ind w:left="49" w:right="0" w:hanging="0"/>
              <w:jc w:val="right"/>
              <w:rPr>
                <w:rFonts w:ascii="times new roman" w:hAnsi="times new roman"/>
                <w:sz w:val="20"/>
              </w:rPr>
            </w:pPr>
            <w:bookmarkStart w:id="607" w:name="TAB1225"/>
            <w:bookmarkEnd w:id="607"/>
            <w:r>
              <w:rPr>
                <w:rFonts w:ascii="times new roman" w:hAnsi="times new roman"/>
                <w:sz w:val="20"/>
              </w:rPr>
              <w:t>6,094</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tcMar>
              <w:bottom w:w="0" w:type="dxa"/>
            </w:tcMar>
            <w:vAlign w:val="bottom"/>
          </w:tcPr>
          <w:p>
            <w:pPr>
              <w:pStyle w:val="TableContents"/>
              <w:spacing w:before="0" w:after="283"/>
              <w:ind w:left="49" w:right="0" w:hanging="0"/>
              <w:jc w:val="right"/>
              <w:rPr>
                <w:rFonts w:ascii="times new roman" w:hAnsi="times new roman"/>
                <w:sz w:val="20"/>
              </w:rPr>
            </w:pPr>
            <w:bookmarkStart w:id="608" w:name="TAB1226"/>
            <w:bookmarkEnd w:id="608"/>
            <w:r>
              <w:rPr>
                <w:rFonts w:ascii="times new roman" w:hAnsi="times new roman"/>
                <w:sz w:val="20"/>
              </w:rPr>
              <w:t>(16,809</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tcMar>
              <w:bottom w:w="0" w:type="dxa"/>
            </w:tcMar>
            <w:vAlign w:val="bottom"/>
          </w:tcPr>
          <w:p>
            <w:pPr>
              <w:pStyle w:val="TableContents"/>
              <w:spacing w:before="0" w:after="283"/>
              <w:ind w:left="49" w:right="0" w:hanging="0"/>
              <w:jc w:val="right"/>
              <w:rPr>
                <w:rFonts w:ascii="times new roman" w:hAnsi="times new roman"/>
                <w:sz w:val="20"/>
              </w:rPr>
            </w:pPr>
            <w:bookmarkStart w:id="609" w:name="TAB1227"/>
            <w:bookmarkEnd w:id="609"/>
            <w:r>
              <w:rPr>
                <w:rFonts w:ascii="times new roman" w:hAnsi="times new roman"/>
                <w:sz w:val="20"/>
              </w:rPr>
              <w:t>(2,103</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tcMar>
              <w:bottom w:w="0" w:type="dxa"/>
            </w:tcMar>
            <w:vAlign w:val="bottom"/>
          </w:tcPr>
          <w:p>
            <w:pPr>
              <w:pStyle w:val="TableContents"/>
              <w:spacing w:before="0" w:after="283"/>
              <w:ind w:left="49" w:right="0" w:hanging="0"/>
              <w:jc w:val="right"/>
              <w:rPr>
                <w:rFonts w:ascii="times new roman" w:hAnsi="times new roman"/>
                <w:sz w:val="20"/>
              </w:rPr>
            </w:pPr>
            <w:bookmarkStart w:id="610" w:name="TAB1228"/>
            <w:bookmarkEnd w:id="610"/>
            <w:r>
              <w:rPr>
                <w:rFonts w:ascii="times new roman" w:hAnsi="times new roman"/>
                <w:sz w:val="20"/>
              </w:rPr>
              <w:t>3,856</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tcMar>
              <w:bottom w:w="0" w:type="dxa"/>
            </w:tcMar>
            <w:vAlign w:val="bottom"/>
          </w:tcPr>
          <w:p>
            <w:pPr>
              <w:pStyle w:val="TableContents"/>
              <w:spacing w:before="0" w:after="283"/>
              <w:ind w:left="49" w:right="0" w:hanging="0"/>
              <w:jc w:val="right"/>
              <w:rPr>
                <w:rFonts w:ascii="times new roman" w:hAnsi="times new roman"/>
                <w:sz w:val="20"/>
              </w:rPr>
            </w:pPr>
            <w:bookmarkStart w:id="611" w:name="TAB1229"/>
            <w:bookmarkEnd w:id="611"/>
            <w:r>
              <w:rPr>
                <w:rFonts w:ascii="times new roman" w:hAnsi="times new roman"/>
                <w:sz w:val="20"/>
              </w:rPr>
              <w:t>989</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3775" w:type="dxa"/>
            <w:tcBorders/>
            <w:shd w:fill="FFFFFF" w:val="clear"/>
            <w:tcMar>
              <w:bottom w:w="0" w:type="dxa"/>
            </w:tcM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Add:  Interest expense, net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14,572</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6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15,740</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8,163</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6,608</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4,473</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3775" w:type="dxa"/>
            <w:tcBorders>
              <w:bottom w:val="single" w:sz="12" w:space="0" w:color="000000"/>
            </w:tcBorders>
            <w:shd w:fill="CCEEFF" w:val="cle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Add:  Income tax expense</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4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6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2,099</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4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2,038</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CCEEFF" w:val="clear"/>
            <w:vAlign w:val="bottom"/>
          </w:tcPr>
          <w:p>
            <w:pPr>
              <w:pStyle w:val="TableContents"/>
              <w:spacing w:before="0" w:after="283"/>
              <w:jc w:val="left"/>
              <w:rPr/>
            </w:pPr>
            <w:r>
              <w:rPr/>
              <w:t> </w:t>
            </w:r>
          </w:p>
        </w:tc>
        <w:tc>
          <w:tcPr>
            <w:tcW w:w="94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2,270</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4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1,209</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3775" w:type="dxa"/>
            <w:tcBorders/>
            <w:shd w:fill="FFFFFF" w:val="clear"/>
            <w:tcMar>
              <w:bottom w:w="0" w:type="dxa"/>
            </w:tcMar>
            <w:vAlign w:val="bottom"/>
          </w:tcPr>
          <w:p>
            <w:pPr>
              <w:pStyle w:val="TableContents"/>
              <w:spacing w:before="0" w:after="0"/>
              <w:ind w:left="723" w:right="0" w:hanging="0"/>
              <w:jc w:val="left"/>
              <w:rPr>
                <w:rFonts w:ascii="times new roman" w:hAnsi="times new roman"/>
                <w:sz w:val="20"/>
              </w:rPr>
            </w:pPr>
            <w:bookmarkStart w:id="612" w:name="TAB1230"/>
            <w:bookmarkEnd w:id="612"/>
            <w:r>
              <w:rPr>
                <w:rFonts w:ascii="times new roman" w:hAnsi="times new roman"/>
                <w:sz w:val="20"/>
              </w:rPr>
              <w:t>EBIT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FFFFFF" w:val="clear"/>
            <w:tcMar>
              <w:bottom w:w="0" w:type="dxa"/>
            </w:tcMar>
            <w:vAlign w:val="bottom"/>
          </w:tcPr>
          <w:p>
            <w:pPr>
              <w:pStyle w:val="TableContents"/>
              <w:spacing w:before="0" w:after="283"/>
              <w:ind w:left="49" w:right="0" w:hanging="0"/>
              <w:jc w:val="right"/>
              <w:rPr>
                <w:rFonts w:ascii="times new roman" w:hAnsi="times new roman"/>
                <w:sz w:val="20"/>
              </w:rPr>
            </w:pPr>
            <w:bookmarkStart w:id="613" w:name="TAB1231"/>
            <w:bookmarkEnd w:id="613"/>
            <w:r>
              <w:rPr>
                <w:rFonts w:ascii="times new roman" w:hAnsi="times new roman"/>
                <w:sz w:val="20"/>
              </w:rPr>
              <w:t>22,618</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FFFFFF" w:val="clear"/>
            <w:tcMar>
              <w:bottom w:w="0" w:type="dxa"/>
            </w:tcMar>
            <w:vAlign w:val="bottom"/>
          </w:tcPr>
          <w:p>
            <w:pPr>
              <w:pStyle w:val="TableContents"/>
              <w:spacing w:before="0" w:after="283"/>
              <w:ind w:left="49" w:right="0" w:hanging="0"/>
              <w:jc w:val="right"/>
              <w:rPr>
                <w:rFonts w:ascii="times new roman" w:hAnsi="times new roman"/>
                <w:sz w:val="20"/>
              </w:rPr>
            </w:pPr>
            <w:bookmarkStart w:id="614" w:name="TAB1232"/>
            <w:bookmarkEnd w:id="614"/>
            <w:r>
              <w:rPr>
                <w:rFonts w:ascii="times new roman" w:hAnsi="times new roman"/>
                <w:sz w:val="20"/>
              </w:rPr>
              <w:t>1,030</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FFFFFF" w:val="clear"/>
            <w:tcMar>
              <w:bottom w:w="0" w:type="dxa"/>
            </w:tcMar>
            <w:vAlign w:val="bottom"/>
          </w:tcPr>
          <w:p>
            <w:pPr>
              <w:pStyle w:val="TableContents"/>
              <w:spacing w:before="0" w:after="283"/>
              <w:ind w:left="49" w:right="0" w:hanging="0"/>
              <w:jc w:val="right"/>
              <w:rPr>
                <w:rFonts w:ascii="times new roman" w:hAnsi="times new roman"/>
                <w:sz w:val="20"/>
              </w:rPr>
            </w:pPr>
            <w:bookmarkStart w:id="615" w:name="TAB1233"/>
            <w:bookmarkEnd w:id="615"/>
            <w:r>
              <w:rPr>
                <w:rFonts w:ascii="times new roman" w:hAnsi="times new roman"/>
                <w:sz w:val="20"/>
              </w:rPr>
              <w:t>8,098</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FFFFFF" w:val="clear"/>
            <w:tcMar>
              <w:bottom w:w="0" w:type="dxa"/>
            </w:tcMar>
            <w:vAlign w:val="bottom"/>
          </w:tcPr>
          <w:p>
            <w:pPr>
              <w:pStyle w:val="TableContents"/>
              <w:spacing w:before="0" w:after="283"/>
              <w:ind w:left="49" w:right="0" w:hanging="0"/>
              <w:jc w:val="right"/>
              <w:rPr>
                <w:rFonts w:ascii="times new roman" w:hAnsi="times new roman"/>
                <w:sz w:val="20"/>
              </w:rPr>
            </w:pPr>
            <w:bookmarkStart w:id="616" w:name="TAB1234"/>
            <w:bookmarkEnd w:id="616"/>
            <w:r>
              <w:rPr>
                <w:rFonts w:ascii="times new roman" w:hAnsi="times new roman"/>
                <w:sz w:val="20"/>
              </w:rPr>
              <w:t>12,734</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FFFFFF" w:val="clear"/>
            <w:tcMar>
              <w:bottom w:w="0" w:type="dxa"/>
            </w:tcMar>
            <w:vAlign w:val="bottom"/>
          </w:tcPr>
          <w:p>
            <w:pPr>
              <w:pStyle w:val="TableContents"/>
              <w:spacing w:before="0" w:after="283"/>
              <w:ind w:left="49" w:right="0" w:hanging="0"/>
              <w:jc w:val="right"/>
              <w:rPr>
                <w:rFonts w:ascii="times new roman" w:hAnsi="times new roman"/>
                <w:sz w:val="20"/>
              </w:rPr>
            </w:pPr>
            <w:bookmarkStart w:id="617" w:name="TAB1235"/>
            <w:bookmarkEnd w:id="617"/>
            <w:r>
              <w:rPr>
                <w:rFonts w:ascii="times new roman" w:hAnsi="times new roman"/>
                <w:sz w:val="20"/>
              </w:rPr>
              <w:t>6,671</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3775" w:type="dxa"/>
            <w:tcBorders/>
            <w:shd w:fill="CCEEFF" w:val="clear"/>
            <w:tcMar>
              <w:bottom w:w="0" w:type="dxa"/>
            </w:tcM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Add:  Depreciation and amortization</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15,168</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18,558</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11,921</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13,212</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12,384</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3775" w:type="dxa"/>
            <w:tcBorders/>
            <w:shd w:fill="FFFFFF" w:val="clear"/>
            <w:tcMar>
              <w:bottom w:w="0" w:type="dxa"/>
            </w:tcM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Adjustments for discontinued operations:</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67"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3775" w:type="dxa"/>
            <w:tcBorders/>
            <w:shd w:fill="CCEEFF" w:val="clear"/>
            <w:tcMar>
              <w:bottom w:w="0" w:type="dxa"/>
            </w:tcMar>
            <w:vAlign w:val="bottom"/>
          </w:tcPr>
          <w:p>
            <w:pPr>
              <w:pStyle w:val="TableContents"/>
              <w:spacing w:before="0" w:after="0"/>
              <w:ind w:left="728" w:right="0" w:hanging="0"/>
              <w:jc w:val="left"/>
              <w:rPr>
                <w:rFonts w:ascii="times new roman" w:hAnsi="times new roman"/>
                <w:sz w:val="20"/>
              </w:rPr>
            </w:pPr>
            <w:bookmarkStart w:id="618" w:name="TAB1236"/>
            <w:bookmarkEnd w:id="618"/>
            <w:r>
              <w:rPr>
                <w:rFonts w:ascii="times new roman" w:hAnsi="times new roman"/>
                <w:sz w:val="20"/>
              </w:rPr>
              <w:t>Add:  Interest expense, net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3775" w:type="dxa"/>
            <w:tcBorders>
              <w:bottom w:val="single" w:sz="12" w:space="0" w:color="000000"/>
            </w:tcBorders>
            <w:shd w:fill="FFFFFF" w:val="clear"/>
            <w:vAlign w:val="bottom"/>
          </w:tcPr>
          <w:p>
            <w:pPr>
              <w:pStyle w:val="TableContents"/>
              <w:spacing w:before="0" w:after="0"/>
              <w:ind w:left="1080" w:right="0" w:hanging="180"/>
              <w:jc w:val="left"/>
              <w:rPr>
                <w:rFonts w:ascii="times new roman" w:hAnsi="times new roman"/>
                <w:sz w:val="20"/>
              </w:rPr>
            </w:pPr>
            <w:r>
              <w:rPr>
                <w:rFonts w:ascii="times new roman" w:hAnsi="times new roman"/>
                <w:sz w:val="20"/>
              </w:rPr>
              <w:t>Add:  Depreciation and amortization</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4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6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4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94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4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3775"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67"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6"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3775" w:type="dxa"/>
            <w:tcBorders>
              <w:bottom w:val="double" w:sz="8" w:space="0" w:color="000000"/>
            </w:tcBorders>
            <w:shd w:fill="CCEEFF" w:val="clear"/>
            <w:vAlign w:val="bottom"/>
          </w:tcPr>
          <w:p>
            <w:pPr>
              <w:pStyle w:val="TableContents"/>
              <w:spacing w:before="0" w:after="0"/>
              <w:ind w:left="360" w:right="0" w:hanging="0"/>
              <w:jc w:val="left"/>
              <w:rPr>
                <w:rFonts w:ascii="times new roman" w:hAnsi="times new roman"/>
                <w:sz w:val="20"/>
              </w:rPr>
            </w:pPr>
            <w:bookmarkStart w:id="619" w:name="TAB1237"/>
            <w:bookmarkEnd w:id="619"/>
            <w:r>
              <w:rPr>
                <w:rFonts w:ascii="times new roman" w:hAnsi="times new roman"/>
                <w:sz w:val="20"/>
              </w:rPr>
              <w:t>EBITDA</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vAlign w:val="bottom"/>
          </w:tcPr>
          <w:p>
            <w:pPr>
              <w:pStyle w:val="TableContents"/>
              <w:spacing w:before="0" w:after="283"/>
              <w:ind w:left="164" w:right="0" w:hanging="0"/>
              <w:jc w:val="right"/>
              <w:rPr>
                <w:rFonts w:ascii="times new roman" w:hAnsi="times new roman"/>
                <w:sz w:val="20"/>
              </w:rPr>
            </w:pPr>
            <w:bookmarkStart w:id="620" w:name="TAB1238"/>
            <w:bookmarkEnd w:id="620"/>
            <w:r>
              <w:rPr>
                <w:rFonts w:ascii="times new roman" w:hAnsi="times new roman"/>
                <w:sz w:val="20"/>
              </w:rPr>
              <w:t>37,786</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bottom w:val="double" w:sz="8" w:space="0" w:color="000000"/>
            </w:tcBorders>
            <w:shd w:fill="CCEEFF" w:val="clear"/>
            <w:vAlign w:val="bottom"/>
          </w:tcPr>
          <w:p>
            <w:pPr>
              <w:pStyle w:val="TableContents"/>
              <w:spacing w:before="0" w:after="283"/>
              <w:ind w:left="164" w:right="0" w:hanging="0"/>
              <w:jc w:val="right"/>
              <w:rPr>
                <w:rFonts w:ascii="times new roman" w:hAnsi="times new roman"/>
                <w:sz w:val="20"/>
              </w:rPr>
            </w:pPr>
            <w:bookmarkStart w:id="621" w:name="TAB1239"/>
            <w:bookmarkEnd w:id="621"/>
            <w:r>
              <w:rPr>
                <w:rFonts w:ascii="times new roman" w:hAnsi="times new roman"/>
                <w:sz w:val="20"/>
              </w:rPr>
              <w:t>19,588</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vAlign w:val="bottom"/>
          </w:tcPr>
          <w:p>
            <w:pPr>
              <w:pStyle w:val="TableContents"/>
              <w:spacing w:before="0" w:after="283"/>
              <w:ind w:left="164" w:right="0" w:hanging="0"/>
              <w:jc w:val="right"/>
              <w:rPr>
                <w:rFonts w:ascii="times new roman" w:hAnsi="times new roman"/>
                <w:sz w:val="20"/>
              </w:rPr>
            </w:pPr>
            <w:bookmarkStart w:id="622" w:name="TAB1240"/>
            <w:bookmarkEnd w:id="622"/>
            <w:r>
              <w:rPr>
                <w:rFonts w:ascii="times new roman" w:hAnsi="times new roman"/>
                <w:sz w:val="20"/>
              </w:rPr>
              <w:t>20,019</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vAlign w:val="bottom"/>
          </w:tcPr>
          <w:p>
            <w:pPr>
              <w:pStyle w:val="TableContents"/>
              <w:spacing w:before="0" w:after="283"/>
              <w:ind w:left="164" w:right="0" w:hanging="0"/>
              <w:jc w:val="right"/>
              <w:rPr>
                <w:rFonts w:ascii="times new roman" w:hAnsi="times new roman"/>
                <w:sz w:val="20"/>
              </w:rPr>
            </w:pPr>
            <w:bookmarkStart w:id="623" w:name="TAB1241"/>
            <w:bookmarkEnd w:id="623"/>
            <w:r>
              <w:rPr>
                <w:rFonts w:ascii="times new roman" w:hAnsi="times new roman"/>
                <w:sz w:val="20"/>
              </w:rPr>
              <w:t>25,946</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bottom w:val="double" w:sz="8" w:space="0" w:color="000000"/>
            </w:tcBorders>
            <w:shd w:fill="CCEEFF" w:val="clear"/>
            <w:vAlign w:val="bottom"/>
          </w:tcPr>
          <w:p>
            <w:pPr>
              <w:pStyle w:val="TableContents"/>
              <w:spacing w:before="0" w:after="283"/>
              <w:ind w:left="164" w:right="0" w:hanging="0"/>
              <w:jc w:val="right"/>
              <w:rPr>
                <w:rFonts w:ascii="times new roman" w:hAnsi="times new roman"/>
                <w:sz w:val="20"/>
              </w:rPr>
            </w:pPr>
            <w:bookmarkStart w:id="624" w:name="TAB1242"/>
            <w:bookmarkEnd w:id="624"/>
            <w:r>
              <w:rPr>
                <w:rFonts w:ascii="times new roman" w:hAnsi="times new roman"/>
                <w:sz w:val="20"/>
              </w:rPr>
              <w:t>19,622</w:t>
            </w:r>
          </w:p>
        </w:tc>
        <w:tc>
          <w:tcPr>
            <w:tcW w:w="123"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5" w:name="PGBRK30"/>
      <w:bookmarkStart w:id="626" w:name="PGBRK30"/>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7" w:name="FTR30"/>
      <w:bookmarkStart w:id="628" w:name="FTR30"/>
      <w:bookmarkEnd w:id="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29" w:name="GLFTR30"/>
      <w:bookmarkEnd w:id="6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0" w:name="PN30"/>
      <w:bookmarkEnd w:id="630"/>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1" w:name="HDR30"/>
      <w:bookmarkStart w:id="632" w:name="HDR30"/>
      <w:bookmarkEnd w:id="6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33" w:name="GLHDR30"/>
        <w:bookmarkEnd w:id="63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u w:val="single"/>
        </w:rPr>
      </w:pPr>
      <w:bookmarkStart w:id="634" w:name="item7"/>
      <w:bookmarkEnd w:id="634"/>
      <w:r>
        <w:rPr>
          <w:rFonts w:ascii="Times New Roman" w:hAnsi="Times New Roman"/>
          <w:b/>
          <w:sz w:val="20"/>
          <w:u w:val="single"/>
        </w:rPr>
        <w:t>Item 7 – Management’s Discussions and Analysis of Financial Condition and Results of Operations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35" w:name="TAB1243"/>
      <w:bookmarkEnd w:id="635"/>
      <w:r>
        <w:rPr>
          <w:rFonts w:ascii="Times New Roman" w:hAnsi="Times New Roman"/>
          <w:sz w:val="20"/>
        </w:rPr>
        <w:t>The following review should be read in conjunction with the consolidated financial statements and related notes included in our 2009 Annual Report.  Historical results and percentage relationships do not necessarily indicate operating results for any future periods.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Overview</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36" w:name="TAB1244"/>
      <w:bookmarkEnd w:id="636"/>
      <w:r>
        <w:rPr>
          <w:rFonts w:ascii="Times New Roman" w:hAnsi="Times New Roman"/>
          <w:sz w:val="20"/>
        </w:rPr>
        <w:t>We are an internationally diversified company principally focused on the development, ownership, and operation of entertainment and real property assets in the United States, Australia, and New Zealand.  Currently, we operate in two business segments: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37" w:name="list38"/>
      <w:bookmarkStart w:id="638" w:name="list38"/>
      <w:bookmarkEnd w:id="638"/>
    </w:p>
    <w:tbl>
      <w:tblPr>
        <w:tblW w:w="5000" w:type="pct"/>
        <w:jc w:val="left"/>
        <w:tblInd w:w="0" w:type="dxa"/>
        <w:tblCellMar>
          <w:top w:w="0" w:type="dxa"/>
          <w:left w:w="0" w:type="dxa"/>
          <w:bottom w:w="0" w:type="dxa"/>
          <w:right w:w="0" w:type="dxa"/>
        </w:tblCellMar>
      </w:tblPr>
      <w:tblGrid>
        <w:gridCol w:w="802"/>
        <w:gridCol w:w="9403"/>
      </w:tblGrid>
      <w:tr>
        <w:trPr/>
        <w:tc>
          <w:tcPr>
            <w:tcW w:w="80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Cinema Exhibition, through our 59 multiplex theaters,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39" w:name="list39"/>
      <w:bookmarkStart w:id="640" w:name="list39"/>
      <w:bookmarkEnd w:id="640"/>
    </w:p>
    <w:tbl>
      <w:tblPr>
        <w:tblW w:w="5000" w:type="pct"/>
        <w:jc w:val="left"/>
        <w:tblInd w:w="0" w:type="dxa"/>
        <w:tblCellMar>
          <w:top w:w="0" w:type="dxa"/>
          <w:left w:w="0" w:type="dxa"/>
          <w:bottom w:w="0" w:type="dxa"/>
          <w:right w:w="0" w:type="dxa"/>
        </w:tblCellMar>
      </w:tblPr>
      <w:tblGrid>
        <w:gridCol w:w="468"/>
        <w:gridCol w:w="9737"/>
      </w:tblGrid>
      <w:tr>
        <w:trPr/>
        <w:tc>
          <w:tcPr>
            <w:tcW w:w="46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Real Estate, including real estate development and the rental of retail, commercial and live theater assets.</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641" w:name="TAB1245"/>
      <w:bookmarkEnd w:id="641"/>
      <w:r>
        <w:rPr>
          <w:rFonts w:ascii="Times New Roman" w:hAnsi="Times New Roman"/>
          <w:sz w:val="20"/>
        </w:rPr>
        <w:t>We believe that these two business segments can complement one another, as the comparatively consistent cash flows generated by our cinema operations can be used to fund the front-end cash demands of our real estate development business.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We manage our worldwide cinema exhibition businesses under various different brands: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42" w:name="list40"/>
      <w:bookmarkStart w:id="643" w:name="list40"/>
      <w:bookmarkEnd w:id="643"/>
    </w:p>
    <w:tbl>
      <w:tblPr>
        <w:tblW w:w="5000" w:type="pct"/>
        <w:jc w:val="left"/>
        <w:tblInd w:w="0" w:type="dxa"/>
        <w:tblCellMar>
          <w:top w:w="0" w:type="dxa"/>
          <w:left w:w="0" w:type="dxa"/>
          <w:bottom w:w="0" w:type="dxa"/>
          <w:right w:w="0" w:type="dxa"/>
        </w:tblCellMar>
      </w:tblPr>
      <w:tblGrid>
        <w:gridCol w:w="460"/>
        <w:gridCol w:w="9745"/>
      </w:tblGrid>
      <w:tr>
        <w:trPr/>
        <w:tc>
          <w:tcPr>
            <w:tcW w:w="46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the US, under the Reading, Angelika Film Center, Consolidated Amusements, and City Cinemas brands;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4" w:name="list41"/>
      <w:bookmarkStart w:id="645" w:name="list41"/>
      <w:bookmarkEnd w:id="645"/>
    </w:p>
    <w:tbl>
      <w:tblPr>
        <w:tblW w:w="5000" w:type="pct"/>
        <w:jc w:val="left"/>
        <w:tblInd w:w="0" w:type="dxa"/>
        <w:tblCellMar>
          <w:top w:w="0" w:type="dxa"/>
          <w:left w:w="0" w:type="dxa"/>
          <w:bottom w:w="0" w:type="dxa"/>
          <w:right w:w="0" w:type="dxa"/>
        </w:tblCellMar>
      </w:tblPr>
      <w:tblGrid>
        <w:gridCol w:w="1074"/>
        <w:gridCol w:w="9131"/>
      </w:tblGrid>
      <w:tr>
        <w:trPr/>
        <w:tc>
          <w:tcPr>
            <w:tcW w:w="107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Australia, under the Reading brand;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6" w:name="list42"/>
      <w:bookmarkStart w:id="647" w:name="list42"/>
      <w:bookmarkEnd w:id="647"/>
    </w:p>
    <w:tbl>
      <w:tblPr>
        <w:tblW w:w="5000" w:type="pct"/>
        <w:jc w:val="left"/>
        <w:tblInd w:w="0" w:type="dxa"/>
        <w:tblCellMar>
          <w:top w:w="0" w:type="dxa"/>
          <w:left w:w="0" w:type="dxa"/>
          <w:bottom w:w="0" w:type="dxa"/>
          <w:right w:w="0" w:type="dxa"/>
        </w:tblCellMar>
      </w:tblPr>
      <w:tblGrid>
        <w:gridCol w:w="864"/>
        <w:gridCol w:w="9341"/>
      </w:tblGrid>
      <w:tr>
        <w:trPr/>
        <w:tc>
          <w:tcPr>
            <w:tcW w:w="86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New Zealand, under the Reading and Rialto brands.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48" w:name="TAB1246"/>
      <w:bookmarkEnd w:id="648"/>
      <w:r>
        <w:rPr>
          <w:rFonts w:ascii="Times New Roman" w:hAnsi="Times New Roman"/>
          <w:sz w:val="20"/>
        </w:rPr>
        <w:t>While we do not believe the cinema exhibition business to be a growth business, we do believe it to be a business that will likely continue to generate fairly consistent cash flows in the years ahead even in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a nd from the acquisition of existing cinemas rather than from the development of new cinemas.  Over time, we anticipate that our cinema operations will become increasingly a source of cash flow to support our real estate oriented activities, rather than a focus of growth, and that our real estate activities will, again, over time become the principal thrust of our business.  We also, from time to time, invest in the shares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Business Climate</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Cinema Exhibition - General</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49" w:name="TAB1247"/>
      <w:bookmarkEnd w:id="649"/>
      <w:r>
        <w:rPr>
          <w:rFonts w:ascii="Times New Roman" w:hAnsi="Times New Roman"/>
          <w:sz w:val="20"/>
        </w:rPr>
        <w:t>After years of uncertainty as to the future of digital and 3D exhibition and the impact of these technologies on cinema exhibition, it now appears that the industry is going digital, and that the major exhibitors are in the process of equipping at least one auditorium in each of their significant locations with 3D capability.  In 2009, cinemagoers demonstrated a strong appetite for and a willingness to pay premium prices for 3D movies.  The release schedule for 2010 lists 17 titles for 3D release, compared to 14 titles for 2009.</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By mid-year, we anticipate that we will have 3D projectors in not less than 28 out of the 53 cinema locations that we either wholly own or consolidate.  We believe that the transition from film to digital projectors, while likely inevitable, will take some time to roll out and our business plan is to be selective in our selection of auditoriums to be fitted out with such technology, identifying those situations where premiums can best be achieved by having such projection capabilities.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0" w:name="PGBRK31"/>
      <w:bookmarkStart w:id="651" w:name="PGBRK31"/>
      <w:bookmarkEnd w:id="6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2" w:name="FTR31"/>
      <w:bookmarkStart w:id="653" w:name="FTR31"/>
      <w:bookmarkEnd w:id="6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54" w:name="GLFTR31"/>
      <w:bookmarkEnd w:id="6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5" w:name="PN31"/>
      <w:bookmarkEnd w:id="655"/>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6" w:name="HDR31"/>
      <w:bookmarkStart w:id="657" w:name="HDR31"/>
      <w:bookmarkEnd w:id="6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58" w:name="GLHDR31"/>
        <w:bookmarkEnd w:id="6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both"/>
        <w:rPr>
          <w:rFonts w:ascii="Times New Roman" w:hAnsi="Times New Roman"/>
          <w:sz w:val="20"/>
        </w:rPr>
      </w:pPr>
      <w:bookmarkStart w:id="659" w:name="TAB1248"/>
      <w:bookmarkEnd w:id="659"/>
      <w:r>
        <w:rPr>
          <w:rFonts w:ascii="Times New Roman" w:hAnsi="Times New Roman"/>
          <w:sz w:val="20"/>
        </w:rPr>
        <w:t>In the case of “in-home” entertainment alternatives, the industry is faced with the significant leaps achieved in recent periods in both the quality and affordability of in-home entertainment systems and in the accessibility to entertainment programming through cable, satellite, and DVD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domestic and international cinema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 Exhibition – Australia / New Zealand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60" w:name="TAB1249"/>
      <w:bookmarkEnd w:id="660"/>
      <w:r>
        <w:rPr>
          <w:rFonts w:ascii="Times New Roman" w:hAnsi="Times New Roman"/>
          <w:sz w:val="20"/>
        </w:rPr>
        <w:t>The film exhibition industry in Australia and New Zealand is highly concentrated in that Village, Greater Union, Birch Carroll, and Coyle and Hoyts (the “Major Exhibitors”) control approximately 68% of the cinema box office in Australia.  Following Greater Union’s acquisition of the Sky Cinemas circuit in New Zealand, they also control approximately 52% of that country’s cinema box office.  The industry is also vertically integrated in that one of the Major Exhibitors, Roadshow Film Distributors (part of Village), also serves as a distributor of film in Australia and New Zealand for Warner Bros. and New Line.  Films produced or distributed by the majority of the local international independent producers are also distributed by Roadsho w.  Typically, the Major Exhibitors own the newer multiplex and megaplex cinemas, while the independent exhibitors typically have older and smaller cinemas.  In addition, the Major Exhibitors have in recent periods built a number of new multiplexes as joint venture partners or under-shared facility arrangements, and have historically not engaged in head-to-head competition.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 Exhibition – North America</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61" w:name="TAB1250"/>
      <w:bookmarkEnd w:id="661"/>
      <w:r>
        <w:rPr>
          <w:rFonts w:ascii="Times New Roman" w:hAnsi="Times New Roman"/>
          <w:sz w:val="20"/>
        </w:rPr>
        <w:t>In North America, distributors may find it more commercially appealing to deal with major exhibitors, rather than to deal with independents like us, which tends to suppress the supply of screens in a very limited number of markets.  This competitive disadvantage has increased significantly in recent periods with the development of mega circuits like Regal and AMC, who are able to offer distributors access to screens on a truly nationwide basis, or on the other hand, to deny access if their desires with respect to film supply are not satisfied.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62" w:name="TAB1251"/>
      <w:bookmarkEnd w:id="662"/>
      <w:r>
        <w:rPr>
          <w:rFonts w:ascii="Times New Roman" w:hAnsi="Times New Roman"/>
          <w:sz w:val="20"/>
        </w:rPr>
        <w:t>These consolidations have adversely affected our ability to get film in certain domestic markets where we compete against major exhibitors.  With the restructuring and consolidation undertaken in the industry, and the emergence of increasingly attractive “in-home” entertainment alternatives, strategic cinema acquisitions by our North American operation have and can continue to be a way to combat such a competitive disadvantage.</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Real Estate – Australia and New Zealand</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663" w:name="TAB1252"/>
      <w:bookmarkEnd w:id="663"/>
      <w:r>
        <w:rPr>
          <w:rFonts w:ascii="Times New Roman" w:hAnsi="Times New Roman"/>
          <w:sz w:val="20"/>
        </w:rPr>
        <w:t>Although there has been a noted decrease in real estate market activity, commercial and retail property values have remained somewhat stable in Australia and mildly affected the market in New Zealand.  Both countries have relatively stable economies with varying degrees of economic growth that are mostly influenced by global trends.  During the latter half of 2008 and into early 2009 interest rates materially decreased to 40-year lows in Australia and New Zealand.  Up until recently, New Zealand has had consistent growth in rentals and values although project commencements have slowed.  New Zealand values have softened through early 2009 but in the latter part of 2009, there was a firming of values in residential.  Commercial and industrial values remain under pressure.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664" w:name="TAB1253"/>
      <w:bookmarkEnd w:id="664"/>
      <w:r>
        <w:rPr>
          <w:rFonts w:ascii="Times New Roman" w:hAnsi="Times New Roman"/>
          <w:sz w:val="20"/>
        </w:rPr>
        <w:t>Although the Australian property market softened in the first half of 2009, there are signs of improvement in the latter half of the year.  An improved sentiment in retail and residential sectors has provided an improved outlook.  These factors and an improving economy are putting upward pressure on interest rates.  The Australian commercial sector has however continued to soften in Australia during 2009.</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665" w:name="TAB1254"/>
      <w:bookmarkEnd w:id="665"/>
      <w:r>
        <w:rPr>
          <w:rFonts w:ascii="Times New Roman" w:hAnsi="Times New Roman"/>
          <w:sz w:val="20"/>
        </w:rPr>
        <w:t>The large institutional funds are still seeking out prime assets with premium prices being paid for good retail and commercial investments and development opportunities.  Residential projects are in high demand.</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666" w:name="TAB1255"/>
      <w:bookmarkEnd w:id="666"/>
      <w:r>
        <w:rPr>
          <w:rFonts w:ascii="Times New Roman" w:hAnsi="Times New Roman"/>
          <w:sz w:val="20"/>
        </w:rPr>
        <w:t>Sydney and Melbourne residential values have improved.  The national average residential values was up  in excess of 11% for the year assisted by the first home buyers grant and unsatisfied demand from a growing population.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7" w:name="PGBRK32"/>
      <w:bookmarkStart w:id="668" w:name="PGBRK32"/>
      <w:bookmarkEnd w:id="6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9" w:name="FTR32"/>
      <w:bookmarkStart w:id="670" w:name="FTR32"/>
      <w:bookmarkEnd w:id="6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71" w:name="GLFTR32"/>
      <w:bookmarkEnd w:id="6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2" w:name="PN32"/>
      <w:bookmarkEnd w:id="672"/>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3" w:name="HDR32"/>
      <w:bookmarkStart w:id="674" w:name="HDR32"/>
      <w:bookmarkEnd w:id="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75" w:name="GLHDR32"/>
        <w:bookmarkEnd w:id="6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Real Estate – North America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commercial real estate market has followed the larger economy into a downturn that is likely to last through 2010.  We believe that as our real estate is well located in large urban environments, it will be the first to see signs of recovery when the U.S. economy starts to recover.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Business Segments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76" w:name="TAB1256"/>
      <w:bookmarkEnd w:id="676"/>
      <w:r>
        <w:rPr>
          <w:rFonts w:ascii="Times New Roman" w:hAnsi="Times New Roman"/>
          <w:sz w:val="20"/>
        </w:rPr>
        <w:t>As indicated above, our two primary business segments are cinema exhibition and real estate.  These segments are summarized as follows: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 Exhibition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One of our primary businesses consists of the ownership and operation of cinemas.  At December 31, 2009 we: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77" w:name="list43"/>
      <w:bookmarkStart w:id="678" w:name="list43"/>
      <w:bookmarkEnd w:id="678"/>
    </w:p>
    <w:tbl>
      <w:tblPr>
        <w:tblW w:w="5000" w:type="pct"/>
        <w:jc w:val="left"/>
        <w:tblInd w:w="0" w:type="dxa"/>
        <w:tblCellMar>
          <w:top w:w="0" w:type="dxa"/>
          <w:left w:w="0" w:type="dxa"/>
          <w:bottom w:w="0" w:type="dxa"/>
          <w:right w:w="0" w:type="dxa"/>
        </w:tblCellMar>
      </w:tblPr>
      <w:tblGrid>
        <w:gridCol w:w="930"/>
        <w:gridCol w:w="9275"/>
      </w:tblGrid>
      <w:tr>
        <w:trPr/>
        <w:tc>
          <w:tcPr>
            <w:tcW w:w="93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owned and operated 53 cinemas with 425 screens;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9" w:name="list44"/>
      <w:bookmarkStart w:id="680" w:name="list44"/>
      <w:bookmarkEnd w:id="68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had interests in certain unconsolidated joint ventures in which we have varying interests, which own an additional 4 cinemas with 32 screens;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81" w:name="list45"/>
      <w:bookmarkStart w:id="682" w:name="list45"/>
      <w:bookmarkEnd w:id="682"/>
    </w:p>
    <w:tbl>
      <w:tblPr>
        <w:tblW w:w="5000" w:type="pct"/>
        <w:jc w:val="left"/>
        <w:tblInd w:w="0" w:type="dxa"/>
        <w:tblCellMar>
          <w:top w:w="0" w:type="dxa"/>
          <w:left w:w="0" w:type="dxa"/>
          <w:bottom w:w="0" w:type="dxa"/>
          <w:right w:w="0" w:type="dxa"/>
        </w:tblCellMar>
      </w:tblPr>
      <w:tblGrid>
        <w:gridCol w:w="1281"/>
        <w:gridCol w:w="8924"/>
      </w:tblGrid>
      <w:tr>
        <w:trPr/>
        <w:tc>
          <w:tcPr>
            <w:tcW w:w="128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managed 2 cinemas with 9 screens.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22, 2008, we acquired from two related companies, Pacific Theatres and Consolidated Amusement Theatres, substantially all of their cinema assets in Hawaii (consisting of nine complexes with 98 screens), San Diego County (consisting of four complexes with 51 screens), and Northern California (consisting of two complexes with 32 screens) for $70.2 million subject to certain purchase price adjustments.  We refer to these cinemas from time to time in this report as Consolidated Entertainment cinemas.  In addition, during 2008, we opened our Rouse Hill and Dandenong leasehold cinemas in Australia that collectively have 15 screens.  During the third quarter of 2009, we leased two existing cinemas in New York City with 3 screens but elected not to renew the lease of our 5-screen cinema in Market City , Australia.  On February 12, 2010, we entered in to a lease for an approximately 33,000 square foot 8-screen art cinema being built as a part of the Mosaic District in the greater Washington D.C. metropolitan area.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cinema revenue consists of admissions, concessions, and advertising.  The cinema operating expense consists of the costs directly attributable to the operation of the cinemas including employee-related, occupancy, and operating costs and film rent expense.  Cinema revenue and expense fluctuates with the availability of quality first-run films and the numbers of weeks the first–run films stay in the market.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Real Estate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83" w:name="TAB1257"/>
      <w:bookmarkEnd w:id="683"/>
      <w:r>
        <w:rPr>
          <w:rFonts w:ascii="Times New Roman" w:hAnsi="Times New Roman"/>
          <w:sz w:val="20"/>
        </w:rPr>
        <w:t>For fiscal 2009, our rental generating real estate holdings consisted of the following properties: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84" w:name="list46"/>
      <w:bookmarkStart w:id="685" w:name="list46"/>
      <w:bookmarkEnd w:id="685"/>
    </w:p>
    <w:tbl>
      <w:tblPr>
        <w:tblW w:w="5000" w:type="pct"/>
        <w:jc w:val="left"/>
        <w:tblInd w:w="0" w:type="dxa"/>
        <w:tblCellMar>
          <w:top w:w="0" w:type="dxa"/>
          <w:left w:w="0" w:type="dxa"/>
          <w:bottom w:w="0" w:type="dxa"/>
          <w:right w:w="0" w:type="dxa"/>
        </w:tblCellMar>
      </w:tblPr>
      <w:tblGrid>
        <w:gridCol w:w="416"/>
        <w:gridCol w:w="9789"/>
      </w:tblGrid>
      <w:tr>
        <w:trPr/>
        <w:tc>
          <w:tcPr>
            <w:tcW w:w="41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Belmont, Western Australia ETRC, our Auburn, New South Wales ETRC and our Wellington, New Zealand ETRC;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86" w:name="list47"/>
      <w:bookmarkStart w:id="687" w:name="list47"/>
      <w:bookmarkEnd w:id="687"/>
    </w:p>
    <w:tbl>
      <w:tblPr>
        <w:tblW w:w="5000" w:type="pct"/>
        <w:jc w:val="left"/>
        <w:tblInd w:w="0" w:type="dxa"/>
        <w:tblCellMar>
          <w:top w:w="0" w:type="dxa"/>
          <w:left w:w="0" w:type="dxa"/>
          <w:bottom w:w="0" w:type="dxa"/>
          <w:right w:w="0" w:type="dxa"/>
        </w:tblCellMar>
      </w:tblPr>
      <w:tblGrid>
        <w:gridCol w:w="592"/>
        <w:gridCol w:w="9613"/>
      </w:tblGrid>
      <w:tr>
        <w:trPr/>
        <w:tc>
          <w:tcPr>
            <w:tcW w:w="59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Newmarket shopping center in Newmarket, Queensland, a suburb of Brisbane;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88" w:name="list48"/>
      <w:bookmarkStart w:id="689" w:name="list48"/>
      <w:bookmarkEnd w:id="68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three single auditorium live theaters in Manhattan (Minetta Lane, Orpheum, and Union Square) and a four auditorium live theater complex in Chicago (The Royal George) and, in the case of the Union Square and the Royal George their accompanying ancillary retail and commercial tenants;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90" w:name="list49"/>
      <w:bookmarkStart w:id="691" w:name="list49"/>
      <w:bookmarkEnd w:id="69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New Zealand commercial property and an Australian commercial property rented to an unrelated third party, to be held for current income and long-term appreciation;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92" w:name="list50"/>
      <w:bookmarkStart w:id="693" w:name="list50"/>
      <w:bookmarkEnd w:id="69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Lake Taupo property in New Zealand that is currently improved with a motel that we renovated to be condominiums.  A portion of this property includes unimproved land for which we have no development plans at present;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94" w:name="list51"/>
      <w:bookmarkStart w:id="695" w:name="list51"/>
      <w:bookmarkEnd w:id="695"/>
    </w:p>
    <w:tbl>
      <w:tblPr>
        <w:tblW w:w="5000" w:type="pct"/>
        <w:jc w:val="left"/>
        <w:tblInd w:w="0" w:type="dxa"/>
        <w:tblCellMar>
          <w:top w:w="0" w:type="dxa"/>
          <w:left w:w="0" w:type="dxa"/>
          <w:bottom w:w="0" w:type="dxa"/>
          <w:right w:w="0" w:type="dxa"/>
        </w:tblCellMar>
      </w:tblPr>
      <w:tblGrid>
        <w:gridCol w:w="554"/>
        <w:gridCol w:w="9651"/>
      </w:tblGrid>
      <w:tr>
        <w:trPr/>
        <w:tc>
          <w:tcPr>
            <w:tcW w:w="55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ancillary retail and commercial tenants at some of our non-ETRC cinema properties.</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6" w:name="PGBRK33"/>
      <w:bookmarkStart w:id="697" w:name="PGBRK33"/>
      <w:bookmarkEnd w:id="6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8" w:name="FTR33"/>
      <w:bookmarkStart w:id="699" w:name="FTR33"/>
      <w:bookmarkEnd w:id="6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00" w:name="GLFTR33"/>
      <w:bookmarkEnd w:id="7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1" w:name="PN33"/>
      <w:bookmarkEnd w:id="701"/>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2" w:name="HDR33"/>
      <w:bookmarkStart w:id="703" w:name="HDR33"/>
      <w:bookmarkEnd w:id="7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704" w:name="GLHDR33"/>
        <w:bookmarkEnd w:id="70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In addition, we have approximately 5.3 million square feet of unimproved real estate held for development in Australia and New Zealand, discussed in greater detail below, and certain unimproved land in the United States that was used in our historic activities.  We also own an 8,783 square foot commercial building in Melbourne, which serves as our administrative headquarters for Australia and New Zealand, approximately 50% of which is leased to an unrelated third party.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September 16, 2008, we entered into an option agreement to sell our Auburn property for $28.5 million (AUS$36.0 million).  The option agreement called for an initial option payment of $948,000 (AUS$1.2 million), received on the agreement date, and four option installment payments of $316,000 (AUS$400,000), $316,000 (AUS$400,000), $316,000 (AUS$400,000), and $948,000 (AUS$1.2 million) payable over the subsequent 9 months.  As of December 31, 2008, we had received $1.3 million (AUS$1.6 million) in payments associated with this option agreement, and, during the first quarter of 2009, we received the second installment of $265,000 (AUS$400,000).  In May 2009, the buyer elected not to proceed further.  As a result, the buyer lost the benefit of its previously paid $1.5 million (AUS$2.0 million) in option fees, and no longer has any right to acquire our Auburn property.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2009, we acquired the following real property interests:</w:t>
      </w:r>
    </w:p>
    <w:p>
      <w:pPr>
        <w:pStyle w:val="TextBody"/>
        <w:spacing w:before="0" w:after="0"/>
        <w:ind w:left="0" w:right="0" w:hanging="0"/>
        <w:rPr/>
      </w:pPr>
      <w:r>
        <w:rPr/>
      </w:r>
    </w:p>
    <w:p>
      <w:pPr>
        <w:pStyle w:val="Normal"/>
        <w:spacing w:before="0" w:after="0"/>
        <w:rPr>
          <w:sz w:val="4"/>
          <w:szCs w:val="4"/>
        </w:rPr>
      </w:pPr>
      <w:r>
        <w:rPr>
          <w:sz w:val="4"/>
          <w:szCs w:val="4"/>
        </w:rPr>
      </w:r>
      <w:bookmarkStart w:id="705" w:name="list52"/>
      <w:bookmarkStart w:id="706" w:name="list52"/>
      <w:bookmarkEnd w:id="70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Additional Manukau Land Purchase</w:t>
            </w:r>
            <w:r>
              <w:rPr>
                <w:rFonts w:ascii="Times New Roman" w:hAnsi="Times New Roman"/>
                <w:sz w:val="20"/>
              </w:rPr>
              <w:t>.  On April 30, 2009, we entered into an agreement to purchase for $3.8 million (NZ$5.2 million) a property adjacent to our Manukau property.  An initial deposit of $26,000 (NZ$50,000) was paid upon signing of the agreement, a second deposit of $175,000 (NZ$258,000) was paid in the second quarter of 2009 and a third deposit of $531,000 (NZ$773,000) was paid in August 2009.  The remaining balance is due on the settlement date of March 31, 2010.</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2008, we acquired the following real property interests:</w:t>
      </w:r>
    </w:p>
    <w:p>
      <w:pPr>
        <w:pStyle w:val="TextBody"/>
        <w:spacing w:before="0" w:after="0"/>
        <w:ind w:left="0" w:right="0" w:hanging="0"/>
        <w:rPr/>
      </w:pPr>
      <w:r>
        <w:rPr/>
      </w:r>
    </w:p>
    <w:p>
      <w:pPr>
        <w:pStyle w:val="Normal"/>
        <w:spacing w:before="0" w:after="0"/>
        <w:rPr>
          <w:sz w:val="4"/>
          <w:szCs w:val="4"/>
        </w:rPr>
      </w:pPr>
      <w:r>
        <w:rPr>
          <w:sz w:val="4"/>
          <w:szCs w:val="4"/>
        </w:rPr>
      </w:r>
      <w:bookmarkStart w:id="707" w:name="list53"/>
      <w:bookmarkStart w:id="708" w:name="list53"/>
      <w:bookmarkEnd w:id="70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Taringa Land</w:t>
            </w:r>
            <w:r>
              <w:rPr>
                <w:rFonts w:ascii="Times New Roman" w:hAnsi="Times New Roman"/>
                <w:sz w:val="20"/>
              </w:rPr>
              <w:t>.  During the first quarter of 2008, we acquired or entered into agreements to acquire four contiguous properties of approximately 50,000 square feet, for which we are in the planning stages for a mixed-use development project.  The aggregate purchase price of these properties is $12.3 million (AUS$13.7 million), of which $2.5 million (AUS$2.8 million) relates to the three properties that have been acquired and $9.8 million (AUS$10.9 million) relates to the one property that is under contract to be acquired.  Our obligation to close on the fourth property is subject to certain conditions (which we may waive) including a rezoning condition.  We have made a $209,000 (AUS$300,000) deposit on this property.</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Property Held For or Under Development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09" w:name="TAB1258"/>
      <w:bookmarkEnd w:id="709"/>
      <w:r>
        <w:rPr>
          <w:rFonts w:ascii="Times New Roman" w:hAnsi="Times New Roman"/>
          <w:sz w:val="20"/>
        </w:rPr>
        <w:t>For fiscal 2009, our investments in property held for or under development consisted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10" w:name="list54"/>
      <w:bookmarkStart w:id="711" w:name="list54"/>
      <w:bookmarkEnd w:id="71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approximately 50.6 acre property located in the Burwood area of Melbourne, Australia, rezoned from an essentially industrial zone to a priority zone allowing a variety of retail, entertainment, commercial and residential uses and currently in the planning stages of development;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2" w:name="list55"/>
      <w:bookmarkStart w:id="713" w:name="list55"/>
      <w:bookmarkEnd w:id="71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acquired or entered into agreements to acquire four contiguous properties in the Taringa area of Brisbane, Australia of approximately 50,000 square feet, for which we are in the planning stages for a mixed-use development project;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4" w:name="list56"/>
      <w:bookmarkStart w:id="715" w:name="list56"/>
      <w:bookmarkEnd w:id="71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approximately 3.3 acre property located in the Moonee Ponds area of Melbourne, Australia.  We are currently working to finalize plans for the development of this property into a mixed use entertainment based retail and commercial complex;</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6" w:name="list57"/>
      <w:bookmarkStart w:id="717" w:name="list57"/>
      <w:bookmarkEnd w:id="71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approximately 0.9 acre property located adjacent to the Courtenay Central ETRC in Wellington, New Zealand.  We have received all necessary governmental approvals to develop the site for retail, commercial and entertainment purposes as Phase II of our existing ETRC.  We anticipate the construction of an approximately 162,000 square foot retail project which, when completed, will be integrated into the common areas of our existing ETRC;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8" w:name="list58"/>
      <w:bookmarkStart w:id="719" w:name="list58"/>
      <w:bookmarkEnd w:id="71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25% interest, representing an investment of $3.0 million, in the company redeveloping the site of our old Sutton Cinema site in Manhattan, New York.  The property has been redeveloped as an approximately 143,000 square foot residential condominium project with ground floor retail and marketed under the name “</w:t>
            </w:r>
            <w:r>
              <w:rPr>
                <w:rFonts w:ascii="Times New Roman" w:hAnsi="Times New Roman"/>
                <w:i/>
                <w:sz w:val="20"/>
              </w:rPr>
              <w:t>Place 57</w:t>
            </w:r>
            <w:r>
              <w:rPr>
                <w:rFonts w:ascii="Times New Roman" w:hAnsi="Times New Roman"/>
                <w:sz w:val="20"/>
              </w:rPr>
              <w:t>.”  As of December 31, 2009, all of the units had been sold except for the manager’s unit and we had received distributions totaling $12.8 million including $3.0 million of return of capital investment;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0" w:name="PGBRK34"/>
      <w:bookmarkStart w:id="721" w:name="PGBRK34"/>
      <w:bookmarkEnd w:id="7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2" w:name="FTR34"/>
      <w:bookmarkStart w:id="723" w:name="FTR34"/>
      <w:bookmarkEnd w:id="7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24" w:name="GLFTR34"/>
      <w:bookmarkEnd w:id="7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5" w:name="PN34"/>
      <w:bookmarkEnd w:id="725"/>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6" w:name="HDR34"/>
      <w:bookmarkStart w:id="727" w:name="HDR34"/>
      <w:bookmarkEnd w:id="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728" w:name="GLHDR34"/>
        <w:bookmarkEnd w:id="72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29" w:name="list59"/>
      <w:bookmarkStart w:id="730" w:name="list59"/>
      <w:bookmarkEnd w:id="73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Manukau land parcel purchased in 2007, consisting of a 64.0-acre parcel of undeveloped agricultural real estate.  Additionally, on April 30, 2009, we entered into an agreement to purchase for $3.8 million (NZ$5.2 million) a property adjacent to this existing property.  This additional property was acquired to improve the access of our larger parcel to the existing road network servicing the area.  We intend to rezone the larger parcel from its current agricultural use to commercial use, and thereafter to redevelop the properties in accordance with its new zoning.  The smaller parcel is already zoned for industrial use.  No assurances can be given that such rezoning will be achieved, or if achieved, that it will occur in the near term;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31" w:name="list60"/>
      <w:bookmarkStart w:id="732" w:name="list60"/>
      <w:bookmarkEnd w:id="73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1.0-acre parcel of commercial real estate located in Lake Taupo, New Zealand.  A portion of this property was improved with a motel in which we recently renovated the property’s units to be condominiums.  We have enhanced the property value with residential apartment entitlements for the adjoining vacant land.</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Property Developed During 2009</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33" w:name="TAB1259"/>
      <w:bookmarkEnd w:id="733"/>
      <w:r>
        <w:rPr>
          <w:rFonts w:ascii="Times New Roman" w:hAnsi="Times New Roman"/>
          <w:sz w:val="20"/>
        </w:rPr>
        <w:t>During the second quarter of 2009, we completed the construction of our office building development on our Indooroopilly, Brisbane, Australia property.  On July 24, 2009, we signed a lease with the City of Brisbane to lease our entire Indooroopilly building to them for an initial three-year period with two three-year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Critical Accounting Policies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34" w:name="TAB1260"/>
      <w:bookmarkEnd w:id="734"/>
      <w:r>
        <w:rPr>
          <w:rFonts w:ascii="Times New Roman" w:hAnsi="Times New Roman"/>
          <w:sz w:val="20"/>
        </w:rPr>
        <w:t>The Securities and Exchange Commission defines critical accounting policies as those that are, in management’s view, most important to the portrayal of the company’s financial condition and results of operations and the most demanding in their calls on judgment.  We believe our most critical accounting policies relate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35" w:name="list61"/>
      <w:bookmarkStart w:id="736" w:name="list61"/>
      <w:bookmarkEnd w:id="736"/>
    </w:p>
    <w:tbl>
      <w:tblPr>
        <w:tblW w:w="5000" w:type="pct"/>
        <w:jc w:val="left"/>
        <w:tblInd w:w="0" w:type="dxa"/>
        <w:tblCellMar>
          <w:top w:w="0" w:type="dxa"/>
          <w:left w:w="0" w:type="dxa"/>
          <w:bottom w:w="0" w:type="dxa"/>
          <w:right w:w="0" w:type="dxa"/>
        </w:tblCellMar>
      </w:tblPr>
      <w:tblGrid>
        <w:gridCol w:w="647"/>
        <w:gridCol w:w="9558"/>
      </w:tblGrid>
      <w:tr>
        <w:trPr/>
        <w:tc>
          <w:tcPr>
            <w:tcW w:w="64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impairment of long-lived assets, including goodwill and intangible assets;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37" w:name="list62"/>
      <w:bookmarkStart w:id="738" w:name="list62"/>
      <w:bookmarkEnd w:id="738"/>
    </w:p>
    <w:tbl>
      <w:tblPr>
        <w:tblW w:w="5000" w:type="pct"/>
        <w:jc w:val="left"/>
        <w:tblInd w:w="0" w:type="dxa"/>
        <w:tblCellMar>
          <w:top w:w="0" w:type="dxa"/>
          <w:left w:w="0" w:type="dxa"/>
          <w:bottom w:w="0" w:type="dxa"/>
          <w:right w:w="0" w:type="dxa"/>
        </w:tblCellMar>
      </w:tblPr>
      <w:tblGrid>
        <w:gridCol w:w="1015"/>
        <w:gridCol w:w="9190"/>
      </w:tblGrid>
      <w:tr>
        <w:trPr/>
        <w:tc>
          <w:tcPr>
            <w:tcW w:w="101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tax valuation allowance and obligations;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39" w:name="list63"/>
      <w:bookmarkStart w:id="740" w:name="list63"/>
      <w:bookmarkEnd w:id="740"/>
    </w:p>
    <w:tbl>
      <w:tblPr>
        <w:tblW w:w="5000" w:type="pct"/>
        <w:jc w:val="left"/>
        <w:tblInd w:w="0" w:type="dxa"/>
        <w:tblCellMar>
          <w:top w:w="0" w:type="dxa"/>
          <w:left w:w="0" w:type="dxa"/>
          <w:bottom w:w="0" w:type="dxa"/>
          <w:right w:w="0" w:type="dxa"/>
        </w:tblCellMar>
      </w:tblPr>
      <w:tblGrid>
        <w:gridCol w:w="1214"/>
        <w:gridCol w:w="8991"/>
      </w:tblGrid>
      <w:tr>
        <w:trPr/>
        <w:tc>
          <w:tcPr>
            <w:tcW w:w="121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legal and environmental obligations.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41" w:name="TAB1261"/>
      <w:bookmarkEnd w:id="741"/>
      <w:r>
        <w:rPr>
          <w:rFonts w:ascii="Times New Roman" w:hAnsi="Times New Roman"/>
          <w:sz w:val="20"/>
        </w:rPr>
        <w:t>We review long-lived assets, including goodwill and intangibles, for impairment as part of our annual budgeting process, at the end of the third quarter, and whenever events or changes in circumstances indicate that the carrying amount of the asset may not be fully recoverable.  We review internal management reports on a monthly basis as well as monitor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future cash flows, undiscounted, were to be less than the carrying amount of the asset, then an impairment would be recognized for the amount by which the carrying value of the asset exceeds its estimated fair value based on a discounted cash flow calculation.  Goodwill and intangible assets are evaluated on a reporting unit basis.  The impairment evaluation is based on the present value of estimated future cash flows of the segment plus the expected terminal value.  There are significant assumptions and estimates used in determining the future cash flows and terminal value.  Accordingly, actual results could vary materially from such estimates.  Based on calculations of current value, we recorded impairment losses of $3.2 million and $4.3 million relating to certain of our property and cinema locations for the years ended December 31, 2009 and 2008, respectively.  The impairments reflect our estimates of fair value which were based on appraisals or a discounted income approach with market based assumptions.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42" w:name="TAB1262"/>
      <w:bookmarkEnd w:id="742"/>
      <w:r>
        <w:rPr>
          <w:rFonts w:ascii="Times New Roman" w:hAnsi="Times New Roman"/>
          <w:sz w:val="20"/>
        </w:rPr>
        <w:t>We record our estimated future tax benefits and liabilities arising from the temporary differences between the tax bases of assets and liabilities and amounts reported in the accompanying consolidated balance sheets, as well as operating loss carry forwards.  We estimate the recoverability of any tax assets recorded on the balance sheet and provide any necessary allowances as required.  As of December 31, 2009, we had recorded approximately $59.6 million of deferred tax assets related to the temporary differences between the tax bases of assets and liabilities and amounts reported in the accompanying consolidated balance sheets, as well as operating loss carry forwards and tax credit carry forwards.  These deferred tax assets were fully offset by a valuation allowance in the same amount, resulting in a net deferred tax asset of zero.  The recoverability of deferred tax assets is dependent upon our ability to generate future taxable income.  There is no assurance that sufficient future taxable income will be generated to benefit from our tax loss carry forwards and tax credit carry forwards.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3" w:name="PGBRK35"/>
      <w:bookmarkStart w:id="744" w:name="PGBRK35"/>
      <w:bookmarkEnd w:id="7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5" w:name="FTR35"/>
      <w:bookmarkStart w:id="746" w:name="FTR35"/>
      <w:bookmarkEnd w:id="7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47" w:name="GLFTR35"/>
      <w:bookmarkEnd w:id="7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8" w:name="PN35"/>
      <w:bookmarkEnd w:id="748"/>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9" w:name="HDR35"/>
      <w:bookmarkStart w:id="750" w:name="HDR35"/>
      <w:bookmarkEnd w:id="7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751" w:name="GLHDR35"/>
        <w:bookmarkEnd w:id="75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t> </w:t>
      </w:r>
      <w:r>
        <w:rPr>
          <w:rFonts w:ascii="Times New Roman" w:hAnsi="Times New Roman"/>
          <w:sz w:val="20"/>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 le environmental laws is material in amount.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we are involved with claims and lawsuits arising in the ordinary course of our business that may include contractual obligations; insurance claims; tax claims; employment matters; and anti-trust issues, among other matters.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Results of Operations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52" w:name="TAB1263"/>
      <w:bookmarkEnd w:id="752"/>
      <w:r>
        <w:rPr>
          <w:rFonts w:ascii="Times New Roman" w:hAnsi="Times New Roman"/>
          <w:sz w:val="20"/>
        </w:rPr>
        <w:t>We currently operate two operating segments: Cinema Exhibition and Real Estate.  Our cinema segment includes the operations of our consolidated cinemas.  Our real estate segment includes the operating results of our commercial real estate holdings, cinema real estate, live theater real estate, and ETRC’s.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tables below summarize the results of operations for our principal business segments for the years ended December 31, 2009, 2008, and 2007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2009</w:t>
            </w:r>
          </w:p>
        </w:tc>
        <w:tc>
          <w:tcPr>
            <w:tcW w:w="105" w:type="dxa"/>
            <w:tcBorders/>
            <w:shd w:fill="auto" w:val="clear"/>
            <w:tcMar>
              <w:bottom w:w="0" w:type="dxa"/>
            </w:tcMar>
            <w:vAlign w:val="bottom"/>
          </w:tcPr>
          <w:p>
            <w:pPr>
              <w:pStyle w:val="TableContents"/>
              <w:spacing w:before="0" w:after="283"/>
              <w:rPr/>
            </w:pPr>
            <w:r>
              <w:rPr/>
              <w:t> </w:t>
            </w:r>
          </w:p>
        </w:tc>
        <w:tc>
          <w:tcPr>
            <w:tcW w:w="127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 Exhibition</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3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42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 Eliminations</w:t>
            </w:r>
          </w:p>
        </w:tc>
        <w:tc>
          <w:tcPr>
            <w:tcW w:w="119"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0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Revenue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201,388</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25,269</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(9,643</w:t>
            </w:r>
          </w:p>
        </w:tc>
        <w:tc>
          <w:tcPr>
            <w:tcW w:w="1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217,014</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165,707</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11,994</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(9,643</w:t>
            </w:r>
          </w:p>
        </w:tc>
        <w:tc>
          <w:tcPr>
            <w:tcW w:w="1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168,058</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Depreciation &amp; amortization</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10,816</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3,686</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pPr>
            <w:r>
              <w:rPr/>
              <w:t> </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14,502</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Loss on transfer of real estate held for sale to continuing operations</w:t>
            </w:r>
          </w:p>
        </w:tc>
        <w:tc>
          <w:tcPr>
            <w:tcW w:w="105" w:type="dxa"/>
            <w:tcBorders/>
            <w:shd w:fill="FFFFFF" w:val="clear"/>
            <w:tcMar>
              <w:bottom w:w="0" w:type="dxa"/>
            </w:tcMar>
            <w:vAlign w:val="bottom"/>
          </w:tcPr>
          <w:p>
            <w:pPr>
              <w:pStyle w:val="TableContents"/>
              <w:spacing w:before="0" w:after="283"/>
              <w:jc w:val="left"/>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Impairment expense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pPr>
            <w:r>
              <w:rPr/>
              <w:t> </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Contractual commitment loss</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General &amp; administrative expense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bottom w:val="single" w:sz="12" w:space="0" w:color="000000"/>
            </w:tcBorders>
            <w:shd w:fill="CCEEFF" w:val="clear"/>
            <w:vAlign w:val="bottom"/>
          </w:tcPr>
          <w:p>
            <w:pPr>
              <w:pStyle w:val="TableContents"/>
              <w:spacing w:before="0" w:after="283"/>
              <w:jc w:val="left"/>
              <w:rPr/>
            </w:pPr>
            <w:r>
              <w:rPr/>
              <w:t> </w:t>
            </w:r>
          </w:p>
        </w:tc>
        <w:tc>
          <w:tcPr>
            <w:tcW w:w="111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2,645</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98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bottom w:val="single" w:sz="12" w:space="0" w:color="000000"/>
            </w:tcBorders>
            <w:shd w:fill="CCEEFF" w:val="clear"/>
            <w:vAlign w:val="bottom"/>
          </w:tcPr>
          <w:p>
            <w:pPr>
              <w:pStyle w:val="TableContents"/>
              <w:spacing w:before="0" w:after="283"/>
              <w:jc w:val="left"/>
              <w:rPr/>
            </w:pPr>
            <w:r>
              <w:rPr/>
              <w:t> </w:t>
            </w:r>
          </w:p>
        </w:tc>
        <w:tc>
          <w:tcPr>
            <w:tcW w:w="1215" w:type="dxa"/>
            <w:tcBorders>
              <w:bottom w:val="single" w:sz="12" w:space="0" w:color="000000"/>
            </w:tcBorders>
            <w:shd w:fill="CCEEFF" w:val="clear"/>
            <w:vAlign w:val="bottom"/>
          </w:tcPr>
          <w:p>
            <w:pPr>
              <w:pStyle w:val="TableContents"/>
              <w:spacing w:before="0" w:after="283"/>
              <w:jc w:val="righ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105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3,708</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operating income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22,220</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3,668</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25,888</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bottom w:val="double" w:sz="8" w:space="0" w:color="000000"/>
            </w:tcBorders>
            <w:shd w:fill="FFFFFF"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2008</w:t>
            </w:r>
          </w:p>
        </w:tc>
        <w:tc>
          <w:tcPr>
            <w:tcW w:w="105" w:type="dxa"/>
            <w:tcBorders/>
            <w:shd w:fill="FFFFFF" w:val="clear"/>
            <w:tcMar>
              <w:bottom w:w="0" w:type="dxa"/>
            </w:tcMar>
            <w:vAlign w:val="bottom"/>
          </w:tcPr>
          <w:p>
            <w:pPr>
              <w:pStyle w:val="TableContents"/>
              <w:spacing w:before="0" w:after="283"/>
              <w:rPr/>
            </w:pPr>
            <w:r>
              <w:rPr/>
              <w:t> </w:t>
            </w:r>
          </w:p>
        </w:tc>
        <w:tc>
          <w:tcPr>
            <w:tcW w:w="1278"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 Exhibition</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134"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425"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 Eliminations</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208"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Revenue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181,188</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23,694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(7,828</w:t>
            </w:r>
          </w:p>
        </w:tc>
        <w:tc>
          <w:tcPr>
            <w:tcW w:w="1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197,054</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153,064</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9,791</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(7,828</w:t>
            </w:r>
          </w:p>
        </w:tc>
        <w:tc>
          <w:tcPr>
            <w:tcW w:w="1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155,027</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Depreciation &amp; amortization</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13,702</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pPr>
            <w:r>
              <w:rPr/>
              <w:t> </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17,902</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Impairment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351</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3,968</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4,319</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General &amp; administrative expense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bottom w:val="single" w:sz="12" w:space="0" w:color="000000"/>
            </w:tcBorders>
            <w:shd w:fill="CCEEFF" w:val="clear"/>
            <w:vAlign w:val="bottom"/>
          </w:tcPr>
          <w:p>
            <w:pPr>
              <w:pStyle w:val="TableContents"/>
              <w:spacing w:before="0" w:after="283"/>
              <w:jc w:val="left"/>
              <w:rPr/>
            </w:pPr>
            <w:r>
              <w:rPr/>
              <w:t> </w:t>
            </w:r>
          </w:p>
        </w:tc>
        <w:tc>
          <w:tcPr>
            <w:tcW w:w="111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98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1,121</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bottom w:val="single" w:sz="12" w:space="0" w:color="000000"/>
            </w:tcBorders>
            <w:shd w:fill="CCEEFF" w:val="clear"/>
            <w:vAlign w:val="bottom"/>
          </w:tcPr>
          <w:p>
            <w:pPr>
              <w:pStyle w:val="TableContents"/>
              <w:spacing w:before="0" w:after="283"/>
              <w:jc w:val="left"/>
              <w:rPr/>
            </w:pPr>
            <w:r>
              <w:rPr/>
              <w:t> </w:t>
            </w:r>
          </w:p>
        </w:tc>
        <w:tc>
          <w:tcPr>
            <w:tcW w:w="121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105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4,955</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operating income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10,237</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4,614</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14,851</w:t>
            </w:r>
          </w:p>
        </w:tc>
        <w:tc>
          <w:tcPr>
            <w:tcW w:w="125" w:type="dxa"/>
            <w:tcBorders/>
            <w:shd w:fill="FFFFFF" w:val="clear"/>
            <w:tcMar>
              <w:bottom w:w="0" w:type="dxa"/>
            </w:tcM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53" w:name="PGBRK36"/>
      <w:bookmarkStart w:id="754" w:name="PGBRK36"/>
      <w:bookmarkEnd w:id="7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55" w:name="FTR36"/>
      <w:bookmarkStart w:id="756" w:name="FTR36"/>
      <w:bookmarkEnd w:id="7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757" w:name="GLFTR36"/>
      <w:bookmarkEnd w:id="7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58" w:name="PN36"/>
      <w:bookmarkEnd w:id="758"/>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59" w:name="HDR36"/>
      <w:bookmarkStart w:id="760" w:name="HDR36"/>
      <w:bookmarkEnd w:id="7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ableofcontents">
        <w:bookmarkStart w:id="761" w:name="GLHDR36"/>
        <w:bookmarkEnd w:id="76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bottom w:val="double" w:sz="8"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Year Ended December 31, 2007</w:t>
            </w:r>
          </w:p>
        </w:tc>
        <w:tc>
          <w:tcPr>
            <w:tcW w:w="105" w:type="dxa"/>
            <w:tcBorders/>
            <w:shd w:fill="auto" w:val="clear"/>
            <w:tcMar>
              <w:bottom w:w="0" w:type="dxa"/>
            </w:tcMar>
            <w:vAlign w:val="bottom"/>
          </w:tcPr>
          <w:p>
            <w:pPr>
              <w:pStyle w:val="TableContents"/>
              <w:spacing w:before="0" w:after="283"/>
              <w:rPr/>
            </w:pPr>
            <w:r>
              <w:rPr/>
              <w:t> </w:t>
            </w:r>
          </w:p>
        </w:tc>
        <w:tc>
          <w:tcPr>
            <w:tcW w:w="127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 Exhibition</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3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42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 Eliminations</w:t>
            </w:r>
          </w:p>
        </w:tc>
        <w:tc>
          <w:tcPr>
            <w:tcW w:w="119"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0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Revenue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103,467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21,887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(6,119</w:t>
            </w:r>
          </w:p>
        </w:tc>
        <w:tc>
          <w:tcPr>
            <w:tcW w:w="1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119,235</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83,875</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8,324</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(6,119</w:t>
            </w:r>
          </w:p>
        </w:tc>
        <w:tc>
          <w:tcPr>
            <w:tcW w:w="1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86,080</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Depreciation &amp; amortization</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6,942</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4,418</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pPr>
            <w:r>
              <w:rPr/>
              <w:t> </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11,360</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General &amp; administrative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bottom w:val="single" w:sz="12" w:space="0" w:color="000000"/>
            </w:tcBorders>
            <w:shd w:fill="FFFFFF" w:val="clear"/>
            <w:vAlign w:val="bottom"/>
          </w:tcPr>
          <w:p>
            <w:pPr>
              <w:pStyle w:val="TableContents"/>
              <w:spacing w:before="0" w:after="283"/>
              <w:jc w:val="left"/>
              <w:rPr/>
            </w:pPr>
            <w:r>
              <w:rPr/>
              <w:t> </w:t>
            </w:r>
          </w:p>
        </w:tc>
        <w:tc>
          <w:tcPr>
            <w:tcW w:w="111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3,195</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single" w:sz="12" w:space="0" w:color="000000"/>
            </w:tcBorders>
            <w:shd w:fill="FFFFFF" w:val="clear"/>
            <w:vAlign w:val="bottom"/>
          </w:tcPr>
          <w:p>
            <w:pPr>
              <w:pStyle w:val="TableContents"/>
              <w:spacing w:before="0" w:after="283"/>
              <w:jc w:val="left"/>
              <w:rPr/>
            </w:pPr>
            <w:r>
              <w:rPr/>
              <w:t> </w:t>
            </w:r>
          </w:p>
        </w:tc>
        <w:tc>
          <w:tcPr>
            <w:tcW w:w="98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bottom w:val="single" w:sz="12" w:space="0" w:color="000000"/>
            </w:tcBorders>
            <w:shd w:fill="FFFFFF" w:val="clear"/>
            <w:vAlign w:val="bottom"/>
          </w:tcPr>
          <w:p>
            <w:pPr>
              <w:pStyle w:val="TableContents"/>
              <w:spacing w:before="0" w:after="283"/>
              <w:jc w:val="left"/>
              <w:rPr/>
            </w:pPr>
            <w:r>
              <w:rPr/>
              <w:t> </w:t>
            </w:r>
          </w:p>
        </w:tc>
        <w:tc>
          <w:tcPr>
            <w:tcW w:w="121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single" w:sz="12" w:space="0" w:color="000000"/>
            </w:tcBorders>
            <w:shd w:fill="FFFFFF" w:val="clear"/>
            <w:vAlign w:val="bottom"/>
          </w:tcPr>
          <w:p>
            <w:pPr>
              <w:pStyle w:val="TableContents"/>
              <w:spacing w:before="0" w:after="283"/>
              <w:jc w:val="left"/>
              <w:rPr/>
            </w:pPr>
            <w:r>
              <w:rPr/>
              <w:t> </w:t>
            </w:r>
          </w:p>
        </w:tc>
        <w:tc>
          <w:tcPr>
            <w:tcW w:w="105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4,026</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operating income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9,455</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8,314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17,769</w:t>
            </w:r>
          </w:p>
        </w:tc>
        <w:tc>
          <w:tcPr>
            <w:tcW w:w="125"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190"/>
        <w:gridCol w:w="107"/>
        <w:gridCol w:w="125"/>
        <w:gridCol w:w="996"/>
        <w:gridCol w:w="112"/>
        <w:gridCol w:w="107"/>
        <w:gridCol w:w="125"/>
        <w:gridCol w:w="996"/>
        <w:gridCol w:w="112"/>
        <w:gridCol w:w="107"/>
        <w:gridCol w:w="125"/>
        <w:gridCol w:w="980"/>
        <w:gridCol w:w="123"/>
      </w:tblGrid>
      <w:tr>
        <w:trPr/>
        <w:tc>
          <w:tcPr>
            <w:tcW w:w="619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Reconciliation to net income (loss):</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0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3" w:type="dxa"/>
            <w:tcBorders/>
            <w:shd w:fill="auto" w:val="clear"/>
            <w:tcMar>
              <w:bottom w:w="0" w:type="dxa"/>
            </w:tcMar>
            <w:vAlign w:val="bottom"/>
          </w:tcPr>
          <w:p>
            <w:pPr>
              <w:pStyle w:val="TableContents"/>
              <w:spacing w:before="0" w:after="283"/>
              <w:jc w:val="left"/>
              <w:rPr/>
            </w:pPr>
            <w:r>
              <w:rPr/>
              <w:t> </w:t>
            </w:r>
          </w:p>
        </w:tc>
      </w:tr>
      <w:tr>
        <w:trPr/>
        <w:tc>
          <w:tcPr>
            <w:tcW w:w="619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segment operating income</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25,888</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14,851</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17,769</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150" w:right="0" w:hanging="0"/>
              <w:jc w:val="both"/>
              <w:rPr>
                <w:rFonts w:ascii="times new roman" w:hAnsi="times new roman"/>
                <w:sz w:val="20"/>
              </w:rPr>
            </w:pPr>
            <w:bookmarkStart w:id="762" w:name="TAB1264"/>
            <w:bookmarkEnd w:id="762"/>
            <w:r>
              <w:rPr>
                <w:rFonts w:ascii="times new roman" w:hAnsi="times new roman"/>
                <w:sz w:val="20"/>
              </w:rPr>
              <w:t>Non-segment: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0" w:type="dxa"/>
            <w:tcBorders/>
            <w:shd w:fill="CCEEFF" w:val="clear"/>
            <w:tcMar>
              <w:bottom w:w="0" w:type="dxa"/>
            </w:tcMar>
            <w:vAlign w:val="bottom"/>
          </w:tcPr>
          <w:p>
            <w:pPr>
              <w:pStyle w:val="TableContents"/>
              <w:spacing w:before="0" w:after="0"/>
              <w:ind w:left="419" w:right="0" w:hanging="0"/>
              <w:jc w:val="both"/>
              <w:rPr>
                <w:rFonts w:ascii="times new roman" w:hAnsi="times new roman"/>
                <w:sz w:val="20"/>
              </w:rPr>
            </w:pPr>
            <w:bookmarkStart w:id="763" w:name="TAB1265"/>
            <w:bookmarkEnd w:id="763"/>
            <w:r>
              <w:rPr>
                <w:rFonts w:ascii="times new roman" w:hAnsi="times new roman"/>
                <w:sz w:val="20"/>
              </w:rPr>
              <w:t>Depreciation and amortization expense</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666</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656</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561</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419" w:right="0" w:hanging="0"/>
              <w:jc w:val="both"/>
              <w:rPr>
                <w:rFonts w:ascii="times new roman" w:hAnsi="times new roman"/>
                <w:sz w:val="20"/>
              </w:rPr>
            </w:pPr>
            <w:bookmarkStart w:id="764" w:name="TAB1266"/>
            <w:bookmarkEnd w:id="764"/>
            <w:r>
              <w:rPr>
                <w:rFonts w:ascii="times new roman" w:hAnsi="times new roman"/>
                <w:sz w:val="20"/>
              </w:rPr>
              <w:t>General and administrative expense</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13,851</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16,483</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12,059</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0" w:type="dxa"/>
            <w:tcBorders>
              <w:bottom w:val="single" w:sz="12" w:space="0" w:color="000000"/>
            </w:tcBorders>
            <w:shd w:fill="CCEEFF" w:val="clear"/>
            <w:vAlign w:val="bottom"/>
          </w:tcPr>
          <w:p>
            <w:pPr>
              <w:pStyle w:val="TableContents"/>
              <w:spacing w:before="0" w:after="0"/>
              <w:ind w:left="419" w:right="0" w:hanging="0"/>
              <w:jc w:val="both"/>
              <w:rPr>
                <w:rFonts w:ascii="times new roman" w:hAnsi="times new roman"/>
                <w:sz w:val="20"/>
              </w:rPr>
            </w:pPr>
            <w:bookmarkStart w:id="765" w:name="TAB1267"/>
            <w:bookmarkEnd w:id="765"/>
            <w:r>
              <w:rPr>
                <w:rFonts w:ascii="times new roman" w:hAnsi="times new roman"/>
                <w:sz w:val="20"/>
              </w:rPr>
              <w:t>Other operating income</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(2,551</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8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Operating income (loss)</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13,922</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(2,288</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5,149</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0" w:type="dxa"/>
            <w:tcBorders/>
            <w:shd w:fill="CCEEFF" w:val="clear"/>
            <w:tcMar>
              <w:bottom w:w="0" w:type="dxa"/>
            </w:tcMar>
            <w:vAlign w:val="bottom"/>
          </w:tcPr>
          <w:p>
            <w:pPr>
              <w:pStyle w:val="TableContents"/>
              <w:spacing w:before="0" w:after="0"/>
              <w:ind w:left="150" w:right="0" w:hanging="0"/>
              <w:jc w:val="both"/>
              <w:rPr>
                <w:rFonts w:ascii="times new roman" w:hAnsi="times new roman"/>
                <w:sz w:val="20"/>
              </w:rPr>
            </w:pPr>
            <w:bookmarkStart w:id="766" w:name="TAB1268"/>
            <w:bookmarkEnd w:id="766"/>
            <w:r>
              <w:rPr>
                <w:rFonts w:ascii="times new roman" w:hAnsi="times new roman"/>
                <w:sz w:val="20"/>
              </w:rPr>
              <w:t>Interest expense, net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(14,572</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(15,740</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(8,163</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shd w:fill="FFFFFF" w:val="clear"/>
            <w:tcMar>
              <w:bottom w:w="0" w:type="dxa"/>
            </w:tcMar>
            <w:vAlign w:val="bottom"/>
          </w:tcPr>
          <w:p>
            <w:pPr>
              <w:pStyle w:val="TableContents"/>
              <w:spacing w:before="0" w:after="0"/>
              <w:ind w:left="150" w:right="0" w:hanging="0"/>
              <w:jc w:val="both"/>
              <w:rPr>
                <w:rFonts w:ascii="times new roman" w:hAnsi="times new roman"/>
                <w:sz w:val="20"/>
              </w:rPr>
            </w:pPr>
            <w:bookmarkStart w:id="767" w:name="TAB1269"/>
            <w:bookmarkEnd w:id="767"/>
            <w:r>
              <w:rPr>
                <w:rFonts w:ascii="times new roman" w:hAnsi="times new roman"/>
                <w:sz w:val="20"/>
              </w:rPr>
              <w:t>Other income (expense)</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(2,015</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991</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shd w:fill="CCEEFF" w:val="clear"/>
            <w:tcMar>
              <w:bottom w:w="0" w:type="dxa"/>
            </w:tcMar>
            <w:vAlign w:val="bottom"/>
          </w:tcPr>
          <w:p>
            <w:pPr>
              <w:pStyle w:val="TableContents"/>
              <w:spacing w:before="0" w:after="0"/>
              <w:ind w:left="150" w:right="0" w:hanging="0"/>
              <w:jc w:val="both"/>
              <w:rPr>
                <w:rFonts w:ascii="times new roman" w:hAnsi="times new roman"/>
                <w:sz w:val="20"/>
              </w:rPr>
            </w:pPr>
            <w:bookmarkStart w:id="768" w:name="TAB1270"/>
            <w:bookmarkEnd w:id="768"/>
            <w:r>
              <w:rPr>
                <w:rFonts w:ascii="times new roman" w:hAnsi="times new roman"/>
                <w:sz w:val="20"/>
              </w:rPr>
              <w:t>Gain on disposal of discontinued operations</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1,912</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150" w:right="0" w:hanging="0"/>
              <w:jc w:val="both"/>
              <w:rPr>
                <w:rFonts w:ascii="times new roman" w:hAnsi="times new roman"/>
                <w:sz w:val="20"/>
              </w:rPr>
            </w:pPr>
            <w:bookmarkStart w:id="769" w:name="TAB1271"/>
            <w:bookmarkEnd w:id="769"/>
            <w:r>
              <w:rPr>
                <w:rFonts w:ascii="times new roman" w:hAnsi="times new roman"/>
                <w:sz w:val="20"/>
              </w:rPr>
              <w:t>Income tax expense</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(2,099</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(2,038</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shd w:fill="CCEEFF" w:val="clear"/>
            <w:tcMar>
              <w:bottom w:w="0" w:type="dxa"/>
            </w:tcMar>
            <w:vAlign w:val="bottom"/>
          </w:tcPr>
          <w:p>
            <w:pPr>
              <w:pStyle w:val="TableContents"/>
              <w:spacing w:before="0" w:after="0"/>
              <w:ind w:left="336" w:right="0" w:hanging="180"/>
              <w:jc w:val="both"/>
              <w:rPr>
                <w:rFonts w:ascii="times new roman" w:hAnsi="times new roman"/>
                <w:sz w:val="20"/>
              </w:rPr>
            </w:pPr>
            <w:bookmarkStart w:id="770" w:name="TAB1272"/>
            <w:bookmarkEnd w:id="770"/>
            <w:r>
              <w:rPr>
                <w:rFonts w:ascii="times new roman" w:hAnsi="times new roman"/>
                <w:sz w:val="20"/>
              </w:rPr>
              <w:t>Equity earnings of unconsolidated joint ventures  and entities</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497</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2,545</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150" w:right="0" w:hanging="0"/>
              <w:jc w:val="both"/>
              <w:rPr>
                <w:rFonts w:ascii="times new roman" w:hAnsi="times new roman"/>
                <w:sz w:val="20"/>
              </w:rPr>
            </w:pPr>
            <w:bookmarkStart w:id="771" w:name="TAB1273"/>
            <w:bookmarkEnd w:id="771"/>
            <w:r>
              <w:rPr>
                <w:rFonts w:ascii="times new roman" w:hAnsi="times new roman"/>
                <w:sz w:val="20"/>
              </w:rPr>
              <w:t>Gain on sale of unconsolidated joint venture</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2,450</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0" w:type="dxa"/>
            <w:tcBorders>
              <w:bottom w:val="single" w:sz="12" w:space="0" w:color="000000"/>
            </w:tcBorders>
            <w:shd w:fill="CCEEFF" w:val="clear"/>
            <w:vAlign w:val="bottom"/>
          </w:tcPr>
          <w:p>
            <w:pPr>
              <w:pStyle w:val="TableContents"/>
              <w:spacing w:before="0" w:after="0"/>
              <w:ind w:left="150" w:right="0" w:hanging="0"/>
              <w:jc w:val="both"/>
              <w:rPr>
                <w:rFonts w:ascii="times new roman" w:hAnsi="times new roman"/>
                <w:sz w:val="20"/>
              </w:rPr>
            </w:pPr>
            <w:bookmarkStart w:id="772" w:name="TAB1274"/>
            <w:bookmarkEnd w:id="772"/>
            <w:r>
              <w:rPr>
                <w:rFonts w:ascii="times new roman" w:hAnsi="times new roman"/>
                <w:sz w:val="20"/>
              </w:rPr>
              <w:t>Gain on extinguishment of debt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10,714</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8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(loss)</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(16,189</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bottom w:val="single" w:sz="12" w:space="0" w:color="000000"/>
            </w:tcBorders>
            <w:shd w:fill="CCEEFF" w:val="clear"/>
            <w:vAlign w:val="bottom"/>
          </w:tcPr>
          <w:p>
            <w:pPr>
              <w:pStyle w:val="TableContents"/>
              <w:spacing w:before="0" w:after="0"/>
              <w:ind w:left="150" w:right="0" w:hanging="0"/>
              <w:jc w:val="both"/>
              <w:rPr>
                <w:rFonts w:ascii="times new roman" w:hAnsi="times new roman"/>
                <w:sz w:val="20"/>
              </w:rPr>
            </w:pPr>
            <w:bookmarkStart w:id="773" w:name="TAB1275"/>
            <w:bookmarkEnd w:id="773"/>
            <w:r>
              <w:rPr>
                <w:rFonts w:ascii="times new roman" w:hAnsi="times new roman"/>
                <w:sz w:val="20"/>
              </w:rPr>
              <w:t>Net income attributable to noncontrolling interests</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ind w:left="228" w:right="0" w:hanging="0"/>
              <w:jc w:val="right"/>
              <w:rPr>
                <w:rFonts w:ascii="times new roman" w:hAnsi="times new roman"/>
                <w:sz w:val="20"/>
              </w:rPr>
            </w:pPr>
            <w:bookmarkStart w:id="774" w:name="TAB1276"/>
            <w:bookmarkEnd w:id="774"/>
            <w:r>
              <w:rPr>
                <w:rFonts w:ascii="times new roman" w:hAnsi="times new roman"/>
                <w:sz w:val="20"/>
              </w:rPr>
              <w:t>(388</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ind w:left="228" w:right="0" w:hanging="0"/>
              <w:jc w:val="right"/>
              <w:rPr>
                <w:rFonts w:ascii="times new roman" w:hAnsi="times new roman"/>
                <w:sz w:val="20"/>
              </w:rPr>
            </w:pPr>
            <w:bookmarkStart w:id="775" w:name="TAB1277"/>
            <w:bookmarkEnd w:id="775"/>
            <w:r>
              <w:rPr>
                <w:rFonts w:ascii="times new roman" w:hAnsi="times new roman"/>
                <w:sz w:val="20"/>
              </w:rPr>
              <w:t>(620</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80" w:type="dxa"/>
            <w:tcBorders>
              <w:bottom w:val="single" w:sz="12" w:space="0" w:color="000000"/>
            </w:tcBorders>
            <w:shd w:fill="CCEEFF" w:val="clear"/>
            <w:vAlign w:val="bottom"/>
          </w:tcPr>
          <w:p>
            <w:pPr>
              <w:pStyle w:val="TableContents"/>
              <w:spacing w:before="0" w:after="283"/>
              <w:ind w:left="28" w:right="0" w:hanging="0"/>
              <w:jc w:val="right"/>
              <w:rPr>
                <w:rFonts w:ascii="times new roman" w:hAnsi="times new roman"/>
                <w:sz w:val="20"/>
              </w:rPr>
            </w:pPr>
            <w:bookmarkStart w:id="776" w:name="TAB1278"/>
            <w:bookmarkEnd w:id="776"/>
            <w:r>
              <w:rPr>
                <w:rFonts w:ascii="times new roman" w:hAnsi="times new roman"/>
                <w:sz w:val="20"/>
              </w:rPr>
              <w:t>(1,003</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bottom w:val="double" w:sz="8" w:space="0" w:color="000000"/>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 (loss) attributable to Reading International, Inc. common shareholders</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(16,809</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(2,103</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Cinema Exhibition Segment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tables and discussion that follows detail our operating results for our 2009, 2008, and 2007 cinema exhibition segment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740"/>
        <w:gridCol w:w="106"/>
        <w:gridCol w:w="135"/>
        <w:gridCol w:w="1027"/>
        <w:gridCol w:w="106"/>
        <w:gridCol w:w="106"/>
        <w:gridCol w:w="143"/>
        <w:gridCol w:w="1016"/>
        <w:gridCol w:w="106"/>
        <w:gridCol w:w="106"/>
        <w:gridCol w:w="136"/>
        <w:gridCol w:w="982"/>
        <w:gridCol w:w="106"/>
        <w:gridCol w:w="106"/>
        <w:gridCol w:w="135"/>
        <w:gridCol w:w="1027"/>
        <w:gridCol w:w="122"/>
      </w:tblGrid>
      <w:tr>
        <w:trPr/>
        <w:tc>
          <w:tcPr>
            <w:tcW w:w="474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2009</w:t>
            </w:r>
          </w:p>
        </w:tc>
        <w:tc>
          <w:tcPr>
            <w:tcW w:w="106" w:type="dxa"/>
            <w:tcBorders/>
            <w:shd w:fill="auto" w:val="clear"/>
            <w:tcMar>
              <w:bottom w:w="0" w:type="dxa"/>
            </w:tcMar>
            <w:vAlign w:val="bottom"/>
          </w:tcPr>
          <w:p>
            <w:pPr>
              <w:pStyle w:val="TableContents"/>
              <w:spacing w:before="0" w:after="283"/>
              <w:rPr/>
            </w:pPr>
            <w:r>
              <w:rPr/>
              <w:t> </w:t>
            </w:r>
          </w:p>
        </w:tc>
        <w:tc>
          <w:tcPr>
            <w:tcW w:w="116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5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1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6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2" w:type="dxa"/>
            <w:tcBorders/>
            <w:shd w:fill="auto"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Admissions revenue</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777" w:name="TAB1279"/>
            <w:bookmarkEnd w:id="777"/>
            <w:r>
              <w:rPr>
                <w:rFonts w:ascii="times new roman" w:hAnsi="times new roman"/>
                <w:sz w:val="20"/>
              </w:rPr>
              <w:t>75,105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778" w:name="TAB1280"/>
            <w:bookmarkEnd w:id="778"/>
            <w:r>
              <w:rPr>
                <w:rFonts w:ascii="times new roman" w:hAnsi="times new roman"/>
                <w:sz w:val="20"/>
              </w:rPr>
              <w:t>53,533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779" w:name="TAB1281"/>
            <w:bookmarkEnd w:id="779"/>
            <w:r>
              <w:rPr>
                <w:rFonts w:ascii="times new roman" w:hAnsi="times new roman"/>
                <w:sz w:val="20"/>
              </w:rPr>
              <w:t>13,985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780" w:name="TAB1282"/>
            <w:bookmarkEnd w:id="780"/>
            <w:r>
              <w:rPr>
                <w:rFonts w:ascii="times new roman" w:hAnsi="times new roman"/>
                <w:sz w:val="20"/>
              </w:rPr>
              <w:t>142,623</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Concessions revenue</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29,021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17,862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3,905</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50,788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Advertising and other revenue</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102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1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6" w:type="dxa"/>
            <w:tcBorders>
              <w:bottom w:val="single" w:sz="12" w:space="0" w:color="000000"/>
            </w:tcBorders>
            <w:shd w:fill="CCEEFF" w:val="clear"/>
            <w:vAlign w:val="bottom"/>
          </w:tcPr>
          <w:p>
            <w:pPr>
              <w:pStyle w:val="TableContents"/>
              <w:spacing w:before="0" w:after="283"/>
              <w:jc w:val="left"/>
              <w:rPr/>
            </w:pPr>
            <w:r>
              <w:rPr/>
              <w:t> </w:t>
            </w:r>
          </w:p>
        </w:tc>
        <w:tc>
          <w:tcPr>
            <w:tcW w:w="98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102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7,977</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ind w:left="23" w:right="0" w:hanging="0"/>
              <w:jc w:val="right"/>
              <w:rPr>
                <w:rFonts w:ascii="times new roman" w:hAnsi="times new roman"/>
                <w:sz w:val="20"/>
              </w:rPr>
            </w:pPr>
            <w:bookmarkStart w:id="781" w:name="TAB1283"/>
            <w:bookmarkEnd w:id="781"/>
            <w:r>
              <w:rPr>
                <w:rFonts w:ascii="times new roman" w:hAnsi="times new roman"/>
                <w:sz w:val="20"/>
              </w:rPr>
              <w:t>108,946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ind w:left="77" w:right="0" w:hanging="0"/>
              <w:jc w:val="right"/>
              <w:rPr>
                <w:rFonts w:ascii="times new roman" w:hAnsi="times new roman"/>
                <w:sz w:val="20"/>
              </w:rPr>
            </w:pPr>
            <w:bookmarkStart w:id="782" w:name="TAB1284"/>
            <w:bookmarkEnd w:id="782"/>
            <w:r>
              <w:rPr>
                <w:rFonts w:ascii="times new roman" w:hAnsi="times new roman"/>
                <w:sz w:val="20"/>
              </w:rPr>
              <w:t>73,778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ind w:left="300" w:right="0" w:hanging="0"/>
              <w:jc w:val="right"/>
              <w:rPr>
                <w:rFonts w:ascii="times new roman" w:hAnsi="times new roman"/>
                <w:sz w:val="20"/>
              </w:rPr>
            </w:pPr>
            <w:bookmarkStart w:id="783" w:name="TAB1285"/>
            <w:bookmarkEnd w:id="783"/>
            <w:r>
              <w:rPr>
                <w:rFonts w:ascii="times new roman" w:hAnsi="times new roman"/>
                <w:sz w:val="20"/>
              </w:rPr>
              <w:t>18,664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201,388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 costs</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ind w:left="156" w:right="0" w:hanging="0"/>
              <w:jc w:val="right"/>
              <w:rPr>
                <w:rFonts w:ascii="times new roman" w:hAnsi="times new roman"/>
                <w:sz w:val="20"/>
              </w:rPr>
            </w:pPr>
            <w:bookmarkStart w:id="784" w:name="TAB1286"/>
            <w:bookmarkEnd w:id="784"/>
            <w:r>
              <w:rPr>
                <w:rFonts w:ascii="times new roman" w:hAnsi="times new roman"/>
                <w:sz w:val="20"/>
              </w:rPr>
              <w:t>88,838</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785" w:name="TAB1287"/>
            <w:bookmarkEnd w:id="785"/>
            <w:r>
              <w:rPr>
                <w:rFonts w:ascii="times new roman" w:hAnsi="times new roman"/>
                <w:sz w:val="20"/>
              </w:rPr>
              <w:t>54,073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82" w:type="dxa"/>
            <w:tcBorders/>
            <w:shd w:fill="CCEEFF" w:val="clear"/>
            <w:tcMar>
              <w:bottom w:w="0" w:type="dxa"/>
            </w:tcMar>
            <w:vAlign w:val="bottom"/>
          </w:tcPr>
          <w:p>
            <w:pPr>
              <w:pStyle w:val="TableContents"/>
              <w:spacing w:before="0" w:after="283"/>
              <w:ind w:left="300" w:right="0" w:hanging="0"/>
              <w:jc w:val="right"/>
              <w:rPr>
                <w:rFonts w:ascii="times new roman" w:hAnsi="times new roman"/>
                <w:sz w:val="20"/>
              </w:rPr>
            </w:pPr>
            <w:bookmarkStart w:id="786" w:name="TAB1288"/>
            <w:bookmarkEnd w:id="786"/>
            <w:r>
              <w:rPr>
                <w:rFonts w:ascii="times new roman" w:hAnsi="times new roman"/>
                <w:sz w:val="20"/>
              </w:rPr>
              <w:t>13,636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156,547</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 costs</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ind w:left="290" w:right="0" w:hanging="0"/>
              <w:jc w:val="right"/>
              <w:rPr>
                <w:rFonts w:ascii="times new roman" w:hAnsi="times new roman"/>
                <w:sz w:val="20"/>
              </w:rPr>
            </w:pPr>
            <w:bookmarkStart w:id="787" w:name="TAB1289"/>
            <w:bookmarkEnd w:id="787"/>
            <w:r>
              <w:rPr>
                <w:rFonts w:ascii="times new roman" w:hAnsi="times new roman"/>
                <w:sz w:val="20"/>
              </w:rPr>
              <w:t>4,602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16" w:type="dxa"/>
            <w:tcBorders>
              <w:bottom w:val="single" w:sz="12" w:space="0" w:color="000000"/>
            </w:tcBorders>
            <w:shd w:fill="FFFFFF" w:val="clear"/>
            <w:vAlign w:val="bottom"/>
          </w:tcPr>
          <w:p>
            <w:pPr>
              <w:pStyle w:val="TableContents"/>
              <w:spacing w:before="0" w:after="283"/>
              <w:ind w:left="211" w:right="0" w:hanging="0"/>
              <w:jc w:val="right"/>
              <w:rPr>
                <w:rFonts w:ascii="times new roman" w:hAnsi="times new roman"/>
                <w:sz w:val="20"/>
              </w:rPr>
            </w:pPr>
            <w:bookmarkStart w:id="788" w:name="TAB1290"/>
            <w:bookmarkEnd w:id="788"/>
            <w:r>
              <w:rPr>
                <w:rFonts w:ascii="times new roman" w:hAnsi="times new roman"/>
                <w:sz w:val="20"/>
              </w:rPr>
              <w:t>3,662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6" w:type="dxa"/>
            <w:tcBorders>
              <w:bottom w:val="single" w:sz="12" w:space="0" w:color="000000"/>
            </w:tcBorders>
            <w:shd w:fill="FFFFFF" w:val="clear"/>
            <w:vAlign w:val="bottom"/>
          </w:tcPr>
          <w:p>
            <w:pPr>
              <w:pStyle w:val="TableContents"/>
              <w:spacing w:before="0" w:after="283"/>
              <w:jc w:val="left"/>
              <w:rPr/>
            </w:pPr>
            <w:r>
              <w:rPr/>
              <w:t> </w:t>
            </w:r>
          </w:p>
        </w:tc>
        <w:tc>
          <w:tcPr>
            <w:tcW w:w="982" w:type="dxa"/>
            <w:tcBorders>
              <w:bottom w:val="single" w:sz="12" w:space="0" w:color="000000"/>
            </w:tcBorders>
            <w:shd w:fill="FFFFFF" w:val="clear"/>
            <w:vAlign w:val="bottom"/>
          </w:tcPr>
          <w:p>
            <w:pPr>
              <w:pStyle w:val="TableContents"/>
              <w:spacing w:before="0" w:after="283"/>
              <w:ind w:left="634" w:right="0" w:hanging="0"/>
              <w:jc w:val="right"/>
              <w:rPr>
                <w:rFonts w:ascii="times new roman" w:hAnsi="times new roman"/>
                <w:sz w:val="20"/>
              </w:rPr>
            </w:pPr>
            <w:bookmarkStart w:id="789" w:name="TAB1291"/>
            <w:bookmarkEnd w:id="789"/>
            <w:r>
              <w:rPr>
                <w:rFonts w:ascii="times new roman" w:hAnsi="times new roman"/>
                <w:sz w:val="20"/>
              </w:rPr>
              <w:t>896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ind w:left="250" w:right="0" w:hanging="0"/>
              <w:jc w:val="right"/>
              <w:rPr>
                <w:rFonts w:ascii="times new roman" w:hAnsi="times new roman"/>
                <w:sz w:val="20"/>
              </w:rPr>
            </w:pPr>
            <w:bookmarkStart w:id="790" w:name="TAB1292"/>
            <w:bookmarkEnd w:id="790"/>
            <w:r>
              <w:rPr>
                <w:rFonts w:ascii="times new roman" w:hAnsi="times new roman"/>
                <w:sz w:val="20"/>
              </w:rPr>
              <w:t>9,160</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ind w:left="156" w:right="0" w:hanging="0"/>
              <w:jc w:val="right"/>
              <w:rPr>
                <w:rFonts w:ascii="times new roman" w:hAnsi="times new roman"/>
                <w:sz w:val="20"/>
              </w:rPr>
            </w:pPr>
            <w:bookmarkStart w:id="791" w:name="TAB1293"/>
            <w:bookmarkEnd w:id="791"/>
            <w:r>
              <w:rPr>
                <w:rFonts w:ascii="times new roman" w:hAnsi="times new roman"/>
                <w:sz w:val="20"/>
              </w:rPr>
              <w:t>93,440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792" w:name="TAB1294"/>
            <w:bookmarkEnd w:id="792"/>
            <w:r>
              <w:rPr>
                <w:rFonts w:ascii="times new roman" w:hAnsi="times new roman"/>
                <w:sz w:val="20"/>
              </w:rPr>
              <w:t>57,735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82" w:type="dxa"/>
            <w:tcBorders/>
            <w:shd w:fill="CCEEFF" w:val="clear"/>
            <w:tcMar>
              <w:bottom w:w="0" w:type="dxa"/>
            </w:tcMar>
            <w:vAlign w:val="bottom"/>
          </w:tcPr>
          <w:p>
            <w:pPr>
              <w:pStyle w:val="TableContents"/>
              <w:spacing w:before="0" w:after="283"/>
              <w:ind w:left="300" w:right="0" w:hanging="0"/>
              <w:jc w:val="right"/>
              <w:rPr>
                <w:rFonts w:ascii="times new roman" w:hAnsi="times new roman"/>
                <w:sz w:val="20"/>
              </w:rPr>
            </w:pPr>
            <w:bookmarkStart w:id="793" w:name="TAB1295"/>
            <w:bookmarkEnd w:id="793"/>
            <w:r>
              <w:rPr>
                <w:rFonts w:ascii="times new roman" w:hAnsi="times new roman"/>
                <w:sz w:val="20"/>
              </w:rPr>
              <w:t>14,532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165,707</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ind w:left="290" w:right="0" w:hanging="0"/>
              <w:jc w:val="right"/>
              <w:rPr>
                <w:rFonts w:ascii="times new roman" w:hAnsi="times new roman"/>
                <w:sz w:val="20"/>
              </w:rPr>
            </w:pPr>
            <w:bookmarkStart w:id="794" w:name="TAB1296"/>
            <w:bookmarkEnd w:id="794"/>
            <w:r>
              <w:rPr>
                <w:rFonts w:ascii="times new roman" w:hAnsi="times new roman"/>
                <w:sz w:val="20"/>
              </w:rPr>
              <w:t>7,043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795" w:name="TAB1297"/>
            <w:bookmarkEnd w:id="795"/>
            <w:r>
              <w:rPr>
                <w:rFonts w:ascii="times new roman" w:hAnsi="times new roman"/>
                <w:sz w:val="20"/>
              </w:rPr>
              <w:t>2,658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ind w:left="434" w:right="0" w:hanging="0"/>
              <w:jc w:val="right"/>
              <w:rPr>
                <w:rFonts w:ascii="times new roman" w:hAnsi="times new roman"/>
                <w:sz w:val="20"/>
              </w:rPr>
            </w:pPr>
            <w:bookmarkStart w:id="796" w:name="TAB1298"/>
            <w:bookmarkEnd w:id="796"/>
            <w:r>
              <w:rPr>
                <w:rFonts w:ascii="times new roman" w:hAnsi="times new roman"/>
                <w:sz w:val="20"/>
              </w:rPr>
              <w:t>1,115</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ind w:left="116" w:right="0" w:hanging="0"/>
              <w:jc w:val="right"/>
              <w:rPr>
                <w:rFonts w:ascii="times new roman" w:hAnsi="times new roman"/>
                <w:sz w:val="20"/>
              </w:rPr>
            </w:pPr>
            <w:bookmarkStart w:id="797" w:name="TAB1299"/>
            <w:bookmarkEnd w:id="797"/>
            <w:r>
              <w:rPr>
                <w:rFonts w:ascii="times new roman" w:hAnsi="times new roman"/>
                <w:sz w:val="20"/>
              </w:rPr>
              <w:t>10,816</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ind w:left="712" w:right="0" w:hanging="0"/>
              <w:jc w:val="right"/>
              <w:rPr>
                <w:rFonts w:ascii="times new roman" w:hAnsi="times new roman"/>
                <w:sz w:val="20"/>
              </w:rPr>
            </w:pPr>
            <w:bookmarkStart w:id="798" w:name="TAB1300"/>
            <w:bookmarkEnd w:id="798"/>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ind w:left="633" w:right="0" w:hanging="0"/>
              <w:jc w:val="right"/>
              <w:rPr>
                <w:rFonts w:ascii="times new roman" w:hAnsi="times new roman"/>
                <w:sz w:val="20"/>
              </w:rPr>
            </w:pPr>
            <w:bookmarkStart w:id="799" w:name="TAB1301"/>
            <w:bookmarkEnd w:id="799"/>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82" w:type="dxa"/>
            <w:tcBorders/>
            <w:shd w:fill="CCEEFF" w:val="clear"/>
            <w:tcMar>
              <w:bottom w:w="0" w:type="dxa"/>
            </w:tcMar>
            <w:vAlign w:val="bottom"/>
          </w:tcPr>
          <w:p>
            <w:pPr>
              <w:pStyle w:val="TableContents"/>
              <w:spacing w:before="0" w:after="283"/>
              <w:ind w:left="856" w:right="0" w:hanging="0"/>
              <w:jc w:val="right"/>
              <w:rPr>
                <w:rFonts w:ascii="times new roman" w:hAnsi="times new roman"/>
                <w:sz w:val="20"/>
              </w:rPr>
            </w:pPr>
            <w:bookmarkStart w:id="800" w:name="TAB1302"/>
            <w:bookmarkEnd w:id="800"/>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ind w:left="672" w:right="0" w:hanging="0"/>
              <w:jc w:val="right"/>
              <w:rPr>
                <w:rFonts w:ascii="times new roman" w:hAnsi="times new roman"/>
                <w:sz w:val="20"/>
              </w:rPr>
            </w:pPr>
            <w:bookmarkStart w:id="801" w:name="TAB1303"/>
            <w:bookmarkEnd w:id="801"/>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ind w:left="290" w:right="0" w:hanging="0"/>
              <w:jc w:val="right"/>
              <w:rPr>
                <w:rFonts w:ascii="times new roman" w:hAnsi="times new roman"/>
                <w:sz w:val="20"/>
              </w:rPr>
            </w:pPr>
            <w:bookmarkStart w:id="802" w:name="TAB1304"/>
            <w:bookmarkEnd w:id="802"/>
            <w:r>
              <w:rPr>
                <w:rFonts w:ascii="times new roman" w:hAnsi="times new roman"/>
                <w:sz w:val="20"/>
              </w:rPr>
              <w:t>1,943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16" w:type="dxa"/>
            <w:tcBorders>
              <w:bottom w:val="single" w:sz="12" w:space="0" w:color="000000"/>
            </w:tcBorders>
            <w:shd w:fill="FFFFFF" w:val="clear"/>
            <w:vAlign w:val="bottom"/>
          </w:tcPr>
          <w:p>
            <w:pPr>
              <w:pStyle w:val="TableContents"/>
              <w:spacing w:before="0" w:after="283"/>
              <w:ind w:left="411" w:right="0" w:hanging="0"/>
              <w:jc w:val="right"/>
              <w:rPr>
                <w:rFonts w:ascii="times new roman" w:hAnsi="times new roman"/>
                <w:sz w:val="20"/>
              </w:rPr>
            </w:pPr>
            <w:bookmarkStart w:id="803" w:name="TAB1305"/>
            <w:bookmarkEnd w:id="803"/>
            <w:r>
              <w:rPr>
                <w:rFonts w:ascii="times new roman" w:hAnsi="times new roman"/>
                <w:sz w:val="20"/>
              </w:rPr>
              <w:t>702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6" w:type="dxa"/>
            <w:tcBorders>
              <w:bottom w:val="single" w:sz="12" w:space="0" w:color="000000"/>
            </w:tcBorders>
            <w:shd w:fill="FFFFFF" w:val="clear"/>
            <w:vAlign w:val="bottom"/>
          </w:tcPr>
          <w:p>
            <w:pPr>
              <w:pStyle w:val="TableContents"/>
              <w:spacing w:before="0" w:after="283"/>
              <w:jc w:val="left"/>
              <w:rPr/>
            </w:pPr>
            <w:r>
              <w:rPr/>
              <w:t> </w:t>
            </w:r>
          </w:p>
        </w:tc>
        <w:tc>
          <w:tcPr>
            <w:tcW w:w="982" w:type="dxa"/>
            <w:tcBorders>
              <w:bottom w:val="single" w:sz="12" w:space="0" w:color="000000"/>
            </w:tcBorders>
            <w:shd w:fill="FFFFFF" w:val="clear"/>
            <w:vAlign w:val="bottom"/>
          </w:tcPr>
          <w:p>
            <w:pPr>
              <w:pStyle w:val="TableContents"/>
              <w:spacing w:before="0" w:after="283"/>
              <w:ind w:left="856" w:right="0" w:hanging="0"/>
              <w:jc w:val="right"/>
              <w:rPr>
                <w:rFonts w:ascii="times new roman" w:hAnsi="times new roman"/>
                <w:sz w:val="20"/>
              </w:rPr>
            </w:pPr>
            <w:bookmarkStart w:id="804" w:name="TAB1306"/>
            <w:bookmarkEnd w:id="804"/>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ind w:left="250" w:right="0" w:hanging="0"/>
              <w:jc w:val="right"/>
              <w:rPr>
                <w:rFonts w:ascii="times new roman" w:hAnsi="times new roman"/>
                <w:sz w:val="20"/>
              </w:rPr>
            </w:pPr>
            <w:bookmarkStart w:id="805" w:name="TAB1307"/>
            <w:bookmarkEnd w:id="805"/>
            <w:r>
              <w:rPr>
                <w:rFonts w:ascii="times new roman" w:hAnsi="times new roman"/>
                <w:sz w:val="20"/>
              </w:rPr>
              <w:t>2,645</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806" w:name="TAB1308"/>
            <w:bookmarkEnd w:id="806"/>
            <w:r>
              <w:rPr>
                <w:rFonts w:ascii="times new roman" w:hAnsi="times new roman"/>
                <w:sz w:val="20"/>
              </w:rPr>
              <w:t>6,520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3"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807" w:name="TAB1309"/>
            <w:bookmarkEnd w:id="807"/>
            <w:r>
              <w:rPr>
                <w:rFonts w:ascii="times new roman" w:hAnsi="times new roman"/>
                <w:sz w:val="20"/>
              </w:rPr>
              <w:t>12,683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6"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808" w:name="TAB1310"/>
            <w:bookmarkEnd w:id="808"/>
            <w:r>
              <w:rPr>
                <w:rFonts w:ascii="times new roman" w:hAnsi="times new roman"/>
                <w:sz w:val="20"/>
              </w:rPr>
              <w:t>3,017</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809" w:name="TAB1311"/>
            <w:bookmarkEnd w:id="809"/>
            <w:r>
              <w:rPr>
                <w:rFonts w:ascii="times new roman" w:hAnsi="times new roman"/>
                <w:sz w:val="20"/>
              </w:rPr>
              <w:t>22,220</w:t>
            </w:r>
          </w:p>
        </w:tc>
        <w:tc>
          <w:tcPr>
            <w:tcW w:w="12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0" w:name="PGBRK37"/>
      <w:bookmarkStart w:id="811" w:name="PGBRK37"/>
      <w:bookmarkEnd w:id="8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2" w:name="FTR37"/>
      <w:bookmarkStart w:id="813" w:name="FTR37"/>
      <w:bookmarkEnd w:id="8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14" w:name="GLFTR37"/>
      <w:bookmarkEnd w:id="8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5" w:name="PN37"/>
      <w:bookmarkEnd w:id="815"/>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6" w:name="HDR37"/>
      <w:bookmarkStart w:id="817" w:name="HDR37"/>
      <w:bookmarkEnd w:id="8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818" w:name="GLHDR37"/>
        <w:bookmarkEnd w:id="81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792"/>
        <w:gridCol w:w="106"/>
        <w:gridCol w:w="134"/>
        <w:gridCol w:w="980"/>
        <w:gridCol w:w="106"/>
        <w:gridCol w:w="106"/>
        <w:gridCol w:w="142"/>
        <w:gridCol w:w="1016"/>
        <w:gridCol w:w="106"/>
        <w:gridCol w:w="105"/>
        <w:gridCol w:w="135"/>
        <w:gridCol w:w="984"/>
        <w:gridCol w:w="106"/>
        <w:gridCol w:w="106"/>
        <w:gridCol w:w="134"/>
        <w:gridCol w:w="1025"/>
        <w:gridCol w:w="122"/>
      </w:tblGrid>
      <w:tr>
        <w:trPr/>
        <w:tc>
          <w:tcPr>
            <w:tcW w:w="4792"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2008</w:t>
            </w:r>
          </w:p>
        </w:tc>
        <w:tc>
          <w:tcPr>
            <w:tcW w:w="106" w:type="dxa"/>
            <w:tcBorders/>
            <w:shd w:fill="auto" w:val="clear"/>
            <w:tcMar>
              <w:bottom w:w="0" w:type="dxa"/>
            </w:tcMar>
            <w:vAlign w:val="bottom"/>
          </w:tcPr>
          <w:p>
            <w:pPr>
              <w:pStyle w:val="TableContents"/>
              <w:spacing w:before="0" w:after="283"/>
              <w:rPr/>
            </w:pPr>
            <w:r>
              <w:rPr/>
              <w:t> </w:t>
            </w:r>
          </w:p>
        </w:tc>
        <w:tc>
          <w:tcPr>
            <w:tcW w:w="11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5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6"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1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5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2" w:type="dxa"/>
            <w:tcBorders/>
            <w:shd w:fill="auto" w:val="clear"/>
            <w:tcMar>
              <w:bottom w:w="0" w:type="dxa"/>
            </w:tcMar>
            <w:vAlign w:val="bottom"/>
          </w:tcPr>
          <w:p>
            <w:pPr>
              <w:pStyle w:val="TableContents"/>
              <w:spacing w:before="0" w:after="283"/>
              <w:jc w:val="left"/>
              <w:rPr/>
            </w:pPr>
            <w:r>
              <w:rPr/>
              <w:t> </w:t>
            </w:r>
          </w:p>
        </w:tc>
      </w:tr>
      <w:tr>
        <w:trPr/>
        <w:tc>
          <w:tcPr>
            <w:tcW w:w="479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Admissions revenue</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819" w:name="TAB1312"/>
            <w:bookmarkEnd w:id="819"/>
            <w:r>
              <w:rPr>
                <w:rFonts w:ascii="times new roman" w:hAnsi="times new roman"/>
                <w:sz w:val="20"/>
              </w:rPr>
              <w:t>64,881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820" w:name="TAB1313"/>
            <w:bookmarkEnd w:id="820"/>
            <w:r>
              <w:rPr>
                <w:rFonts w:ascii="times new roman" w:hAnsi="times new roman"/>
                <w:sz w:val="20"/>
              </w:rPr>
              <w:t>48,479</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821" w:name="TAB1314"/>
            <w:bookmarkEnd w:id="821"/>
            <w:r>
              <w:rPr>
                <w:rFonts w:ascii="times new roman" w:hAnsi="times new roman"/>
                <w:sz w:val="20"/>
              </w:rPr>
              <w:t>14,141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822" w:name="TAB1315"/>
            <w:bookmarkEnd w:id="822"/>
            <w:r>
              <w:rPr>
                <w:rFonts w:ascii="times new roman" w:hAnsi="times new roman"/>
                <w:sz w:val="20"/>
              </w:rPr>
              <w:t>127,501</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Concessions revenue</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25,097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16,279</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4,166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45,542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Advertising and other revenue</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CCEEFF" w:val="clear"/>
            <w:vAlign w:val="bottom"/>
          </w:tcPr>
          <w:p>
            <w:pPr>
              <w:pStyle w:val="TableContents"/>
              <w:spacing w:before="0" w:after="283"/>
              <w:jc w:val="left"/>
              <w:rPr/>
            </w:pPr>
            <w:r>
              <w:rPr/>
              <w:t> </w:t>
            </w:r>
          </w:p>
        </w:tc>
        <w:tc>
          <w:tcPr>
            <w:tcW w:w="98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4,760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bottom w:val="single" w:sz="12" w:space="0" w:color="000000"/>
            </w:tcBorders>
            <w:shd w:fill="CCEEFF" w:val="clear"/>
            <w:vAlign w:val="bottom"/>
          </w:tcPr>
          <w:p>
            <w:pPr>
              <w:pStyle w:val="TableContents"/>
              <w:spacing w:before="0" w:after="283"/>
              <w:jc w:val="left"/>
              <w:rPr/>
            </w:pPr>
            <w:r>
              <w:rPr/>
              <w:t> </w:t>
            </w:r>
          </w:p>
        </w:tc>
        <w:tc>
          <w:tcPr>
            <w:tcW w:w="101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2,515</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8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CCEEFF" w:val="clear"/>
            <w:vAlign w:val="bottom"/>
          </w:tcPr>
          <w:p>
            <w:pPr>
              <w:pStyle w:val="TableContents"/>
              <w:spacing w:before="0" w:after="283"/>
              <w:jc w:val="left"/>
              <w:rPr/>
            </w:pPr>
            <w:r>
              <w:rPr/>
              <w:t> </w:t>
            </w:r>
          </w:p>
        </w:tc>
        <w:tc>
          <w:tcPr>
            <w:tcW w:w="102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8,145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ind w:left="156" w:right="0" w:hanging="0"/>
              <w:jc w:val="right"/>
              <w:rPr>
                <w:rFonts w:ascii="times new roman" w:hAnsi="times new roman"/>
                <w:sz w:val="20"/>
              </w:rPr>
            </w:pPr>
            <w:bookmarkStart w:id="823" w:name="TAB1316"/>
            <w:bookmarkEnd w:id="823"/>
            <w:r>
              <w:rPr>
                <w:rFonts w:ascii="times new roman" w:hAnsi="times new roman"/>
                <w:sz w:val="20"/>
              </w:rPr>
              <w:t>94,738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ind w:left="77" w:right="0" w:hanging="0"/>
              <w:jc w:val="right"/>
              <w:rPr>
                <w:rFonts w:ascii="times new roman" w:hAnsi="times new roman"/>
                <w:sz w:val="20"/>
              </w:rPr>
            </w:pPr>
            <w:bookmarkStart w:id="824" w:name="TAB1317"/>
            <w:bookmarkEnd w:id="824"/>
            <w:r>
              <w:rPr>
                <w:rFonts w:ascii="times new roman" w:hAnsi="times new roman"/>
                <w:sz w:val="20"/>
              </w:rPr>
              <w:t>67,273</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ind w:left="300" w:right="0" w:hanging="0"/>
              <w:jc w:val="right"/>
              <w:rPr>
                <w:rFonts w:ascii="times new roman" w:hAnsi="times new roman"/>
                <w:sz w:val="20"/>
              </w:rPr>
            </w:pPr>
            <w:bookmarkStart w:id="825" w:name="TAB1318"/>
            <w:bookmarkEnd w:id="825"/>
            <w:r>
              <w:rPr>
                <w:rFonts w:ascii="times new roman" w:hAnsi="times new roman"/>
                <w:sz w:val="20"/>
              </w:rPr>
              <w:t>19,177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181,188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 costs</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ind w:left="156" w:right="0" w:hanging="0"/>
              <w:jc w:val="right"/>
              <w:rPr>
                <w:rFonts w:ascii="times new roman" w:hAnsi="times new roman"/>
                <w:sz w:val="20"/>
              </w:rPr>
            </w:pPr>
            <w:bookmarkStart w:id="826" w:name="TAB1319"/>
            <w:bookmarkEnd w:id="826"/>
            <w:r>
              <w:rPr>
                <w:rFonts w:ascii="times new roman" w:hAnsi="times new roman"/>
                <w:sz w:val="20"/>
              </w:rPr>
              <w:t>77,455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827" w:name="TAB1320"/>
            <w:bookmarkEnd w:id="827"/>
            <w:r>
              <w:rPr>
                <w:rFonts w:ascii="times new roman" w:hAnsi="times new roman"/>
                <w:sz w:val="20"/>
              </w:rPr>
              <w:t>51,202</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ind w:left="300" w:right="0" w:hanging="0"/>
              <w:jc w:val="right"/>
              <w:rPr>
                <w:rFonts w:ascii="times new roman" w:hAnsi="times new roman"/>
                <w:sz w:val="20"/>
              </w:rPr>
            </w:pPr>
            <w:bookmarkStart w:id="828" w:name="TAB1321"/>
            <w:bookmarkEnd w:id="828"/>
            <w:r>
              <w:rPr>
                <w:rFonts w:ascii="times new roman" w:hAnsi="times new roman"/>
                <w:sz w:val="20"/>
              </w:rPr>
              <w:t>15,242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143,899</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 costs</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FFFFFF" w:val="clear"/>
            <w:vAlign w:val="bottom"/>
          </w:tcPr>
          <w:p>
            <w:pPr>
              <w:pStyle w:val="TableContents"/>
              <w:spacing w:before="0" w:after="283"/>
              <w:jc w:val="left"/>
              <w:rPr/>
            </w:pPr>
            <w:r>
              <w:rPr/>
              <w:t> </w:t>
            </w:r>
          </w:p>
        </w:tc>
        <w:tc>
          <w:tcPr>
            <w:tcW w:w="980" w:type="dxa"/>
            <w:tcBorders>
              <w:bottom w:val="single" w:sz="12" w:space="0" w:color="000000"/>
            </w:tcBorders>
            <w:shd w:fill="FFFFFF" w:val="clear"/>
            <w:vAlign w:val="bottom"/>
          </w:tcPr>
          <w:p>
            <w:pPr>
              <w:pStyle w:val="TableContents"/>
              <w:spacing w:before="0" w:after="283"/>
              <w:ind w:left="290" w:right="0" w:hanging="0"/>
              <w:jc w:val="right"/>
              <w:rPr>
                <w:rFonts w:ascii="times new roman" w:hAnsi="times new roman"/>
                <w:sz w:val="20"/>
              </w:rPr>
            </w:pPr>
            <w:bookmarkStart w:id="829" w:name="TAB1322"/>
            <w:bookmarkEnd w:id="829"/>
            <w:r>
              <w:rPr>
                <w:rFonts w:ascii="times new roman" w:hAnsi="times new roman"/>
                <w:sz w:val="20"/>
              </w:rPr>
              <w:t>4,476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bottom w:val="single" w:sz="12" w:space="0" w:color="000000"/>
            </w:tcBorders>
            <w:shd w:fill="FFFFFF" w:val="clear"/>
            <w:vAlign w:val="bottom"/>
          </w:tcPr>
          <w:p>
            <w:pPr>
              <w:pStyle w:val="TableContents"/>
              <w:spacing w:before="0" w:after="283"/>
              <w:jc w:val="left"/>
              <w:rPr/>
            </w:pPr>
            <w:r>
              <w:rPr/>
              <w:t> </w:t>
            </w:r>
          </w:p>
        </w:tc>
        <w:tc>
          <w:tcPr>
            <w:tcW w:w="1016" w:type="dxa"/>
            <w:tcBorders>
              <w:bottom w:val="single" w:sz="12" w:space="0" w:color="000000"/>
            </w:tcBorders>
            <w:shd w:fill="FFFFFF" w:val="clear"/>
            <w:vAlign w:val="bottom"/>
          </w:tcPr>
          <w:p>
            <w:pPr>
              <w:pStyle w:val="TableContents"/>
              <w:spacing w:before="0" w:after="283"/>
              <w:ind w:left="211" w:right="0" w:hanging="0"/>
              <w:jc w:val="right"/>
              <w:rPr>
                <w:rFonts w:ascii="times new roman" w:hAnsi="times new roman"/>
                <w:sz w:val="20"/>
              </w:rPr>
            </w:pPr>
            <w:bookmarkStart w:id="830" w:name="TAB1323"/>
            <w:bookmarkEnd w:id="830"/>
            <w:r>
              <w:rPr>
                <w:rFonts w:ascii="times new roman" w:hAnsi="times new roman"/>
                <w:sz w:val="20"/>
              </w:rPr>
              <w:t>3,641</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84" w:type="dxa"/>
            <w:tcBorders>
              <w:bottom w:val="single" w:sz="12" w:space="0" w:color="000000"/>
            </w:tcBorders>
            <w:shd w:fill="FFFFFF" w:val="clear"/>
            <w:vAlign w:val="bottom"/>
          </w:tcPr>
          <w:p>
            <w:pPr>
              <w:pStyle w:val="TableContents"/>
              <w:spacing w:before="0" w:after="283"/>
              <w:ind w:left="434" w:right="0" w:hanging="0"/>
              <w:jc w:val="right"/>
              <w:rPr>
                <w:rFonts w:ascii="times new roman" w:hAnsi="times new roman"/>
                <w:sz w:val="20"/>
              </w:rPr>
            </w:pPr>
            <w:bookmarkStart w:id="831" w:name="TAB1324"/>
            <w:bookmarkEnd w:id="831"/>
            <w:r>
              <w:rPr>
                <w:rFonts w:ascii="times new roman" w:hAnsi="times new roman"/>
                <w:sz w:val="20"/>
              </w:rPr>
              <w:t>1,048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FFFFFF" w:val="clear"/>
            <w:vAlign w:val="bottom"/>
          </w:tcPr>
          <w:p>
            <w:pPr>
              <w:pStyle w:val="TableContents"/>
              <w:spacing w:before="0" w:after="283"/>
              <w:jc w:val="left"/>
              <w:rPr/>
            </w:pPr>
            <w:r>
              <w:rPr/>
              <w:t> </w:t>
            </w:r>
          </w:p>
        </w:tc>
        <w:tc>
          <w:tcPr>
            <w:tcW w:w="1025" w:type="dxa"/>
            <w:tcBorders>
              <w:bottom w:val="single" w:sz="12" w:space="0" w:color="000000"/>
            </w:tcBorders>
            <w:shd w:fill="FFFFFF" w:val="clear"/>
            <w:vAlign w:val="bottom"/>
          </w:tcPr>
          <w:p>
            <w:pPr>
              <w:pStyle w:val="TableContents"/>
              <w:spacing w:before="0" w:after="283"/>
              <w:ind w:left="250" w:right="0" w:hanging="0"/>
              <w:jc w:val="right"/>
              <w:rPr>
                <w:rFonts w:ascii="times new roman" w:hAnsi="times new roman"/>
                <w:sz w:val="20"/>
              </w:rPr>
            </w:pPr>
            <w:bookmarkStart w:id="832" w:name="TAB1325"/>
            <w:bookmarkEnd w:id="832"/>
            <w:r>
              <w:rPr>
                <w:rFonts w:ascii="times new roman" w:hAnsi="times new roman"/>
                <w:sz w:val="20"/>
              </w:rPr>
              <w:t>9,165</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ind w:left="156" w:right="0" w:hanging="0"/>
              <w:jc w:val="right"/>
              <w:rPr>
                <w:rFonts w:ascii="times new roman" w:hAnsi="times new roman"/>
                <w:sz w:val="20"/>
              </w:rPr>
            </w:pPr>
            <w:bookmarkStart w:id="833" w:name="TAB1326"/>
            <w:bookmarkEnd w:id="833"/>
            <w:r>
              <w:rPr>
                <w:rFonts w:ascii="times new roman" w:hAnsi="times new roman"/>
                <w:sz w:val="20"/>
              </w:rPr>
              <w:t>81,931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834" w:name="TAB1327"/>
            <w:bookmarkEnd w:id="834"/>
            <w:r>
              <w:rPr>
                <w:rFonts w:ascii="times new roman" w:hAnsi="times new roman"/>
                <w:sz w:val="20"/>
              </w:rPr>
              <w:t>54,843</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ind w:left="300" w:right="0" w:hanging="0"/>
              <w:jc w:val="right"/>
              <w:rPr>
                <w:rFonts w:ascii="times new roman" w:hAnsi="times new roman"/>
                <w:sz w:val="20"/>
              </w:rPr>
            </w:pPr>
            <w:bookmarkStart w:id="835" w:name="TAB1328"/>
            <w:bookmarkEnd w:id="835"/>
            <w:r>
              <w:rPr>
                <w:rFonts w:ascii="times new roman" w:hAnsi="times new roman"/>
                <w:sz w:val="20"/>
              </w:rPr>
              <w:t>16,290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153,064</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ind w:left="290" w:right="0" w:hanging="0"/>
              <w:jc w:val="right"/>
              <w:rPr>
                <w:rFonts w:ascii="times new roman" w:hAnsi="times new roman"/>
                <w:sz w:val="20"/>
              </w:rPr>
            </w:pPr>
            <w:bookmarkStart w:id="836" w:name="TAB1329"/>
            <w:bookmarkEnd w:id="836"/>
            <w:r>
              <w:rPr>
                <w:rFonts w:ascii="times new roman" w:hAnsi="times new roman"/>
                <w:sz w:val="20"/>
              </w:rPr>
              <w:t>9,174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837" w:name="TAB1330"/>
            <w:bookmarkEnd w:id="837"/>
            <w:r>
              <w:rPr>
                <w:rFonts w:ascii="times new roman" w:hAnsi="times new roman"/>
                <w:sz w:val="20"/>
              </w:rPr>
              <w:t>2,831</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ind w:left="434" w:right="0" w:hanging="0"/>
              <w:jc w:val="right"/>
              <w:rPr>
                <w:rFonts w:ascii="times new roman" w:hAnsi="times new roman"/>
                <w:sz w:val="20"/>
              </w:rPr>
            </w:pPr>
            <w:bookmarkStart w:id="838" w:name="TAB1331"/>
            <w:bookmarkEnd w:id="838"/>
            <w:r>
              <w:rPr>
                <w:rFonts w:ascii="times new roman" w:hAnsi="times new roman"/>
                <w:sz w:val="20"/>
              </w:rPr>
              <w:t>1,697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ind w:left="116" w:right="0" w:hanging="0"/>
              <w:jc w:val="right"/>
              <w:rPr>
                <w:rFonts w:ascii="times new roman" w:hAnsi="times new roman"/>
                <w:sz w:val="20"/>
              </w:rPr>
            </w:pPr>
            <w:bookmarkStart w:id="839" w:name="TAB1332"/>
            <w:bookmarkEnd w:id="839"/>
            <w:r>
              <w:rPr>
                <w:rFonts w:ascii="times new roman" w:hAnsi="times new roman"/>
                <w:sz w:val="20"/>
              </w:rPr>
              <w:t>13,702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ind w:left="712" w:right="0" w:hanging="0"/>
              <w:jc w:val="right"/>
              <w:rPr>
                <w:rFonts w:ascii="times new roman" w:hAnsi="times new roman"/>
                <w:sz w:val="20"/>
              </w:rPr>
            </w:pPr>
            <w:bookmarkStart w:id="840" w:name="TAB1333"/>
            <w:bookmarkEnd w:id="840"/>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ind w:left="633" w:right="0" w:hanging="0"/>
              <w:jc w:val="right"/>
              <w:rPr>
                <w:rFonts w:ascii="times new roman" w:hAnsi="times new roman"/>
                <w:sz w:val="20"/>
              </w:rPr>
            </w:pPr>
            <w:bookmarkStart w:id="841" w:name="TAB1334"/>
            <w:bookmarkEnd w:id="841"/>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ind w:left="634" w:right="0" w:hanging="0"/>
              <w:jc w:val="right"/>
              <w:rPr>
                <w:rFonts w:ascii="times new roman" w:hAnsi="times new roman"/>
                <w:sz w:val="20"/>
              </w:rPr>
            </w:pPr>
            <w:bookmarkStart w:id="842" w:name="TAB1335"/>
            <w:bookmarkEnd w:id="842"/>
            <w:r>
              <w:rPr>
                <w:rFonts w:ascii="times new roman" w:hAnsi="times new roman"/>
                <w:sz w:val="20"/>
              </w:rPr>
              <w:t>351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ind w:left="450" w:right="0" w:hanging="0"/>
              <w:jc w:val="right"/>
              <w:rPr>
                <w:rFonts w:ascii="times new roman" w:hAnsi="times new roman"/>
                <w:sz w:val="20"/>
              </w:rPr>
            </w:pPr>
            <w:bookmarkStart w:id="843" w:name="TAB1336"/>
            <w:bookmarkEnd w:id="843"/>
            <w:r>
              <w:rPr>
                <w:rFonts w:ascii="times new roman" w:hAnsi="times new roman"/>
                <w:sz w:val="20"/>
              </w:rPr>
              <w:t>351</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FFFFFF" w:val="clear"/>
            <w:vAlign w:val="bottom"/>
          </w:tcPr>
          <w:p>
            <w:pPr>
              <w:pStyle w:val="TableContents"/>
              <w:spacing w:before="0" w:after="283"/>
              <w:jc w:val="left"/>
              <w:rPr/>
            </w:pPr>
            <w:r>
              <w:rPr/>
              <w:t> </w:t>
            </w:r>
          </w:p>
        </w:tc>
        <w:tc>
          <w:tcPr>
            <w:tcW w:w="980" w:type="dxa"/>
            <w:tcBorders>
              <w:bottom w:val="single" w:sz="12" w:space="0" w:color="000000"/>
            </w:tcBorders>
            <w:shd w:fill="FFFFFF" w:val="clear"/>
            <w:vAlign w:val="bottom"/>
          </w:tcPr>
          <w:p>
            <w:pPr>
              <w:pStyle w:val="TableContents"/>
              <w:spacing w:before="0" w:after="283"/>
              <w:ind w:left="290" w:right="0" w:hanging="0"/>
              <w:jc w:val="right"/>
              <w:rPr>
                <w:rFonts w:ascii="times new roman" w:hAnsi="times new roman"/>
                <w:sz w:val="20"/>
              </w:rPr>
            </w:pPr>
            <w:bookmarkStart w:id="844" w:name="TAB1337"/>
            <w:bookmarkEnd w:id="844"/>
            <w:r>
              <w:rPr>
                <w:rFonts w:ascii="times new roman" w:hAnsi="times new roman"/>
                <w:sz w:val="20"/>
              </w:rPr>
              <w:t>2,735</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bottom w:val="single" w:sz="12" w:space="0" w:color="000000"/>
            </w:tcBorders>
            <w:shd w:fill="FFFFFF" w:val="clear"/>
            <w:vAlign w:val="bottom"/>
          </w:tcPr>
          <w:p>
            <w:pPr>
              <w:pStyle w:val="TableContents"/>
              <w:spacing w:before="0" w:after="283"/>
              <w:jc w:val="left"/>
              <w:rPr/>
            </w:pPr>
            <w:r>
              <w:rPr/>
              <w:t> </w:t>
            </w:r>
          </w:p>
        </w:tc>
        <w:tc>
          <w:tcPr>
            <w:tcW w:w="1016" w:type="dxa"/>
            <w:tcBorders>
              <w:bottom w:val="single" w:sz="12" w:space="0" w:color="000000"/>
            </w:tcBorders>
            <w:shd w:fill="FFFFFF" w:val="clear"/>
            <w:vAlign w:val="bottom"/>
          </w:tcPr>
          <w:p>
            <w:pPr>
              <w:pStyle w:val="TableContents"/>
              <w:spacing w:before="0" w:after="283"/>
              <w:ind w:left="211" w:right="0" w:hanging="0"/>
              <w:jc w:val="right"/>
              <w:rPr>
                <w:rFonts w:ascii="times new roman" w:hAnsi="times new roman"/>
                <w:sz w:val="20"/>
              </w:rPr>
            </w:pPr>
            <w:bookmarkStart w:id="845" w:name="TAB1338"/>
            <w:bookmarkEnd w:id="845"/>
            <w:r>
              <w:rPr>
                <w:rFonts w:ascii="times new roman" w:hAnsi="times new roman"/>
                <w:sz w:val="20"/>
              </w:rPr>
              <w:t>1,094</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84" w:type="dxa"/>
            <w:tcBorders>
              <w:bottom w:val="single" w:sz="12" w:space="0" w:color="000000"/>
            </w:tcBorders>
            <w:shd w:fill="FFFFFF" w:val="clear"/>
            <w:vAlign w:val="bottom"/>
          </w:tcPr>
          <w:p>
            <w:pPr>
              <w:pStyle w:val="TableContents"/>
              <w:spacing w:before="0" w:after="283"/>
              <w:ind w:left="900" w:right="0" w:hanging="0"/>
              <w:jc w:val="right"/>
              <w:rPr>
                <w:rFonts w:ascii="times new roman" w:hAnsi="times new roman"/>
                <w:sz w:val="20"/>
              </w:rPr>
            </w:pPr>
            <w:bookmarkStart w:id="846" w:name="TAB1339"/>
            <w:bookmarkEnd w:id="846"/>
            <w:r>
              <w:rPr>
                <w:rFonts w:ascii="times new roman" w:hAnsi="times new roman"/>
                <w:sz w:val="20"/>
              </w:rPr>
              <w:t>5</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FFFFFF" w:val="clear"/>
            <w:vAlign w:val="bottom"/>
          </w:tcPr>
          <w:p>
            <w:pPr>
              <w:pStyle w:val="TableContents"/>
              <w:spacing w:before="0" w:after="283"/>
              <w:jc w:val="left"/>
              <w:rPr/>
            </w:pPr>
            <w:r>
              <w:rPr/>
              <w:t> </w:t>
            </w:r>
          </w:p>
        </w:tc>
        <w:tc>
          <w:tcPr>
            <w:tcW w:w="1025" w:type="dxa"/>
            <w:tcBorders>
              <w:bottom w:val="single" w:sz="12" w:space="0" w:color="000000"/>
            </w:tcBorders>
            <w:shd w:fill="FFFFFF" w:val="clear"/>
            <w:vAlign w:val="bottom"/>
          </w:tcPr>
          <w:p>
            <w:pPr>
              <w:pStyle w:val="TableContents"/>
              <w:spacing w:before="0" w:after="283"/>
              <w:ind w:left="250" w:right="0" w:hanging="0"/>
              <w:jc w:val="right"/>
              <w:rPr>
                <w:rFonts w:ascii="times new roman" w:hAnsi="times new roman"/>
                <w:sz w:val="20"/>
              </w:rPr>
            </w:pPr>
            <w:bookmarkStart w:id="847" w:name="TAB1340"/>
            <w:bookmarkEnd w:id="847"/>
            <w:r>
              <w:rPr>
                <w:rFonts w:ascii="times new roman" w:hAnsi="times new roman"/>
                <w:sz w:val="20"/>
              </w:rPr>
              <w:t>3,834</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848" w:name="TAB1341"/>
            <w:bookmarkEnd w:id="848"/>
            <w:r>
              <w:rPr>
                <w:rFonts w:ascii="times new roman" w:hAnsi="times new roman"/>
                <w:sz w:val="20"/>
              </w:rPr>
              <w:t>898</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849" w:name="TAB1342"/>
            <w:bookmarkEnd w:id="849"/>
            <w:r>
              <w:rPr>
                <w:rFonts w:ascii="times new roman" w:hAnsi="times new roman"/>
                <w:sz w:val="20"/>
              </w:rPr>
              <w:t>8,505</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850" w:name="TAB1343"/>
            <w:bookmarkEnd w:id="850"/>
            <w:r>
              <w:rPr>
                <w:rFonts w:ascii="times new roman" w:hAnsi="times new roman"/>
                <w:sz w:val="20"/>
              </w:rPr>
              <w:t>834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851" w:name="TAB1344"/>
            <w:bookmarkEnd w:id="851"/>
            <w:r>
              <w:rPr>
                <w:rFonts w:ascii="times new roman" w:hAnsi="times new roman"/>
                <w:sz w:val="20"/>
              </w:rPr>
              <w:t>10,237</w:t>
            </w:r>
          </w:p>
        </w:tc>
        <w:tc>
          <w:tcPr>
            <w:tcW w:w="12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792"/>
        <w:gridCol w:w="106"/>
        <w:gridCol w:w="134"/>
        <w:gridCol w:w="980"/>
        <w:gridCol w:w="106"/>
        <w:gridCol w:w="106"/>
        <w:gridCol w:w="142"/>
        <w:gridCol w:w="1016"/>
        <w:gridCol w:w="106"/>
        <w:gridCol w:w="105"/>
        <w:gridCol w:w="135"/>
        <w:gridCol w:w="984"/>
        <w:gridCol w:w="106"/>
        <w:gridCol w:w="106"/>
        <w:gridCol w:w="134"/>
        <w:gridCol w:w="1025"/>
        <w:gridCol w:w="122"/>
      </w:tblGrid>
      <w:tr>
        <w:trPr/>
        <w:tc>
          <w:tcPr>
            <w:tcW w:w="4792"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2007</w:t>
            </w:r>
          </w:p>
        </w:tc>
        <w:tc>
          <w:tcPr>
            <w:tcW w:w="106" w:type="dxa"/>
            <w:tcBorders/>
            <w:shd w:fill="auto" w:val="clear"/>
            <w:tcMar>
              <w:bottom w:w="0" w:type="dxa"/>
            </w:tcMar>
            <w:vAlign w:val="bottom"/>
          </w:tcPr>
          <w:p>
            <w:pPr>
              <w:pStyle w:val="TableContents"/>
              <w:spacing w:before="0" w:after="283"/>
              <w:rPr/>
            </w:pPr>
            <w:r>
              <w:rPr/>
              <w:t> </w:t>
            </w:r>
          </w:p>
        </w:tc>
        <w:tc>
          <w:tcPr>
            <w:tcW w:w="11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5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6"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1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5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2" w:type="dxa"/>
            <w:tcBorders/>
            <w:shd w:fill="auto" w:val="clear"/>
            <w:tcMar>
              <w:bottom w:w="0" w:type="dxa"/>
            </w:tcMar>
            <w:vAlign w:val="bottom"/>
          </w:tcPr>
          <w:p>
            <w:pPr>
              <w:pStyle w:val="TableContents"/>
              <w:spacing w:before="0" w:after="283"/>
              <w:jc w:val="left"/>
              <w:rPr/>
            </w:pPr>
            <w:r>
              <w:rPr/>
              <w:t> </w:t>
            </w:r>
          </w:p>
        </w:tc>
      </w:tr>
      <w:tr>
        <w:trPr/>
        <w:tc>
          <w:tcPr>
            <w:tcW w:w="479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Admissions revenue</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852" w:name="TAB1345"/>
            <w:bookmarkEnd w:id="852"/>
            <w:r>
              <w:rPr>
                <w:rFonts w:ascii="times new roman" w:hAnsi="times new roman"/>
                <w:sz w:val="20"/>
              </w:rPr>
              <w:t>18,647</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853" w:name="TAB1346"/>
            <w:bookmarkEnd w:id="853"/>
            <w:r>
              <w:rPr>
                <w:rFonts w:ascii="times new roman" w:hAnsi="times new roman"/>
                <w:sz w:val="20"/>
              </w:rPr>
              <w:t>41,722</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854" w:name="TAB1347"/>
            <w:bookmarkEnd w:id="854"/>
            <w:r>
              <w:rPr>
                <w:rFonts w:ascii="times new roman" w:hAnsi="times new roman"/>
                <w:sz w:val="20"/>
              </w:rPr>
              <w:t>14,683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855" w:name="TAB1348"/>
            <w:bookmarkEnd w:id="855"/>
            <w:r>
              <w:rPr>
                <w:rFonts w:ascii="times new roman" w:hAnsi="times new roman"/>
                <w:sz w:val="20"/>
              </w:rPr>
              <w:t>75,052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Concessions revenue</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5,314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13,577</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4,302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23,193</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Advertising and other revenue</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CCEEFF" w:val="clear"/>
            <w:vAlign w:val="bottom"/>
          </w:tcPr>
          <w:p>
            <w:pPr>
              <w:pStyle w:val="TableContents"/>
              <w:spacing w:before="0" w:after="283"/>
              <w:jc w:val="left"/>
              <w:rPr/>
            </w:pPr>
            <w:r>
              <w:rPr/>
              <w:t> </w:t>
            </w:r>
          </w:p>
        </w:tc>
        <w:tc>
          <w:tcPr>
            <w:tcW w:w="98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bottom w:val="single" w:sz="12" w:space="0" w:color="000000"/>
            </w:tcBorders>
            <w:shd w:fill="CCEEFF" w:val="clear"/>
            <w:vAlign w:val="bottom"/>
          </w:tcPr>
          <w:p>
            <w:pPr>
              <w:pStyle w:val="TableContents"/>
              <w:spacing w:before="0" w:after="283"/>
              <w:jc w:val="left"/>
              <w:rPr/>
            </w:pPr>
            <w:r>
              <w:rPr/>
              <w:t> </w:t>
            </w:r>
          </w:p>
        </w:tc>
        <w:tc>
          <w:tcPr>
            <w:tcW w:w="101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2,277</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8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CCEEFF" w:val="clear"/>
            <w:vAlign w:val="bottom"/>
          </w:tcPr>
          <w:p>
            <w:pPr>
              <w:pStyle w:val="TableContents"/>
              <w:spacing w:before="0" w:after="283"/>
              <w:jc w:val="left"/>
              <w:rPr/>
            </w:pPr>
            <w:r>
              <w:rPr/>
              <w:t> </w:t>
            </w:r>
          </w:p>
        </w:tc>
        <w:tc>
          <w:tcPr>
            <w:tcW w:w="102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5,222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ind w:left="156" w:right="0" w:hanging="0"/>
              <w:jc w:val="right"/>
              <w:rPr>
                <w:rFonts w:ascii="times new roman" w:hAnsi="times new roman"/>
                <w:sz w:val="20"/>
              </w:rPr>
            </w:pPr>
            <w:bookmarkStart w:id="856" w:name="TAB1349"/>
            <w:bookmarkEnd w:id="856"/>
            <w:r>
              <w:rPr>
                <w:rFonts w:ascii="times new roman" w:hAnsi="times new roman"/>
                <w:sz w:val="20"/>
              </w:rPr>
              <w:t>26,004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ind w:left="77" w:right="0" w:hanging="0"/>
              <w:jc w:val="right"/>
              <w:rPr>
                <w:rFonts w:ascii="times new roman" w:hAnsi="times new roman"/>
                <w:sz w:val="20"/>
              </w:rPr>
            </w:pPr>
            <w:bookmarkStart w:id="857" w:name="TAB1350"/>
            <w:bookmarkEnd w:id="857"/>
            <w:r>
              <w:rPr>
                <w:rFonts w:ascii="times new roman" w:hAnsi="times new roman"/>
                <w:sz w:val="20"/>
              </w:rPr>
              <w:t>57,576</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ind w:left="300" w:right="0" w:hanging="0"/>
              <w:jc w:val="right"/>
              <w:rPr>
                <w:rFonts w:ascii="times new roman" w:hAnsi="times new roman"/>
                <w:sz w:val="20"/>
              </w:rPr>
            </w:pPr>
            <w:bookmarkStart w:id="858" w:name="TAB1351"/>
            <w:bookmarkEnd w:id="858"/>
            <w:r>
              <w:rPr>
                <w:rFonts w:ascii="times new roman" w:hAnsi="times new roman"/>
                <w:sz w:val="20"/>
              </w:rPr>
              <w:t>19,887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103,467</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 costs</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ind w:left="156" w:right="0" w:hanging="0"/>
              <w:jc w:val="right"/>
              <w:rPr>
                <w:rFonts w:ascii="times new roman" w:hAnsi="times new roman"/>
                <w:sz w:val="20"/>
              </w:rPr>
            </w:pPr>
            <w:bookmarkStart w:id="859" w:name="TAB1352"/>
            <w:bookmarkEnd w:id="859"/>
            <w:r>
              <w:rPr>
                <w:rFonts w:ascii="times new roman" w:hAnsi="times new roman"/>
                <w:sz w:val="20"/>
              </w:rPr>
              <w:t>18,385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860" w:name="TAB1353"/>
            <w:bookmarkEnd w:id="860"/>
            <w:r>
              <w:rPr>
                <w:rFonts w:ascii="times new roman" w:hAnsi="times new roman"/>
                <w:sz w:val="20"/>
              </w:rPr>
              <w:t>44,460</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ind w:left="300" w:right="0" w:hanging="0"/>
              <w:jc w:val="right"/>
              <w:rPr>
                <w:rFonts w:ascii="times new roman" w:hAnsi="times new roman"/>
                <w:sz w:val="20"/>
              </w:rPr>
            </w:pPr>
            <w:bookmarkStart w:id="861" w:name="TAB1354"/>
            <w:bookmarkEnd w:id="861"/>
            <w:r>
              <w:rPr>
                <w:rFonts w:ascii="times new roman" w:hAnsi="times new roman"/>
                <w:sz w:val="20"/>
              </w:rPr>
              <w:t>15,868</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ind w:left="116" w:right="0" w:hanging="0"/>
              <w:jc w:val="right"/>
              <w:rPr>
                <w:rFonts w:ascii="times new roman" w:hAnsi="times new roman"/>
                <w:sz w:val="20"/>
              </w:rPr>
            </w:pPr>
            <w:bookmarkStart w:id="862" w:name="TAB1355"/>
            <w:bookmarkEnd w:id="862"/>
            <w:r>
              <w:rPr>
                <w:rFonts w:ascii="times new roman" w:hAnsi="times new roman"/>
                <w:sz w:val="20"/>
              </w:rPr>
              <w:t>78,713</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 costs</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FFFFFF" w:val="clear"/>
            <w:vAlign w:val="bottom"/>
          </w:tcPr>
          <w:p>
            <w:pPr>
              <w:pStyle w:val="TableContents"/>
              <w:spacing w:before="0" w:after="283"/>
              <w:jc w:val="left"/>
              <w:rPr/>
            </w:pPr>
            <w:r>
              <w:rPr/>
              <w:t> </w:t>
            </w:r>
          </w:p>
        </w:tc>
        <w:tc>
          <w:tcPr>
            <w:tcW w:w="980" w:type="dxa"/>
            <w:tcBorders>
              <w:bottom w:val="single" w:sz="12" w:space="0" w:color="000000"/>
            </w:tcBorders>
            <w:shd w:fill="FFFFFF" w:val="clear"/>
            <w:vAlign w:val="bottom"/>
          </w:tcPr>
          <w:p>
            <w:pPr>
              <w:pStyle w:val="TableContents"/>
              <w:spacing w:before="0" w:after="283"/>
              <w:ind w:left="290" w:right="0" w:hanging="0"/>
              <w:jc w:val="right"/>
              <w:rPr>
                <w:rFonts w:ascii="times new roman" w:hAnsi="times new roman"/>
                <w:sz w:val="20"/>
              </w:rPr>
            </w:pPr>
            <w:bookmarkStart w:id="863" w:name="TAB1356"/>
            <w:bookmarkEnd w:id="863"/>
            <w:r>
              <w:rPr>
                <w:rFonts w:ascii="times new roman" w:hAnsi="times new roman"/>
                <w:sz w:val="20"/>
              </w:rPr>
              <w:t>1,029</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bottom w:val="single" w:sz="12" w:space="0" w:color="000000"/>
            </w:tcBorders>
            <w:shd w:fill="FFFFFF" w:val="clear"/>
            <w:vAlign w:val="bottom"/>
          </w:tcPr>
          <w:p>
            <w:pPr>
              <w:pStyle w:val="TableContents"/>
              <w:spacing w:before="0" w:after="283"/>
              <w:jc w:val="left"/>
              <w:rPr/>
            </w:pPr>
            <w:r>
              <w:rPr/>
              <w:t> </w:t>
            </w:r>
          </w:p>
        </w:tc>
        <w:tc>
          <w:tcPr>
            <w:tcW w:w="1016" w:type="dxa"/>
            <w:tcBorders>
              <w:bottom w:val="single" w:sz="12" w:space="0" w:color="000000"/>
            </w:tcBorders>
            <w:shd w:fill="FFFFFF" w:val="clear"/>
            <w:vAlign w:val="bottom"/>
          </w:tcPr>
          <w:p>
            <w:pPr>
              <w:pStyle w:val="TableContents"/>
              <w:spacing w:before="0" w:after="283"/>
              <w:ind w:left="211" w:right="0" w:hanging="0"/>
              <w:jc w:val="right"/>
              <w:rPr>
                <w:rFonts w:ascii="times new roman" w:hAnsi="times new roman"/>
                <w:sz w:val="20"/>
              </w:rPr>
            </w:pPr>
            <w:bookmarkStart w:id="864" w:name="TAB1357"/>
            <w:bookmarkEnd w:id="864"/>
            <w:r>
              <w:rPr>
                <w:rFonts w:ascii="times new roman" w:hAnsi="times new roman"/>
                <w:sz w:val="20"/>
              </w:rPr>
              <w:t>3,017</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84" w:type="dxa"/>
            <w:tcBorders>
              <w:bottom w:val="single" w:sz="12" w:space="0" w:color="000000"/>
            </w:tcBorders>
            <w:shd w:fill="FFFFFF" w:val="clear"/>
            <w:vAlign w:val="bottom"/>
          </w:tcPr>
          <w:p>
            <w:pPr>
              <w:pStyle w:val="TableContents"/>
              <w:spacing w:before="0" w:after="283"/>
              <w:ind w:left="434" w:right="0" w:hanging="0"/>
              <w:jc w:val="right"/>
              <w:rPr>
                <w:rFonts w:ascii="times new roman" w:hAnsi="times new roman"/>
                <w:sz w:val="20"/>
              </w:rPr>
            </w:pPr>
            <w:bookmarkStart w:id="865" w:name="TAB1358"/>
            <w:bookmarkEnd w:id="865"/>
            <w:r>
              <w:rPr>
                <w:rFonts w:ascii="times new roman" w:hAnsi="times new roman"/>
                <w:sz w:val="20"/>
              </w:rPr>
              <w:t>1,116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FFFFFF" w:val="clear"/>
            <w:vAlign w:val="bottom"/>
          </w:tcPr>
          <w:p>
            <w:pPr>
              <w:pStyle w:val="TableContents"/>
              <w:spacing w:before="0" w:after="283"/>
              <w:jc w:val="left"/>
              <w:rPr/>
            </w:pPr>
            <w:r>
              <w:rPr/>
              <w:t> </w:t>
            </w:r>
          </w:p>
        </w:tc>
        <w:tc>
          <w:tcPr>
            <w:tcW w:w="1025" w:type="dxa"/>
            <w:tcBorders>
              <w:bottom w:val="single" w:sz="12" w:space="0" w:color="000000"/>
            </w:tcBorders>
            <w:shd w:fill="FFFFFF" w:val="clear"/>
            <w:vAlign w:val="bottom"/>
          </w:tcPr>
          <w:p>
            <w:pPr>
              <w:pStyle w:val="TableContents"/>
              <w:spacing w:before="0" w:after="283"/>
              <w:ind w:left="250" w:right="0" w:hanging="0"/>
              <w:jc w:val="right"/>
              <w:rPr>
                <w:rFonts w:ascii="times new roman" w:hAnsi="times new roman"/>
                <w:sz w:val="20"/>
              </w:rPr>
            </w:pPr>
            <w:bookmarkStart w:id="866" w:name="TAB1359"/>
            <w:bookmarkEnd w:id="866"/>
            <w:r>
              <w:rPr>
                <w:rFonts w:ascii="times new roman" w:hAnsi="times new roman"/>
                <w:sz w:val="20"/>
              </w:rPr>
              <w:t>5,162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ind w:left="156" w:right="0" w:hanging="0"/>
              <w:jc w:val="right"/>
              <w:rPr>
                <w:rFonts w:ascii="times new roman" w:hAnsi="times new roman"/>
                <w:sz w:val="20"/>
              </w:rPr>
            </w:pPr>
            <w:bookmarkStart w:id="867" w:name="TAB1360"/>
            <w:bookmarkEnd w:id="867"/>
            <w:r>
              <w:rPr>
                <w:rFonts w:ascii="times new roman" w:hAnsi="times new roman"/>
                <w:sz w:val="20"/>
              </w:rPr>
              <w:t>19,414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868" w:name="TAB1361"/>
            <w:bookmarkEnd w:id="868"/>
            <w:r>
              <w:rPr>
                <w:rFonts w:ascii="times new roman" w:hAnsi="times new roman"/>
                <w:sz w:val="20"/>
              </w:rPr>
              <w:t>47,477</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ind w:left="300" w:right="0" w:hanging="0"/>
              <w:jc w:val="right"/>
              <w:rPr>
                <w:rFonts w:ascii="times new roman" w:hAnsi="times new roman"/>
                <w:sz w:val="20"/>
              </w:rPr>
            </w:pPr>
            <w:bookmarkStart w:id="869" w:name="TAB1362"/>
            <w:bookmarkEnd w:id="869"/>
            <w:r>
              <w:rPr>
                <w:rFonts w:ascii="times new roman" w:hAnsi="times new roman"/>
                <w:sz w:val="20"/>
              </w:rPr>
              <w:t>16,984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ind w:left="116" w:right="0" w:hanging="0"/>
              <w:jc w:val="right"/>
              <w:rPr>
                <w:rFonts w:ascii="times new roman" w:hAnsi="times new roman"/>
                <w:sz w:val="20"/>
              </w:rPr>
            </w:pPr>
            <w:bookmarkStart w:id="870" w:name="TAB1363"/>
            <w:bookmarkEnd w:id="870"/>
            <w:r>
              <w:rPr>
                <w:rFonts w:ascii="times new roman" w:hAnsi="times new roman"/>
                <w:sz w:val="20"/>
              </w:rPr>
              <w:t>83,875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ind w:left="290" w:right="0" w:hanging="0"/>
              <w:jc w:val="right"/>
              <w:rPr>
                <w:rFonts w:ascii="times new roman" w:hAnsi="times new roman"/>
                <w:sz w:val="20"/>
              </w:rPr>
            </w:pPr>
            <w:bookmarkStart w:id="871" w:name="TAB1364"/>
            <w:bookmarkEnd w:id="871"/>
            <w:r>
              <w:rPr>
                <w:rFonts w:ascii="times new roman" w:hAnsi="times new roman"/>
                <w:sz w:val="20"/>
              </w:rPr>
              <w:t>2,003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872" w:name="TAB1365"/>
            <w:bookmarkEnd w:id="872"/>
            <w:r>
              <w:rPr>
                <w:rFonts w:ascii="times new roman" w:hAnsi="times new roman"/>
                <w:sz w:val="20"/>
              </w:rPr>
              <w:t>3,212</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ind w:left="434" w:right="0" w:hanging="0"/>
              <w:jc w:val="right"/>
              <w:rPr>
                <w:rFonts w:ascii="times new roman" w:hAnsi="times new roman"/>
                <w:sz w:val="20"/>
              </w:rPr>
            </w:pPr>
            <w:bookmarkStart w:id="873" w:name="TAB1366"/>
            <w:bookmarkEnd w:id="873"/>
            <w:r>
              <w:rPr>
                <w:rFonts w:ascii="times new roman" w:hAnsi="times new roman"/>
                <w:sz w:val="20"/>
              </w:rPr>
              <w:t>1,727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ind w:left="250" w:right="0" w:hanging="0"/>
              <w:jc w:val="right"/>
              <w:rPr>
                <w:rFonts w:ascii="times new roman" w:hAnsi="times new roman"/>
                <w:sz w:val="20"/>
              </w:rPr>
            </w:pPr>
            <w:bookmarkStart w:id="874" w:name="TAB1367"/>
            <w:bookmarkEnd w:id="874"/>
            <w:r>
              <w:rPr>
                <w:rFonts w:ascii="times new roman" w:hAnsi="times new roman"/>
                <w:sz w:val="20"/>
              </w:rPr>
              <w:t>6,942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92"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CCEEFF" w:val="clear"/>
            <w:vAlign w:val="bottom"/>
          </w:tcPr>
          <w:p>
            <w:pPr>
              <w:pStyle w:val="TableContents"/>
              <w:spacing w:before="0" w:after="283"/>
              <w:jc w:val="left"/>
              <w:rPr/>
            </w:pPr>
            <w:r>
              <w:rPr/>
              <w:t> </w:t>
            </w:r>
          </w:p>
        </w:tc>
        <w:tc>
          <w:tcPr>
            <w:tcW w:w="980" w:type="dxa"/>
            <w:tcBorders>
              <w:bottom w:val="single" w:sz="12" w:space="0" w:color="000000"/>
            </w:tcBorders>
            <w:shd w:fill="CCEEFF" w:val="clear"/>
            <w:vAlign w:val="bottom"/>
          </w:tcPr>
          <w:p>
            <w:pPr>
              <w:pStyle w:val="TableContents"/>
              <w:spacing w:before="0" w:after="283"/>
              <w:ind w:left="290" w:right="0" w:hanging="0"/>
              <w:jc w:val="right"/>
              <w:rPr>
                <w:rFonts w:ascii="times new roman" w:hAnsi="times new roman"/>
                <w:sz w:val="20"/>
              </w:rPr>
            </w:pPr>
            <w:bookmarkStart w:id="875" w:name="TAB1368"/>
            <w:bookmarkEnd w:id="875"/>
            <w:r>
              <w:rPr>
                <w:rFonts w:ascii="times new roman" w:hAnsi="times new roman"/>
                <w:sz w:val="20"/>
              </w:rPr>
              <w:t>2,140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42" w:type="dxa"/>
            <w:tcBorders>
              <w:bottom w:val="single" w:sz="12" w:space="0" w:color="000000"/>
            </w:tcBorders>
            <w:shd w:fill="CCEEFF" w:val="clear"/>
            <w:vAlign w:val="bottom"/>
          </w:tcPr>
          <w:p>
            <w:pPr>
              <w:pStyle w:val="TableContents"/>
              <w:spacing w:before="0" w:after="283"/>
              <w:jc w:val="left"/>
              <w:rPr/>
            </w:pPr>
            <w:r>
              <w:rPr/>
              <w:t> </w:t>
            </w:r>
          </w:p>
        </w:tc>
        <w:tc>
          <w:tcPr>
            <w:tcW w:w="1016" w:type="dxa"/>
            <w:tcBorders>
              <w:bottom w:val="single" w:sz="12" w:space="0" w:color="000000"/>
            </w:tcBorders>
            <w:shd w:fill="CCEEFF" w:val="clear"/>
            <w:vAlign w:val="bottom"/>
          </w:tcPr>
          <w:p>
            <w:pPr>
              <w:pStyle w:val="TableContents"/>
              <w:spacing w:before="0" w:after="283"/>
              <w:ind w:left="211" w:right="0" w:hanging="0"/>
              <w:jc w:val="right"/>
              <w:rPr>
                <w:rFonts w:ascii="times new roman" w:hAnsi="times new roman"/>
                <w:sz w:val="20"/>
              </w:rPr>
            </w:pPr>
            <w:bookmarkStart w:id="876" w:name="TAB1369"/>
            <w:bookmarkEnd w:id="876"/>
            <w:r>
              <w:rPr>
                <w:rFonts w:ascii="times new roman" w:hAnsi="times new roman"/>
                <w:sz w:val="20"/>
              </w:rPr>
              <w:t>1,036</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84" w:type="dxa"/>
            <w:tcBorders>
              <w:bottom w:val="single" w:sz="12" w:space="0" w:color="000000"/>
            </w:tcBorders>
            <w:shd w:fill="CCEEFF" w:val="clear"/>
            <w:vAlign w:val="bottom"/>
          </w:tcPr>
          <w:p>
            <w:pPr>
              <w:pStyle w:val="TableContents"/>
              <w:spacing w:before="0" w:after="283"/>
              <w:ind w:left="767" w:right="0" w:hanging="0"/>
              <w:jc w:val="right"/>
              <w:rPr>
                <w:rFonts w:ascii="times new roman" w:hAnsi="times new roman"/>
                <w:sz w:val="20"/>
              </w:rPr>
            </w:pPr>
            <w:bookmarkStart w:id="877" w:name="TAB1370"/>
            <w:bookmarkEnd w:id="877"/>
            <w:r>
              <w:rPr>
                <w:rFonts w:ascii="times new roman" w:hAnsi="times new roman"/>
                <w:sz w:val="20"/>
              </w:rPr>
              <w:t>19</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34" w:type="dxa"/>
            <w:tcBorders>
              <w:bottom w:val="single" w:sz="12" w:space="0" w:color="000000"/>
            </w:tcBorders>
            <w:shd w:fill="CCEEFF" w:val="clear"/>
            <w:vAlign w:val="bottom"/>
          </w:tcPr>
          <w:p>
            <w:pPr>
              <w:pStyle w:val="TableContents"/>
              <w:spacing w:before="0" w:after="283"/>
              <w:jc w:val="left"/>
              <w:rPr/>
            </w:pPr>
            <w:r>
              <w:rPr/>
              <w:t> </w:t>
            </w:r>
          </w:p>
        </w:tc>
        <w:tc>
          <w:tcPr>
            <w:tcW w:w="1025" w:type="dxa"/>
            <w:tcBorders>
              <w:bottom w:val="single" w:sz="12" w:space="0" w:color="000000"/>
            </w:tcBorders>
            <w:shd w:fill="CCEEFF" w:val="clear"/>
            <w:vAlign w:val="bottom"/>
          </w:tcPr>
          <w:p>
            <w:pPr>
              <w:pStyle w:val="TableContents"/>
              <w:spacing w:before="0" w:after="283"/>
              <w:ind w:left="250" w:right="0" w:hanging="0"/>
              <w:jc w:val="right"/>
              <w:rPr>
                <w:rFonts w:ascii="times new roman" w:hAnsi="times new roman"/>
                <w:sz w:val="20"/>
              </w:rPr>
            </w:pPr>
            <w:bookmarkStart w:id="878" w:name="TAB1371"/>
            <w:bookmarkEnd w:id="878"/>
            <w:r>
              <w:rPr>
                <w:rFonts w:ascii="times new roman" w:hAnsi="times new roman"/>
                <w:sz w:val="20"/>
              </w:rPr>
              <w:t>3,195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92"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879" w:name="TAB1372"/>
            <w:bookmarkEnd w:id="879"/>
            <w:r>
              <w:rPr>
                <w:rFonts w:ascii="times new roman" w:hAnsi="times new roman"/>
                <w:sz w:val="20"/>
              </w:rPr>
              <w:t>2,447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2"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880" w:name="TAB1373"/>
            <w:bookmarkEnd w:id="880"/>
            <w:r>
              <w:rPr>
                <w:rFonts w:ascii="times new roman" w:hAnsi="times new roman"/>
                <w:sz w:val="20"/>
              </w:rPr>
              <w:t>5,851</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3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881" w:name="TAB1374"/>
            <w:bookmarkEnd w:id="881"/>
            <w:r>
              <w:rPr>
                <w:rFonts w:ascii="times new roman" w:hAnsi="times new roman"/>
                <w:sz w:val="20"/>
              </w:rPr>
              <w:t>1,157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882" w:name="TAB1375"/>
            <w:bookmarkEnd w:id="882"/>
            <w:r>
              <w:rPr>
                <w:rFonts w:ascii="times new roman" w:hAnsi="times new roman"/>
                <w:sz w:val="20"/>
              </w:rPr>
              <w:t>9,455</w:t>
            </w:r>
          </w:p>
        </w:tc>
        <w:tc>
          <w:tcPr>
            <w:tcW w:w="122"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 Results for 2009 Compared to 2008</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83" w:name="list64"/>
      <w:bookmarkStart w:id="884" w:name="list64"/>
      <w:bookmarkEnd w:id="88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Cinema revenue increased in 2009 by $20.2 million or 11.1% compared to 2008.  The geographic activity of our revenue can be summarized as follows: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85" w:name="list65"/>
      <w:bookmarkStart w:id="886" w:name="list65"/>
      <w:bookmarkEnd w:id="886"/>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Revenue in the United States increased by $14.2 million or 15.0% primarily from a fully year reporting of the newly acquired Consolidated Entertainment cinemas acquisition compared to only ten months in 2008.</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87" w:name="list66"/>
      <w:bookmarkStart w:id="888" w:name="list66"/>
      <w:bookmarkEnd w:id="888"/>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Revenue in Australia increased by $6.5 million or 9.7%.  This increase in revenue was predominately attributable to an increase in box office admissions of 527,000 coupled with a $0.88 increase in average ticket price and an increase in concessions revenue of $1.6 million.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89" w:name="list67"/>
      <w:bookmarkStart w:id="890" w:name="list67"/>
      <w:bookmarkEnd w:id="890"/>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Revenue in New Zealand decreased by $513,000 or 2.7%.  This decrease in revenue was attributable to a drop in admissions revenue of $156,000, a decrease in concessions revenue of $261,000, and a decrease in advertising and other revenue of $96,000.  As indicated below, these decreases were primarily related to a lower annual average value of the New Zealand dollar to that of the U.S. dollar during 2009 compared to 2008.  The local currency revenue in the aforementioned categories generally increased during 2009.</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91" w:name="list68"/>
      <w:bookmarkStart w:id="892" w:name="list68"/>
      <w:bookmarkEnd w:id="89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increased in 2009 by $12.6 million or 8.3% compared to 2008.  Year on year operating expense decreased in relation to revenue from 84.5% to 82.3%.</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93" w:name="list69"/>
      <w:bookmarkStart w:id="894" w:name="list69"/>
      <w:bookmarkEnd w:id="894"/>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Operating expense in the United States increased by $11.5 million or 14.0% primarily due to the aforementioned Consolidated Entertainment cinemas acquisition.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95" w:name="list70"/>
      <w:bookmarkStart w:id="896" w:name="list70"/>
      <w:bookmarkEnd w:id="896"/>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Operating expense in Australia increased by $2.9 million or 5.3%.  This increase was in line with the above-mentioned increase in cinema revenue.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7" w:name="PGBRK38"/>
      <w:bookmarkStart w:id="898" w:name="PGBRK38"/>
      <w:bookmarkEnd w:id="8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9" w:name="FTR38"/>
      <w:bookmarkStart w:id="900" w:name="FTR38"/>
      <w:bookmarkEnd w:id="9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01" w:name="GLFTR38"/>
      <w:bookmarkEnd w:id="9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2" w:name="PN38"/>
      <w:bookmarkEnd w:id="902"/>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3" w:name="HDR38"/>
      <w:bookmarkStart w:id="904" w:name="HDR38"/>
      <w:bookmarkEnd w:id="9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905" w:name="GLHDR38"/>
        <w:bookmarkEnd w:id="90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06" w:name="list71"/>
      <w:bookmarkStart w:id="907" w:name="list71"/>
      <w:bookmarkEnd w:id="907"/>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Operating expense in New Zealand decreased by $1.8 million or 10.8%.  This decrease was in line with the above-mentioned decrease in cinema revenue and the effects of foreign currency fluctuations.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08" w:name="list72"/>
      <w:bookmarkStart w:id="909" w:name="list72"/>
      <w:bookmarkEnd w:id="90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decreased in 2009 by $2.9 million or 21.1% compared to 2008.  This decrease was primarily related to the finalization of purchase accounting in 2008 for our Consolidated Entertainment cinemas acquisition and currency fluctuations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0" w:name="list73"/>
      <w:bookmarkStart w:id="911" w:name="list73"/>
      <w:bookmarkEnd w:id="91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b/>
                <w:sz w:val="20"/>
              </w:rPr>
            </w:pPr>
            <w:r>
              <w:rPr>
                <w:rFonts w:ascii="Symbol;serif" w:hAnsi="Symbol;serif"/>
                <w:b/>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one-time $351,000 impairment charge related to certain New Zealand cinema assets during 2008.  This impairment expense did not reoccur in 2009.</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2" w:name="list74"/>
      <w:bookmarkStart w:id="913" w:name="list74"/>
      <w:bookmarkEnd w:id="91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expense decreased in 2009 by $1.2 million or 31.0% compared to 2008.  The change was primarily related to cost cutting measures throughout the segment.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4" w:name="list75"/>
      <w:bookmarkStart w:id="915" w:name="list75"/>
      <w:bookmarkEnd w:id="91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Australian average exchange rates for 2009 have decreased by 7.0% and the New Zealand average exchange rates have decreased by 11.0% from those in 2008, which had a negative impact on the individual components of the income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6" w:name="list76"/>
      <w:bookmarkStart w:id="917" w:name="list76"/>
      <w:bookmarkEnd w:id="91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 result, cinema segment operating income increased in 2009 by $12.0 million compared to 2008 primarily from our improved cinema operations in all geographic areas, despite the negative effects of currency fluctuations from year to year.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 Results for 2008 Compared to 2007</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18" w:name="list77"/>
      <w:bookmarkStart w:id="919" w:name="list77"/>
      <w:bookmarkEnd w:id="91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Cinema revenue increased in 2008 by $77.7 million or 75.1% compared to 2007.  The geographic activity of our revenue can be summarized as follows: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0" w:name="list78"/>
      <w:bookmarkStart w:id="921" w:name="list78"/>
      <w:bookmarkEnd w:id="92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Revenue in the United States increased by $68.7 million or 264.3% primarily from our Consolidated Entertainment cinemas acquisition.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2" w:name="list79"/>
      <w:bookmarkStart w:id="923" w:name="list79"/>
      <w:bookmarkEnd w:id="923"/>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Revenue in Australia increased by $9.7 million or 16.8%.  This increase in revenue was attributable to an increase in admissions revenue of $6.7 million related to an increase in box office admissions of 392,000 coupled with a $0.28 increase in average ticket price, concessions revenue of $2.7 million, and advertising and other revenue of $238,000.  This increase in revenue was primarily related to more appealing film product in late 2008 compared to the film offerings in 2007, coupled with an increase in the average admissions price of 3.2%.</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4" w:name="list80"/>
      <w:bookmarkStart w:id="925" w:name="list80"/>
      <w:bookmarkEnd w:id="925"/>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Revenue in New Zealand decreased by $710,000 or 3.6%.  This decrease in revenue was attributable to a drop in admissions revenue of $542,000, a decrease in concessions revenue of $136,000, and a decrease in advertising and other revenue of $32,000.  These decreases in revenue were primarily related to a drop in admits of 152,000 from 2007.</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6" w:name="list81"/>
      <w:bookmarkStart w:id="927" w:name="list81"/>
      <w:bookmarkEnd w:id="92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increased in 2008 by $69.2 million or 82.5% compared to 2007.  Year on year operating expense increased in relation to revenue from 81.1% to 84.5%.  This increase in cinema costs was driven by the US and primarily related to higher film rent expense associated with our Consolidated Entertainment cinemas acquisition whose film product is primarily wide release films resulting in higher film rent cost compared to our predominately pre-acquisition art cinemas in the United States, which generally have lower film rent costs.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8" w:name="list82"/>
      <w:bookmarkStart w:id="929" w:name="list82"/>
      <w:bookmarkEnd w:id="929"/>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Operating expense in the United States increased by $62.5 million or 322.0% due to the aforementioned Consolidated Entertainment cinemas acquisition.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30" w:name="list83"/>
      <w:bookmarkStart w:id="931" w:name="list83"/>
      <w:bookmarkEnd w:id="93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Operating expense in Australia increased by $7.4 million or 15.5%.  This increase was in line with the above-mentioned increase in cinema revenue.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32" w:name="list84"/>
      <w:bookmarkStart w:id="933" w:name="list84"/>
      <w:bookmarkEnd w:id="933"/>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Operating expense in New Zealand decreased by $694,000 or 4.1%.  This decrease was in line with the above-mentioned decrease in cinema revenue.</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934" w:name="list85"/>
      <w:bookmarkStart w:id="935" w:name="list85"/>
      <w:bookmarkEnd w:id="93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increased in 2008 by $6.8 million or 97.4% compared to 2007.  This increase was primarily from our Consolidated Entertainment cinemas acquisition.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36" w:name="list86"/>
      <w:bookmarkStart w:id="937" w:name="list86"/>
      <w:bookmarkEnd w:id="93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expense increased in 2008 by $639,000 or 20.0% compared to 2007.  The change was primarily related to the purchase and operation of the Consolidated Entertainment cinemas and legal matters associated with our cinema assets.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8" w:name="PGBRK39"/>
      <w:bookmarkStart w:id="939" w:name="PGBRK39"/>
      <w:bookmarkEnd w:id="9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0" w:name="FTR39"/>
      <w:bookmarkStart w:id="941" w:name="FTR39"/>
      <w:bookmarkEnd w:id="9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42" w:name="GLFTR39"/>
      <w:bookmarkEnd w:id="9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3" w:name="PN39"/>
      <w:bookmarkEnd w:id="943"/>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4" w:name="HDR39"/>
      <w:bookmarkStart w:id="945" w:name="HDR39"/>
      <w:bookmarkEnd w:id="9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946" w:name="GLHDR39"/>
        <w:bookmarkEnd w:id="94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47" w:name="list87"/>
      <w:bookmarkStart w:id="948" w:name="list87"/>
      <w:bookmarkEnd w:id="94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one-time $351,000 impairment charge related to certain New Zealand cinema assets during 2008.  This impairment expense did not occur previously in 2007.</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49" w:name="list88"/>
      <w:bookmarkStart w:id="950" w:name="list88"/>
      <w:bookmarkEnd w:id="95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Australian average exchange rates for 2008 increased by 1.6% and the New Zealand average exchange rates have decreased by 3.0% from those in 2007, which had an impact on the individual components of the income statement.  However, the overall effect of the foreign currency change on operating income was minimal.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51" w:name="list89"/>
      <w:bookmarkStart w:id="952" w:name="list89"/>
      <w:bookmarkEnd w:id="95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 result, cinema segment operating income increased in 2008 by $782,000 compared to 2007 primarily from our improved cinema operations in Australia offset by lower operating income in the United States and New Zealand due to the aforementioned higher depreciation and general and administrative expense in the U.S. coupled with the one-time impairment charge in New Zealand.</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Real Estate Segment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discussed above, our other major business segment is the development and management of real estate.  These holdings include our rental live theaters, certain fee owned properties used in our cinema business, and unimproved real estate held for development.  The tables and discussion that follow detail our operating results for our 2009, 2008, and 2007 real estate segment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831"/>
        <w:gridCol w:w="107"/>
        <w:gridCol w:w="135"/>
        <w:gridCol w:w="942"/>
        <w:gridCol w:w="107"/>
        <w:gridCol w:w="107"/>
        <w:gridCol w:w="143"/>
        <w:gridCol w:w="1025"/>
        <w:gridCol w:w="107"/>
        <w:gridCol w:w="107"/>
        <w:gridCol w:w="140"/>
        <w:gridCol w:w="989"/>
        <w:gridCol w:w="115"/>
        <w:gridCol w:w="107"/>
        <w:gridCol w:w="135"/>
        <w:gridCol w:w="989"/>
        <w:gridCol w:w="119"/>
      </w:tblGrid>
      <w:tr>
        <w:trPr/>
        <w:tc>
          <w:tcPr>
            <w:tcW w:w="4831"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2009</w:t>
            </w:r>
          </w:p>
        </w:tc>
        <w:tc>
          <w:tcPr>
            <w:tcW w:w="107" w:type="dxa"/>
            <w:tcBorders/>
            <w:shd w:fill="auto" w:val="clear"/>
            <w:tcMar>
              <w:bottom w:w="0" w:type="dxa"/>
            </w:tcMar>
            <w:vAlign w:val="bottom"/>
          </w:tcPr>
          <w:p>
            <w:pPr>
              <w:pStyle w:val="TableContents"/>
              <w:spacing w:before="0" w:after="283"/>
              <w:rPr/>
            </w:pPr>
            <w:r>
              <w:rPr/>
              <w:t> </w:t>
            </w:r>
          </w:p>
        </w:tc>
        <w:tc>
          <w:tcPr>
            <w:tcW w:w="107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6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15"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19" w:type="dxa"/>
            <w:tcBorders/>
            <w:shd w:fill="auto"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Live theater rental and ancillary income</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953" w:name="TAB1376"/>
            <w:bookmarkEnd w:id="953"/>
            <w:r>
              <w:rPr>
                <w:rFonts w:ascii="times new roman" w:hAnsi="times new roman"/>
                <w:sz w:val="20"/>
              </w:rPr>
              <w:t>2,665</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954" w:name="TAB1377"/>
            <w:bookmarkEnd w:id="954"/>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955" w:name="TAB1378"/>
            <w:bookmarkEnd w:id="955"/>
            <w:r>
              <w:rPr>
                <w:rFonts w:ascii="times new roman" w:hAnsi="times new roman"/>
                <w:sz w:val="20"/>
              </w:rPr>
              <w:t>--</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956" w:name="TAB1379"/>
            <w:bookmarkEnd w:id="956"/>
            <w:r>
              <w:rPr>
                <w:rFonts w:ascii="times new roman" w:hAnsi="times new roman"/>
                <w:sz w:val="20"/>
              </w:rPr>
              <w:t>2,665</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bottom w:val="single" w:sz="12" w:space="0" w:color="000000"/>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Property rental income</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4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5,947</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2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10,853</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FFFFFF" w:val="clear"/>
            <w:vAlign w:val="bottom"/>
          </w:tcPr>
          <w:p>
            <w:pPr>
              <w:pStyle w:val="TableContents"/>
              <w:spacing w:before="0" w:after="283"/>
              <w:jc w:val="left"/>
              <w:rPr/>
            </w:pPr>
            <w:r>
              <w:rPr/>
              <w:t> </w:t>
            </w:r>
          </w:p>
        </w:tc>
        <w:tc>
          <w:tcPr>
            <w:tcW w:w="98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5,804</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8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22,604</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Total revenue</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ind w:left="361" w:right="0" w:hanging="0"/>
              <w:jc w:val="right"/>
              <w:rPr>
                <w:rFonts w:ascii="times new roman" w:hAnsi="times new roman"/>
                <w:sz w:val="20"/>
              </w:rPr>
            </w:pPr>
            <w:bookmarkStart w:id="957" w:name="TAB1380"/>
            <w:bookmarkEnd w:id="957"/>
            <w:r>
              <w:rPr>
                <w:rFonts w:ascii="times new roman" w:hAnsi="times new roman"/>
                <w:sz w:val="20"/>
              </w:rPr>
              <w:t>8,612</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958" w:name="TAB1381"/>
            <w:bookmarkEnd w:id="958"/>
            <w:r>
              <w:rPr>
                <w:rFonts w:ascii="times new roman" w:hAnsi="times new roman"/>
                <w:sz w:val="20"/>
              </w:rPr>
              <w:t>10,853</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415" w:right="0" w:hanging="0"/>
              <w:jc w:val="right"/>
              <w:rPr>
                <w:rFonts w:ascii="times new roman" w:hAnsi="times new roman"/>
                <w:sz w:val="20"/>
              </w:rPr>
            </w:pPr>
            <w:bookmarkStart w:id="959" w:name="TAB1382"/>
            <w:bookmarkEnd w:id="959"/>
            <w:r>
              <w:rPr>
                <w:rFonts w:ascii="times new roman" w:hAnsi="times new roman"/>
                <w:sz w:val="20"/>
              </w:rPr>
              <w:t>5,804</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960" w:name="TAB1383"/>
            <w:bookmarkEnd w:id="960"/>
            <w:r>
              <w:rPr>
                <w:rFonts w:ascii="times new roman" w:hAnsi="times new roman"/>
                <w:sz w:val="20"/>
              </w:rPr>
              <w:t>25,269</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283"/>
              <w:rPr/>
            </w:pPr>
            <w:r>
              <w:rPr/>
              <w:t xml:space="preserve">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Live theater costs</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ind w:left="361" w:right="0" w:hanging="0"/>
              <w:jc w:val="right"/>
              <w:rPr>
                <w:rFonts w:ascii="times new roman" w:hAnsi="times new roman"/>
                <w:sz w:val="20"/>
              </w:rPr>
            </w:pPr>
            <w:bookmarkStart w:id="961" w:name="TAB1384"/>
            <w:bookmarkEnd w:id="961"/>
            <w:r>
              <w:rPr>
                <w:rFonts w:ascii="times new roman" w:hAnsi="times new roman"/>
                <w:sz w:val="20"/>
              </w:rPr>
              <w:t>1,551</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ind w:left="633" w:right="0" w:hanging="0"/>
              <w:jc w:val="right"/>
              <w:rPr>
                <w:rFonts w:ascii="times new roman" w:hAnsi="times new roman"/>
                <w:sz w:val="20"/>
              </w:rPr>
            </w:pPr>
            <w:bookmarkStart w:id="962" w:name="TAB1385"/>
            <w:bookmarkEnd w:id="962"/>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837" w:right="0" w:hanging="0"/>
              <w:jc w:val="right"/>
              <w:rPr>
                <w:rFonts w:ascii="times new roman" w:hAnsi="times new roman"/>
                <w:sz w:val="20"/>
              </w:rPr>
            </w:pPr>
            <w:bookmarkStart w:id="963" w:name="TAB1386"/>
            <w:bookmarkEnd w:id="963"/>
            <w:r>
              <w:rPr>
                <w:rFonts w:ascii="times new roman" w:hAnsi="times new roman"/>
                <w:sz w:val="20"/>
              </w:rPr>
              <w:t>--</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964" w:name="TAB1387"/>
            <w:bookmarkEnd w:id="964"/>
            <w:r>
              <w:rPr>
                <w:rFonts w:ascii="times new roman" w:hAnsi="times new roman"/>
                <w:sz w:val="20"/>
              </w:rPr>
              <w:t>1,551</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rental cost</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42" w:type="dxa"/>
            <w:tcBorders>
              <w:bottom w:val="single" w:sz="12" w:space="0" w:color="000000"/>
            </w:tcBorders>
            <w:shd w:fill="CCEEFF" w:val="clear"/>
            <w:vAlign w:val="bottom"/>
          </w:tcPr>
          <w:p>
            <w:pPr>
              <w:pStyle w:val="TableContents"/>
              <w:spacing w:before="0" w:after="283"/>
              <w:ind w:left="361" w:right="0" w:hanging="0"/>
              <w:jc w:val="right"/>
              <w:rPr>
                <w:rFonts w:ascii="times new roman" w:hAnsi="times new roman"/>
                <w:sz w:val="20"/>
              </w:rPr>
            </w:pPr>
            <w:bookmarkStart w:id="965" w:name="TAB1388"/>
            <w:bookmarkEnd w:id="965"/>
            <w:r>
              <w:rPr>
                <w:rFonts w:ascii="times new roman" w:hAnsi="times new roman"/>
                <w:sz w:val="20"/>
              </w:rPr>
              <w:t>4,896</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25" w:type="dxa"/>
            <w:tcBorders>
              <w:bottom w:val="single" w:sz="12" w:space="0" w:color="000000"/>
            </w:tcBorders>
            <w:shd w:fill="CCEEFF" w:val="clear"/>
            <w:vAlign w:val="bottom"/>
          </w:tcPr>
          <w:p>
            <w:pPr>
              <w:pStyle w:val="TableContents"/>
              <w:spacing w:before="0" w:after="283"/>
              <w:ind w:left="211" w:right="0" w:hanging="0"/>
              <w:jc w:val="right"/>
              <w:rPr>
                <w:rFonts w:ascii="times new roman" w:hAnsi="times new roman"/>
                <w:sz w:val="20"/>
              </w:rPr>
            </w:pPr>
            <w:bookmarkStart w:id="966" w:name="TAB1389"/>
            <w:bookmarkEnd w:id="966"/>
            <w:r>
              <w:rPr>
                <w:rFonts w:ascii="times new roman" w:hAnsi="times new roman"/>
                <w:sz w:val="20"/>
              </w:rPr>
              <w:t>3,997</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ind w:left="415" w:right="0" w:hanging="0"/>
              <w:jc w:val="right"/>
              <w:rPr>
                <w:rFonts w:ascii="times new roman" w:hAnsi="times new roman"/>
                <w:sz w:val="20"/>
              </w:rPr>
            </w:pPr>
            <w:bookmarkStart w:id="967" w:name="TAB1390"/>
            <w:bookmarkEnd w:id="967"/>
            <w:r>
              <w:rPr>
                <w:rFonts w:ascii="times new roman" w:hAnsi="times new roman"/>
                <w:sz w:val="20"/>
              </w:rPr>
              <w:t>1,550</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ind w:left="77" w:right="0" w:hanging="0"/>
              <w:jc w:val="right"/>
              <w:rPr>
                <w:rFonts w:ascii="times new roman" w:hAnsi="times new roman"/>
                <w:sz w:val="20"/>
              </w:rPr>
            </w:pPr>
            <w:bookmarkStart w:id="968" w:name="TAB1391"/>
            <w:bookmarkEnd w:id="968"/>
            <w:r>
              <w:rPr>
                <w:rFonts w:ascii="times new roman" w:hAnsi="times new roman"/>
                <w:sz w:val="20"/>
              </w:rPr>
              <w:t>10,443</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Total operating expense</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ind w:left="361" w:right="0" w:hanging="0"/>
              <w:jc w:val="right"/>
              <w:rPr>
                <w:rFonts w:ascii="times new roman" w:hAnsi="times new roman"/>
                <w:sz w:val="20"/>
              </w:rPr>
            </w:pPr>
            <w:bookmarkStart w:id="969" w:name="TAB1392"/>
            <w:bookmarkEnd w:id="969"/>
            <w:r>
              <w:rPr>
                <w:rFonts w:ascii="times new roman" w:hAnsi="times new roman"/>
                <w:sz w:val="20"/>
              </w:rPr>
              <w:t>6,447</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970" w:name="TAB1393"/>
            <w:bookmarkEnd w:id="970"/>
            <w:r>
              <w:rPr>
                <w:rFonts w:ascii="times new roman" w:hAnsi="times new roman"/>
                <w:sz w:val="20"/>
              </w:rPr>
              <w:t>3,997</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415" w:right="0" w:hanging="0"/>
              <w:jc w:val="right"/>
              <w:rPr>
                <w:rFonts w:ascii="times new roman" w:hAnsi="times new roman"/>
                <w:sz w:val="20"/>
              </w:rPr>
            </w:pPr>
            <w:bookmarkStart w:id="971" w:name="TAB1394"/>
            <w:bookmarkEnd w:id="971"/>
            <w:r>
              <w:rPr>
                <w:rFonts w:ascii="times new roman" w:hAnsi="times new roman"/>
                <w:sz w:val="20"/>
              </w:rPr>
              <w:t>1,550</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77" w:right="0" w:hanging="0"/>
              <w:jc w:val="right"/>
              <w:rPr>
                <w:rFonts w:ascii="times new roman" w:hAnsi="times new roman"/>
                <w:sz w:val="20"/>
              </w:rPr>
            </w:pPr>
            <w:bookmarkStart w:id="972" w:name="TAB1395"/>
            <w:bookmarkEnd w:id="972"/>
            <w:r>
              <w:rPr>
                <w:rFonts w:ascii="times new roman" w:hAnsi="times new roman"/>
                <w:sz w:val="20"/>
              </w:rPr>
              <w:t>11,994</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283"/>
              <w:rPr/>
            </w:pPr>
            <w:r>
              <w:rPr/>
              <w:t xml:space="preserve">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ind w:left="561" w:right="0" w:hanging="0"/>
              <w:jc w:val="right"/>
              <w:rPr>
                <w:rFonts w:ascii="times new roman" w:hAnsi="times new roman"/>
                <w:sz w:val="20"/>
              </w:rPr>
            </w:pPr>
            <w:bookmarkStart w:id="973" w:name="TAB1396"/>
            <w:bookmarkEnd w:id="973"/>
            <w:r>
              <w:rPr>
                <w:rFonts w:ascii="times new roman" w:hAnsi="times new roman"/>
                <w:sz w:val="20"/>
              </w:rPr>
              <w:t>334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ind w:left="211" w:right="0" w:hanging="0"/>
              <w:jc w:val="right"/>
              <w:rPr>
                <w:rFonts w:ascii="times new roman" w:hAnsi="times new roman"/>
                <w:sz w:val="20"/>
              </w:rPr>
            </w:pPr>
            <w:bookmarkStart w:id="974" w:name="TAB1397"/>
            <w:bookmarkEnd w:id="974"/>
            <w:r>
              <w:rPr>
                <w:rFonts w:ascii="times new roman" w:hAnsi="times new roman"/>
                <w:sz w:val="20"/>
              </w:rPr>
              <w:t>1,954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415" w:right="0" w:hanging="0"/>
              <w:jc w:val="right"/>
              <w:rPr>
                <w:rFonts w:ascii="times new roman" w:hAnsi="times new roman"/>
                <w:sz w:val="20"/>
              </w:rPr>
            </w:pPr>
            <w:bookmarkStart w:id="975" w:name="TAB1398"/>
            <w:bookmarkEnd w:id="975"/>
            <w:r>
              <w:rPr>
                <w:rFonts w:ascii="times new roman" w:hAnsi="times new roman"/>
                <w:sz w:val="20"/>
              </w:rPr>
              <w:t>1,398</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211" w:right="0" w:hanging="0"/>
              <w:jc w:val="right"/>
              <w:rPr>
                <w:rFonts w:ascii="times new roman" w:hAnsi="times new roman"/>
                <w:sz w:val="20"/>
              </w:rPr>
            </w:pPr>
            <w:bookmarkStart w:id="976" w:name="TAB1399"/>
            <w:bookmarkEnd w:id="976"/>
            <w:r>
              <w:rPr>
                <w:rFonts w:ascii="times new roman" w:hAnsi="times new roman"/>
                <w:sz w:val="20"/>
              </w:rPr>
              <w:t>3,686</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Loss on transfer of real estate held for sale to continuing operations</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ind w:left="783" w:right="0" w:hanging="0"/>
              <w:jc w:val="right"/>
              <w:rPr>
                <w:rFonts w:ascii="times new roman" w:hAnsi="times new roman"/>
                <w:sz w:val="20"/>
              </w:rPr>
            </w:pPr>
            <w:bookmarkStart w:id="977" w:name="TAB1400"/>
            <w:bookmarkEnd w:id="977"/>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ind w:left="411" w:right="0" w:hanging="0"/>
              <w:jc w:val="right"/>
              <w:rPr>
                <w:rFonts w:ascii="times new roman" w:hAnsi="times new roman"/>
                <w:sz w:val="20"/>
              </w:rPr>
            </w:pPr>
            <w:bookmarkStart w:id="978" w:name="TAB1401"/>
            <w:bookmarkEnd w:id="978"/>
            <w:r>
              <w:rPr>
                <w:rFonts w:ascii="times new roman" w:hAnsi="times new roman"/>
                <w:sz w:val="20"/>
              </w:rPr>
              <w:t>549</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837" w:right="0" w:hanging="0"/>
              <w:jc w:val="right"/>
              <w:rPr>
                <w:rFonts w:ascii="times new roman" w:hAnsi="times new roman"/>
                <w:sz w:val="20"/>
              </w:rPr>
            </w:pPr>
            <w:bookmarkStart w:id="979" w:name="TAB1402"/>
            <w:bookmarkEnd w:id="979"/>
            <w:r>
              <w:rPr>
                <w:rFonts w:ascii="times new roman" w:hAnsi="times new roman"/>
                <w:sz w:val="20"/>
              </w:rPr>
              <w:t>--</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411" w:right="0" w:hanging="0"/>
              <w:jc w:val="right"/>
              <w:rPr>
                <w:rFonts w:ascii="times new roman" w:hAnsi="times new roman"/>
                <w:sz w:val="20"/>
              </w:rPr>
            </w:pPr>
            <w:bookmarkStart w:id="980" w:name="TAB1403"/>
            <w:bookmarkEnd w:id="980"/>
            <w:r>
              <w:rPr>
                <w:rFonts w:ascii="times new roman" w:hAnsi="times new roman"/>
                <w:sz w:val="20"/>
              </w:rPr>
              <w:t>549</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ind w:left="783" w:right="0" w:hanging="0"/>
              <w:jc w:val="right"/>
              <w:rPr>
                <w:rFonts w:ascii="times new roman" w:hAnsi="times new roman"/>
                <w:sz w:val="20"/>
              </w:rPr>
            </w:pPr>
            <w:bookmarkStart w:id="981" w:name="TAB1404"/>
            <w:bookmarkEnd w:id="981"/>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ind w:left="633" w:right="0" w:hanging="0"/>
              <w:jc w:val="right"/>
              <w:rPr>
                <w:rFonts w:ascii="times new roman" w:hAnsi="times new roman"/>
                <w:sz w:val="20"/>
              </w:rPr>
            </w:pPr>
            <w:bookmarkStart w:id="982" w:name="TAB1405"/>
            <w:bookmarkEnd w:id="982"/>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415" w:right="0" w:hanging="0"/>
              <w:jc w:val="right"/>
              <w:rPr>
                <w:rFonts w:ascii="times new roman" w:hAnsi="times new roman"/>
                <w:sz w:val="20"/>
              </w:rPr>
            </w:pPr>
            <w:bookmarkStart w:id="983" w:name="TAB1406"/>
            <w:bookmarkEnd w:id="983"/>
            <w:r>
              <w:rPr>
                <w:rFonts w:ascii="times new roman" w:hAnsi="times new roman"/>
                <w:sz w:val="20"/>
              </w:rPr>
              <w:t>3,217</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211" w:right="0" w:hanging="0"/>
              <w:jc w:val="right"/>
              <w:rPr>
                <w:rFonts w:ascii="times new roman" w:hAnsi="times new roman"/>
                <w:sz w:val="20"/>
              </w:rPr>
            </w:pPr>
            <w:bookmarkStart w:id="984" w:name="TAB1407"/>
            <w:bookmarkEnd w:id="984"/>
            <w:r>
              <w:rPr>
                <w:rFonts w:ascii="times new roman" w:hAnsi="times new roman"/>
                <w:sz w:val="20"/>
              </w:rPr>
              <w:t>3,217</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Contractual commitment loss</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ind w:left="783" w:right="0" w:hanging="0"/>
              <w:jc w:val="right"/>
              <w:rPr>
                <w:rFonts w:ascii="times new roman" w:hAnsi="times new roman"/>
                <w:sz w:val="20"/>
              </w:rPr>
            </w:pPr>
            <w:bookmarkStart w:id="985" w:name="TAB1408"/>
            <w:bookmarkEnd w:id="985"/>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ind w:left="633" w:right="0" w:hanging="0"/>
              <w:jc w:val="right"/>
              <w:rPr>
                <w:rFonts w:ascii="times new roman" w:hAnsi="times new roman"/>
                <w:sz w:val="20"/>
              </w:rPr>
            </w:pPr>
            <w:bookmarkStart w:id="986" w:name="TAB1409"/>
            <w:bookmarkEnd w:id="986"/>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415" w:right="0" w:hanging="0"/>
              <w:jc w:val="right"/>
              <w:rPr>
                <w:rFonts w:ascii="times new roman" w:hAnsi="times new roman"/>
                <w:sz w:val="20"/>
              </w:rPr>
            </w:pPr>
            <w:bookmarkStart w:id="987" w:name="TAB1410"/>
            <w:bookmarkEnd w:id="987"/>
            <w:r>
              <w:rPr>
                <w:rFonts w:ascii="times new roman" w:hAnsi="times new roman"/>
                <w:sz w:val="20"/>
              </w:rPr>
              <w:t>1,092</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988" w:name="TAB1411"/>
            <w:bookmarkEnd w:id="988"/>
            <w:r>
              <w:rPr>
                <w:rFonts w:ascii="times new roman" w:hAnsi="times new roman"/>
                <w:sz w:val="20"/>
              </w:rPr>
              <w:t>1,092</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42" w:type="dxa"/>
            <w:tcBorders>
              <w:bottom w:val="single" w:sz="12" w:space="0" w:color="000000"/>
            </w:tcBorders>
            <w:shd w:fill="CCEEFF" w:val="clear"/>
            <w:vAlign w:val="bottom"/>
          </w:tcPr>
          <w:p>
            <w:pPr>
              <w:pStyle w:val="TableContents"/>
              <w:spacing w:before="0" w:after="283"/>
              <w:ind w:left="694" w:right="0" w:hanging="0"/>
              <w:jc w:val="right"/>
              <w:rPr>
                <w:rFonts w:ascii="times new roman" w:hAnsi="times new roman"/>
                <w:sz w:val="20"/>
              </w:rPr>
            </w:pPr>
            <w:bookmarkStart w:id="989" w:name="TAB1412"/>
            <w:bookmarkEnd w:id="989"/>
            <w:r>
              <w:rPr>
                <w:rFonts w:ascii="times new roman" w:hAnsi="times new roman"/>
                <w:sz w:val="20"/>
              </w:rPr>
              <w:t>18</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25" w:type="dxa"/>
            <w:tcBorders>
              <w:bottom w:val="single" w:sz="12" w:space="0" w:color="000000"/>
            </w:tcBorders>
            <w:shd w:fill="CCEEFF" w:val="clear"/>
            <w:vAlign w:val="bottom"/>
          </w:tcPr>
          <w:p>
            <w:pPr>
              <w:pStyle w:val="TableContents"/>
              <w:spacing w:before="0" w:after="283"/>
              <w:ind w:left="411" w:right="0" w:hanging="0"/>
              <w:jc w:val="right"/>
              <w:rPr>
                <w:rFonts w:ascii="times new roman" w:hAnsi="times new roman"/>
                <w:sz w:val="20"/>
              </w:rPr>
            </w:pPr>
            <w:bookmarkStart w:id="990" w:name="TAB1413"/>
            <w:bookmarkEnd w:id="990"/>
            <w:r>
              <w:rPr>
                <w:rFonts w:ascii="times new roman" w:hAnsi="times new roman"/>
                <w:sz w:val="20"/>
              </w:rPr>
              <w:t>914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ind w:left="615" w:right="0" w:hanging="0"/>
              <w:jc w:val="right"/>
              <w:rPr>
                <w:rFonts w:ascii="times new roman" w:hAnsi="times new roman"/>
                <w:sz w:val="20"/>
              </w:rPr>
            </w:pPr>
            <w:bookmarkStart w:id="991" w:name="TAB1414"/>
            <w:bookmarkEnd w:id="991"/>
            <w:r>
              <w:rPr>
                <w:rFonts w:ascii="times new roman" w:hAnsi="times new roman"/>
                <w:sz w:val="20"/>
              </w:rPr>
              <w:t>131</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ind w:left="211" w:right="0" w:hanging="0"/>
              <w:jc w:val="right"/>
              <w:rPr>
                <w:rFonts w:ascii="times new roman" w:hAnsi="times new roman"/>
                <w:sz w:val="20"/>
              </w:rPr>
            </w:pPr>
            <w:bookmarkStart w:id="992" w:name="TAB1415"/>
            <w:bookmarkEnd w:id="992"/>
            <w:r>
              <w:rPr>
                <w:rFonts w:ascii="times new roman" w:hAnsi="times new roman"/>
                <w:sz w:val="20"/>
              </w:rPr>
              <w:t>1,063</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bottom w:val="double" w:sz="8" w:space="0" w:color="000000"/>
            </w:tcBorders>
            <w:shd w:fill="FFFFFF" w:val="cle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Segment operating income (loss)</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993" w:name="TAB1416"/>
            <w:bookmarkEnd w:id="993"/>
            <w:r>
              <w:rPr>
                <w:rFonts w:ascii="times new roman" w:hAnsi="times new roman"/>
                <w:sz w:val="20"/>
              </w:rPr>
              <w:t>1,813</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994" w:name="TAB1417"/>
            <w:bookmarkEnd w:id="994"/>
            <w:r>
              <w:rPr>
                <w:rFonts w:ascii="times new roman" w:hAnsi="times new roman"/>
                <w:sz w:val="20"/>
              </w:rPr>
              <w:t>3,439</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995" w:name="TAB1418"/>
            <w:bookmarkEnd w:id="995"/>
            <w:r>
              <w:rPr>
                <w:rFonts w:ascii="times new roman" w:hAnsi="times new roman"/>
                <w:sz w:val="20"/>
              </w:rPr>
              <w:t>(1,584</w:t>
            </w:r>
          </w:p>
        </w:tc>
        <w:tc>
          <w:tcPr>
            <w:tcW w:w="11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996" w:name="TAB1419"/>
            <w:bookmarkEnd w:id="996"/>
            <w:r>
              <w:rPr>
                <w:rFonts w:ascii="times new roman" w:hAnsi="times new roman"/>
                <w:sz w:val="20"/>
              </w:rPr>
              <w:t>3,668</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283"/>
              <w:rPr/>
            </w:pPr>
            <w:r>
              <w:rPr/>
              <w:t xml:space="preserve">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2008</w:t>
            </w:r>
          </w:p>
        </w:tc>
        <w:tc>
          <w:tcPr>
            <w:tcW w:w="107" w:type="dxa"/>
            <w:tcBorders/>
            <w:shd w:fill="FFFFFF" w:val="clear"/>
            <w:tcMar>
              <w:bottom w:w="0" w:type="dxa"/>
            </w:tcMar>
            <w:vAlign w:val="bottom"/>
          </w:tcPr>
          <w:p>
            <w:pPr>
              <w:pStyle w:val="TableContents"/>
              <w:spacing w:before="0" w:after="283"/>
              <w:rPr/>
            </w:pPr>
            <w:r>
              <w:rPr/>
              <w:t> </w:t>
            </w:r>
          </w:p>
        </w:tc>
        <w:tc>
          <w:tcPr>
            <w:tcW w:w="1077"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168"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129"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124"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Live theater rental and ancillary income</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997" w:name="TAB1420"/>
            <w:bookmarkEnd w:id="997"/>
            <w:r>
              <w:rPr>
                <w:rFonts w:ascii="times new roman" w:hAnsi="times new roman"/>
                <w:sz w:val="20"/>
              </w:rPr>
              <w:t>3,583</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998" w:name="TAB1421"/>
            <w:bookmarkEnd w:id="998"/>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999" w:name="TAB1422"/>
            <w:bookmarkEnd w:id="999"/>
            <w:r>
              <w:rPr>
                <w:rFonts w:ascii="times new roman" w:hAnsi="times new roman"/>
                <w:sz w:val="20"/>
              </w:rPr>
              <w:t>--</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000" w:name="TAB1423"/>
            <w:bookmarkEnd w:id="1000"/>
            <w:r>
              <w:rPr>
                <w:rFonts w:ascii="times new roman" w:hAnsi="times new roman"/>
                <w:sz w:val="20"/>
              </w:rPr>
              <w:t>3,583</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bottom w:val="single" w:sz="12" w:space="0" w:color="000000"/>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Property rental income</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4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3,332</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2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9,690</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FFFFFF" w:val="clear"/>
            <w:vAlign w:val="bottom"/>
          </w:tcPr>
          <w:p>
            <w:pPr>
              <w:pStyle w:val="TableContents"/>
              <w:spacing w:before="0" w:after="283"/>
              <w:jc w:val="left"/>
              <w:rPr/>
            </w:pPr>
            <w:r>
              <w:rPr/>
              <w:t> </w:t>
            </w:r>
          </w:p>
        </w:tc>
        <w:tc>
          <w:tcPr>
            <w:tcW w:w="98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7,089</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8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20,111</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Total revenue</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ind w:left="361" w:right="0" w:hanging="0"/>
              <w:jc w:val="right"/>
              <w:rPr>
                <w:rFonts w:ascii="times new roman" w:hAnsi="times new roman"/>
                <w:sz w:val="20"/>
              </w:rPr>
            </w:pPr>
            <w:bookmarkStart w:id="1001" w:name="TAB1424"/>
            <w:bookmarkEnd w:id="1001"/>
            <w:r>
              <w:rPr>
                <w:rFonts w:ascii="times new roman" w:hAnsi="times new roman"/>
                <w:sz w:val="20"/>
              </w:rPr>
              <w:t>6,915</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ind w:left="211" w:right="0" w:hanging="0"/>
              <w:jc w:val="right"/>
              <w:rPr>
                <w:rFonts w:ascii="times new roman" w:hAnsi="times new roman"/>
                <w:sz w:val="20"/>
              </w:rPr>
            </w:pPr>
            <w:bookmarkStart w:id="1002" w:name="TAB1425"/>
            <w:bookmarkEnd w:id="1002"/>
            <w:r>
              <w:rPr>
                <w:rFonts w:ascii="times new roman" w:hAnsi="times new roman"/>
                <w:sz w:val="20"/>
              </w:rPr>
              <w:t>9,690</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415" w:right="0" w:hanging="0"/>
              <w:jc w:val="right"/>
              <w:rPr>
                <w:rFonts w:ascii="times new roman" w:hAnsi="times new roman"/>
                <w:sz w:val="20"/>
              </w:rPr>
            </w:pPr>
            <w:bookmarkStart w:id="1003" w:name="TAB1426"/>
            <w:bookmarkEnd w:id="1003"/>
            <w:r>
              <w:rPr>
                <w:rFonts w:ascii="times new roman" w:hAnsi="times new roman"/>
                <w:sz w:val="20"/>
              </w:rPr>
              <w:t>7,089</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1004" w:name="TAB1427"/>
            <w:bookmarkEnd w:id="1004"/>
            <w:r>
              <w:rPr>
                <w:rFonts w:ascii="times new roman" w:hAnsi="times new roman"/>
                <w:sz w:val="20"/>
              </w:rPr>
              <w:t>23,694</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283"/>
              <w:rPr/>
            </w:pPr>
            <w:r>
              <w:rPr/>
              <w:t xml:space="preserve">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Live theater costs</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ind w:left="361" w:right="0" w:hanging="0"/>
              <w:jc w:val="right"/>
              <w:rPr>
                <w:rFonts w:ascii="times new roman" w:hAnsi="times new roman"/>
                <w:sz w:val="20"/>
              </w:rPr>
            </w:pPr>
            <w:bookmarkStart w:id="1005" w:name="TAB1428"/>
            <w:bookmarkEnd w:id="1005"/>
            <w:r>
              <w:rPr>
                <w:rFonts w:ascii="times new roman" w:hAnsi="times new roman"/>
                <w:sz w:val="20"/>
              </w:rPr>
              <w:t>1,892</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ind w:left="633" w:right="0" w:hanging="0"/>
              <w:jc w:val="right"/>
              <w:rPr>
                <w:rFonts w:ascii="times new roman" w:hAnsi="times new roman"/>
                <w:sz w:val="20"/>
              </w:rPr>
            </w:pPr>
            <w:bookmarkStart w:id="1006" w:name="TAB1429"/>
            <w:bookmarkEnd w:id="1006"/>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837" w:right="0" w:hanging="0"/>
              <w:jc w:val="right"/>
              <w:rPr>
                <w:rFonts w:ascii="times new roman" w:hAnsi="times new roman"/>
                <w:sz w:val="20"/>
              </w:rPr>
            </w:pPr>
            <w:bookmarkStart w:id="1007" w:name="TAB1430"/>
            <w:bookmarkEnd w:id="1007"/>
            <w:r>
              <w:rPr>
                <w:rFonts w:ascii="times new roman" w:hAnsi="times new roman"/>
                <w:sz w:val="20"/>
              </w:rPr>
              <w:t>--</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1008" w:name="TAB1431"/>
            <w:bookmarkEnd w:id="1008"/>
            <w:r>
              <w:rPr>
                <w:rFonts w:ascii="times new roman" w:hAnsi="times new roman"/>
                <w:sz w:val="20"/>
              </w:rPr>
              <w:t>1,892</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rental cost</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42" w:type="dxa"/>
            <w:tcBorders>
              <w:bottom w:val="single" w:sz="12" w:space="0" w:color="000000"/>
            </w:tcBorders>
            <w:shd w:fill="CCEEFF" w:val="clear"/>
            <w:vAlign w:val="bottom"/>
          </w:tcPr>
          <w:p>
            <w:pPr>
              <w:pStyle w:val="TableContents"/>
              <w:spacing w:before="0" w:after="283"/>
              <w:ind w:left="361" w:right="0" w:hanging="0"/>
              <w:jc w:val="right"/>
              <w:rPr>
                <w:rFonts w:ascii="times new roman" w:hAnsi="times new roman"/>
                <w:sz w:val="20"/>
              </w:rPr>
            </w:pPr>
            <w:bookmarkStart w:id="1009" w:name="TAB1432"/>
            <w:bookmarkEnd w:id="1009"/>
            <w:r>
              <w:rPr>
                <w:rFonts w:ascii="times new roman" w:hAnsi="times new roman"/>
                <w:sz w:val="20"/>
              </w:rPr>
              <w:t>2,913</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25" w:type="dxa"/>
            <w:tcBorders>
              <w:bottom w:val="single" w:sz="12" w:space="0" w:color="000000"/>
            </w:tcBorders>
            <w:shd w:fill="CCEEFF" w:val="clear"/>
            <w:vAlign w:val="bottom"/>
          </w:tcPr>
          <w:p>
            <w:pPr>
              <w:pStyle w:val="TableContents"/>
              <w:spacing w:before="0" w:after="283"/>
              <w:ind w:left="211" w:right="0" w:hanging="0"/>
              <w:jc w:val="right"/>
              <w:rPr>
                <w:rFonts w:ascii="times new roman" w:hAnsi="times new roman"/>
                <w:sz w:val="20"/>
              </w:rPr>
            </w:pPr>
            <w:bookmarkStart w:id="1010" w:name="TAB1433"/>
            <w:bookmarkEnd w:id="1010"/>
            <w:r>
              <w:rPr>
                <w:rFonts w:ascii="times new roman" w:hAnsi="times new roman"/>
                <w:sz w:val="20"/>
              </w:rPr>
              <w:t>3,262</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ind w:left="415" w:right="0" w:hanging="0"/>
              <w:jc w:val="right"/>
              <w:rPr>
                <w:rFonts w:ascii="times new roman" w:hAnsi="times new roman"/>
                <w:sz w:val="20"/>
              </w:rPr>
            </w:pPr>
            <w:bookmarkStart w:id="1011" w:name="TAB1434"/>
            <w:bookmarkEnd w:id="1011"/>
            <w:r>
              <w:rPr>
                <w:rFonts w:ascii="times new roman" w:hAnsi="times new roman"/>
                <w:sz w:val="20"/>
              </w:rPr>
              <w:t>1,724</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ind w:left="211" w:right="0" w:hanging="0"/>
              <w:jc w:val="right"/>
              <w:rPr>
                <w:rFonts w:ascii="times new roman" w:hAnsi="times new roman"/>
                <w:sz w:val="20"/>
              </w:rPr>
            </w:pPr>
            <w:bookmarkStart w:id="1012" w:name="TAB1435"/>
            <w:bookmarkEnd w:id="1012"/>
            <w:r>
              <w:rPr>
                <w:rFonts w:ascii="times new roman" w:hAnsi="times new roman"/>
                <w:sz w:val="20"/>
              </w:rPr>
              <w:t>7,899</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Total operating expense</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ind w:left="361" w:right="0" w:hanging="0"/>
              <w:jc w:val="right"/>
              <w:rPr>
                <w:rFonts w:ascii="times new roman" w:hAnsi="times new roman"/>
                <w:sz w:val="20"/>
              </w:rPr>
            </w:pPr>
            <w:bookmarkStart w:id="1013" w:name="TAB1436"/>
            <w:bookmarkEnd w:id="1013"/>
            <w:r>
              <w:rPr>
                <w:rFonts w:ascii="times new roman" w:hAnsi="times new roman"/>
                <w:sz w:val="20"/>
              </w:rPr>
              <w:t>4,805</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1014" w:name="TAB1437"/>
            <w:bookmarkEnd w:id="1014"/>
            <w:r>
              <w:rPr>
                <w:rFonts w:ascii="times new roman" w:hAnsi="times new roman"/>
                <w:sz w:val="20"/>
              </w:rPr>
              <w:t>3,262</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415" w:right="0" w:hanging="0"/>
              <w:jc w:val="right"/>
              <w:rPr>
                <w:rFonts w:ascii="times new roman" w:hAnsi="times new roman"/>
                <w:sz w:val="20"/>
              </w:rPr>
            </w:pPr>
            <w:bookmarkStart w:id="1015" w:name="TAB1438"/>
            <w:bookmarkEnd w:id="1015"/>
            <w:r>
              <w:rPr>
                <w:rFonts w:ascii="times new roman" w:hAnsi="times new roman"/>
                <w:sz w:val="20"/>
              </w:rPr>
              <w:t>1,724</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1016" w:name="TAB1439"/>
            <w:bookmarkEnd w:id="1016"/>
            <w:r>
              <w:rPr>
                <w:rFonts w:ascii="times new roman" w:hAnsi="times new roman"/>
                <w:sz w:val="20"/>
              </w:rPr>
              <w:t>9,791</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283"/>
              <w:rPr/>
            </w:pPr>
            <w:r>
              <w:rPr/>
              <w:t xml:space="preserve">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ind w:left="561" w:right="0" w:hanging="0"/>
              <w:jc w:val="right"/>
              <w:rPr>
                <w:rFonts w:ascii="times new roman" w:hAnsi="times new roman"/>
                <w:sz w:val="20"/>
              </w:rPr>
            </w:pPr>
            <w:bookmarkStart w:id="1017" w:name="TAB1440"/>
            <w:bookmarkEnd w:id="1017"/>
            <w:r>
              <w:rPr>
                <w:rFonts w:ascii="times new roman" w:hAnsi="times new roman"/>
                <w:sz w:val="20"/>
              </w:rPr>
              <w:t>351</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ind w:left="211" w:right="0" w:hanging="0"/>
              <w:jc w:val="right"/>
              <w:rPr>
                <w:rFonts w:ascii="times new roman" w:hAnsi="times new roman"/>
                <w:sz w:val="20"/>
              </w:rPr>
            </w:pPr>
            <w:bookmarkStart w:id="1018" w:name="TAB1441"/>
            <w:bookmarkEnd w:id="1018"/>
            <w:r>
              <w:rPr>
                <w:rFonts w:ascii="times new roman" w:hAnsi="times new roman"/>
                <w:sz w:val="20"/>
              </w:rPr>
              <w:t>2,189</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415" w:right="0" w:hanging="0"/>
              <w:jc w:val="right"/>
              <w:rPr>
                <w:rFonts w:ascii="times new roman" w:hAnsi="times new roman"/>
                <w:sz w:val="20"/>
              </w:rPr>
            </w:pPr>
            <w:bookmarkStart w:id="1019" w:name="TAB1442"/>
            <w:bookmarkEnd w:id="1019"/>
            <w:r>
              <w:rPr>
                <w:rFonts w:ascii="times new roman" w:hAnsi="times new roman"/>
                <w:sz w:val="20"/>
              </w:rPr>
              <w:t>1,660</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ind w:left="211" w:right="0" w:hanging="0"/>
              <w:jc w:val="right"/>
              <w:rPr>
                <w:rFonts w:ascii="times new roman" w:hAnsi="times new roman"/>
                <w:sz w:val="20"/>
              </w:rPr>
            </w:pPr>
            <w:bookmarkStart w:id="1020" w:name="TAB1443"/>
            <w:bookmarkEnd w:id="1020"/>
            <w:r>
              <w:rPr>
                <w:rFonts w:ascii="times new roman" w:hAnsi="times new roman"/>
                <w:sz w:val="20"/>
              </w:rPr>
              <w:t>4,200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ind w:left="783" w:right="0" w:hanging="0"/>
              <w:jc w:val="right"/>
              <w:rPr>
                <w:rFonts w:ascii="times new roman" w:hAnsi="times new roman"/>
                <w:sz w:val="20"/>
              </w:rPr>
            </w:pPr>
            <w:bookmarkStart w:id="1021" w:name="TAB1444"/>
            <w:bookmarkEnd w:id="1021"/>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1022" w:name="TAB1445"/>
            <w:bookmarkEnd w:id="1022"/>
            <w:r>
              <w:rPr>
                <w:rFonts w:ascii="times new roman" w:hAnsi="times new roman"/>
                <w:sz w:val="20"/>
              </w:rPr>
              <w:t>3,091</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615" w:right="0" w:hanging="0"/>
              <w:jc w:val="right"/>
              <w:rPr>
                <w:rFonts w:ascii="times new roman" w:hAnsi="times new roman"/>
                <w:sz w:val="20"/>
              </w:rPr>
            </w:pPr>
            <w:bookmarkStart w:id="1023" w:name="TAB1446"/>
            <w:bookmarkEnd w:id="1023"/>
            <w:r>
              <w:rPr>
                <w:rFonts w:ascii="times new roman" w:hAnsi="times new roman"/>
                <w:sz w:val="20"/>
              </w:rPr>
              <w:t>877</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1024" w:name="TAB1447"/>
            <w:bookmarkEnd w:id="1024"/>
            <w:r>
              <w:rPr>
                <w:rFonts w:ascii="times new roman" w:hAnsi="times new roman"/>
                <w:sz w:val="20"/>
              </w:rPr>
              <w:t>3,968</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42" w:type="dxa"/>
            <w:tcBorders>
              <w:bottom w:val="single" w:sz="12" w:space="0" w:color="000000"/>
            </w:tcBorders>
            <w:shd w:fill="CCEEFF" w:val="clear"/>
            <w:vAlign w:val="bottom"/>
          </w:tcPr>
          <w:p>
            <w:pPr>
              <w:pStyle w:val="TableContents"/>
              <w:spacing w:before="0" w:after="283"/>
              <w:ind w:left="694" w:right="0" w:hanging="0"/>
              <w:jc w:val="right"/>
              <w:rPr>
                <w:rFonts w:ascii="times new roman" w:hAnsi="times new roman"/>
                <w:sz w:val="20"/>
              </w:rPr>
            </w:pPr>
            <w:bookmarkStart w:id="1025" w:name="TAB1448"/>
            <w:bookmarkEnd w:id="1025"/>
            <w:r>
              <w:rPr>
                <w:rFonts w:ascii="times new roman" w:hAnsi="times new roman"/>
                <w:sz w:val="20"/>
              </w:rPr>
              <w:t>14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25" w:type="dxa"/>
            <w:tcBorders>
              <w:bottom w:val="single" w:sz="12" w:space="0" w:color="000000"/>
            </w:tcBorders>
            <w:shd w:fill="CCEEFF" w:val="clear"/>
            <w:vAlign w:val="bottom"/>
          </w:tcPr>
          <w:p>
            <w:pPr>
              <w:pStyle w:val="TableContents"/>
              <w:spacing w:before="0" w:after="283"/>
              <w:ind w:left="211" w:right="0" w:hanging="0"/>
              <w:jc w:val="right"/>
              <w:rPr>
                <w:rFonts w:ascii="times new roman" w:hAnsi="times new roman"/>
                <w:sz w:val="20"/>
              </w:rPr>
            </w:pPr>
            <w:bookmarkStart w:id="1026" w:name="TAB1449"/>
            <w:bookmarkEnd w:id="1026"/>
            <w:r>
              <w:rPr>
                <w:rFonts w:ascii="times new roman" w:hAnsi="times new roman"/>
                <w:sz w:val="20"/>
              </w:rPr>
              <w:t>1,019</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ind w:left="748" w:right="0" w:hanging="0"/>
              <w:jc w:val="right"/>
              <w:rPr>
                <w:rFonts w:ascii="times new roman" w:hAnsi="times new roman"/>
                <w:sz w:val="20"/>
              </w:rPr>
            </w:pPr>
            <w:bookmarkStart w:id="1027" w:name="TAB1450"/>
            <w:bookmarkEnd w:id="1027"/>
            <w:r>
              <w:rPr>
                <w:rFonts w:ascii="times new roman" w:hAnsi="times new roman"/>
                <w:sz w:val="20"/>
              </w:rPr>
              <w:t>88</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ind w:left="211" w:right="0" w:hanging="0"/>
              <w:jc w:val="right"/>
              <w:rPr>
                <w:rFonts w:ascii="times new roman" w:hAnsi="times new roman"/>
                <w:sz w:val="20"/>
              </w:rPr>
            </w:pPr>
            <w:bookmarkStart w:id="1028" w:name="TAB1451"/>
            <w:bookmarkEnd w:id="1028"/>
            <w:r>
              <w:rPr>
                <w:rFonts w:ascii="times new roman" w:hAnsi="times new roman"/>
                <w:sz w:val="20"/>
              </w:rPr>
              <w:t>1,121</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bottom w:val="double" w:sz="8" w:space="0" w:color="000000"/>
            </w:tcBorders>
            <w:shd w:fill="FFFFFF" w:val="cle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Segment operating income</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1029" w:name="TAB1452"/>
            <w:bookmarkEnd w:id="1029"/>
            <w:r>
              <w:rPr>
                <w:rFonts w:ascii="times new roman" w:hAnsi="times new roman"/>
                <w:sz w:val="20"/>
              </w:rPr>
              <w:t>1,745</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1030" w:name="TAB1453"/>
            <w:bookmarkEnd w:id="1030"/>
            <w:r>
              <w:rPr>
                <w:rFonts w:ascii="times new roman" w:hAnsi="times new roman"/>
                <w:sz w:val="20"/>
              </w:rPr>
              <w:t>129</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1031" w:name="TAB1454"/>
            <w:bookmarkEnd w:id="1031"/>
            <w:r>
              <w:rPr>
                <w:rFonts w:ascii="times new roman" w:hAnsi="times new roman"/>
                <w:sz w:val="20"/>
              </w:rPr>
              <w:t>2,740</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1032" w:name="TAB1455"/>
            <w:bookmarkEnd w:id="1032"/>
            <w:r>
              <w:rPr>
                <w:rFonts w:ascii="times new roman" w:hAnsi="times new roman"/>
                <w:sz w:val="20"/>
              </w:rPr>
              <w:t>4,614</w:t>
            </w:r>
          </w:p>
        </w:tc>
        <w:tc>
          <w:tcPr>
            <w:tcW w:w="119"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33" w:name="PGBRK40"/>
      <w:bookmarkStart w:id="1034" w:name="PGBRK40"/>
      <w:bookmarkEnd w:id="10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5" w:name="FTR40"/>
      <w:bookmarkStart w:id="1036" w:name="FTR40"/>
      <w:bookmarkEnd w:id="10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37" w:name="GLFTR40"/>
      <w:bookmarkEnd w:id="10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8" w:name="PN40"/>
      <w:bookmarkEnd w:id="1038"/>
      <w:r>
        <w:rPr>
          <w:rFonts w:ascii="Times New Roman" w:hAnsi="Times New Roman"/>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9" w:name="HDR40"/>
      <w:bookmarkStart w:id="1040" w:name="HDR40"/>
      <w:bookmarkEnd w:id="10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041" w:name="GLHDR40"/>
        <w:bookmarkEnd w:id="104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708"/>
        <w:gridCol w:w="108"/>
        <w:gridCol w:w="145"/>
        <w:gridCol w:w="949"/>
        <w:gridCol w:w="108"/>
        <w:gridCol w:w="108"/>
        <w:gridCol w:w="168"/>
        <w:gridCol w:w="1040"/>
        <w:gridCol w:w="108"/>
        <w:gridCol w:w="108"/>
        <w:gridCol w:w="157"/>
        <w:gridCol w:w="999"/>
        <w:gridCol w:w="108"/>
        <w:gridCol w:w="108"/>
        <w:gridCol w:w="145"/>
        <w:gridCol w:w="1008"/>
        <w:gridCol w:w="130"/>
      </w:tblGrid>
      <w:tr>
        <w:trPr/>
        <w:tc>
          <w:tcPr>
            <w:tcW w:w="470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2007</w:t>
            </w:r>
          </w:p>
        </w:tc>
        <w:tc>
          <w:tcPr>
            <w:tcW w:w="108" w:type="dxa"/>
            <w:tcBorders/>
            <w:shd w:fill="auto" w:val="clear"/>
            <w:tcMar>
              <w:bottom w:w="0" w:type="dxa"/>
            </w:tcMar>
            <w:vAlign w:val="bottom"/>
          </w:tcPr>
          <w:p>
            <w:pPr>
              <w:pStyle w:val="TableContents"/>
              <w:spacing w:before="0" w:after="283"/>
              <w:rPr/>
            </w:pPr>
            <w:r>
              <w:rPr/>
              <w:t> </w:t>
            </w:r>
          </w:p>
        </w:tc>
        <w:tc>
          <w:tcPr>
            <w:tcW w:w="109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0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5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5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0" w:type="dxa"/>
            <w:tcBorders/>
            <w:shd w:fill="auto" w:val="clear"/>
            <w:tcMar>
              <w:bottom w:w="0" w:type="dxa"/>
            </w:tcMar>
            <w:vAlign w:val="bottom"/>
          </w:tcPr>
          <w:p>
            <w:pPr>
              <w:pStyle w:val="TableContents"/>
              <w:spacing w:before="0" w:after="283"/>
              <w:jc w:val="left"/>
              <w:rPr/>
            </w:pPr>
            <w:r>
              <w:rPr/>
              <w:t> </w:t>
            </w:r>
          </w:p>
        </w:tc>
      </w:tr>
      <w:tr>
        <w:trPr/>
        <w:tc>
          <w:tcPr>
            <w:tcW w:w="4708" w:type="dxa"/>
            <w:tcBorders/>
            <w:shd w:fill="CCEE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Live theater rental and ancillary income</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042" w:name="TAB1456"/>
            <w:bookmarkEnd w:id="1042"/>
            <w:r>
              <w:rPr>
                <w:rFonts w:ascii="times new roman" w:hAnsi="times new roman"/>
                <w:sz w:val="20"/>
              </w:rPr>
              <w:t>4,043</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6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0"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043" w:name="TAB1457"/>
            <w:bookmarkEnd w:id="1043"/>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9"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044" w:name="TAB1458"/>
            <w:bookmarkEnd w:id="1044"/>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045" w:name="TAB1459"/>
            <w:bookmarkEnd w:id="1045"/>
            <w:r>
              <w:rPr>
                <w:rFonts w:ascii="times new roman" w:hAnsi="times new roman"/>
                <w:sz w:val="20"/>
              </w:rPr>
              <w:t>4,043</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4708" w:type="dxa"/>
            <w:tcBorders>
              <w:bottom w:val="single" w:sz="12" w:space="0" w:color="000000"/>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Property rental income</w:t>
            </w:r>
          </w:p>
        </w:tc>
        <w:tc>
          <w:tcPr>
            <w:tcW w:w="108" w:type="dxa"/>
            <w:tcBorders/>
            <w:shd w:fill="FFFFFF" w:val="clear"/>
            <w:tcMar>
              <w:bottom w:w="0" w:type="dxa"/>
            </w:tcMar>
            <w:vAlign w:val="bottom"/>
          </w:tcPr>
          <w:p>
            <w:pPr>
              <w:pStyle w:val="TableContents"/>
              <w:spacing w:before="0" w:after="283"/>
              <w:jc w:val="lef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9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1,534</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68" w:type="dxa"/>
            <w:tcBorders>
              <w:bottom w:val="single" w:sz="12" w:space="0" w:color="000000"/>
            </w:tcBorders>
            <w:shd w:fill="FFFFFF" w:val="clear"/>
            <w:vAlign w:val="bottom"/>
          </w:tcPr>
          <w:p>
            <w:pPr>
              <w:pStyle w:val="TableContents"/>
              <w:spacing w:before="0" w:after="283"/>
              <w:jc w:val="left"/>
              <w:rPr/>
            </w:pPr>
            <w:r>
              <w:rPr/>
              <w:t> </w:t>
            </w:r>
          </w:p>
        </w:tc>
        <w:tc>
          <w:tcPr>
            <w:tcW w:w="104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9,336</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57" w:type="dxa"/>
            <w:tcBorders>
              <w:bottom w:val="single" w:sz="12" w:space="0" w:color="000000"/>
            </w:tcBorders>
            <w:shd w:fill="FFFFFF" w:val="clear"/>
            <w:vAlign w:val="bottom"/>
          </w:tcPr>
          <w:p>
            <w:pPr>
              <w:pStyle w:val="TableContents"/>
              <w:spacing w:before="0" w:after="283"/>
              <w:jc w:val="left"/>
              <w:rPr/>
            </w:pPr>
            <w:r>
              <w:rPr/>
              <w:t> </w:t>
            </w:r>
          </w:p>
        </w:tc>
        <w:tc>
          <w:tcPr>
            <w:tcW w:w="99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6,974</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100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17,844</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708" w:type="dxa"/>
            <w:tcBorders/>
            <w:shd w:fill="CCEEFF" w:val="clear"/>
            <w:tcMar>
              <w:bottom w:w="0" w:type="dxa"/>
            </w:tcM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Total revenue</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before="0" w:after="283"/>
              <w:ind w:left="361" w:right="0" w:hanging="0"/>
              <w:jc w:val="right"/>
              <w:rPr>
                <w:rFonts w:ascii="times new roman" w:hAnsi="times new roman"/>
                <w:sz w:val="20"/>
              </w:rPr>
            </w:pPr>
            <w:bookmarkStart w:id="1046" w:name="TAB1460"/>
            <w:bookmarkEnd w:id="1046"/>
            <w:r>
              <w:rPr>
                <w:rFonts w:ascii="times new roman" w:hAnsi="times new roman"/>
                <w:sz w:val="20"/>
              </w:rPr>
              <w:t>5,577</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68" w:type="dxa"/>
            <w:tcBorders/>
            <w:shd w:fill="CCEEFF" w:val="clear"/>
            <w:tcMar>
              <w:bottom w:w="0" w:type="dxa"/>
            </w:tcMar>
            <w:vAlign w:val="bottom"/>
          </w:tcPr>
          <w:p>
            <w:pPr>
              <w:pStyle w:val="TableContents"/>
              <w:spacing w:before="0" w:after="283"/>
              <w:jc w:val="left"/>
              <w:rPr/>
            </w:pPr>
            <w:r>
              <w:rPr/>
              <w:t> </w:t>
            </w:r>
          </w:p>
        </w:tc>
        <w:tc>
          <w:tcPr>
            <w:tcW w:w="1040" w:type="dxa"/>
            <w:tcBorders/>
            <w:shd w:fill="CCEEFF" w:val="clear"/>
            <w:tcMar>
              <w:bottom w:w="0" w:type="dxa"/>
            </w:tcMar>
            <w:vAlign w:val="bottom"/>
          </w:tcPr>
          <w:p>
            <w:pPr>
              <w:pStyle w:val="TableContents"/>
              <w:spacing w:before="0" w:after="283"/>
              <w:ind w:left="211" w:right="0" w:hanging="0"/>
              <w:jc w:val="right"/>
              <w:rPr>
                <w:rFonts w:ascii="times new roman" w:hAnsi="times new roman"/>
                <w:sz w:val="20"/>
              </w:rPr>
            </w:pPr>
            <w:bookmarkStart w:id="1047" w:name="TAB1461"/>
            <w:bookmarkEnd w:id="1047"/>
            <w:r>
              <w:rPr>
                <w:rFonts w:ascii="times new roman" w:hAnsi="times new roman"/>
                <w:sz w:val="20"/>
              </w:rPr>
              <w:t>9,336</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999" w:type="dxa"/>
            <w:tcBorders/>
            <w:shd w:fill="CCEEFF" w:val="clear"/>
            <w:tcMar>
              <w:bottom w:w="0" w:type="dxa"/>
            </w:tcMar>
            <w:vAlign w:val="bottom"/>
          </w:tcPr>
          <w:p>
            <w:pPr>
              <w:pStyle w:val="TableContents"/>
              <w:spacing w:before="0" w:after="283"/>
              <w:ind w:left="415" w:right="0" w:hanging="0"/>
              <w:jc w:val="right"/>
              <w:rPr>
                <w:rFonts w:ascii="times new roman" w:hAnsi="times new roman"/>
                <w:sz w:val="20"/>
              </w:rPr>
            </w:pPr>
            <w:bookmarkStart w:id="1048" w:name="TAB1462"/>
            <w:bookmarkEnd w:id="1048"/>
            <w:r>
              <w:rPr>
                <w:rFonts w:ascii="times new roman" w:hAnsi="times new roman"/>
                <w:sz w:val="20"/>
              </w:rPr>
              <w:t>6,974</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08" w:type="dxa"/>
            <w:tcBorders/>
            <w:shd w:fill="CCEEFF" w:val="clear"/>
            <w:tcMar>
              <w:bottom w:w="0" w:type="dxa"/>
            </w:tcMar>
            <w:vAlign w:val="bottom"/>
          </w:tcPr>
          <w:p>
            <w:pPr>
              <w:pStyle w:val="TableContents"/>
              <w:spacing w:before="0" w:after="283"/>
              <w:ind w:left="77" w:right="0" w:hanging="0"/>
              <w:jc w:val="right"/>
              <w:rPr>
                <w:rFonts w:ascii="times new roman" w:hAnsi="times new roman"/>
                <w:sz w:val="20"/>
              </w:rPr>
            </w:pPr>
            <w:bookmarkStart w:id="1049" w:name="TAB1463"/>
            <w:bookmarkEnd w:id="1049"/>
            <w:r>
              <w:rPr>
                <w:rFonts w:ascii="times new roman" w:hAnsi="times new roman"/>
                <w:sz w:val="20"/>
              </w:rPr>
              <w:t>21,887</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4708" w:type="dxa"/>
            <w:tcBorders/>
            <w:shd w:fill="FFFFFF" w:val="clear"/>
            <w:tcMar>
              <w:bottom w:w="0" w:type="dxa"/>
            </w:tcMar>
            <w:vAlign w:val="bottom"/>
          </w:tcPr>
          <w:p>
            <w:pPr>
              <w:pStyle w:val="TableContents"/>
              <w:spacing w:before="0" w:after="283"/>
              <w:rPr/>
            </w:pPr>
            <w:r>
              <w:rPr/>
              <w:t xml:space="preserve">  </w:t>
            </w:r>
          </w:p>
        </w:tc>
        <w:tc>
          <w:tcPr>
            <w:tcW w:w="108" w:type="dxa"/>
            <w:tcBorders/>
            <w:shd w:fill="FFFFFF" w:val="clear"/>
            <w:tcMar>
              <w:bottom w:w="0" w:type="dxa"/>
            </w:tcMar>
            <w:vAlign w:val="bottom"/>
          </w:tcPr>
          <w:p>
            <w:pPr>
              <w:pStyle w:val="TableContents"/>
              <w:spacing w:before="0" w:after="283"/>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1040"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999"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08"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70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Live theater costs</w:t>
            </w:r>
          </w:p>
        </w:tc>
        <w:tc>
          <w:tcPr>
            <w:tcW w:w="108"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before="0" w:after="283"/>
              <w:ind w:left="361" w:right="0" w:hanging="0"/>
              <w:jc w:val="right"/>
              <w:rPr>
                <w:rFonts w:ascii="times new roman" w:hAnsi="times new roman"/>
                <w:sz w:val="20"/>
              </w:rPr>
            </w:pPr>
            <w:bookmarkStart w:id="1050" w:name="TAB1464"/>
            <w:bookmarkEnd w:id="1050"/>
            <w:r>
              <w:rPr>
                <w:rFonts w:ascii="times new roman" w:hAnsi="times new roman"/>
                <w:sz w:val="20"/>
              </w:rPr>
              <w:t>2,105</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1040" w:type="dxa"/>
            <w:tcBorders/>
            <w:shd w:fill="FFFFFF" w:val="clear"/>
            <w:tcMar>
              <w:bottom w:w="0" w:type="dxa"/>
            </w:tcMar>
            <w:vAlign w:val="bottom"/>
          </w:tcPr>
          <w:p>
            <w:pPr>
              <w:pStyle w:val="TableContents"/>
              <w:spacing w:before="0" w:after="283"/>
              <w:ind w:left="633" w:right="0" w:hanging="0"/>
              <w:jc w:val="right"/>
              <w:rPr>
                <w:rFonts w:ascii="times new roman" w:hAnsi="times new roman"/>
                <w:sz w:val="20"/>
              </w:rPr>
            </w:pPr>
            <w:bookmarkStart w:id="1051" w:name="TAB1465"/>
            <w:bookmarkEnd w:id="1051"/>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999" w:type="dxa"/>
            <w:tcBorders/>
            <w:shd w:fill="FFFFFF" w:val="clear"/>
            <w:tcMar>
              <w:bottom w:w="0" w:type="dxa"/>
            </w:tcMar>
            <w:vAlign w:val="bottom"/>
          </w:tcPr>
          <w:p>
            <w:pPr>
              <w:pStyle w:val="TableContents"/>
              <w:spacing w:before="0" w:after="283"/>
              <w:ind w:left="837" w:right="0" w:hanging="0"/>
              <w:jc w:val="right"/>
              <w:rPr>
                <w:rFonts w:ascii="times new roman" w:hAnsi="times new roman"/>
                <w:sz w:val="20"/>
              </w:rPr>
            </w:pPr>
            <w:bookmarkStart w:id="1052" w:name="TAB1466"/>
            <w:bookmarkEnd w:id="1052"/>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08"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1053" w:name="TAB1467"/>
            <w:bookmarkEnd w:id="1053"/>
            <w:r>
              <w:rPr>
                <w:rFonts w:ascii="times new roman" w:hAnsi="times new roman"/>
                <w:sz w:val="20"/>
              </w:rPr>
              <w:t>2,105</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708"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rental cost</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bottom w:val="single" w:sz="12" w:space="0" w:color="000000"/>
            </w:tcBorders>
            <w:shd w:fill="CCEEFF" w:val="clear"/>
            <w:vAlign w:val="bottom"/>
          </w:tcPr>
          <w:p>
            <w:pPr>
              <w:pStyle w:val="TableContents"/>
              <w:spacing w:before="0" w:after="283"/>
              <w:jc w:val="left"/>
              <w:rPr/>
            </w:pPr>
            <w:r>
              <w:rPr/>
              <w:t> </w:t>
            </w:r>
          </w:p>
        </w:tc>
        <w:tc>
          <w:tcPr>
            <w:tcW w:w="949" w:type="dxa"/>
            <w:tcBorders>
              <w:bottom w:val="single" w:sz="12" w:space="0" w:color="000000"/>
            </w:tcBorders>
            <w:shd w:fill="CCEEFF" w:val="clear"/>
            <w:vAlign w:val="bottom"/>
          </w:tcPr>
          <w:p>
            <w:pPr>
              <w:pStyle w:val="TableContents"/>
              <w:spacing w:before="0" w:after="283"/>
              <w:ind w:left="361" w:right="0" w:hanging="0"/>
              <w:jc w:val="right"/>
              <w:rPr>
                <w:rFonts w:ascii="times new roman" w:hAnsi="times new roman"/>
                <w:sz w:val="20"/>
              </w:rPr>
            </w:pPr>
            <w:bookmarkStart w:id="1054" w:name="TAB1468"/>
            <w:bookmarkEnd w:id="1054"/>
            <w:r>
              <w:rPr>
                <w:rFonts w:ascii="times new roman" w:hAnsi="times new roman"/>
                <w:sz w:val="20"/>
              </w:rPr>
              <w:t>1,210</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68" w:type="dxa"/>
            <w:tcBorders>
              <w:bottom w:val="single" w:sz="12" w:space="0" w:color="000000"/>
            </w:tcBorders>
            <w:shd w:fill="CCEEFF" w:val="clear"/>
            <w:vAlign w:val="bottom"/>
          </w:tcPr>
          <w:p>
            <w:pPr>
              <w:pStyle w:val="TableContents"/>
              <w:spacing w:before="0" w:after="283"/>
              <w:jc w:val="left"/>
              <w:rPr/>
            </w:pPr>
            <w:r>
              <w:rPr/>
              <w:t> </w:t>
            </w:r>
          </w:p>
        </w:tc>
        <w:tc>
          <w:tcPr>
            <w:tcW w:w="1040" w:type="dxa"/>
            <w:tcBorders>
              <w:bottom w:val="single" w:sz="12" w:space="0" w:color="000000"/>
            </w:tcBorders>
            <w:shd w:fill="CCEEFF" w:val="clear"/>
            <w:vAlign w:val="bottom"/>
          </w:tcPr>
          <w:p>
            <w:pPr>
              <w:pStyle w:val="TableContents"/>
              <w:spacing w:before="0" w:after="283"/>
              <w:ind w:left="211" w:right="0" w:hanging="0"/>
              <w:jc w:val="right"/>
              <w:rPr>
                <w:rFonts w:ascii="times new roman" w:hAnsi="times new roman"/>
                <w:sz w:val="20"/>
              </w:rPr>
            </w:pPr>
            <w:bookmarkStart w:id="1055" w:name="TAB1469"/>
            <w:bookmarkEnd w:id="1055"/>
            <w:r>
              <w:rPr>
                <w:rFonts w:ascii="times new roman" w:hAnsi="times new roman"/>
                <w:sz w:val="20"/>
              </w:rPr>
              <w:t>3,076</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57" w:type="dxa"/>
            <w:tcBorders>
              <w:bottom w:val="single" w:sz="12" w:space="0" w:color="000000"/>
            </w:tcBorders>
            <w:shd w:fill="CCEEFF" w:val="clear"/>
            <w:vAlign w:val="bottom"/>
          </w:tcPr>
          <w:p>
            <w:pPr>
              <w:pStyle w:val="TableContents"/>
              <w:spacing w:before="0" w:after="283"/>
              <w:jc w:val="left"/>
              <w:rPr/>
            </w:pPr>
            <w:r>
              <w:rPr/>
              <w:t> </w:t>
            </w:r>
          </w:p>
        </w:tc>
        <w:tc>
          <w:tcPr>
            <w:tcW w:w="999" w:type="dxa"/>
            <w:tcBorders>
              <w:bottom w:val="single" w:sz="12" w:space="0" w:color="000000"/>
            </w:tcBorders>
            <w:shd w:fill="CCEEFF" w:val="clear"/>
            <w:vAlign w:val="bottom"/>
          </w:tcPr>
          <w:p>
            <w:pPr>
              <w:pStyle w:val="TableContents"/>
              <w:spacing w:before="0" w:after="283"/>
              <w:ind w:left="415" w:right="0" w:hanging="0"/>
              <w:jc w:val="right"/>
              <w:rPr>
                <w:rFonts w:ascii="times new roman" w:hAnsi="times new roman"/>
                <w:sz w:val="20"/>
              </w:rPr>
            </w:pPr>
            <w:bookmarkStart w:id="1056" w:name="TAB1470"/>
            <w:bookmarkEnd w:id="1056"/>
            <w:r>
              <w:rPr>
                <w:rFonts w:ascii="times new roman" w:hAnsi="times new roman"/>
                <w:sz w:val="20"/>
              </w:rPr>
              <w:t>1,933</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bottom w:val="single" w:sz="12" w:space="0" w:color="000000"/>
            </w:tcBorders>
            <w:shd w:fill="CCEEFF" w:val="clear"/>
            <w:vAlign w:val="bottom"/>
          </w:tcPr>
          <w:p>
            <w:pPr>
              <w:pStyle w:val="TableContents"/>
              <w:spacing w:before="0" w:after="283"/>
              <w:jc w:val="left"/>
              <w:rPr/>
            </w:pPr>
            <w:r>
              <w:rPr/>
              <w:t> </w:t>
            </w:r>
          </w:p>
        </w:tc>
        <w:tc>
          <w:tcPr>
            <w:tcW w:w="1008" w:type="dxa"/>
            <w:tcBorders>
              <w:bottom w:val="single" w:sz="12" w:space="0" w:color="000000"/>
            </w:tcBorders>
            <w:shd w:fill="CCEEFF" w:val="clear"/>
            <w:vAlign w:val="bottom"/>
          </w:tcPr>
          <w:p>
            <w:pPr>
              <w:pStyle w:val="TableContents"/>
              <w:spacing w:before="0" w:after="283"/>
              <w:ind w:left="211" w:right="0" w:hanging="0"/>
              <w:jc w:val="right"/>
              <w:rPr>
                <w:rFonts w:ascii="times new roman" w:hAnsi="times new roman"/>
                <w:sz w:val="20"/>
              </w:rPr>
            </w:pPr>
            <w:bookmarkStart w:id="1057" w:name="TAB1471"/>
            <w:bookmarkEnd w:id="1057"/>
            <w:r>
              <w:rPr>
                <w:rFonts w:ascii="times new roman" w:hAnsi="times new roman"/>
                <w:sz w:val="20"/>
              </w:rPr>
              <w:t>6,219</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4708" w:type="dxa"/>
            <w:tcBorders/>
            <w:shd w:fill="FFFFFF" w:val="clear"/>
            <w:tcMar>
              <w:bottom w:w="0" w:type="dxa"/>
            </w:tcM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Total operating expense</w:t>
            </w:r>
          </w:p>
        </w:tc>
        <w:tc>
          <w:tcPr>
            <w:tcW w:w="108"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before="0" w:after="283"/>
              <w:ind w:left="361" w:right="0" w:hanging="0"/>
              <w:jc w:val="right"/>
              <w:rPr>
                <w:rFonts w:ascii="times new roman" w:hAnsi="times new roman"/>
                <w:sz w:val="20"/>
              </w:rPr>
            </w:pPr>
            <w:bookmarkStart w:id="1058" w:name="TAB1472"/>
            <w:bookmarkEnd w:id="1058"/>
            <w:r>
              <w:rPr>
                <w:rFonts w:ascii="times new roman" w:hAnsi="times new roman"/>
                <w:sz w:val="20"/>
              </w:rPr>
              <w:t>3,315</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1040"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1059" w:name="TAB1473"/>
            <w:bookmarkEnd w:id="1059"/>
            <w:r>
              <w:rPr>
                <w:rFonts w:ascii="times new roman" w:hAnsi="times new roman"/>
                <w:sz w:val="20"/>
              </w:rPr>
              <w:t>3,076</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999" w:type="dxa"/>
            <w:tcBorders/>
            <w:shd w:fill="FFFFFF" w:val="clear"/>
            <w:tcMar>
              <w:bottom w:w="0" w:type="dxa"/>
            </w:tcMar>
            <w:vAlign w:val="bottom"/>
          </w:tcPr>
          <w:p>
            <w:pPr>
              <w:pStyle w:val="TableContents"/>
              <w:spacing w:before="0" w:after="283"/>
              <w:ind w:left="415" w:right="0" w:hanging="0"/>
              <w:jc w:val="right"/>
              <w:rPr>
                <w:rFonts w:ascii="times new roman" w:hAnsi="times new roman"/>
                <w:sz w:val="20"/>
              </w:rPr>
            </w:pPr>
            <w:bookmarkStart w:id="1060" w:name="TAB1474"/>
            <w:bookmarkEnd w:id="1060"/>
            <w:r>
              <w:rPr>
                <w:rFonts w:ascii="times new roman" w:hAnsi="times new roman"/>
                <w:sz w:val="20"/>
              </w:rPr>
              <w:t>1,933</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08" w:type="dxa"/>
            <w:tcBorders/>
            <w:shd w:fill="FFFFFF" w:val="clear"/>
            <w:tcMar>
              <w:bottom w:w="0" w:type="dxa"/>
            </w:tcMar>
            <w:vAlign w:val="bottom"/>
          </w:tcPr>
          <w:p>
            <w:pPr>
              <w:pStyle w:val="TableContents"/>
              <w:spacing w:before="0" w:after="283"/>
              <w:ind w:left="211" w:right="0" w:hanging="0"/>
              <w:jc w:val="right"/>
              <w:rPr>
                <w:rFonts w:ascii="times new roman" w:hAnsi="times new roman"/>
                <w:sz w:val="20"/>
              </w:rPr>
            </w:pPr>
            <w:bookmarkStart w:id="1061" w:name="TAB1475"/>
            <w:bookmarkEnd w:id="1061"/>
            <w:r>
              <w:rPr>
                <w:rFonts w:ascii="times new roman" w:hAnsi="times new roman"/>
                <w:sz w:val="20"/>
              </w:rPr>
              <w:t>8,324</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708" w:type="dxa"/>
            <w:tcBorders/>
            <w:shd w:fill="FFFFFF" w:val="clear"/>
            <w:tcMar>
              <w:bottom w:w="0" w:type="dxa"/>
            </w:tcMar>
            <w:vAlign w:val="bottom"/>
          </w:tcPr>
          <w:p>
            <w:pPr>
              <w:pStyle w:val="TableContents"/>
              <w:spacing w:before="0" w:after="283"/>
              <w:rPr/>
            </w:pPr>
            <w:r>
              <w:rPr/>
              <w:t xml:space="preserve">  </w:t>
            </w:r>
          </w:p>
        </w:tc>
        <w:tc>
          <w:tcPr>
            <w:tcW w:w="108" w:type="dxa"/>
            <w:tcBorders/>
            <w:shd w:fill="FFFFFF" w:val="clear"/>
            <w:tcMar>
              <w:bottom w:w="0" w:type="dxa"/>
            </w:tcMar>
            <w:vAlign w:val="bottom"/>
          </w:tcPr>
          <w:p>
            <w:pPr>
              <w:pStyle w:val="TableContents"/>
              <w:spacing w:before="0" w:after="283"/>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1040"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999"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08"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70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before="0" w:after="283"/>
              <w:ind w:left="561" w:right="0" w:hanging="0"/>
              <w:jc w:val="right"/>
              <w:rPr>
                <w:rFonts w:ascii="times new roman" w:hAnsi="times new roman"/>
                <w:sz w:val="20"/>
              </w:rPr>
            </w:pPr>
            <w:bookmarkStart w:id="1062" w:name="TAB1476"/>
            <w:bookmarkEnd w:id="1062"/>
            <w:r>
              <w:rPr>
                <w:rFonts w:ascii="times new roman" w:hAnsi="times new roman"/>
                <w:sz w:val="20"/>
              </w:rPr>
              <w:t>376</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68" w:type="dxa"/>
            <w:tcBorders/>
            <w:shd w:fill="CCEEFF" w:val="clear"/>
            <w:tcMar>
              <w:bottom w:w="0" w:type="dxa"/>
            </w:tcMar>
            <w:vAlign w:val="bottom"/>
          </w:tcPr>
          <w:p>
            <w:pPr>
              <w:pStyle w:val="TableContents"/>
              <w:spacing w:before="0" w:after="283"/>
              <w:jc w:val="left"/>
              <w:rPr/>
            </w:pPr>
            <w:r>
              <w:rPr/>
              <w:t> </w:t>
            </w:r>
          </w:p>
        </w:tc>
        <w:tc>
          <w:tcPr>
            <w:tcW w:w="1040" w:type="dxa"/>
            <w:tcBorders/>
            <w:shd w:fill="CCEEFF" w:val="clear"/>
            <w:tcMar>
              <w:bottom w:w="0" w:type="dxa"/>
            </w:tcMar>
            <w:vAlign w:val="bottom"/>
          </w:tcPr>
          <w:p>
            <w:pPr>
              <w:pStyle w:val="TableContents"/>
              <w:spacing w:before="0" w:after="283"/>
              <w:ind w:left="211" w:right="0" w:hanging="0"/>
              <w:jc w:val="right"/>
              <w:rPr>
                <w:rFonts w:ascii="times new roman" w:hAnsi="times new roman"/>
                <w:sz w:val="20"/>
              </w:rPr>
            </w:pPr>
            <w:bookmarkStart w:id="1063" w:name="TAB1477"/>
            <w:bookmarkEnd w:id="1063"/>
            <w:r>
              <w:rPr>
                <w:rFonts w:ascii="times new roman" w:hAnsi="times new roman"/>
                <w:sz w:val="20"/>
              </w:rPr>
              <w:t>2,355</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999" w:type="dxa"/>
            <w:tcBorders/>
            <w:shd w:fill="CCEEFF" w:val="clear"/>
            <w:tcMar>
              <w:bottom w:w="0" w:type="dxa"/>
            </w:tcMar>
            <w:vAlign w:val="bottom"/>
          </w:tcPr>
          <w:p>
            <w:pPr>
              <w:pStyle w:val="TableContents"/>
              <w:spacing w:before="0" w:after="283"/>
              <w:ind w:left="415" w:right="0" w:hanging="0"/>
              <w:jc w:val="right"/>
              <w:rPr>
                <w:rFonts w:ascii="times new roman" w:hAnsi="times new roman"/>
                <w:sz w:val="20"/>
              </w:rPr>
            </w:pPr>
            <w:bookmarkStart w:id="1064" w:name="TAB1478"/>
            <w:bookmarkEnd w:id="1064"/>
            <w:r>
              <w:rPr>
                <w:rFonts w:ascii="times new roman" w:hAnsi="times new roman"/>
                <w:sz w:val="20"/>
              </w:rPr>
              <w:t>1,687</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08" w:type="dxa"/>
            <w:tcBorders/>
            <w:shd w:fill="CCEEFF" w:val="clear"/>
            <w:tcMar>
              <w:bottom w:w="0" w:type="dxa"/>
            </w:tcMar>
            <w:vAlign w:val="bottom"/>
          </w:tcPr>
          <w:p>
            <w:pPr>
              <w:pStyle w:val="TableContents"/>
              <w:spacing w:before="0" w:after="283"/>
              <w:ind w:left="211" w:right="0" w:hanging="0"/>
              <w:jc w:val="right"/>
              <w:rPr>
                <w:rFonts w:ascii="times new roman" w:hAnsi="times new roman"/>
                <w:sz w:val="20"/>
              </w:rPr>
            </w:pPr>
            <w:bookmarkStart w:id="1065" w:name="TAB1479"/>
            <w:bookmarkEnd w:id="1065"/>
            <w:r>
              <w:rPr>
                <w:rFonts w:ascii="times new roman" w:hAnsi="times new roman"/>
                <w:sz w:val="20"/>
              </w:rPr>
              <w:t>4,418</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4708"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8" w:type="dxa"/>
            <w:tcBorders/>
            <w:shd w:fill="FFFFFF" w:val="clear"/>
            <w:tcMar>
              <w:bottom w:w="0" w:type="dxa"/>
            </w:tcMar>
            <w:vAlign w:val="bottom"/>
          </w:tcPr>
          <w:p>
            <w:pPr>
              <w:pStyle w:val="TableContents"/>
              <w:spacing w:before="0" w:after="283"/>
              <w:jc w:val="lef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949" w:type="dxa"/>
            <w:tcBorders>
              <w:bottom w:val="single" w:sz="12" w:space="0" w:color="000000"/>
            </w:tcBorders>
            <w:shd w:fill="FFFFFF" w:val="clear"/>
            <w:vAlign w:val="bottom"/>
          </w:tcPr>
          <w:p>
            <w:pPr>
              <w:pStyle w:val="TableContents"/>
              <w:spacing w:before="0" w:after="283"/>
              <w:ind w:left="694" w:right="0" w:hanging="0"/>
              <w:jc w:val="right"/>
              <w:rPr>
                <w:rFonts w:ascii="times new roman" w:hAnsi="times new roman"/>
                <w:sz w:val="20"/>
              </w:rPr>
            </w:pPr>
            <w:bookmarkStart w:id="1066" w:name="TAB1480"/>
            <w:bookmarkEnd w:id="1066"/>
            <w:r>
              <w:rPr>
                <w:rFonts w:ascii="times new roman" w:hAnsi="times new roman"/>
                <w:sz w:val="20"/>
              </w:rPr>
              <w:t>15</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68" w:type="dxa"/>
            <w:tcBorders>
              <w:bottom w:val="single" w:sz="12" w:space="0" w:color="000000"/>
            </w:tcBorders>
            <w:shd w:fill="FFFFFF" w:val="clear"/>
            <w:vAlign w:val="bottom"/>
          </w:tcPr>
          <w:p>
            <w:pPr>
              <w:pStyle w:val="TableContents"/>
              <w:spacing w:before="0" w:after="283"/>
              <w:jc w:val="left"/>
              <w:rPr/>
            </w:pPr>
            <w:r>
              <w:rPr/>
              <w:t> </w:t>
            </w:r>
          </w:p>
        </w:tc>
        <w:tc>
          <w:tcPr>
            <w:tcW w:w="1040" w:type="dxa"/>
            <w:tcBorders>
              <w:bottom w:val="single" w:sz="12" w:space="0" w:color="000000"/>
            </w:tcBorders>
            <w:shd w:fill="FFFFFF" w:val="clear"/>
            <w:vAlign w:val="bottom"/>
          </w:tcPr>
          <w:p>
            <w:pPr>
              <w:pStyle w:val="TableContents"/>
              <w:spacing w:before="0" w:after="283"/>
              <w:ind w:left="411" w:right="0" w:hanging="0"/>
              <w:jc w:val="right"/>
              <w:rPr>
                <w:rFonts w:ascii="times new roman" w:hAnsi="times new roman"/>
                <w:sz w:val="20"/>
              </w:rPr>
            </w:pPr>
            <w:bookmarkStart w:id="1067" w:name="TAB1481"/>
            <w:bookmarkEnd w:id="1067"/>
            <w:r>
              <w:rPr>
                <w:rFonts w:ascii="times new roman" w:hAnsi="times new roman"/>
                <w:sz w:val="20"/>
              </w:rPr>
              <w:t>665</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57" w:type="dxa"/>
            <w:tcBorders>
              <w:bottom w:val="single" w:sz="12" w:space="0" w:color="000000"/>
            </w:tcBorders>
            <w:shd w:fill="FFFFFF" w:val="clear"/>
            <w:vAlign w:val="bottom"/>
          </w:tcPr>
          <w:p>
            <w:pPr>
              <w:pStyle w:val="TableContents"/>
              <w:spacing w:before="0" w:after="283"/>
              <w:jc w:val="left"/>
              <w:rPr/>
            </w:pPr>
            <w:r>
              <w:rPr/>
              <w:t> </w:t>
            </w:r>
          </w:p>
        </w:tc>
        <w:tc>
          <w:tcPr>
            <w:tcW w:w="999" w:type="dxa"/>
            <w:tcBorders>
              <w:bottom w:val="single" w:sz="12" w:space="0" w:color="000000"/>
            </w:tcBorders>
            <w:shd w:fill="FFFFFF" w:val="clear"/>
            <w:vAlign w:val="bottom"/>
          </w:tcPr>
          <w:p>
            <w:pPr>
              <w:pStyle w:val="TableContents"/>
              <w:spacing w:before="0" w:after="283"/>
              <w:ind w:left="615" w:right="0" w:hanging="0"/>
              <w:jc w:val="right"/>
              <w:rPr>
                <w:rFonts w:ascii="times new roman" w:hAnsi="times new roman"/>
                <w:sz w:val="20"/>
              </w:rPr>
            </w:pPr>
            <w:bookmarkStart w:id="1068" w:name="TAB1482"/>
            <w:bookmarkEnd w:id="1068"/>
            <w:r>
              <w:rPr>
                <w:rFonts w:ascii="times new roman" w:hAnsi="times new roman"/>
                <w:sz w:val="20"/>
              </w:rPr>
              <w:t>151</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1008" w:type="dxa"/>
            <w:tcBorders>
              <w:bottom w:val="single" w:sz="12" w:space="0" w:color="000000"/>
            </w:tcBorders>
            <w:shd w:fill="FFFFFF" w:val="clear"/>
            <w:vAlign w:val="bottom"/>
          </w:tcPr>
          <w:p>
            <w:pPr>
              <w:pStyle w:val="TableContents"/>
              <w:spacing w:before="0" w:after="283"/>
              <w:ind w:left="411" w:right="0" w:hanging="0"/>
              <w:jc w:val="right"/>
              <w:rPr>
                <w:rFonts w:ascii="times new roman" w:hAnsi="times new roman"/>
                <w:sz w:val="20"/>
              </w:rPr>
            </w:pPr>
            <w:bookmarkStart w:id="1069" w:name="TAB1483"/>
            <w:bookmarkEnd w:id="1069"/>
            <w:r>
              <w:rPr>
                <w:rFonts w:ascii="times new roman" w:hAnsi="times new roman"/>
                <w:sz w:val="20"/>
              </w:rPr>
              <w:t>831</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708" w:type="dxa"/>
            <w:tcBorders>
              <w:bottom w:val="double" w:sz="8" w:space="0" w:color="000000"/>
            </w:tcBorders>
            <w:shd w:fill="CCEEFF" w:val="cle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Segment operating income</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070" w:name="TAB1484"/>
            <w:bookmarkEnd w:id="1070"/>
            <w:r>
              <w:rPr>
                <w:rFonts w:ascii="times new roman" w:hAnsi="times new roman"/>
                <w:sz w:val="20"/>
              </w:rPr>
              <w:t>1,871</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68"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0"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071" w:name="TAB1485"/>
            <w:bookmarkEnd w:id="1071"/>
            <w:r>
              <w:rPr>
                <w:rFonts w:ascii="times new roman" w:hAnsi="times new roman"/>
                <w:sz w:val="20"/>
              </w:rPr>
              <w:t>3,240</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57"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9"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072" w:name="TAB1486"/>
            <w:bookmarkEnd w:id="1072"/>
            <w:r>
              <w:rPr>
                <w:rFonts w:ascii="times new roman" w:hAnsi="times new roman"/>
                <w:sz w:val="20"/>
              </w:rPr>
              <w:t>3,203</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4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073" w:name="TAB1487"/>
            <w:bookmarkEnd w:id="1073"/>
            <w:r>
              <w:rPr>
                <w:rFonts w:ascii="times new roman" w:hAnsi="times new roman"/>
                <w:sz w:val="20"/>
              </w:rPr>
              <w:t>8,314</w:t>
            </w:r>
          </w:p>
        </w:tc>
        <w:tc>
          <w:tcPr>
            <w:tcW w:w="13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Real Estate Results for 2009 Compared to 2008</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74" w:name="list90"/>
      <w:bookmarkStart w:id="1075" w:name="list90"/>
      <w:bookmarkEnd w:id="107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Real estate revenue increased by $1.6 million or 6.6% compared to 2008.  The increase in revenue was primarily related to increased rental income from our Australia properties, increased U.S. rental revenue from the Consolidated Entertainment cinemas acquisition properties that have ancillary real estate associated with them, and negotiated rent increases on several of our New York properties.  These increases were somewhat offset by decreased live theater revenue in the U.S. and decreased real estate revenue from our New Zealand properties, driven by a market reduction of intercompany rent to our Courtenay Central cinema coupled with fluctuations in currency exchange rates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76" w:name="list91"/>
      <w:bookmarkStart w:id="1077" w:name="list91"/>
      <w:bookmarkEnd w:id="107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for the real estate segment increased by $2.2 million or 22.5% compared to 2008.  This increase in expense was primarily related to the Consolidated Entertainment cinemas acquisition properties that have ancillary real estate associated with them, coupled with increasing utility and other operating costs primarily in our US properties.  This increase was offset by decreased live theater costs of $341,000, which corresponds with the aforementioned decrease in live theater revenue.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78" w:name="list92"/>
      <w:bookmarkStart w:id="1079" w:name="list92"/>
      <w:bookmarkEnd w:id="107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for the real estate segment decreased by $514,000 or 12.2% compared to 2008 primarily due to the impact of currency fluctuations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80" w:name="list93"/>
      <w:bookmarkStart w:id="1081" w:name="list93"/>
      <w:bookmarkEnd w:id="108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loss, in effect catch up depreciation, during 2009, on transfer of real estate held for sale to continuing operations of $549,000 related to our Auburn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82" w:name="list94"/>
      <w:bookmarkStart w:id="1083" w:name="list94"/>
      <w:bookmarkEnd w:id="108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decrease in real estate impairment losses of $751,000 as the real estate market stabilized in Australia but remained somewhat weak in New Zealand.  Additionally, we recorded a contractual commitment loss of $1.1 million associated with a property which we are under an unconditional contract to purchase in 2010.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84" w:name="list95"/>
      <w:bookmarkStart w:id="1085" w:name="list95"/>
      <w:bookmarkEnd w:id="108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costs decreased by $58,000 or 5.2% compared to 2008 primarily due cost cutting measures associated with our Australia operations coupled with the impact of currency fluctuations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86" w:name="list96"/>
      <w:bookmarkStart w:id="1087" w:name="list96"/>
      <w:bookmarkEnd w:id="108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average exchange rates for 2009 have decreased by 7.0% and the New Zealand average exchange rates have decreased by 11.0% from those in 2008, which had a negative impact on the individual components of the income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88" w:name="list97"/>
      <w:bookmarkStart w:id="1089" w:name="list97"/>
      <w:bookmarkEnd w:id="1089"/>
    </w:p>
    <w:tbl>
      <w:tblPr>
        <w:tblW w:w="5000" w:type="pct"/>
        <w:jc w:val="left"/>
        <w:tblInd w:w="0" w:type="dxa"/>
        <w:tblCellMar>
          <w:top w:w="0" w:type="dxa"/>
          <w:left w:w="0" w:type="dxa"/>
          <w:bottom w:w="0" w:type="dxa"/>
          <w:right w:w="0" w:type="dxa"/>
        </w:tblCellMar>
      </w:tblPr>
      <w:tblGrid>
        <w:gridCol w:w="517"/>
        <w:gridCol w:w="9688"/>
      </w:tblGrid>
      <w:tr>
        <w:trPr/>
        <w:tc>
          <w:tcPr>
            <w:tcW w:w="5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 result of the above, real estate segment income decreased by $946,000 compared to 2008.</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Real Estate Results for 2008 Compared to 2007</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90" w:name="list98"/>
      <w:bookmarkStart w:id="1091" w:name="list98"/>
      <w:bookmarkEnd w:id="109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Revenue increased by $1.8 million or 8.3% when compared to 2007.  The increase was primarily related to real estate associated with the Consolidated Entertainment cinemas acquisition, higher rental revenue from the majority of our Australia tenancies, and our newly acquired properties in New Zealand.  These increases were offset in part due to decreases in live theater rental revenue compared to the same period in 2007.</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092" w:name="PGBRK41"/>
      <w:bookmarkStart w:id="1093" w:name="PGBRK41"/>
      <w:bookmarkEnd w:id="10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94" w:name="FTR41"/>
      <w:bookmarkStart w:id="1095" w:name="FTR41"/>
      <w:bookmarkEnd w:id="10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096" w:name="GLFTR41"/>
      <w:bookmarkEnd w:id="10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97" w:name="PN41"/>
      <w:bookmarkEnd w:id="1097"/>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98" w:name="HDR41"/>
      <w:bookmarkStart w:id="1099" w:name="HDR41"/>
      <w:bookmarkEnd w:id="10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ableofcontents">
        <w:bookmarkStart w:id="1100" w:name="GLHDR41"/>
        <w:bookmarkEnd w:id="110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01" w:name="list99"/>
      <w:bookmarkStart w:id="1102" w:name="list99"/>
      <w:bookmarkEnd w:id="110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increased by $1.5 million or 17.6% when compared to 2007.  This increase in expense was primarily related to the Consolidated Entertainment cinemas acquisition that have ancillary real estate associated with them, coupled with increasing utility and other operating costs primarily in our U.S. properties.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03" w:name="list100"/>
      <w:bookmarkStart w:id="1104" w:name="list100"/>
      <w:bookmarkEnd w:id="1104"/>
    </w:p>
    <w:tbl>
      <w:tblPr>
        <w:tblW w:w="5000" w:type="pct"/>
        <w:jc w:val="left"/>
        <w:tblInd w:w="0" w:type="dxa"/>
        <w:tblCellMar>
          <w:top w:w="0" w:type="dxa"/>
          <w:left w:w="0" w:type="dxa"/>
          <w:bottom w:w="0" w:type="dxa"/>
          <w:right w:w="0" w:type="dxa"/>
        </w:tblCellMar>
      </w:tblPr>
      <w:tblGrid>
        <w:gridCol w:w="612"/>
        <w:gridCol w:w="9593"/>
      </w:tblGrid>
      <w:tr>
        <w:trPr/>
        <w:tc>
          <w:tcPr>
            <w:tcW w:w="61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decreased by $218,000 or 4.9% when compared to 2007.</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05" w:name="list101"/>
      <w:bookmarkStart w:id="1106" w:name="list101"/>
      <w:bookmarkEnd w:id="110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$4.0 million impairment charge related to certain Australia and New Zealand real estate assets during 2008.  This impairment expense did not occur previously in 2007.</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07" w:name="list102"/>
      <w:bookmarkStart w:id="1108" w:name="list102"/>
      <w:bookmarkEnd w:id="110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expense increased by $290,000 when compared to 2007 primarily due to increased property activities related to our acquisitions in Australia.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09" w:name="list103"/>
      <w:bookmarkStart w:id="1110" w:name="list103"/>
      <w:bookmarkEnd w:id="111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Australian average exchange rates for 2008 have increased by 1.6% and the New Zealand average exchange rates have decreased by 3.0% from those in 2007, which had an impact on the individual components of the income statement.  However, the overall effect of the foreign currency change on operating income was minimal.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11" w:name="list104"/>
      <w:bookmarkStart w:id="1112" w:name="list104"/>
      <w:bookmarkEnd w:id="1112"/>
    </w:p>
    <w:tbl>
      <w:tblPr>
        <w:tblW w:w="5000" w:type="pct"/>
        <w:jc w:val="left"/>
        <w:tblInd w:w="0" w:type="dxa"/>
        <w:tblCellMar>
          <w:top w:w="0" w:type="dxa"/>
          <w:left w:w="0" w:type="dxa"/>
          <w:bottom w:w="0" w:type="dxa"/>
          <w:right w:w="0" w:type="dxa"/>
        </w:tblCellMar>
      </w:tblPr>
      <w:tblGrid>
        <w:gridCol w:w="447"/>
        <w:gridCol w:w="9758"/>
      </w:tblGrid>
      <w:tr>
        <w:trPr/>
        <w:tc>
          <w:tcPr>
            <w:tcW w:w="44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 result of the above, real estate segment income decreased during 2008 by $3.7 million compared to 2007.</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Non-Segment Activity</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2009 Compared to 2008</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Non-segment expense/income includes expense and/or income that is not directly attributable to our other operating segments.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2009, the decrease of $2.6 million in corporate General and Administrative expense was primarily made up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13" w:name="list105"/>
      <w:bookmarkStart w:id="1114" w:name="list105"/>
      <w:bookmarkEnd w:id="1114"/>
    </w:p>
    <w:tbl>
      <w:tblPr>
        <w:tblW w:w="5000" w:type="pct"/>
        <w:jc w:val="left"/>
        <w:tblInd w:w="0" w:type="dxa"/>
        <w:tblCellMar>
          <w:top w:w="0" w:type="dxa"/>
          <w:left w:w="0" w:type="dxa"/>
          <w:bottom w:w="0" w:type="dxa"/>
          <w:right w:w="0" w:type="dxa"/>
        </w:tblCellMar>
      </w:tblPr>
      <w:tblGrid>
        <w:gridCol w:w="444"/>
        <w:gridCol w:w="9761"/>
      </w:tblGrid>
      <w:tr>
        <w:trPr/>
        <w:tc>
          <w:tcPr>
            <w:tcW w:w="44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 million decrease in legal fees associated principally with our Malulani Investments Limited (“MIL”) case;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15" w:name="list106"/>
      <w:bookmarkStart w:id="1116" w:name="list106"/>
      <w:bookmarkEnd w:id="111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$868,000 of reduced professional fees and non-recurring costs associated with our Consolidated Entertainment acquisition in 2008;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17" w:name="list107"/>
      <w:bookmarkStart w:id="1118" w:name="list107"/>
      <w:bookmarkEnd w:id="1118"/>
    </w:p>
    <w:tbl>
      <w:tblPr>
        <w:tblW w:w="5000" w:type="pct"/>
        <w:jc w:val="left"/>
        <w:tblInd w:w="0" w:type="dxa"/>
        <w:tblCellMar>
          <w:top w:w="0" w:type="dxa"/>
          <w:left w:w="0" w:type="dxa"/>
          <w:bottom w:w="0" w:type="dxa"/>
          <w:right w:w="0" w:type="dxa"/>
        </w:tblCellMar>
      </w:tblPr>
      <w:tblGrid>
        <w:gridCol w:w="959"/>
        <w:gridCol w:w="9246"/>
      </w:tblGrid>
      <w:tr>
        <w:trPr/>
        <w:tc>
          <w:tcPr>
            <w:tcW w:w="95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$700,000 of reduced payroll and travel expense.</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Also during 2009:</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19" w:name="list108"/>
      <w:bookmarkStart w:id="1120" w:name="list108"/>
      <w:bookmarkEnd w:id="112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$2.6 million as other operating income associated with our settlement of the MIL litigation for the recovery of previously expensed litigation costs.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21" w:name="list109"/>
      <w:bookmarkStart w:id="1122" w:name="list109"/>
      <w:bookmarkEnd w:id="112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net interest expense decreased by $1.2 million compared to 2008.  The decrease in interest expense during 2009 was primarily related to lower interest on our trust preferred securities (“TPS”) due to the retirement of $23.0 million of the TPS, a net gain on our mark-to-market of our interest swaps and cap, offset by our ceasing to capitalize interest on our development properties, where development has been substantially curtailed, resulting in an increase in interest expense for 2009 compared to 2008.</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23" w:name="list110"/>
      <w:bookmarkStart w:id="1124" w:name="list110"/>
      <w:bookmarkEnd w:id="112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an other loss of $2.0 million compared to an other income of $991,000 for 2008.  The $2.0 million other loss in 2009 included a $1.0 million other-than-temporary loss on marketable securities; a $2.3 million loss on foreign currency transactions; $848,000 in litigation loss accruals; offset by, a $1.5 million gain from fees associated with a terminated option and $481,000 in gains from legal settlements.  The other income of $991,000 in 2008 was primarily related to $910,000 of insurance proceeds related to damage caused by Hurricane George in 1998.</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25" w:name="list111"/>
      <w:bookmarkStart w:id="1126" w:name="list111"/>
      <w:bookmarkEnd w:id="112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gain on sale of unconsolidated joint venture of $268,000 from the sale of our investment in MIL in 2009 and a gain on sale of unconsolidated entity of $2.5 million (NZ$3.2 million) in 2008, from the sale of our interest in the cinema at Botany Downs, New Zealand.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7" w:name="PGBRK42"/>
      <w:bookmarkStart w:id="1128" w:name="PGBRK42"/>
      <w:bookmarkEnd w:id="1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9" w:name="FTR42"/>
      <w:bookmarkStart w:id="1130" w:name="FTR42"/>
      <w:bookmarkEnd w:id="1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31" w:name="GLFTR42"/>
      <w:bookmarkEnd w:id="1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2" w:name="PN42"/>
      <w:bookmarkEnd w:id="1132"/>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3" w:name="HDR42"/>
      <w:bookmarkStart w:id="1134" w:name="HDR42"/>
      <w:bookmarkEnd w:id="1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135" w:name="GLHDR42"/>
        <w:bookmarkEnd w:id="113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36" w:name="list112"/>
      <w:bookmarkStart w:id="1137" w:name="list112"/>
      <w:bookmarkEnd w:id="113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$10.7 million gain on retirement of subordinated debt, net of a $749,000 loss on deferred financing costs associated with the subordinated debt.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2008 Compared to 2007</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Non-segment expense/income includes expense and/or income that is not directly attributable to our other operating segments.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2008, the increase of $4.4 million in corporate General and Administrative expense was primarily made up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38" w:name="list113"/>
      <w:bookmarkStart w:id="1139" w:name="list113"/>
      <w:bookmarkEnd w:id="113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$1.4 million in increased corporate compensation expense primarily related to executive restricted stock and option grants, a new in-house legal counsel, and pension and bonus compensation for our chief operating officer;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40" w:name="list114"/>
      <w:bookmarkStart w:id="1141" w:name="list114"/>
      <w:bookmarkEnd w:id="1141"/>
    </w:p>
    <w:tbl>
      <w:tblPr>
        <w:tblW w:w="5000" w:type="pct"/>
        <w:jc w:val="left"/>
        <w:tblInd w:w="0" w:type="dxa"/>
        <w:tblCellMar>
          <w:top w:w="0" w:type="dxa"/>
          <w:left w:w="0" w:type="dxa"/>
          <w:bottom w:w="0" w:type="dxa"/>
          <w:right w:w="0" w:type="dxa"/>
        </w:tblCellMar>
      </w:tblPr>
      <w:tblGrid>
        <w:gridCol w:w="1293"/>
        <w:gridCol w:w="8912"/>
      </w:tblGrid>
      <w:tr>
        <w:trPr/>
        <w:tc>
          <w:tcPr>
            <w:tcW w:w="129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$891,000 of professional fees;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42" w:name="list115"/>
      <w:bookmarkStart w:id="1143" w:name="list115"/>
      <w:bookmarkEnd w:id="1143"/>
    </w:p>
    <w:tbl>
      <w:tblPr>
        <w:tblW w:w="5000" w:type="pct"/>
        <w:jc w:val="left"/>
        <w:tblInd w:w="0" w:type="dxa"/>
        <w:tblCellMar>
          <w:top w:w="0" w:type="dxa"/>
          <w:left w:w="0" w:type="dxa"/>
          <w:bottom w:w="0" w:type="dxa"/>
          <w:right w:w="0" w:type="dxa"/>
        </w:tblCellMar>
      </w:tblPr>
      <w:tblGrid>
        <w:gridCol w:w="566"/>
        <w:gridCol w:w="9639"/>
      </w:tblGrid>
      <w:tr>
        <w:trPr/>
        <w:tc>
          <w:tcPr>
            <w:tcW w:w="56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$2.1 million of legal fees associated principally with our tax litigation and MIL cases.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Also during 2008:</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44" w:name="list116"/>
      <w:bookmarkStart w:id="1145" w:name="list116"/>
      <w:bookmarkEnd w:id="114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net interest expense increased by $7.6 million primarily related to a higher outstanding loan balances in 2008 compared to 2007 primarily relating to our current year Consolidated Cinemas acquisition;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46" w:name="list117"/>
      <w:bookmarkStart w:id="1147" w:name="list117"/>
      <w:bookmarkEnd w:id="114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other income increased by $1.5 million primarily due to our Burstone litigation settlement receipts totaling $1.2 million; insurance proceeds of $910,000 related to damage caused by Hurricane George in 1998 to one of our previously owned cinemas in Puerto Rico; recovered credit card losses of $385,000; and a $950,000 mark-to-market expense in 2007 not repeated in 2008.  This income was offset by 2008 write-off and impairment expense of $303,000;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48" w:name="list118"/>
      <w:bookmarkStart w:id="1149" w:name="list118"/>
      <w:bookmarkEnd w:id="114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equity earnings from unconsolidated joint ventures and entities decreased by $2.1 million primarily due to lower earnings from our investment in </w:t>
            </w:r>
            <w:r>
              <w:rPr>
                <w:rFonts w:ascii="Times New Roman" w:hAnsi="Times New Roman"/>
                <w:i/>
                <w:sz w:val="20"/>
              </w:rPr>
              <w:t>205-209 East 57th Street Associates, LLC</w:t>
            </w:r>
            <w:r>
              <w:rPr>
                <w:rFonts w:ascii="Times New Roman" w:hAnsi="Times New Roman"/>
                <w:sz w:val="20"/>
              </w:rPr>
              <w:t xml:space="preserve">, that has completed the majority of the development of a residential condominium complex in midtown Manhattan, called </w:t>
            </w:r>
            <w:r>
              <w:rPr>
                <w:rFonts w:ascii="Times New Roman" w:hAnsi="Times New Roman"/>
                <w:i/>
                <w:sz w:val="20"/>
              </w:rPr>
              <w:t>Place 57</w:t>
            </w:r>
            <w:r>
              <w:rPr>
                <w:rFonts w:ascii="Times New Roman" w:hAnsi="Times New Roman"/>
                <w:sz w:val="20"/>
              </w:rPr>
              <w:t>.  During 2007 and 2006, all of the residential condominiums were sold and only the retail condominium was still available for sale.  During 2007, the limited liability company closed on the sale of the remaining eight residential condominiums resulting in gross sales of $26.0 million and equity earnings from unconsolidated joint ventures and entities to us of $1.6 million.  The remaining retail space wa s sold in February 2009 for approximately $3.8 million;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50" w:name="list119"/>
      <w:bookmarkStart w:id="1151" w:name="list119"/>
      <w:bookmarkEnd w:id="115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addition to the aforementioned equity earnings, during 2008, we recorded a gain on sale of an unconsolidated entity of $2.5 million (NZ$3.2 million), from the sale of our interest in the cinema at Botany Downs in Auckland, New Zealand;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52" w:name="list120"/>
      <w:bookmarkStart w:id="1153" w:name="list120"/>
      <w:bookmarkEnd w:id="115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expense relating to noncontrolling interests decreased by $383,000 compared to 2007 primarily due to reduced projected value of the Reading Landplan projects.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Income Taxes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subject to income taxation in several jurisdictions throughout the world.  Our effective tax rate and income tax liabilities will be affected by a number of factors, such as: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54" w:name="list121"/>
      <w:bookmarkStart w:id="1155" w:name="list121"/>
      <w:bookmarkEnd w:id="1155"/>
    </w:p>
    <w:tbl>
      <w:tblPr>
        <w:tblW w:w="5000" w:type="pct"/>
        <w:jc w:val="left"/>
        <w:tblInd w:w="0" w:type="dxa"/>
        <w:tblCellMar>
          <w:top w:w="0" w:type="dxa"/>
          <w:left w:w="0" w:type="dxa"/>
          <w:bottom w:w="0" w:type="dxa"/>
          <w:right w:w="0" w:type="dxa"/>
        </w:tblCellMar>
      </w:tblPr>
      <w:tblGrid>
        <w:gridCol w:w="833"/>
        <w:gridCol w:w="9372"/>
      </w:tblGrid>
      <w:tr>
        <w:trPr/>
        <w:tc>
          <w:tcPr>
            <w:tcW w:w="83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amount of taxable income in particular jurisdictions;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56" w:name="list122"/>
      <w:bookmarkStart w:id="1157" w:name="list122"/>
      <w:bookmarkEnd w:id="1157"/>
    </w:p>
    <w:tbl>
      <w:tblPr>
        <w:tblW w:w="5000" w:type="pct"/>
        <w:jc w:val="left"/>
        <w:tblInd w:w="0" w:type="dxa"/>
        <w:tblCellMar>
          <w:top w:w="0" w:type="dxa"/>
          <w:left w:w="0" w:type="dxa"/>
          <w:bottom w:w="0" w:type="dxa"/>
          <w:right w:w="0" w:type="dxa"/>
        </w:tblCellMar>
      </w:tblPr>
      <w:tblGrid>
        <w:gridCol w:w="1168"/>
        <w:gridCol w:w="9037"/>
      </w:tblGrid>
      <w:tr>
        <w:trPr/>
        <w:tc>
          <w:tcPr>
            <w:tcW w:w="116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tax rates in particular jurisdictions;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58" w:name="list123"/>
      <w:bookmarkStart w:id="1159" w:name="list123"/>
      <w:bookmarkEnd w:id="1159"/>
    </w:p>
    <w:tbl>
      <w:tblPr>
        <w:tblW w:w="5000" w:type="pct"/>
        <w:jc w:val="left"/>
        <w:tblInd w:w="0" w:type="dxa"/>
        <w:tblCellMar>
          <w:top w:w="0" w:type="dxa"/>
          <w:left w:w="0" w:type="dxa"/>
          <w:bottom w:w="0" w:type="dxa"/>
          <w:right w:w="0" w:type="dxa"/>
        </w:tblCellMar>
      </w:tblPr>
      <w:tblGrid>
        <w:gridCol w:w="1317"/>
        <w:gridCol w:w="8888"/>
      </w:tblGrid>
      <w:tr>
        <w:trPr/>
        <w:tc>
          <w:tcPr>
            <w:tcW w:w="13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8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tax treaties between jurisdictions;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60" w:name="list124"/>
      <w:bookmarkStart w:id="1161" w:name="list124"/>
      <w:bookmarkEnd w:id="1161"/>
    </w:p>
    <w:tbl>
      <w:tblPr>
        <w:tblW w:w="5000" w:type="pct"/>
        <w:jc w:val="left"/>
        <w:tblInd w:w="0" w:type="dxa"/>
        <w:tblCellMar>
          <w:top w:w="0" w:type="dxa"/>
          <w:left w:w="0" w:type="dxa"/>
          <w:bottom w:w="0" w:type="dxa"/>
          <w:right w:w="0" w:type="dxa"/>
        </w:tblCellMar>
      </w:tblPr>
      <w:tblGrid>
        <w:gridCol w:w="1008"/>
        <w:gridCol w:w="9197"/>
      </w:tblGrid>
      <w:tr>
        <w:trPr/>
        <w:tc>
          <w:tcPr>
            <w:tcW w:w="100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income is repatriated;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62" w:name="list125"/>
      <w:bookmarkStart w:id="1163" w:name="list125"/>
      <w:bookmarkEnd w:id="1163"/>
    </w:p>
    <w:tbl>
      <w:tblPr>
        <w:tblW w:w="5000" w:type="pct"/>
        <w:jc w:val="left"/>
        <w:tblInd w:w="0" w:type="dxa"/>
        <w:tblCellMar>
          <w:top w:w="0" w:type="dxa"/>
          <w:left w:w="0" w:type="dxa"/>
          <w:bottom w:w="0" w:type="dxa"/>
          <w:right w:w="0" w:type="dxa"/>
        </w:tblCellMar>
      </w:tblPr>
      <w:tblGrid>
        <w:gridCol w:w="1888"/>
        <w:gridCol w:w="8317"/>
      </w:tblGrid>
      <w:tr>
        <w:trPr/>
        <w:tc>
          <w:tcPr>
            <w:tcW w:w="188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3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future changes in law.</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64" w:name="PGBRK43"/>
      <w:bookmarkStart w:id="1165" w:name="PGBRK43"/>
      <w:bookmarkEnd w:id="1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6" w:name="FTR43"/>
      <w:bookmarkStart w:id="1167" w:name="FTR43"/>
      <w:bookmarkEnd w:id="1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68" w:name="GLFTR43"/>
      <w:bookmarkEnd w:id="11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69" w:name="PN43"/>
      <w:bookmarkEnd w:id="1169"/>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0" w:name="HDR43"/>
      <w:bookmarkStart w:id="1171" w:name="HDR43"/>
      <w:bookmarkEnd w:id="1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172" w:name="GLHDR43"/>
        <w:bookmarkEnd w:id="117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Generally, we file consolidated or combined tax returns in jurisdictions that permit or require such filings.  For jurisdictions that do not permit such a filing, we may owe income, franchise, or capital taxes even though, on an overall basis, we may have incurred a net loss for the tax year.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Income Attributable to Reading International, Inc. Common Shareholders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2009, we achieved net income attributable to Reading International, Inc. common shareholders of $6.1 million.  For the years ending 2008 and 2007, our consolidated business units produced net losses attributable to Reading International, Inc. common shareholders of $16.8 million and $2.1 million, respectively.  For many of the years prior to 2009, we consistently experienced net losses.  However, as explained in the Cinema and Real Estate segment sections above, we have generally noted improvements in our segment operating income such that we have a positive segment operating income for each of the years of 2009, 2008, and 2007 that in years past has been negative.  Although we cannot assure that this trend will continue, we are committed to the overall improvement of earnings through good f iscal management.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Business Plan, Liquidity, and Capital Resources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Business Plan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73" w:name="TAB1488"/>
      <w:bookmarkEnd w:id="1173"/>
      <w:r>
        <w:rPr>
          <w:rFonts w:ascii="Times New Roman" w:hAnsi="Times New Roman"/>
          <w:sz w:val="20"/>
        </w:rPr>
        <w:t>Our business plan has evolved from a belief that while cinema exhibition is not a growth business at this time, we do believe it to be a business that will likely continue to generate fairly consistent cash flows in the years ahead even in a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 al estate development activities and from the acquisition of existing cinemas rather than from the development of new cinemas.  Over time, we anticipate that our cinema operations will become increasingly a source of cash flow to support our real estate oriented activities, rather than a focus of growth, and that our real estate activities will, again, over time become the principal thrust of our business.  We also, from time to time, invest in the shares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74" w:name="TAB1489"/>
      <w:bookmarkEnd w:id="1174"/>
      <w:r>
        <w:rPr>
          <w:rFonts w:ascii="Times New Roman" w:hAnsi="Times New Roman"/>
          <w:sz w:val="20"/>
        </w:rPr>
        <w:t>In short, while we do have operating company attributes, we see ourselves principally as a hard asset company and intend to add to shareholder value by building the value of our portfolio of tangible assets including both entertainment and other types of land, brick, and mortar assets.  We are endeavoring to maintain a reasonable asset allocation between our domestic and overseas assets and operations, and between our cash generating cinema operations and our cash consuming real estate development activities.  We believe that by blending the cash generating capabilities of a cinema company with the investment and development opportunities of a real estate development company, we are unique among public companies in our business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Liquidity and Capital Resources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75" w:name="TAB1490"/>
      <w:bookmarkEnd w:id="1175"/>
      <w:r>
        <w:rPr>
          <w:rFonts w:ascii="Times New Roman" w:hAnsi="Times New Roman"/>
          <w:sz w:val="20"/>
        </w:rPr>
        <w:t>Our ability to generate sufficient cash flows from operating activities in order to meet our obligations and commitments drives our liquidity position.  This is further affected by our ability to obtain adequate, reasonable financing and/or to convert non-performing or non-strategic assets into cash.</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Currently, our liquidity needs continue to arise mainly from:</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76" w:name="list126"/>
      <w:bookmarkStart w:id="1177" w:name="list126"/>
      <w:bookmarkEnd w:id="1177"/>
    </w:p>
    <w:tbl>
      <w:tblPr>
        <w:tblW w:w="5000" w:type="pct"/>
        <w:jc w:val="left"/>
        <w:tblInd w:w="0" w:type="dxa"/>
        <w:tblCellMar>
          <w:top w:w="0" w:type="dxa"/>
          <w:left w:w="0" w:type="dxa"/>
          <w:bottom w:w="0" w:type="dxa"/>
          <w:right w:w="0" w:type="dxa"/>
        </w:tblCellMar>
      </w:tblPr>
      <w:tblGrid>
        <w:gridCol w:w="1455"/>
        <w:gridCol w:w="8750"/>
      </w:tblGrid>
      <w:tr>
        <w:trPr/>
        <w:tc>
          <w:tcPr>
            <w:tcW w:w="145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working capital requirements;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78" w:name="list127"/>
      <w:bookmarkStart w:id="1179" w:name="list127"/>
      <w:bookmarkEnd w:id="1179"/>
    </w:p>
    <w:tbl>
      <w:tblPr>
        <w:tblW w:w="5000" w:type="pct"/>
        <w:jc w:val="left"/>
        <w:tblInd w:w="0" w:type="dxa"/>
        <w:tblCellMar>
          <w:top w:w="0" w:type="dxa"/>
          <w:left w:w="0" w:type="dxa"/>
          <w:bottom w:w="0" w:type="dxa"/>
          <w:right w:w="0" w:type="dxa"/>
        </w:tblCellMar>
      </w:tblPr>
      <w:tblGrid>
        <w:gridCol w:w="486"/>
        <w:gridCol w:w="9719"/>
      </w:tblGrid>
      <w:tr>
        <w:trPr/>
        <w:tc>
          <w:tcPr>
            <w:tcW w:w="4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capital expenditures including the acquisition, holding and development of real property assets;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80" w:name="list128"/>
      <w:bookmarkStart w:id="1181" w:name="list128"/>
      <w:bookmarkEnd w:id="1181"/>
    </w:p>
    <w:tbl>
      <w:tblPr>
        <w:tblW w:w="5000" w:type="pct"/>
        <w:jc w:val="left"/>
        <w:tblInd w:w="0" w:type="dxa"/>
        <w:tblCellMar>
          <w:top w:w="0" w:type="dxa"/>
          <w:left w:w="0" w:type="dxa"/>
          <w:bottom w:w="0" w:type="dxa"/>
          <w:right w:w="0" w:type="dxa"/>
        </w:tblCellMar>
      </w:tblPr>
      <w:tblGrid>
        <w:gridCol w:w="1526"/>
        <w:gridCol w:w="8679"/>
      </w:tblGrid>
      <w:tr>
        <w:trPr/>
        <w:tc>
          <w:tcPr>
            <w:tcW w:w="152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6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debt servicing requirements.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With the recent changes to the worldwide credit markets, the business community is concerned that credit will be more difficult to obtain especially for potentially risky ventures like business and asset acquisitions.  However, we believe that our acquisitions over the past few years coupled with our strengthening operational cash flows demonstrate our ability to improve our profitability.  We believe that this business model will help us to demonstrate to lending institutions our ability not only to do new acquisitions but also to service the associated debt.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2" w:name="PGBRK44"/>
      <w:bookmarkStart w:id="1183" w:name="PGBRK44"/>
      <w:bookmarkEnd w:id="1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4" w:name="FTR44"/>
      <w:bookmarkStart w:id="1185" w:name="FTR44"/>
      <w:bookmarkEnd w:id="1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86" w:name="GLFTR44"/>
      <w:bookmarkEnd w:id="11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87" w:name="PN44"/>
      <w:bookmarkEnd w:id="1187"/>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8" w:name="HDR44"/>
      <w:bookmarkStart w:id="1189" w:name="HDR44"/>
      <w:bookmarkEnd w:id="1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190" w:name="GLHDR44"/>
        <w:bookmarkEnd w:id="119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Discussion of Our Statement of Cash Flows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91" w:name="TAB1491"/>
      <w:bookmarkEnd w:id="1191"/>
      <w:r>
        <w:rPr>
          <w:rFonts w:ascii="Times New Roman" w:hAnsi="Times New Roman"/>
          <w:sz w:val="20"/>
        </w:rPr>
        <w:t>The following discussion compares the changes in our cash flows over the past three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Operating Activities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u w:val="single"/>
        </w:rPr>
        <w:t>2009 Compared to 2008.</w:t>
      </w:r>
      <w:r>
        <w:rPr>
          <w:rFonts w:ascii="Times New Roman" w:hAnsi="Times New Roman"/>
          <w:sz w:val="20"/>
        </w:rPr>
        <w:t>  Cash provided by operations was $18.0 million in 2009 compared to $24.3 million provided by operations in 2008.  The decrease in cash provided by operations of $6.3 million was due primarily to an $8.4 million operational cash flow increase offset by a $14.7 million decrease in cash provided by changes in operating assets and liabilities for 2009 compared to 2008.</w:t>
      </w: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192" w:name="TAB1492"/>
      <w:bookmarkEnd w:id="1192"/>
      <w:r>
        <w:rPr>
          <w:rFonts w:ascii="Times New Roman" w:hAnsi="Times New Roman"/>
          <w:sz w:val="20"/>
          <w:u w:val="single"/>
        </w:rPr>
        <w:t>2008 Compared to 2007.</w:t>
      </w:r>
      <w:r>
        <w:rPr>
          <w:rFonts w:ascii="Times New Roman" w:hAnsi="Times New Roman"/>
          <w:sz w:val="20"/>
        </w:rPr>
        <w:t>  Cash provided by operations was $24.3 million in 2008 compared to $13.3 million in 2007.  The increase in cash provided by operations of $11.0 million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93" w:name="list129"/>
      <w:bookmarkStart w:id="1194" w:name="list129"/>
      <w:bookmarkEnd w:id="1194"/>
    </w:p>
    <w:tbl>
      <w:tblPr>
        <w:tblW w:w="5000" w:type="pct"/>
        <w:jc w:val="left"/>
        <w:tblInd w:w="0" w:type="dxa"/>
        <w:tblCellMar>
          <w:top w:w="0" w:type="dxa"/>
          <w:left w:w="0" w:type="dxa"/>
          <w:bottom w:w="0" w:type="dxa"/>
          <w:right w:w="0" w:type="dxa"/>
        </w:tblCellMar>
      </w:tblPr>
      <w:tblGrid>
        <w:gridCol w:w="465"/>
        <w:gridCol w:w="9740"/>
      </w:tblGrid>
      <w:tr>
        <w:trPr/>
        <w:tc>
          <w:tcPr>
            <w:tcW w:w="46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increased cinema operational cash flow primarily from our Australia and domestic acquisition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95" w:name="list130"/>
      <w:bookmarkStart w:id="1196" w:name="list130"/>
      <w:bookmarkEnd w:id="1196"/>
    </w:p>
    <w:tbl>
      <w:tblPr>
        <w:tblW w:w="5000" w:type="pct"/>
        <w:jc w:val="left"/>
        <w:tblInd w:w="0" w:type="dxa"/>
        <w:tblCellMar>
          <w:top w:w="0" w:type="dxa"/>
          <w:left w:w="0" w:type="dxa"/>
          <w:bottom w:w="0" w:type="dxa"/>
          <w:right w:w="0" w:type="dxa"/>
        </w:tblCellMar>
      </w:tblPr>
      <w:tblGrid>
        <w:gridCol w:w="447"/>
        <w:gridCol w:w="9758"/>
      </w:tblGrid>
      <w:tr>
        <w:trPr/>
        <w:tc>
          <w:tcPr>
            <w:tcW w:w="44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increased real estate operational cash flow predominately from our Australia and New Zealand operations;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97" w:name="list131"/>
      <w:bookmarkStart w:id="1198" w:name="list131"/>
      <w:bookmarkEnd w:id="1198"/>
    </w:p>
    <w:tbl>
      <w:tblPr>
        <w:tblW w:w="5000" w:type="pct"/>
        <w:jc w:val="left"/>
        <w:tblInd w:w="0" w:type="dxa"/>
        <w:tblCellMar>
          <w:top w:w="0" w:type="dxa"/>
          <w:left w:w="0" w:type="dxa"/>
          <w:bottom w:w="0" w:type="dxa"/>
          <w:right w:w="0" w:type="dxa"/>
        </w:tblCellMar>
      </w:tblPr>
      <w:tblGrid>
        <w:gridCol w:w="638"/>
        <w:gridCol w:w="9567"/>
      </w:tblGrid>
      <w:tr>
        <w:trPr/>
        <w:tc>
          <w:tcPr>
            <w:tcW w:w="63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one time cash receipts related to litigation and other claims of $1.6 million;</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199" w:name="TAB1493"/>
      <w:bookmarkEnd w:id="1199"/>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00" w:name="list132"/>
      <w:bookmarkStart w:id="1201" w:name="list132"/>
      <w:bookmarkEnd w:id="120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decrease in distributions from predominately our Place 57 joint venture (the assets of which have now been substantially monetized) of $3.7 million.</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Investing Activities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02" w:name="TAB1494"/>
      <w:bookmarkEnd w:id="1202"/>
      <w:r>
        <w:rPr>
          <w:rFonts w:ascii="Times New Roman" w:hAnsi="Times New Roman"/>
          <w:sz w:val="20"/>
        </w:rPr>
        <w:t>Cash used in investing activities for 2009 was $12.9 million compared to $69.5 million in 2008 and $38.3 million in 2007.  The following summarizes our investing activities for each of the three years ending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$12.9 million cash used in 2009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03" w:name="list133"/>
      <w:bookmarkStart w:id="1204" w:name="list133"/>
      <w:bookmarkEnd w:id="1204"/>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$5.7 million in property enhancements to our existing properties;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05" w:name="list134"/>
      <w:bookmarkStart w:id="1206" w:name="list134"/>
      <w:bookmarkEnd w:id="1206"/>
    </w:p>
    <w:tbl>
      <w:tblPr>
        <w:tblW w:w="5000" w:type="pct"/>
        <w:jc w:val="left"/>
        <w:tblInd w:w="0" w:type="dxa"/>
        <w:tblCellMar>
          <w:top w:w="0" w:type="dxa"/>
          <w:left w:w="0" w:type="dxa"/>
          <w:bottom w:w="0" w:type="dxa"/>
          <w:right w:w="0" w:type="dxa"/>
        </w:tblCellMar>
      </w:tblPr>
      <w:tblGrid>
        <w:gridCol w:w="602"/>
        <w:gridCol w:w="9603"/>
      </w:tblGrid>
      <w:tr>
        <w:trPr/>
        <w:tc>
          <w:tcPr>
            <w:tcW w:w="60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$706,000 deposit to purchase a property adjacent to our Manukau property;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07" w:name="list135"/>
      <w:bookmarkStart w:id="1208" w:name="list135"/>
      <w:bookmarkEnd w:id="1208"/>
    </w:p>
    <w:tbl>
      <w:tblPr>
        <w:tblW w:w="5000" w:type="pct"/>
        <w:jc w:val="left"/>
        <w:tblInd w:w="0" w:type="dxa"/>
        <w:tblCellMar>
          <w:top w:w="0" w:type="dxa"/>
          <w:left w:w="0" w:type="dxa"/>
          <w:bottom w:w="0" w:type="dxa"/>
          <w:right w:w="0" w:type="dxa"/>
        </w:tblCellMar>
      </w:tblPr>
      <w:tblGrid>
        <w:gridCol w:w="455"/>
        <w:gridCol w:w="9750"/>
      </w:tblGrid>
      <w:tr>
        <w:trPr/>
        <w:tc>
          <w:tcPr>
            <w:tcW w:w="45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$11.5 million to purchase marketable securities to exchange for our Reading International Trust I securities;</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209" w:name="TAB1495"/>
      <w:bookmarkEnd w:id="1209"/>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10" w:name="list136"/>
      <w:bookmarkStart w:id="1211" w:name="list136"/>
      <w:bookmarkEnd w:id="121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 million in restricted cash primarily related to the use of construction deposits made in 2008 for repair work to one of our cinemas;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12" w:name="list137"/>
      <w:bookmarkStart w:id="1213" w:name="list137"/>
      <w:bookmarkEnd w:id="1213"/>
    </w:p>
    <w:tbl>
      <w:tblPr>
        <w:tblW w:w="5000" w:type="pct"/>
        <w:jc w:val="left"/>
        <w:tblInd w:w="0" w:type="dxa"/>
        <w:tblCellMar>
          <w:top w:w="0" w:type="dxa"/>
          <w:left w:w="0" w:type="dxa"/>
          <w:bottom w:w="0" w:type="dxa"/>
          <w:right w:w="0" w:type="dxa"/>
        </w:tblCellMar>
      </w:tblPr>
      <w:tblGrid>
        <w:gridCol w:w="708"/>
        <w:gridCol w:w="9497"/>
      </w:tblGrid>
      <w:tr>
        <w:trPr/>
        <w:tc>
          <w:tcPr>
            <w:tcW w:w="70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 million in return of investment of unconsolidated entities;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14" w:name="list138"/>
      <w:bookmarkStart w:id="1215" w:name="list138"/>
      <w:bookmarkEnd w:id="1215"/>
    </w:p>
    <w:tbl>
      <w:tblPr>
        <w:tblW w:w="5000" w:type="pct"/>
        <w:jc w:val="left"/>
        <w:tblInd w:w="0" w:type="dxa"/>
        <w:tblCellMar>
          <w:top w:w="0" w:type="dxa"/>
          <w:left w:w="0" w:type="dxa"/>
          <w:bottom w:w="0" w:type="dxa"/>
          <w:right w:w="0" w:type="dxa"/>
        </w:tblCellMar>
      </w:tblPr>
      <w:tblGrid>
        <w:gridCol w:w="809"/>
        <w:gridCol w:w="9396"/>
      </w:tblGrid>
      <w:tr>
        <w:trPr/>
        <w:tc>
          <w:tcPr>
            <w:tcW w:w="8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$285,000 of sale option proceeds for our Auburn property.</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$69.5 million cash used in 2008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16" w:name="list139"/>
      <w:bookmarkStart w:id="1217" w:name="list139"/>
      <w:bookmarkEnd w:id="1217"/>
    </w:p>
    <w:tbl>
      <w:tblPr>
        <w:tblW w:w="5000" w:type="pct"/>
        <w:jc w:val="left"/>
        <w:tblInd w:w="0" w:type="dxa"/>
        <w:tblCellMar>
          <w:top w:w="0" w:type="dxa"/>
          <w:left w:w="0" w:type="dxa"/>
          <w:bottom w:w="0" w:type="dxa"/>
          <w:right w:w="0" w:type="dxa"/>
        </w:tblCellMar>
      </w:tblPr>
      <w:tblGrid>
        <w:gridCol w:w="656"/>
        <w:gridCol w:w="9549"/>
      </w:tblGrid>
      <w:tr>
        <w:trPr/>
        <w:tc>
          <w:tcPr>
            <w:tcW w:w="65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$49.2 million to purchase the assets of the Consolidated Cinemas circuit;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18" w:name="list140"/>
      <w:bookmarkStart w:id="1219" w:name="list140"/>
      <w:bookmarkEnd w:id="1219"/>
    </w:p>
    <w:tbl>
      <w:tblPr>
        <w:tblW w:w="5000" w:type="pct"/>
        <w:jc w:val="left"/>
        <w:tblInd w:w="0" w:type="dxa"/>
        <w:tblCellMar>
          <w:top w:w="0" w:type="dxa"/>
          <w:left w:w="0" w:type="dxa"/>
          <w:bottom w:w="0" w:type="dxa"/>
          <w:right w:w="0" w:type="dxa"/>
        </w:tblCellMar>
      </w:tblPr>
      <w:tblGrid>
        <w:gridCol w:w="969"/>
        <w:gridCol w:w="9236"/>
      </w:tblGrid>
      <w:tr>
        <w:trPr/>
        <w:tc>
          <w:tcPr>
            <w:tcW w:w="96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$2.5 million to purchase other real estate assets;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20" w:name="list141"/>
      <w:bookmarkStart w:id="1221" w:name="list141"/>
      <w:bookmarkEnd w:id="1221"/>
    </w:p>
    <w:tbl>
      <w:tblPr>
        <w:tblW w:w="5000" w:type="pct"/>
        <w:jc w:val="left"/>
        <w:tblInd w:w="0" w:type="dxa"/>
        <w:tblCellMar>
          <w:top w:w="0" w:type="dxa"/>
          <w:left w:w="0" w:type="dxa"/>
          <w:bottom w:w="0" w:type="dxa"/>
          <w:right w:w="0" w:type="dxa"/>
        </w:tblCellMar>
      </w:tblPr>
      <w:tblGrid>
        <w:gridCol w:w="430"/>
        <w:gridCol w:w="9775"/>
      </w:tblGrid>
      <w:tr>
        <w:trPr/>
        <w:tc>
          <w:tcPr>
            <w:tcW w:w="43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$1.9 million in restricted cash primarily related to construction deposits for repair work on one of our cinemas; 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22" w:name="PGBRK45"/>
      <w:bookmarkStart w:id="1223" w:name="PGBRK45"/>
      <w:bookmarkEnd w:id="1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4" w:name="FTR45"/>
      <w:bookmarkStart w:id="1225" w:name="FTR45"/>
      <w:bookmarkEnd w:id="1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26" w:name="GLFTR45"/>
      <w:bookmarkEnd w:id="1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7" w:name="PN45"/>
      <w:bookmarkEnd w:id="1227"/>
      <w:r>
        <w:rPr>
          <w:rFonts w:ascii="Times New Roman" w:hAnsi="Times New Roman"/>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8" w:name="HDR45"/>
      <w:bookmarkStart w:id="1229" w:name="HDR45"/>
      <w:bookmarkEnd w:id="1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230" w:name="GLHDR45"/>
        <w:bookmarkEnd w:id="12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31" w:name="list142"/>
      <w:bookmarkStart w:id="1232" w:name="list142"/>
      <w:bookmarkEnd w:id="1232"/>
    </w:p>
    <w:tbl>
      <w:tblPr>
        <w:tblW w:w="5000" w:type="pct"/>
        <w:jc w:val="left"/>
        <w:tblInd w:w="0" w:type="dxa"/>
        <w:tblCellMar>
          <w:top w:w="0" w:type="dxa"/>
          <w:left w:w="0" w:type="dxa"/>
          <w:bottom w:w="0" w:type="dxa"/>
          <w:right w:w="0" w:type="dxa"/>
        </w:tblCellMar>
      </w:tblPr>
      <w:tblGrid>
        <w:gridCol w:w="715"/>
        <w:gridCol w:w="9490"/>
      </w:tblGrid>
      <w:tr>
        <w:trPr/>
        <w:tc>
          <w:tcPr>
            <w:tcW w:w="71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$23.4 million in property enhancements to our existing properties;</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233" w:name="TAB1496"/>
      <w:bookmarkEnd w:id="1233"/>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34" w:name="list143"/>
      <w:bookmarkStart w:id="1235" w:name="list143"/>
      <w:bookmarkEnd w:id="1235"/>
    </w:p>
    <w:tbl>
      <w:tblPr>
        <w:tblW w:w="5000" w:type="pct"/>
        <w:jc w:val="left"/>
        <w:tblInd w:w="0" w:type="dxa"/>
        <w:tblCellMar>
          <w:top w:w="0" w:type="dxa"/>
          <w:left w:w="0" w:type="dxa"/>
          <w:bottom w:w="0" w:type="dxa"/>
          <w:right w:w="0" w:type="dxa"/>
        </w:tblCellMar>
      </w:tblPr>
      <w:tblGrid>
        <w:gridCol w:w="559"/>
        <w:gridCol w:w="9646"/>
      </w:tblGrid>
      <w:tr>
        <w:trPr/>
        <w:tc>
          <w:tcPr>
            <w:tcW w:w="55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$2.0 million of deposit returned upon acquisition of the Consolidated Cinemas circuit;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36" w:name="list144"/>
      <w:bookmarkStart w:id="1237" w:name="list144"/>
      <w:bookmarkEnd w:id="1237"/>
    </w:p>
    <w:tbl>
      <w:tblPr>
        <w:tblW w:w="5000" w:type="pct"/>
        <w:jc w:val="left"/>
        <w:tblInd w:w="0" w:type="dxa"/>
        <w:tblCellMar>
          <w:top w:w="0" w:type="dxa"/>
          <w:left w:w="0" w:type="dxa"/>
          <w:bottom w:w="0" w:type="dxa"/>
          <w:right w:w="0" w:type="dxa"/>
        </w:tblCellMar>
      </w:tblPr>
      <w:tblGrid>
        <w:gridCol w:w="773"/>
        <w:gridCol w:w="9432"/>
      </w:tblGrid>
      <w:tr>
        <w:trPr/>
        <w:tc>
          <w:tcPr>
            <w:tcW w:w="77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 million of sale option proceeds for our Auburn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38" w:name="list145"/>
      <w:bookmarkStart w:id="1239" w:name="list145"/>
      <w:bookmarkEnd w:id="1239"/>
    </w:p>
    <w:tbl>
      <w:tblPr>
        <w:tblW w:w="5000" w:type="pct"/>
        <w:jc w:val="left"/>
        <w:tblInd w:w="0" w:type="dxa"/>
        <w:tblCellMar>
          <w:top w:w="0" w:type="dxa"/>
          <w:left w:w="0" w:type="dxa"/>
          <w:bottom w:w="0" w:type="dxa"/>
          <w:right w:w="0" w:type="dxa"/>
        </w:tblCellMar>
      </w:tblPr>
      <w:tblGrid>
        <w:gridCol w:w="883"/>
        <w:gridCol w:w="9322"/>
      </w:tblGrid>
      <w:tr>
        <w:trPr/>
        <w:tc>
          <w:tcPr>
            <w:tcW w:w="88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$910,000 of proceeds from insurance settlement;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40" w:name="list146"/>
      <w:bookmarkStart w:id="1241" w:name="list146"/>
      <w:bookmarkEnd w:id="1241"/>
    </w:p>
    <w:tbl>
      <w:tblPr>
        <w:tblW w:w="5000" w:type="pct"/>
        <w:jc w:val="left"/>
        <w:tblInd w:w="0" w:type="dxa"/>
        <w:tblCellMar>
          <w:top w:w="0" w:type="dxa"/>
          <w:left w:w="0" w:type="dxa"/>
          <w:bottom w:w="0" w:type="dxa"/>
          <w:right w:w="0" w:type="dxa"/>
        </w:tblCellMar>
      </w:tblPr>
      <w:tblGrid>
        <w:gridCol w:w="475"/>
        <w:gridCol w:w="9730"/>
      </w:tblGrid>
      <w:tr>
        <w:trPr/>
        <w:tc>
          <w:tcPr>
            <w:tcW w:w="47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 million of cash received from the sale of our interest in the Botany Downs cinema in New Zealand.</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$38.3 million cash used in 2007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42" w:name="list147"/>
      <w:bookmarkStart w:id="1243" w:name="list147"/>
      <w:bookmarkEnd w:id="1243"/>
    </w:p>
    <w:tbl>
      <w:tblPr>
        <w:tblW w:w="5000" w:type="pct"/>
        <w:jc w:val="left"/>
        <w:tblInd w:w="0" w:type="dxa"/>
        <w:tblCellMar>
          <w:top w:w="0" w:type="dxa"/>
          <w:left w:w="0" w:type="dxa"/>
          <w:bottom w:w="0" w:type="dxa"/>
          <w:right w:w="0" w:type="dxa"/>
        </w:tblCellMar>
      </w:tblPr>
      <w:tblGrid>
        <w:gridCol w:w="962"/>
        <w:gridCol w:w="9243"/>
      </w:tblGrid>
      <w:tr>
        <w:trPr/>
        <w:tc>
          <w:tcPr>
            <w:tcW w:w="96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$15.7 million to purchase marketable securities;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44" w:name="list148"/>
      <w:bookmarkStart w:id="1245" w:name="list148"/>
      <w:bookmarkEnd w:id="1245"/>
    </w:p>
    <w:tbl>
      <w:tblPr>
        <w:tblW w:w="5000" w:type="pct"/>
        <w:jc w:val="left"/>
        <w:tblInd w:w="0" w:type="dxa"/>
        <w:tblCellMar>
          <w:top w:w="0" w:type="dxa"/>
          <w:left w:w="0" w:type="dxa"/>
          <w:bottom w:w="0" w:type="dxa"/>
          <w:right w:w="0" w:type="dxa"/>
        </w:tblCellMar>
      </w:tblPr>
      <w:tblGrid>
        <w:gridCol w:w="883"/>
        <w:gridCol w:w="9322"/>
      </w:tblGrid>
      <w:tr>
        <w:trPr/>
        <w:tc>
          <w:tcPr>
            <w:tcW w:w="88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$22.6 million to purchase real estate assets including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46" w:name="list149"/>
      <w:bookmarkStart w:id="1247" w:name="list149"/>
      <w:bookmarkEnd w:id="1247"/>
    </w:p>
    <w:tbl>
      <w:tblPr>
        <w:tblW w:w="5000" w:type="pct"/>
        <w:jc w:val="left"/>
        <w:tblInd w:w="0" w:type="dxa"/>
        <w:tblCellMar>
          <w:top w:w="0" w:type="dxa"/>
          <w:left w:w="0" w:type="dxa"/>
          <w:bottom w:w="0" w:type="dxa"/>
          <w:right w:w="0" w:type="dxa"/>
        </w:tblCellMar>
      </w:tblPr>
      <w:tblGrid>
        <w:gridCol w:w="498"/>
        <w:gridCol w:w="9707"/>
      </w:tblGrid>
      <w:tr>
        <w:trPr/>
        <w:tc>
          <w:tcPr>
            <w:tcW w:w="49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$20.1 million for real estate purchases in New Zealand,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48" w:name="list150"/>
      <w:bookmarkStart w:id="1249" w:name="list150"/>
      <w:bookmarkEnd w:id="1249"/>
    </w:p>
    <w:tbl>
      <w:tblPr>
        <w:tblW w:w="5000" w:type="pct"/>
        <w:jc w:val="left"/>
        <w:tblInd w:w="0" w:type="dxa"/>
        <w:tblCellMar>
          <w:top w:w="0" w:type="dxa"/>
          <w:left w:w="0" w:type="dxa"/>
          <w:bottom w:w="0" w:type="dxa"/>
          <w:right w:w="0" w:type="dxa"/>
        </w:tblCellMar>
      </w:tblPr>
      <w:tblGrid>
        <w:gridCol w:w="457"/>
        <w:gridCol w:w="9748"/>
      </w:tblGrid>
      <w:tr>
        <w:trPr/>
        <w:tc>
          <w:tcPr>
            <w:tcW w:w="45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$100,000 for the purchase of the Cinemas 1, 2 &amp; 3 building,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50" w:name="list151"/>
      <w:bookmarkStart w:id="1251" w:name="list151"/>
      <w:bookmarkEnd w:id="1251"/>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$2.0 million acquisition deposit for our acquisition of the Consolidated Cinemas circuit,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52" w:name="list152"/>
      <w:bookmarkStart w:id="1253" w:name="list152"/>
      <w:bookmarkEnd w:id="1253"/>
    </w:p>
    <w:tbl>
      <w:tblPr>
        <w:tblW w:w="5000" w:type="pct"/>
        <w:jc w:val="left"/>
        <w:tblInd w:w="0" w:type="dxa"/>
        <w:tblCellMar>
          <w:top w:w="0" w:type="dxa"/>
          <w:left w:w="0" w:type="dxa"/>
          <w:bottom w:w="0" w:type="dxa"/>
          <w:right w:w="0" w:type="dxa"/>
        </w:tblCellMar>
      </w:tblPr>
      <w:tblGrid>
        <w:gridCol w:w="296"/>
        <w:gridCol w:w="9909"/>
      </w:tblGrid>
      <w:tr>
        <w:trPr/>
        <w:tc>
          <w:tcPr>
            <w:tcW w:w="29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$493,000 for the purchase of the ground lease of our Tower Cinema in Sacramento, California;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54" w:name="list153"/>
      <w:bookmarkStart w:id="1255" w:name="list153"/>
      <w:bookmarkEnd w:id="1255"/>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$2.8 million in property enhancements to our existing properties;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56" w:name="list154"/>
      <w:bookmarkStart w:id="1257" w:name="list154"/>
      <w:bookmarkEnd w:id="1257"/>
    </w:p>
    <w:tbl>
      <w:tblPr>
        <w:tblW w:w="5000" w:type="pct"/>
        <w:jc w:val="left"/>
        <w:tblInd w:w="0" w:type="dxa"/>
        <w:tblCellMar>
          <w:top w:w="0" w:type="dxa"/>
          <w:left w:w="0" w:type="dxa"/>
          <w:bottom w:w="0" w:type="dxa"/>
          <w:right w:w="0" w:type="dxa"/>
        </w:tblCellMar>
      </w:tblPr>
      <w:tblGrid>
        <w:gridCol w:w="535"/>
        <w:gridCol w:w="9670"/>
      </w:tblGrid>
      <w:tr>
        <w:trPr/>
        <w:tc>
          <w:tcPr>
            <w:tcW w:w="53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$19.0 million in development costs associated with our properties under development;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58" w:name="list155"/>
      <w:bookmarkStart w:id="1259" w:name="list155"/>
      <w:bookmarkEnd w:id="1259"/>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$1.5 million in our investment in Reading International Trust I securities (the issuer of our TPS);</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260" w:name="TAB1497"/>
      <w:bookmarkEnd w:id="1260"/>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61" w:name="list156"/>
      <w:bookmarkStart w:id="1262" w:name="list156"/>
      <w:bookmarkEnd w:id="1262"/>
    </w:p>
    <w:tbl>
      <w:tblPr>
        <w:tblW w:w="5000" w:type="pct"/>
        <w:jc w:val="left"/>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$19.9 million in cash provided by the sale of marketable securities;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63" w:name="list157"/>
      <w:bookmarkStart w:id="1264" w:name="list157"/>
      <w:bookmarkEnd w:id="1264"/>
    </w:p>
    <w:tbl>
      <w:tblPr>
        <w:tblW w:w="5000" w:type="pct"/>
        <w:jc w:val="left"/>
        <w:tblInd w:w="0" w:type="dxa"/>
        <w:tblCellMar>
          <w:top w:w="0" w:type="dxa"/>
          <w:left w:w="0" w:type="dxa"/>
          <w:bottom w:w="0" w:type="dxa"/>
          <w:right w:w="0" w:type="dxa"/>
        </w:tblCellMar>
      </w:tblPr>
      <w:tblGrid>
        <w:gridCol w:w="514"/>
        <w:gridCol w:w="9691"/>
      </w:tblGrid>
      <w:tr>
        <w:trPr/>
        <w:tc>
          <w:tcPr>
            <w:tcW w:w="51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$981,000 decrease in restricted cash related to settled claims by our credit card companies;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65" w:name="list158"/>
      <w:bookmarkStart w:id="1266" w:name="list158"/>
      <w:bookmarkEnd w:id="1266"/>
    </w:p>
    <w:tbl>
      <w:tblPr>
        <w:tblW w:w="5000" w:type="pct"/>
        <w:jc w:val="left"/>
        <w:tblInd w:w="0" w:type="dxa"/>
        <w:tblCellMar>
          <w:top w:w="0" w:type="dxa"/>
          <w:left w:w="0" w:type="dxa"/>
          <w:bottom w:w="0" w:type="dxa"/>
          <w:right w:w="0" w:type="dxa"/>
        </w:tblCellMar>
      </w:tblPr>
      <w:tblGrid>
        <w:gridCol w:w="715"/>
        <w:gridCol w:w="9490"/>
      </w:tblGrid>
      <w:tr>
        <w:trPr/>
        <w:tc>
          <w:tcPr>
            <w:tcW w:w="71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$2.4 million in distributions from our investment in joint ventures.</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Financing Activities</w:t>
      </w:r>
    </w:p>
    <w:p>
      <w:pPr>
        <w:pStyle w:val="TextBody"/>
        <w:spacing w:before="0" w:after="0"/>
        <w:rPr/>
      </w:pPr>
      <w:r>
        <w:rPr/>
        <w:t> </w:t>
      </w:r>
    </w:p>
    <w:p>
      <w:pPr>
        <w:pStyle w:val="TextBody"/>
        <w:spacing w:before="0" w:after="0"/>
        <w:ind w:left="720" w:right="0" w:hanging="0"/>
        <w:jc w:val="both"/>
        <w:rPr>
          <w:rFonts w:ascii="Times New Roman" w:hAnsi="Times New Roman"/>
          <w:sz w:val="20"/>
        </w:rPr>
      </w:pPr>
      <w:bookmarkStart w:id="1267" w:name="TAB1498"/>
      <w:bookmarkEnd w:id="1267"/>
      <w:r>
        <w:rPr>
          <w:rFonts w:ascii="Times New Roman" w:hAnsi="Times New Roman"/>
          <w:sz w:val="20"/>
        </w:rPr>
        <w:t>Cash used in financing activities for 2009 was $14.4 million compared to cash provided by financing activities of $60.2 million in 2008 and $33.9 million in 2007.  The following summarizes our financing activities for each of the three years ending December 31, 2008: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$14.4 million cash used in 2009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68" w:name="list159"/>
      <w:bookmarkStart w:id="1269" w:name="list159"/>
      <w:bookmarkEnd w:id="1269"/>
    </w:p>
    <w:tbl>
      <w:tblPr>
        <w:tblW w:w="5000" w:type="pct"/>
        <w:jc w:val="left"/>
        <w:tblInd w:w="0" w:type="dxa"/>
        <w:tblCellMar>
          <w:top w:w="0" w:type="dxa"/>
          <w:left w:w="0" w:type="dxa"/>
          <w:bottom w:w="0" w:type="dxa"/>
          <w:right w:w="0" w:type="dxa"/>
        </w:tblCellMar>
      </w:tblPr>
      <w:tblGrid>
        <w:gridCol w:w="692"/>
        <w:gridCol w:w="9513"/>
      </w:tblGrid>
      <w:tr>
        <w:trPr/>
        <w:tc>
          <w:tcPr>
            <w:tcW w:w="69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$1.5 million of borrowing on our Australia Construction facility;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70" w:name="list160"/>
      <w:bookmarkStart w:id="1271" w:name="list160"/>
      <w:bookmarkEnd w:id="1271"/>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$175,000 of noncontrolling interest contributions;</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272" w:name="TAB1499"/>
      <w:bookmarkEnd w:id="1272"/>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73" w:name="list161"/>
      <w:bookmarkStart w:id="1274" w:name="list161"/>
      <w:bookmarkEnd w:id="127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$14.9 million of loan repayments including $8.3 million to pay down on our GE Capital loan and $6.1 million to pay off our Australia Construction facility;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75" w:name="list162"/>
      <w:bookmarkStart w:id="1276" w:name="list162"/>
      <w:bookmarkEnd w:id="1276"/>
    </w:p>
    <w:tbl>
      <w:tblPr>
        <w:tblW w:w="5000" w:type="pct"/>
        <w:jc w:val="left"/>
        <w:tblInd w:w="0" w:type="dxa"/>
        <w:tblCellMar>
          <w:top w:w="0" w:type="dxa"/>
          <w:left w:w="0" w:type="dxa"/>
          <w:bottom w:w="0" w:type="dxa"/>
          <w:right w:w="0" w:type="dxa"/>
        </w:tblCellMar>
      </w:tblPr>
      <w:tblGrid>
        <w:gridCol w:w="889"/>
        <w:gridCol w:w="9316"/>
      </w:tblGrid>
      <w:tr>
        <w:trPr/>
        <w:tc>
          <w:tcPr>
            <w:tcW w:w="88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 million in noncontrolling interest distributions.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$60.2 million cash used in 2008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77" w:name="list163"/>
      <w:bookmarkStart w:id="1278" w:name="list163"/>
      <w:bookmarkEnd w:id="127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$48.0 million of net proceeds from our new GE Capital Term Loan used to finance the Consolidated Entertainment transaction;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79" w:name="list164"/>
      <w:bookmarkStart w:id="1280" w:name="list164"/>
      <w:bookmarkEnd w:id="1280"/>
    </w:p>
    <w:tbl>
      <w:tblPr>
        <w:tblW w:w="5000" w:type="pct"/>
        <w:jc w:val="left"/>
        <w:tblInd w:w="0" w:type="dxa"/>
        <w:tblCellMar>
          <w:top w:w="0" w:type="dxa"/>
          <w:left w:w="0" w:type="dxa"/>
          <w:bottom w:w="0" w:type="dxa"/>
          <w:right w:w="0" w:type="dxa"/>
        </w:tblCellMar>
      </w:tblPr>
      <w:tblGrid>
        <w:gridCol w:w="736"/>
        <w:gridCol w:w="9469"/>
      </w:tblGrid>
      <w:tr>
        <w:trPr/>
        <w:tc>
          <w:tcPr>
            <w:tcW w:w="73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$7.1 million of net proceeds from our new Liberty Theaters loan;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81" w:name="list165"/>
      <w:bookmarkStart w:id="1282" w:name="list165"/>
      <w:bookmarkEnd w:id="1282"/>
    </w:p>
    <w:tbl>
      <w:tblPr>
        <w:tblW w:w="5000" w:type="pct"/>
        <w:jc w:val="left"/>
        <w:tblInd w:w="0" w:type="dxa"/>
        <w:tblCellMar>
          <w:top w:w="0" w:type="dxa"/>
          <w:left w:w="0" w:type="dxa"/>
          <w:bottom w:w="0" w:type="dxa"/>
          <w:right w:w="0" w:type="dxa"/>
        </w:tblCellMar>
      </w:tblPr>
      <w:tblGrid>
        <w:gridCol w:w="830"/>
        <w:gridCol w:w="9375"/>
      </w:tblGrid>
      <w:tr>
        <w:trPr/>
        <w:tc>
          <w:tcPr>
            <w:tcW w:w="83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$4.5 million of borrowing on the Nationwide Loans;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83" w:name="list166"/>
      <w:bookmarkStart w:id="1284" w:name="list166"/>
      <w:bookmarkEnd w:id="1284"/>
    </w:p>
    <w:tbl>
      <w:tblPr>
        <w:tblW w:w="5000" w:type="pct"/>
        <w:jc w:val="left"/>
        <w:tblInd w:w="0" w:type="dxa"/>
        <w:tblCellMar>
          <w:top w:w="0" w:type="dxa"/>
          <w:left w:w="0" w:type="dxa"/>
          <w:bottom w:w="0" w:type="dxa"/>
          <w:right w:w="0" w:type="dxa"/>
        </w:tblCellMar>
      </w:tblPr>
      <w:tblGrid>
        <w:gridCol w:w="617"/>
        <w:gridCol w:w="9588"/>
      </w:tblGrid>
      <w:tr>
        <w:trPr/>
        <w:tc>
          <w:tcPr>
            <w:tcW w:w="6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$13.2 million of borrowing on our Australia and New Zealand credit facilities;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85" w:name="PGBRK46"/>
      <w:bookmarkStart w:id="1286" w:name="PGBRK46"/>
      <w:bookmarkEnd w:id="1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7" w:name="FTR46"/>
      <w:bookmarkStart w:id="1288" w:name="FTR46"/>
      <w:bookmarkEnd w:id="1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89" w:name="GLFTR46"/>
      <w:bookmarkEnd w:id="12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90" w:name="PN46"/>
      <w:bookmarkEnd w:id="1290"/>
      <w:r>
        <w:rPr>
          <w:rFonts w:ascii="Times New Roman" w:hAnsi="Times New Roman"/>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1" w:name="HDR46"/>
      <w:bookmarkStart w:id="1292" w:name="HDR46"/>
      <w:bookmarkEnd w:id="1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293" w:name="GLHDR46"/>
        <w:bookmarkEnd w:id="129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294" w:name="TAB1500"/>
      <w:bookmarkEnd w:id="1294"/>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295" w:name="list167"/>
      <w:bookmarkStart w:id="1296" w:name="list167"/>
      <w:bookmarkEnd w:id="1296"/>
    </w:p>
    <w:tbl>
      <w:tblPr>
        <w:tblW w:w="5000" w:type="pct"/>
        <w:jc w:val="left"/>
        <w:tblInd w:w="0" w:type="dxa"/>
        <w:tblCellMar>
          <w:top w:w="0" w:type="dxa"/>
          <w:left w:w="0" w:type="dxa"/>
          <w:bottom w:w="0" w:type="dxa"/>
          <w:right w:w="0" w:type="dxa"/>
        </w:tblCellMar>
      </w:tblPr>
      <w:tblGrid>
        <w:gridCol w:w="525"/>
        <w:gridCol w:w="9680"/>
      </w:tblGrid>
      <w:tr>
        <w:trPr/>
        <w:tc>
          <w:tcPr>
            <w:tcW w:w="52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$9.4 million of loan repayments including $9.0 million to pay down on our GE Capital loan;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97" w:name="list168"/>
      <w:bookmarkStart w:id="1298" w:name="list168"/>
      <w:bookmarkEnd w:id="1298"/>
    </w:p>
    <w:tbl>
      <w:tblPr>
        <w:tblW w:w="5000" w:type="pct"/>
        <w:jc w:val="left"/>
        <w:tblInd w:w="0" w:type="dxa"/>
        <w:tblCellMar>
          <w:top w:w="0" w:type="dxa"/>
          <w:left w:w="0" w:type="dxa"/>
          <w:bottom w:w="0" w:type="dxa"/>
          <w:right w:w="0" w:type="dxa"/>
        </w:tblCellMar>
      </w:tblPr>
      <w:tblGrid>
        <w:gridCol w:w="1140"/>
        <w:gridCol w:w="9065"/>
      </w:tblGrid>
      <w:tr>
        <w:trPr/>
        <w:tc>
          <w:tcPr>
            <w:tcW w:w="114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 million waiver fee on our TPS;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99" w:name="list169"/>
      <w:bookmarkStart w:id="1300" w:name="list169"/>
      <w:bookmarkEnd w:id="1300"/>
    </w:p>
    <w:tbl>
      <w:tblPr>
        <w:tblW w:w="5000" w:type="pct"/>
        <w:jc w:val="left"/>
        <w:tblInd w:w="0" w:type="dxa"/>
        <w:tblCellMar>
          <w:top w:w="0" w:type="dxa"/>
          <w:left w:w="0" w:type="dxa"/>
          <w:bottom w:w="0" w:type="dxa"/>
          <w:right w:w="0" w:type="dxa"/>
        </w:tblCellMar>
      </w:tblPr>
      <w:tblGrid>
        <w:gridCol w:w="715"/>
        <w:gridCol w:w="9490"/>
      </w:tblGrid>
      <w:tr>
        <w:trPr/>
        <w:tc>
          <w:tcPr>
            <w:tcW w:w="71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$1.6 million in distributions to holders of noncontrolling interests.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$33.9 million cash used in 2007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301" w:name="list170"/>
      <w:bookmarkStart w:id="1302" w:name="list170"/>
      <w:bookmarkEnd w:id="1302"/>
    </w:p>
    <w:tbl>
      <w:tblPr>
        <w:tblW w:w="5000" w:type="pct"/>
        <w:jc w:val="left"/>
        <w:tblInd w:w="0" w:type="dxa"/>
        <w:tblCellMar>
          <w:top w:w="0" w:type="dxa"/>
          <w:left w:w="0" w:type="dxa"/>
          <w:bottom w:w="0" w:type="dxa"/>
          <w:right w:w="0" w:type="dxa"/>
        </w:tblCellMar>
      </w:tblPr>
      <w:tblGrid>
        <w:gridCol w:w="1045"/>
        <w:gridCol w:w="9160"/>
      </w:tblGrid>
      <w:tr>
        <w:trPr/>
        <w:tc>
          <w:tcPr>
            <w:tcW w:w="104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$49.9 million of net proceeds from our TPS;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03" w:name="list171"/>
      <w:bookmarkStart w:id="1304" w:name="list171"/>
      <w:bookmarkEnd w:id="1304"/>
    </w:p>
    <w:tbl>
      <w:tblPr>
        <w:tblW w:w="5000" w:type="pct"/>
        <w:jc w:val="left"/>
        <w:tblInd w:w="0" w:type="dxa"/>
        <w:tblCellMar>
          <w:top w:w="0" w:type="dxa"/>
          <w:left w:w="0" w:type="dxa"/>
          <w:bottom w:w="0" w:type="dxa"/>
          <w:right w:w="0" w:type="dxa"/>
        </w:tblCellMar>
      </w:tblPr>
      <w:tblGrid>
        <w:gridCol w:w="840"/>
        <w:gridCol w:w="9365"/>
      </w:tblGrid>
      <w:tr>
        <w:trPr/>
        <w:tc>
          <w:tcPr>
            <w:tcW w:w="84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$14.4 million of net proceeds from our Euro-Hypo loan;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05" w:name="list172"/>
      <w:bookmarkStart w:id="1306" w:name="list172"/>
      <w:bookmarkEnd w:id="1306"/>
    </w:p>
    <w:tbl>
      <w:tblPr>
        <w:tblW w:w="5000" w:type="pct"/>
        <w:jc w:val="left"/>
        <w:tblInd w:w="0" w:type="dxa"/>
        <w:tblCellMar>
          <w:top w:w="0" w:type="dxa"/>
          <w:left w:w="0" w:type="dxa"/>
          <w:bottom w:w="0" w:type="dxa"/>
          <w:right w:w="0" w:type="dxa"/>
        </w:tblCellMar>
      </w:tblPr>
      <w:tblGrid>
        <w:gridCol w:w="608"/>
        <w:gridCol w:w="9597"/>
      </w:tblGrid>
      <w:tr>
        <w:trPr/>
        <w:tc>
          <w:tcPr>
            <w:tcW w:w="60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$3.1 million of proceeds from our margin account on marketable securities;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07" w:name="list173"/>
      <w:bookmarkStart w:id="1308" w:name="list173"/>
      <w:bookmarkEnd w:id="1308"/>
    </w:p>
    <w:tbl>
      <w:tblPr>
        <w:tblW w:w="5000" w:type="pct"/>
        <w:jc w:val="left"/>
        <w:tblInd w:w="0" w:type="dxa"/>
        <w:tblCellMar>
          <w:top w:w="0" w:type="dxa"/>
          <w:left w:w="0" w:type="dxa"/>
          <w:bottom w:w="0" w:type="dxa"/>
          <w:right w:w="0" w:type="dxa"/>
        </w:tblCellMar>
      </w:tblPr>
      <w:tblGrid>
        <w:gridCol w:w="546"/>
        <w:gridCol w:w="9659"/>
      </w:tblGrid>
      <w:tr>
        <w:trPr/>
        <w:tc>
          <w:tcPr>
            <w:tcW w:w="54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$27.9 million of additional borrowing on our Australia and New Zealand credit facilities;</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309" w:name="TAB1501"/>
      <w:bookmarkEnd w:id="1309"/>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310" w:name="list174"/>
      <w:bookmarkStart w:id="1311" w:name="list174"/>
      <w:bookmarkEnd w:id="131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$57.6 million of cash used to retire bank indebtedness which primarily includes $34.4 million (NZ$50.0 million) to pay off our New Zealand term debt, $5.8 million (AUS$7.4 million) to retire a portion of our bank indebtedness in Australia, $3.1 million to pay off our margin account on marketable securities, $12.1 million (NZ$15.7 million) to pay down our New Zealand Westpac line of credit in August 2007, and $1.7 million for the final balloon payment on the Royal George Theater Term Loan;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12" w:name="list175"/>
      <w:bookmarkStart w:id="1313" w:name="list175"/>
      <w:bookmarkEnd w:id="1313"/>
    </w:p>
    <w:tbl>
      <w:tblPr>
        <w:tblW w:w="5000" w:type="pct"/>
        <w:jc w:val="left"/>
        <w:tblInd w:w="0" w:type="dxa"/>
        <w:tblCellMar>
          <w:top w:w="0" w:type="dxa"/>
          <w:left w:w="0" w:type="dxa"/>
          <w:bottom w:w="0" w:type="dxa"/>
          <w:right w:w="0" w:type="dxa"/>
        </w:tblCellMar>
      </w:tblPr>
      <w:tblGrid>
        <w:gridCol w:w="715"/>
        <w:gridCol w:w="9490"/>
      </w:tblGrid>
      <w:tr>
        <w:trPr/>
        <w:tc>
          <w:tcPr>
            <w:tcW w:w="71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$3.9 million in distributions to holders of noncontrolling interests.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Future Liquidity and Capital Resources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we have sufficient borrowing capacity to meet our short-term working capital requirements.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past 24 months, we have put into place several measures that have already had a positive effect on our overall liquidity, including: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314" w:name="list176"/>
      <w:bookmarkStart w:id="1315" w:name="list176"/>
      <w:bookmarkEnd w:id="131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paydown of our corporate borrowing facilities by $34.4 million ($12.2 million after currency effects) from December 31, 2008 resulting in a reduction in our debt to EBITDA ratio from 12.2 at December 31, 2008 to 6.0 at December 31, 2009.</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16" w:name="list177"/>
      <w:bookmarkStart w:id="1317" w:name="list177"/>
      <w:bookmarkEnd w:id="131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obtained a 90-day extension on our $6.9 million U.S. Union Square Theater term loan from our existing lender through April 1, 2010.  We are close to signing a new 5-year term loan on this property for a similar principal amount.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18" w:name="list178"/>
      <w:bookmarkStart w:id="1319" w:name="list178"/>
      <w:bookmarkEnd w:id="131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are in negotiations with the principal of Sutton Hill Capital to restructure the two notes aggregating $14.0 million and potentially extend the payment terms.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20" w:name="list179"/>
      <w:bookmarkStart w:id="1321" w:name="list179"/>
      <w:bookmarkEnd w:id="132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2009, we took advantage of current market illiquidity for securities such as our TPS to repurchase and retire $22.9 million of those securities for $11.5 million.  Additionally, on December 31, 2008, we secured a waiver of all financial covenants with respect to our TPS for a period of nine years, in consideration of the payment of $1.6 million, consisting of an initial payment of $1.1 million and a contractual obligation to pay $270,000 in December 2011 and $270,000 in December 2014.  In the event that these payments are not made, the only remedy is the termination of the waiver.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22" w:name="list180"/>
      <w:bookmarkStart w:id="1323" w:name="list180"/>
      <w:bookmarkEnd w:id="132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part of the Consolidated Entertainment acquisition, we secured bank financing of $50.0 million and seller financing of $21.0 million.  We have paid down $17.3 million of the bank financing since inception and decreased the seller’s note associated with the acquisition by $6.5 million.  Aside from the acquisition, we drew down on a seller’s line of credit of $4.5 million.  Built into the purchase agreement of the acquisition are reductions in the seller’s note based on certain operational results and other criteria that may result in no balance or interest being owed to the seller.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324" w:name="PGBRK47"/>
      <w:bookmarkStart w:id="1325" w:name="PGBRK47"/>
      <w:bookmarkEnd w:id="1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326" w:name="FTR47"/>
      <w:bookmarkStart w:id="1327" w:name="FTR47"/>
      <w:bookmarkEnd w:id="1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328" w:name="GLFTR47"/>
      <w:bookmarkEnd w:id="13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29" w:name="PN47"/>
      <w:bookmarkEnd w:id="1329"/>
      <w:r>
        <w:rPr>
          <w:rFonts w:ascii="Times New Roman" w:hAnsi="Times New Roman"/>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330" w:name="HDR47"/>
      <w:bookmarkStart w:id="1331" w:name="HDR47"/>
      <w:bookmarkEnd w:id="1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ableofcontents">
        <w:bookmarkStart w:id="1332" w:name="GLHDR47"/>
        <w:bookmarkEnd w:id="13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333" w:name="list181"/>
      <w:bookmarkStart w:id="1334" w:name="list181"/>
      <w:bookmarkEnd w:id="133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March 17, 2008, we entered into a $7.1 million loan agreement with a financial institution, secured by our Royal George Theatre in Chicago, Illinois and our Minetta Lane Theatre and Orpheum Theatre in New York.  The loan agreement requires only monthly principal and interest payments along with self-reported annual financial statements.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Potential uses for funds during 2010 that would reduce our liquidity, other than those relating to working capital needs and debt service requirements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335" w:name="list182"/>
      <w:bookmarkStart w:id="1336" w:name="list182"/>
      <w:bookmarkEnd w:id="1336"/>
    </w:p>
    <w:tbl>
      <w:tblPr>
        <w:tblW w:w="5000" w:type="pct"/>
        <w:jc w:val="left"/>
        <w:tblInd w:w="0" w:type="dxa"/>
        <w:tblCellMar>
          <w:top w:w="0" w:type="dxa"/>
          <w:left w:w="0" w:type="dxa"/>
          <w:bottom w:w="0" w:type="dxa"/>
          <w:right w:w="0" w:type="dxa"/>
        </w:tblCellMar>
      </w:tblPr>
      <w:tblGrid>
        <w:gridCol w:w="1225"/>
        <w:gridCol w:w="8980"/>
      </w:tblGrid>
      <w:tr>
        <w:trPr/>
        <w:tc>
          <w:tcPr>
            <w:tcW w:w="122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Fit out/deposit for Mosaic Angelika;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37" w:name="list183"/>
      <w:bookmarkStart w:id="1338" w:name="list183"/>
      <w:bookmarkEnd w:id="1338"/>
    </w:p>
    <w:tbl>
      <w:tblPr>
        <w:tblW w:w="5000" w:type="pct"/>
        <w:jc w:val="left"/>
        <w:tblInd w:w="0" w:type="dxa"/>
        <w:tblCellMar>
          <w:top w:w="0" w:type="dxa"/>
          <w:left w:w="0" w:type="dxa"/>
          <w:bottom w:w="0" w:type="dxa"/>
          <w:right w:w="0" w:type="dxa"/>
        </w:tblCellMar>
      </w:tblPr>
      <w:tblGrid>
        <w:gridCol w:w="574"/>
        <w:gridCol w:w="9631"/>
      </w:tblGrid>
      <w:tr>
        <w:trPr/>
        <w:tc>
          <w:tcPr>
            <w:tcW w:w="57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securing digital and digital 3D projectors for selective sites in our worldwide circuit;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39" w:name="list184"/>
      <w:bookmarkStart w:id="1340" w:name="list184"/>
      <w:bookmarkEnd w:id="1340"/>
    </w:p>
    <w:tbl>
      <w:tblPr>
        <w:tblW w:w="5000" w:type="pct"/>
        <w:jc w:val="left"/>
        <w:tblInd w:w="0" w:type="dxa"/>
        <w:tblCellMar>
          <w:top w:w="0" w:type="dxa"/>
          <w:left w:w="0" w:type="dxa"/>
          <w:bottom w:w="0" w:type="dxa"/>
          <w:right w:w="0" w:type="dxa"/>
        </w:tblCellMar>
      </w:tblPr>
      <w:tblGrid>
        <w:gridCol w:w="618"/>
        <w:gridCol w:w="9587"/>
      </w:tblGrid>
      <w:tr>
        <w:trPr/>
        <w:tc>
          <w:tcPr>
            <w:tcW w:w="61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selective development of our currently held for development projects;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41" w:name="list185"/>
      <w:bookmarkStart w:id="1342" w:name="list185"/>
      <w:bookmarkEnd w:id="1342"/>
    </w:p>
    <w:tbl>
      <w:tblPr>
        <w:tblW w:w="5000" w:type="pct"/>
        <w:jc w:val="left"/>
        <w:tblInd w:w="0" w:type="dxa"/>
        <w:tblCellMar>
          <w:top w:w="0" w:type="dxa"/>
          <w:left w:w="0" w:type="dxa"/>
          <w:bottom w:w="0" w:type="dxa"/>
          <w:right w:w="0" w:type="dxa"/>
        </w:tblCellMar>
      </w:tblPr>
      <w:tblGrid>
        <w:gridCol w:w="444"/>
        <w:gridCol w:w="9761"/>
      </w:tblGrid>
      <w:tr>
        <w:trPr/>
        <w:tc>
          <w:tcPr>
            <w:tcW w:w="44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acquisition of assets with proven cash flow that we believe to be resistant to the current recessionary trends.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Based upon the current levels of the consolidated operations, further anticipated cost savings and future growth, we believe our cash flow from operations, together with both the existing and anticipated lines-of-credit and other sources of liquidity (including future potential asset sales) will be adequate to meet our anticipated requirements for interest payments and short-term debt maturities plus any other debt service obligations, working capital, capital expenditures and other operating needs.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late February 2007, it became apparent that our cost estimates with respect to the Burwood site preparation were low, as the extent of the contaminated soil present at the site – a former brickworks – was greater than we had originally believed.  Our estimated cost of $600.0 million included approximately $1.6 million (AUS$1.8 million) of estimated cost to remove the contaminated soil.  As we were not the source of this contamination, we are not currently under any legal obligation to remove this contaminated soil from the site.  However, as a practical matter, we intend to address these issues in connection with our planned redevelopment of this site as a mixed-use retail, entertainment, commercial and residential complex.  As of December 31, 2009, we estimate that the total site preparation costs associated with the removal of this contaminated soil will be $8.6 million (AUS$9.6 million) and as of that date we had incurred a total of $6.6 million (AUS$7.4 million) of these costs.  In accordance with Financial Accounting Standards Board (“FASB”) Accounting Standards Codification (“ASC”) 410-30-25 – </w:t>
      </w:r>
      <w:r>
        <w:rPr>
          <w:rFonts w:ascii="Times New Roman" w:hAnsi="Times New Roman"/>
          <w:i/>
          <w:sz w:val="20"/>
        </w:rPr>
        <w:t>Environmental Obligations</w:t>
      </w:r>
      <w:r>
        <w:rPr>
          <w:rFonts w:ascii="Times New Roman" w:hAnsi="Times New Roman"/>
          <w:sz w:val="20"/>
        </w:rPr>
        <w:t xml:space="preserve"> contamination clean up costs that improve the property from its original acquisition state are capitalized as part of the property’s overall development costs.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 and other factors, such as access to first-run films, many of which are beyond our control.  If our cash flow from operations and/or proceeds from anticipated borrowings should prove to be insufficient to meet our funding needs, our current intention is either: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343" w:name="list186"/>
      <w:bookmarkStart w:id="1344" w:name="list186"/>
      <w:bookmarkEnd w:id="1344"/>
    </w:p>
    <w:tbl>
      <w:tblPr>
        <w:tblW w:w="5000" w:type="pct"/>
        <w:jc w:val="left"/>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defer construction of projects currently slated for land presently owned by us;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45" w:name="list187"/>
      <w:bookmarkStart w:id="1346" w:name="list187"/>
      <w:bookmarkEnd w:id="1346"/>
    </w:p>
    <w:tbl>
      <w:tblPr>
        <w:tblW w:w="5000" w:type="pct"/>
        <w:jc w:val="left"/>
        <w:tblInd w:w="0" w:type="dxa"/>
        <w:tblCellMar>
          <w:top w:w="0" w:type="dxa"/>
          <w:left w:w="0" w:type="dxa"/>
          <w:bottom w:w="0" w:type="dxa"/>
          <w:right w:w="0" w:type="dxa"/>
        </w:tblCellMar>
      </w:tblPr>
      <w:tblGrid>
        <w:gridCol w:w="587"/>
        <w:gridCol w:w="9618"/>
      </w:tblGrid>
      <w:tr>
        <w:trPr/>
        <w:tc>
          <w:tcPr>
            <w:tcW w:w="58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take on joint venture partners with respect to such development projects; and/or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47" w:name="list188"/>
      <w:bookmarkStart w:id="1348" w:name="list188"/>
      <w:bookmarkEnd w:id="1348"/>
    </w:p>
    <w:tbl>
      <w:tblPr>
        <w:tblW w:w="5000" w:type="pct"/>
        <w:jc w:val="left"/>
        <w:tblInd w:w="0" w:type="dxa"/>
        <w:tblCellMar>
          <w:top w:w="0" w:type="dxa"/>
          <w:left w:w="0" w:type="dxa"/>
          <w:bottom w:w="0" w:type="dxa"/>
          <w:right w:w="0" w:type="dxa"/>
        </w:tblCellMar>
      </w:tblPr>
      <w:tblGrid>
        <w:gridCol w:w="2798"/>
        <w:gridCol w:w="7407"/>
      </w:tblGrid>
      <w:tr>
        <w:trPr/>
        <w:tc>
          <w:tcPr>
            <w:tcW w:w="279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74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sell assets.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49" w:name="PGBRK48"/>
      <w:bookmarkStart w:id="1350" w:name="PGBRK48"/>
      <w:bookmarkEnd w:id="1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1" w:name="FTR48"/>
      <w:bookmarkStart w:id="1352" w:name="FTR48"/>
      <w:bookmarkEnd w:id="1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53" w:name="GLFTR48"/>
      <w:bookmarkEnd w:id="13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54" w:name="PN48"/>
      <w:bookmarkEnd w:id="1354"/>
      <w:r>
        <w:rPr>
          <w:rFonts w:ascii="Times New Roman" w:hAnsi="Times New Roman"/>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5" w:name="HDR48"/>
      <w:bookmarkStart w:id="1356" w:name="HDR48"/>
      <w:bookmarkEnd w:id="1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357" w:name="GLHDR48"/>
        <w:bookmarkEnd w:id="135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Contractual Obligations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provides information with respect to the maturities and scheduled principal repayments of our secured debt and lease obligations at December 31, 2009 (in thousands):</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1426"/>
        <w:gridCol w:w="95"/>
        <w:gridCol w:w="133"/>
        <w:gridCol w:w="892"/>
        <w:gridCol w:w="95"/>
        <w:gridCol w:w="95"/>
        <w:gridCol w:w="133"/>
        <w:gridCol w:w="952"/>
        <w:gridCol w:w="95"/>
        <w:gridCol w:w="95"/>
        <w:gridCol w:w="133"/>
        <w:gridCol w:w="892"/>
        <w:gridCol w:w="95"/>
        <w:gridCol w:w="95"/>
        <w:gridCol w:w="133"/>
        <w:gridCol w:w="892"/>
        <w:gridCol w:w="95"/>
        <w:gridCol w:w="95"/>
        <w:gridCol w:w="133"/>
        <w:gridCol w:w="892"/>
        <w:gridCol w:w="95"/>
        <w:gridCol w:w="95"/>
        <w:gridCol w:w="142"/>
        <w:gridCol w:w="1008"/>
        <w:gridCol w:w="95"/>
        <w:gridCol w:w="95"/>
        <w:gridCol w:w="133"/>
        <w:gridCol w:w="952"/>
        <w:gridCol w:w="124"/>
      </w:tblGrid>
      <w:tr>
        <w:trPr/>
        <w:tc>
          <w:tcPr>
            <w:tcW w:w="1426" w:type="dxa"/>
            <w:tcBorders>
              <w:bottom w:val="double" w:sz="8" w:space="0" w:color="000000"/>
            </w:tcBorders>
            <w:shd w:fill="auto" w:val="clear"/>
            <w:vAlign w:val="bottom"/>
          </w:tcPr>
          <w:p>
            <w:pPr>
              <w:pStyle w:val="TableContents"/>
              <w:spacing w:before="0" w:after="283"/>
              <w:rPr/>
            </w:pPr>
            <w:r>
              <w:rPr/>
              <w:t xml:space="preserve">  </w:t>
            </w:r>
          </w:p>
        </w:tc>
        <w:tc>
          <w:tcPr>
            <w:tcW w:w="95" w:type="dxa"/>
            <w:tcBorders/>
            <w:shd w:fill="auto" w:val="clear"/>
            <w:tcMar>
              <w:bottom w:w="0" w:type="dxa"/>
            </w:tcMar>
            <w:vAlign w:val="bottom"/>
          </w:tcPr>
          <w:p>
            <w:pPr>
              <w:pStyle w:val="TableContents"/>
              <w:spacing w:before="0" w:after="283"/>
              <w:rPr/>
            </w:pPr>
            <w:r>
              <w:rPr/>
              <w:t> </w:t>
            </w:r>
          </w:p>
        </w:tc>
        <w:tc>
          <w:tcPr>
            <w:tcW w:w="102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95" w:type="dxa"/>
            <w:tcBorders/>
            <w:shd w:fill="auto" w:val="clear"/>
            <w:tcMar>
              <w:bottom w:w="0" w:type="dxa"/>
            </w:tcMar>
            <w:vAlign w:val="bottom"/>
          </w:tcPr>
          <w:p>
            <w:pPr>
              <w:pStyle w:val="TableContents"/>
              <w:spacing w:before="0" w:after="283"/>
              <w:jc w:val="left"/>
              <w:rPr/>
            </w:pPr>
            <w:r>
              <w:rPr/>
              <w:t> </w:t>
            </w:r>
          </w:p>
        </w:tc>
        <w:tc>
          <w:tcPr>
            <w:tcW w:w="95" w:type="dxa"/>
            <w:tcBorders/>
            <w:shd w:fill="auto" w:val="clear"/>
            <w:tcMar>
              <w:bottom w:w="0" w:type="dxa"/>
            </w:tcMar>
            <w:vAlign w:val="bottom"/>
          </w:tcPr>
          <w:p>
            <w:pPr>
              <w:pStyle w:val="TableContents"/>
              <w:spacing w:before="0" w:after="283"/>
              <w:rPr/>
            </w:pPr>
            <w:r>
              <w:rPr/>
              <w:t> </w:t>
            </w:r>
          </w:p>
        </w:tc>
        <w:tc>
          <w:tcPr>
            <w:tcW w:w="108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95" w:type="dxa"/>
            <w:tcBorders/>
            <w:shd w:fill="auto" w:val="clear"/>
            <w:tcMar>
              <w:bottom w:w="0" w:type="dxa"/>
            </w:tcMar>
            <w:vAlign w:val="bottom"/>
          </w:tcPr>
          <w:p>
            <w:pPr>
              <w:pStyle w:val="TableContents"/>
              <w:spacing w:before="0" w:after="283"/>
              <w:jc w:val="left"/>
              <w:rPr/>
            </w:pPr>
            <w:r>
              <w:rPr/>
              <w:t> </w:t>
            </w:r>
          </w:p>
        </w:tc>
        <w:tc>
          <w:tcPr>
            <w:tcW w:w="95" w:type="dxa"/>
            <w:tcBorders/>
            <w:shd w:fill="auto" w:val="clear"/>
            <w:tcMar>
              <w:bottom w:w="0" w:type="dxa"/>
            </w:tcMar>
            <w:vAlign w:val="bottom"/>
          </w:tcPr>
          <w:p>
            <w:pPr>
              <w:pStyle w:val="TableContents"/>
              <w:spacing w:before="0" w:after="283"/>
              <w:rPr/>
            </w:pPr>
            <w:r>
              <w:rPr/>
              <w:t> </w:t>
            </w:r>
          </w:p>
        </w:tc>
        <w:tc>
          <w:tcPr>
            <w:tcW w:w="102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95" w:type="dxa"/>
            <w:tcBorders/>
            <w:shd w:fill="auto" w:val="clear"/>
            <w:tcMar>
              <w:bottom w:w="0" w:type="dxa"/>
            </w:tcMar>
            <w:vAlign w:val="bottom"/>
          </w:tcPr>
          <w:p>
            <w:pPr>
              <w:pStyle w:val="TableContents"/>
              <w:spacing w:before="0" w:after="283"/>
              <w:jc w:val="left"/>
              <w:rPr/>
            </w:pPr>
            <w:r>
              <w:rPr/>
              <w:t> </w:t>
            </w:r>
          </w:p>
        </w:tc>
        <w:tc>
          <w:tcPr>
            <w:tcW w:w="95" w:type="dxa"/>
            <w:tcBorders/>
            <w:shd w:fill="auto" w:val="clear"/>
            <w:tcMar>
              <w:bottom w:w="0" w:type="dxa"/>
            </w:tcMar>
            <w:vAlign w:val="bottom"/>
          </w:tcPr>
          <w:p>
            <w:pPr>
              <w:pStyle w:val="TableContents"/>
              <w:spacing w:before="0" w:after="283"/>
              <w:rPr/>
            </w:pPr>
            <w:r>
              <w:rPr/>
              <w:t> </w:t>
            </w:r>
          </w:p>
        </w:tc>
        <w:tc>
          <w:tcPr>
            <w:tcW w:w="102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95" w:type="dxa"/>
            <w:tcBorders/>
            <w:shd w:fill="auto" w:val="clear"/>
            <w:tcMar>
              <w:bottom w:w="0" w:type="dxa"/>
            </w:tcMar>
            <w:vAlign w:val="bottom"/>
          </w:tcPr>
          <w:p>
            <w:pPr>
              <w:pStyle w:val="TableContents"/>
              <w:spacing w:before="0" w:after="283"/>
              <w:jc w:val="left"/>
              <w:rPr/>
            </w:pPr>
            <w:r>
              <w:rPr/>
              <w:t> </w:t>
            </w:r>
          </w:p>
        </w:tc>
        <w:tc>
          <w:tcPr>
            <w:tcW w:w="95" w:type="dxa"/>
            <w:tcBorders/>
            <w:shd w:fill="auto" w:val="clear"/>
            <w:tcMar>
              <w:bottom w:w="0" w:type="dxa"/>
            </w:tcMar>
            <w:vAlign w:val="bottom"/>
          </w:tcPr>
          <w:p>
            <w:pPr>
              <w:pStyle w:val="TableContents"/>
              <w:spacing w:before="0" w:after="283"/>
              <w:rPr/>
            </w:pPr>
            <w:r>
              <w:rPr/>
              <w:t> </w:t>
            </w:r>
          </w:p>
        </w:tc>
        <w:tc>
          <w:tcPr>
            <w:tcW w:w="102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2014</w:t>
            </w:r>
          </w:p>
        </w:tc>
        <w:tc>
          <w:tcPr>
            <w:tcW w:w="95" w:type="dxa"/>
            <w:tcBorders/>
            <w:shd w:fill="auto" w:val="clear"/>
            <w:tcMar>
              <w:bottom w:w="0" w:type="dxa"/>
            </w:tcMar>
            <w:vAlign w:val="bottom"/>
          </w:tcPr>
          <w:p>
            <w:pPr>
              <w:pStyle w:val="TableContents"/>
              <w:spacing w:before="0" w:after="283"/>
              <w:jc w:val="left"/>
              <w:rPr/>
            </w:pPr>
            <w:r>
              <w:rPr/>
              <w:t> </w:t>
            </w:r>
          </w:p>
        </w:tc>
        <w:tc>
          <w:tcPr>
            <w:tcW w:w="95" w:type="dxa"/>
            <w:tcBorders/>
            <w:shd w:fill="auto" w:val="clear"/>
            <w:tcMar>
              <w:bottom w:w="0" w:type="dxa"/>
            </w:tcMar>
            <w:vAlign w:val="bottom"/>
          </w:tcPr>
          <w:p>
            <w:pPr>
              <w:pStyle w:val="TableContents"/>
              <w:spacing w:before="0" w:after="283"/>
              <w:rPr/>
            </w:pPr>
            <w:r>
              <w:rPr/>
              <w:t> </w:t>
            </w:r>
          </w:p>
        </w:tc>
        <w:tc>
          <w:tcPr>
            <w:tcW w:w="115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Thereafter</w:t>
            </w:r>
          </w:p>
        </w:tc>
        <w:tc>
          <w:tcPr>
            <w:tcW w:w="95" w:type="dxa"/>
            <w:tcBorders/>
            <w:shd w:fill="auto" w:val="clear"/>
            <w:tcMar>
              <w:bottom w:w="0" w:type="dxa"/>
            </w:tcMar>
            <w:vAlign w:val="bottom"/>
          </w:tcPr>
          <w:p>
            <w:pPr>
              <w:pStyle w:val="TableContents"/>
              <w:spacing w:before="0" w:after="283"/>
              <w:jc w:val="left"/>
              <w:rPr/>
            </w:pPr>
            <w:r>
              <w:rPr/>
              <w:t> </w:t>
            </w:r>
          </w:p>
        </w:tc>
        <w:tc>
          <w:tcPr>
            <w:tcW w:w="95" w:type="dxa"/>
            <w:tcBorders/>
            <w:shd w:fill="auto" w:val="clear"/>
            <w:tcMar>
              <w:bottom w:w="0" w:type="dxa"/>
            </w:tcMar>
            <w:vAlign w:val="bottom"/>
          </w:tcPr>
          <w:p>
            <w:pPr>
              <w:pStyle w:val="TableContents"/>
              <w:spacing w:before="0" w:after="283"/>
              <w:rPr/>
            </w:pPr>
            <w:r>
              <w:rPr/>
              <w:t> </w:t>
            </w:r>
          </w:p>
        </w:tc>
        <w:tc>
          <w:tcPr>
            <w:tcW w:w="108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4" w:type="dxa"/>
            <w:tcBorders/>
            <w:shd w:fill="auto" w:val="clear"/>
            <w:tcMar>
              <w:bottom w:w="0" w:type="dxa"/>
            </w:tcMar>
            <w:vAlign w:val="bottom"/>
          </w:tcPr>
          <w:p>
            <w:pPr>
              <w:pStyle w:val="TableContents"/>
              <w:spacing w:before="0" w:after="283"/>
              <w:jc w:val="left"/>
              <w:rPr/>
            </w:pPr>
            <w:r>
              <w:rPr/>
              <w:t> </w:t>
            </w:r>
          </w:p>
        </w:tc>
      </w:tr>
      <w:tr>
        <w:trPr/>
        <w:tc>
          <w:tcPr>
            <w:tcW w:w="1426" w:type="dxa"/>
            <w:tcBorders/>
            <w:shd w:fill="CCEE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Long-term debt</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2"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358" w:name="TAB1502"/>
            <w:bookmarkEnd w:id="1358"/>
            <w:r>
              <w:rPr>
                <w:rFonts w:ascii="times new roman" w:hAnsi="times new roman"/>
                <w:sz w:val="20"/>
              </w:rPr>
              <w:t>7,914</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359" w:name="TAB1503"/>
            <w:bookmarkEnd w:id="1359"/>
            <w:r>
              <w:rPr>
                <w:rFonts w:ascii="times new roman" w:hAnsi="times new roman"/>
                <w:sz w:val="20"/>
              </w:rPr>
              <w:t>94,929</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2"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360" w:name="TAB1504"/>
            <w:bookmarkEnd w:id="1360"/>
            <w:r>
              <w:rPr>
                <w:rFonts w:ascii="times new roman" w:hAnsi="times new roman"/>
                <w:sz w:val="20"/>
              </w:rPr>
              <w:t>26,625</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2"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361" w:name="TAB1505"/>
            <w:bookmarkEnd w:id="1361"/>
            <w:r>
              <w:rPr>
                <w:rFonts w:ascii="times new roman" w:hAnsi="times new roman"/>
                <w:sz w:val="20"/>
              </w:rPr>
              <w:t>55,522</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2"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362" w:name="TAB1506"/>
            <w:bookmarkEnd w:id="1362"/>
            <w:r>
              <w:rPr>
                <w:rFonts w:ascii="times new roman" w:hAnsi="times new roman"/>
                <w:sz w:val="20"/>
              </w:rPr>
              <w:t>90</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363" w:name="TAB1507"/>
            <w:bookmarkEnd w:id="1363"/>
            <w:r>
              <w:rPr>
                <w:rFonts w:ascii="times new roman" w:hAnsi="times new roman"/>
                <w:sz w:val="20"/>
              </w:rPr>
              <w:t>--</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shd w:fill="CCEEFF" w:val="clear"/>
            <w:tcMar>
              <w:bottom w:w="0" w:type="dxa"/>
            </w:tcMar>
            <w:vAlign w:val="bottom"/>
          </w:tcPr>
          <w:p>
            <w:pPr>
              <w:pStyle w:val="TableContents"/>
              <w:spacing w:before="0" w:after="283"/>
              <w:ind w:left="90" w:right="0" w:hanging="0"/>
              <w:jc w:val="right"/>
              <w:rPr>
                <w:rFonts w:ascii="times new roman" w:hAnsi="times new roman"/>
                <w:sz w:val="20"/>
              </w:rPr>
            </w:pPr>
            <w:bookmarkStart w:id="1364" w:name="TAB1508"/>
            <w:bookmarkEnd w:id="1364"/>
            <w:r>
              <w:rPr>
                <w:rFonts w:ascii="times new roman" w:hAnsi="times new roman"/>
                <w:sz w:val="20"/>
              </w:rPr>
              <w:t>185,080</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1426" w:type="dxa"/>
            <w:tcBorders/>
            <w:shd w:fill="FFFF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Long-term debt to related parties</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8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9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8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8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8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0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9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1426" w:type="dxa"/>
            <w:tcBorders/>
            <w:shd w:fill="CCEE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Subordinated notes</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9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0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9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1426" w:type="dxa"/>
            <w:tcBorders/>
            <w:shd w:fill="FFFF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Pension liability</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8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9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8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8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8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0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3,795</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9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3,912</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1426" w:type="dxa"/>
            <w:tcBorders/>
            <w:shd w:fill="CCEE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Lease obligations</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25,550</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9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24,971</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23,495</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21,143</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18,267</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0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64,138</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9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177,564</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1426" w:type="dxa"/>
            <w:tcBorders>
              <w:bottom w:val="single" w:sz="12" w:space="0" w:color="000000"/>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Interest on long-term debt</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bottom w:val="single" w:sz="12" w:space="0" w:color="000000"/>
            </w:tcBorders>
            <w:shd w:fill="FFFFFF" w:val="clear"/>
            <w:vAlign w:val="bottom"/>
          </w:tcPr>
          <w:p>
            <w:pPr>
              <w:pStyle w:val="TableContents"/>
              <w:spacing w:before="0" w:after="283"/>
              <w:jc w:val="left"/>
              <w:rPr/>
            </w:pPr>
            <w:r>
              <w:rPr/>
              <w:t> </w:t>
            </w:r>
          </w:p>
        </w:tc>
        <w:tc>
          <w:tcPr>
            <w:tcW w:w="8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12,878</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bottom w:val="single" w:sz="12" w:space="0" w:color="000000"/>
            </w:tcBorders>
            <w:shd w:fill="FFFFFF" w:val="clear"/>
            <w:vAlign w:val="bottom"/>
          </w:tcPr>
          <w:p>
            <w:pPr>
              <w:pStyle w:val="TableContents"/>
              <w:spacing w:before="0" w:after="283"/>
              <w:jc w:val="left"/>
              <w:rPr/>
            </w:pPr>
            <w:r>
              <w:rPr/>
              <w:t> </w:t>
            </w:r>
          </w:p>
        </w:tc>
        <w:tc>
          <w:tcPr>
            <w:tcW w:w="95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11,191</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bottom w:val="single" w:sz="12" w:space="0" w:color="000000"/>
            </w:tcBorders>
            <w:shd w:fill="FFFFFF" w:val="clear"/>
            <w:vAlign w:val="bottom"/>
          </w:tcPr>
          <w:p>
            <w:pPr>
              <w:pStyle w:val="TableContents"/>
              <w:spacing w:before="0" w:after="283"/>
              <w:jc w:val="left"/>
              <w:rPr/>
            </w:pPr>
            <w:r>
              <w:rPr/>
              <w:t> </w:t>
            </w:r>
          </w:p>
        </w:tc>
        <w:tc>
          <w:tcPr>
            <w:tcW w:w="8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4,898</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bottom w:val="single" w:sz="12" w:space="0" w:color="000000"/>
            </w:tcBorders>
            <w:shd w:fill="FFFFFF" w:val="clear"/>
            <w:vAlign w:val="bottom"/>
          </w:tcPr>
          <w:p>
            <w:pPr>
              <w:pStyle w:val="TableContents"/>
              <w:spacing w:before="0" w:after="283"/>
              <w:jc w:val="left"/>
              <w:rPr/>
            </w:pPr>
            <w:r>
              <w:rPr/>
              <w:t> </w:t>
            </w:r>
          </w:p>
        </w:tc>
        <w:tc>
          <w:tcPr>
            <w:tcW w:w="8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1,650</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bottom w:val="single" w:sz="12" w:space="0" w:color="000000"/>
            </w:tcBorders>
            <w:shd w:fill="FFFFFF" w:val="clear"/>
            <w:vAlign w:val="bottom"/>
          </w:tcPr>
          <w:p>
            <w:pPr>
              <w:pStyle w:val="TableContents"/>
              <w:spacing w:before="0" w:after="283"/>
              <w:jc w:val="left"/>
              <w:rPr/>
            </w:pPr>
            <w:r>
              <w:rPr/>
              <w:t> </w:t>
            </w:r>
          </w:p>
        </w:tc>
        <w:tc>
          <w:tcPr>
            <w:tcW w:w="8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1,143</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42" w:type="dxa"/>
            <w:tcBorders>
              <w:bottom w:val="single" w:sz="12" w:space="0" w:color="000000"/>
            </w:tcBorders>
            <w:shd w:fill="FFFFFF" w:val="clear"/>
            <w:vAlign w:val="bottom"/>
          </w:tcPr>
          <w:p>
            <w:pPr>
              <w:pStyle w:val="TableContents"/>
              <w:spacing w:before="0" w:after="283"/>
              <w:jc w:val="left"/>
              <w:rPr/>
            </w:pPr>
            <w:r>
              <w:rPr/>
              <w:t> </w:t>
            </w:r>
          </w:p>
        </w:tc>
        <w:tc>
          <w:tcPr>
            <w:tcW w:w="100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14,634</w:t>
            </w:r>
          </w:p>
        </w:tc>
        <w:tc>
          <w:tcPr>
            <w:tcW w:w="95" w:type="dxa"/>
            <w:tcBorders/>
            <w:shd w:fill="FFFFFF" w:val="clear"/>
            <w:tcMar>
              <w:bottom w:w="0" w:type="dxa"/>
            </w:tcMar>
            <w:vAlign w:val="bottom"/>
          </w:tcPr>
          <w:p>
            <w:pPr>
              <w:pStyle w:val="TableContents"/>
              <w:spacing w:before="0" w:after="283"/>
              <w:jc w:val="left"/>
              <w:rPr/>
            </w:pPr>
            <w:r>
              <w:rPr/>
              <w:t> </w:t>
            </w:r>
          </w:p>
        </w:tc>
        <w:tc>
          <w:tcPr>
            <w:tcW w:w="95" w:type="dxa"/>
            <w:tcBorders/>
            <w:shd w:fill="FFFFFF" w:val="clear"/>
            <w:tcMar>
              <w:bottom w:w="0" w:type="dxa"/>
            </w:tcMar>
            <w:vAlign w:val="bottom"/>
          </w:tcPr>
          <w:p>
            <w:pPr>
              <w:pStyle w:val="TableContents"/>
              <w:spacing w:before="0" w:after="283"/>
              <w:jc w:val="left"/>
              <w:rPr/>
            </w:pPr>
            <w:r>
              <w:rPr/>
              <w:t> </w:t>
            </w:r>
          </w:p>
        </w:tc>
        <w:tc>
          <w:tcPr>
            <w:tcW w:w="133" w:type="dxa"/>
            <w:tcBorders>
              <w:bottom w:val="single" w:sz="12" w:space="0" w:color="000000"/>
            </w:tcBorders>
            <w:shd w:fill="FFFFFF" w:val="clear"/>
            <w:vAlign w:val="bottom"/>
          </w:tcPr>
          <w:p>
            <w:pPr>
              <w:pStyle w:val="TableContents"/>
              <w:spacing w:before="0" w:after="283"/>
              <w:jc w:val="left"/>
              <w:rPr/>
            </w:pPr>
            <w:r>
              <w:rPr/>
              <w:t> </w:t>
            </w:r>
          </w:p>
        </w:tc>
        <w:tc>
          <w:tcPr>
            <w:tcW w:w="95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46,394</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1426" w:type="dxa"/>
            <w:tcBorders>
              <w:bottom w:val="double" w:sz="8" w:space="0" w:color="000000"/>
            </w:tcBorders>
            <w:shd w:fill="CCEEFF" w:val="clear"/>
            <w:vAlign w:val="bottom"/>
          </w:tcPr>
          <w:p>
            <w:pPr>
              <w:pStyle w:val="TableContents"/>
              <w:spacing w:before="0" w:after="0"/>
              <w:ind w:left="900" w:right="0" w:hanging="360"/>
              <w:jc w:val="left"/>
              <w:rPr>
                <w:rFonts w:ascii="times new roman" w:hAnsi="times new roman"/>
                <w:sz w:val="20"/>
              </w:rPr>
            </w:pPr>
            <w:r>
              <w:rPr>
                <w:rFonts w:ascii="times new roman" w:hAnsi="times new roman"/>
                <w:sz w:val="20"/>
              </w:rPr>
              <w:t>Total</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2"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365" w:name="TAB1509"/>
            <w:bookmarkEnd w:id="1365"/>
            <w:r>
              <w:rPr>
                <w:rFonts w:ascii="times new roman" w:hAnsi="times new roman"/>
                <w:sz w:val="20"/>
              </w:rPr>
              <w:t>60,349</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bottom w:val="double" w:sz="8" w:space="0" w:color="000000"/>
            </w:tcBorders>
            <w:shd w:fill="CCEEFF" w:val="clear"/>
            <w:vAlign w:val="bottom"/>
          </w:tcPr>
          <w:p>
            <w:pPr>
              <w:pStyle w:val="TableContents"/>
              <w:spacing w:before="0" w:after="283"/>
              <w:ind w:left="79" w:right="0" w:hanging="0"/>
              <w:jc w:val="right"/>
              <w:rPr>
                <w:rFonts w:ascii="times new roman" w:hAnsi="times new roman"/>
                <w:sz w:val="20"/>
              </w:rPr>
            </w:pPr>
            <w:bookmarkStart w:id="1366" w:name="TAB1510"/>
            <w:bookmarkEnd w:id="1366"/>
            <w:r>
              <w:rPr>
                <w:rFonts w:ascii="times new roman" w:hAnsi="times new roman"/>
                <w:sz w:val="20"/>
              </w:rPr>
              <w:t>131,106</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2"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367" w:name="TAB1511"/>
            <w:bookmarkEnd w:id="1367"/>
            <w:r>
              <w:rPr>
                <w:rFonts w:ascii="times new roman" w:hAnsi="times new roman"/>
                <w:sz w:val="20"/>
              </w:rPr>
              <w:t>55,041</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2"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368" w:name="TAB1512"/>
            <w:bookmarkEnd w:id="1368"/>
            <w:r>
              <w:rPr>
                <w:rFonts w:ascii="times new roman" w:hAnsi="times new roman"/>
                <w:sz w:val="20"/>
              </w:rPr>
              <w:t>78,347</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2"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369" w:name="TAB1513"/>
            <w:bookmarkEnd w:id="1369"/>
            <w:r>
              <w:rPr>
                <w:rFonts w:ascii="times new roman" w:hAnsi="times new roman"/>
                <w:sz w:val="20"/>
              </w:rPr>
              <w:t>19,540</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42"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370" w:name="TAB1514"/>
            <w:bookmarkEnd w:id="1370"/>
            <w:r>
              <w:rPr>
                <w:rFonts w:ascii="times new roman" w:hAnsi="times new roman"/>
                <w:sz w:val="20"/>
              </w:rPr>
              <w:t>110,480</w:t>
            </w:r>
          </w:p>
        </w:tc>
        <w:tc>
          <w:tcPr>
            <w:tcW w:w="95" w:type="dxa"/>
            <w:tcBorders/>
            <w:shd w:fill="CCEEFF" w:val="clear"/>
            <w:tcMar>
              <w:bottom w:w="0" w:type="dxa"/>
            </w:tcMar>
            <w:vAlign w:val="bottom"/>
          </w:tcPr>
          <w:p>
            <w:pPr>
              <w:pStyle w:val="TableContents"/>
              <w:spacing w:before="0" w:after="283"/>
              <w:jc w:val="left"/>
              <w:rPr/>
            </w:pPr>
            <w:r>
              <w:rPr/>
              <w:t> </w:t>
            </w:r>
          </w:p>
        </w:tc>
        <w:tc>
          <w:tcPr>
            <w:tcW w:w="95" w:type="dxa"/>
            <w:tcBorders/>
            <w:shd w:fill="CCEEFF" w:val="clear"/>
            <w:tcMar>
              <w:bottom w:w="0" w:type="dxa"/>
            </w:tcMar>
            <w:vAlign w:val="bottom"/>
          </w:tcPr>
          <w:p>
            <w:pPr>
              <w:pStyle w:val="TableContents"/>
              <w:spacing w:before="0" w:after="283"/>
              <w:jc w:val="left"/>
              <w:rPr/>
            </w:pPr>
            <w:r>
              <w:rPr/>
              <w:t> </w:t>
            </w:r>
          </w:p>
        </w:tc>
        <w:tc>
          <w:tcPr>
            <w:tcW w:w="133"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371" w:name="TAB1515"/>
            <w:bookmarkEnd w:id="1371"/>
            <w:r>
              <w:rPr>
                <w:rFonts w:ascii="times new roman" w:hAnsi="times new roman"/>
                <w:sz w:val="20"/>
              </w:rPr>
              <w:t>454,863</w:t>
            </w:r>
          </w:p>
        </w:tc>
        <w:tc>
          <w:tcPr>
            <w:tcW w:w="124"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72" w:name="TAB1516"/>
      <w:bookmarkEnd w:id="1372"/>
      <w:r>
        <w:rPr>
          <w:rFonts w:ascii="Times New Roman" w:hAnsi="Times New Roman"/>
          <w:sz w:val="20"/>
        </w:rPr>
        <w:t>Estimated interest on long-term debt is based on the anticipated loan balances for future periods calculated against current fixed and variable interest rates.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adopted FASB ASC 740-10-25 – </w:t>
      </w:r>
      <w:r>
        <w:rPr>
          <w:rFonts w:ascii="Times New Roman" w:hAnsi="Times New Roman"/>
          <w:i/>
          <w:sz w:val="20"/>
        </w:rPr>
        <w:t>Income Taxes - Uncertain Tax Positions</w:t>
      </w:r>
      <w:r>
        <w:rPr>
          <w:rFonts w:ascii="Times New Roman" w:hAnsi="Times New Roman"/>
          <w:sz w:val="20"/>
        </w:rPr>
        <w:t xml:space="preserve"> on January 1, 2007.  As of adoption, the total amount of gross unrecognized tax benefits for uncertain tax positions was $12.5 million increasing to $13.7 million, to $14.5 million, and to $15.3 million as of December 31, 2007, 2008, and 2009, respectively.  We do not expect a significant tax payment related to these obligations within the 12 months.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Unconsolidated Joint Venture Debt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73" w:name="TAB1517"/>
      <w:bookmarkEnd w:id="1373"/>
      <w:r>
        <w:rPr>
          <w:rFonts w:ascii="Times New Roman" w:hAnsi="Times New Roman"/>
          <w:sz w:val="20"/>
        </w:rPr>
        <w:t>Total debt of unconsolidated joint ventures was $979,000 and $785,000 as of December 31, 2009 and December 31, 2008, respectively.  Our share of unconsolidated debt, based on our ownership percentage, was $326,000 and $261,000 as of December 31, 2009 and December 31, 2008, respectively.  This loan is guaranteed by one of our subsidiaries to the extent of our ownership percentage.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Off-Balance Sheet Arrangements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are no off-balance sheet transactions,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Financial Risk Management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internally developed risk management procedure, seeks to minimize the potentially negative effects of changes in foreign exchange rates and interest rates on the results of operations.  Our primary exposure to fluctuations in the financial markets is currently due to changes in foreign exchange rates between U.S and Australia and New Zealand, and interest rates.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74" w:name="TAB1518"/>
      <w:bookmarkEnd w:id="1374"/>
      <w:r>
        <w:rPr>
          <w:rFonts w:ascii="Times New Roman" w:hAnsi="Times New Roman"/>
          <w:sz w:val="20"/>
        </w:rPr>
        <w:t>If our operational focus shifts more to Australia and New Zealand, unrealized foreign currency translation gains and losses could materially affect our financial position.  Historically, we managed our currency exposure by creating natural hedges in Australia and New Zealand.  This involves local country sourcing of goods and services as well as borrowing in local currencies.  However, by paying off our New Zealand debt and paying down on our Australia debt with the proceeds of our TPS, we have added an increased element of currency risk to our Company.  We believe that this currency risk is mitigated by the long-term nature of the fully subordinated notes and our recent ability to repurchase, at a discount, some of these securities.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However, in the first quarter 2009, we took advantage of current market illiquidity for securities such as our TPS to repurchase $22.9 million of those securities for $11.5 million.  In addition, in December 2008 we secured a waiver of all financial covenants with respect to our TPS for a period of nine years, in consideration of the payment of $1.6 million, consisting of an initial payment of $1.1 million and a contractual obligation to pay $270,000 in December 2011 and $270,000 in December 2014.  In the event that the remaining payments are not made, the only remedy is the termination of the waiver.  Because of this transaction, which was partially funded with borrowings against our New Zealand line-of-credit, we once again have substantially matched the currency in which we have financed our developmen ts with the jurisdictions in which these developments are located.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5" w:name="PGBRK49"/>
      <w:bookmarkStart w:id="1376" w:name="PGBRK49"/>
      <w:bookmarkEnd w:id="1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7" w:name="FTR49"/>
      <w:bookmarkStart w:id="1378" w:name="FTR49"/>
      <w:bookmarkEnd w:id="1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79" w:name="GLFTR49"/>
      <w:bookmarkEnd w:id="13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0" w:name="PN49"/>
      <w:bookmarkEnd w:id="1380"/>
      <w:r>
        <w:rPr>
          <w:rFonts w:ascii="Times New Roman" w:hAnsi="Times New Roman"/>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1" w:name="HDR49"/>
      <w:bookmarkStart w:id="1382" w:name="HDR49"/>
      <w:bookmarkEnd w:id="13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383" w:name="GLHDR49"/>
        <w:bookmarkEnd w:id="138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internal procedures allow us to enter into derivative contracts on certain borrowing transactions to achieve this goal.  Our Australian Credit Facility provides for floating interest rates based on the Bank Bill Swap Bid Rate (BBSY bid rate), but requires that not less than 70% of the loan be swapped into fixed rate obligations.  Additionally, under our GE Capital Term Loan, we are required to swap no less than 50% of our variable rate drawdowns for the first two years of the loan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FASB ASC 815-20 – </w:t>
      </w:r>
      <w:r>
        <w:rPr>
          <w:rFonts w:ascii="Times New Roman" w:hAnsi="Times New Roman"/>
          <w:i/>
          <w:sz w:val="20"/>
        </w:rPr>
        <w:t>Derivatives and Hedging</w:t>
      </w:r>
      <w:r>
        <w:rPr>
          <w:rFonts w:ascii="Times New Roman" w:hAnsi="Times New Roman"/>
          <w:sz w:val="20"/>
        </w:rPr>
        <w:t>, we marked our interest swap instruments to market on the consolidated balance sheet resulting in a $1.4 million decrease to interest expense during 2009, $2.1 million increase to interest expense during 2008, and a $320,000 decrease to interest expense during 2007.</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Inflation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the effects of inflation have been managed appropriately and as a result, have not had a material impact on our operations and the resulting financial position or liquidity.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Accounting Pronouncements Adopted During 2009</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SFAS 168 – FASB Accounting Standards Codification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June 2009, the Financial Accounting Standards Board (FASB) issued its final Statement of Financial Accounting Standards (SFAS) No. 168 – The FASB Accounting Standards Codification and the Hierarchy of Generally Accepted Accounting Principles a replacement of FASB Statement No. 162.  SFAS No. 168 made the FASB Accounting Standards Codification (the “Codification”) the single source of U.S. GAAP used by nongovernmental entities in the preparation of financial statements, except for rules and interpretive releases of the SEC under authority of federal securities laws, which are sources of authoritative accounting guidance for SEC registrants.  The Codification is meant to simplify user access to all authoritative accounting guidance by reorganizing U.S. GAAP pronouncements.  Therefore, w e have changed our former references to U.S. GAAP to be in conformity with the Codification standards.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810-10 – Noncontrolling Interests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January 1, 2009, the Company adopted the provisions of FASB Accounting Standards Codification (“ASC”) 810-10 (“ASC 810-10”), which requires that amounts formerly reported as minority interests in the Company’s unaudited condensed consolidated financial statements be reported as noncontrolling interests.  These revisions clarify that noncontrolling interests with redemption provisions outside of the control of the issuer and noncontrolling interests with redemption provisions that permit the issuer to settle in either cash or common shares at the option of the issuer are subject to evaluation under ASC 810-10 to determine the appropriate balance sheet classification and measurement of such instruments.  This adoption resulted in modifications to the reporting of noncontrolling interests in the Consolidated Financial Statements for all periods presented.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adoption of ASC 810-10 had an impact on the presentation and disclosure of noncontrolling (minority) interests in our consolidated financial statements.  Because of the retrospective presentation and disclosure requirements of ASC 810-10, the Company reflected the change in presentation and disclosure for all periods presented in these consolidated financial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effect of the reclassification of the noncontrolling interest on our prior year’s income statement related to the adoption of ASC 810-10 is a decrease in the net income and an increase in loss before equity earnings of unconsolidated joint ventures and entities of $620,000 and $1.0 million for the years ended December 31, 2008 and 2007, respectively.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84" w:name="PGBRK50"/>
      <w:bookmarkStart w:id="1385" w:name="PGBRK50"/>
      <w:bookmarkEnd w:id="1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6" w:name="FTR50"/>
      <w:bookmarkStart w:id="1387" w:name="FTR50"/>
      <w:bookmarkEnd w:id="1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88" w:name="GLFTR50"/>
      <w:bookmarkEnd w:id="13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9" w:name="PN50"/>
      <w:bookmarkEnd w:id="1389"/>
      <w:r>
        <w:rPr>
          <w:rFonts w:ascii="Times New Roman" w:hAnsi="Times New Roman"/>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0" w:name="HDR50"/>
      <w:bookmarkStart w:id="1391" w:name="HDR50"/>
      <w:bookmarkEnd w:id="1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392" w:name="GLHDR50"/>
        <w:bookmarkEnd w:id="139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Noncontrolling interest represents ownership interests not held by Reading International, Inc. in its underlying consolidated subsidiaries.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855-10 – Subsequent Events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for the second quarter of 2009, the Company adopted the provisions of FASB ASC 855-10 – </w:t>
      </w:r>
      <w:r>
        <w:rPr>
          <w:rFonts w:ascii="Times New Roman" w:hAnsi="Times New Roman"/>
          <w:i/>
          <w:sz w:val="20"/>
        </w:rPr>
        <w:t>Subsequent Events</w:t>
      </w:r>
      <w:r>
        <w:rPr>
          <w:rFonts w:ascii="Times New Roman" w:hAnsi="Times New Roman"/>
          <w:sz w:val="20"/>
        </w:rPr>
        <w:t xml:space="preserve"> (“ASC 855-10”), as amended by Accounting Standard Update 2010-09.  ASC 855-10 establishes principles and requirements for evaluating and reporting subsequent events and distinguishes which subsequent events should be recognized in the financial statements versus which subsequent events should be disclosed in the financial statements.  The adoption of ASC 855-10 did not have a material impact on our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805-10-65 - Accounting for Assets Acquired and Liabilities Assumed in a Business Combination That Arise from Contingencies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2009, the FASB issued FASB ASC 805-10-65 relating to accounting for assets acquired and liabilities assumed in a business combination that arise from contingencies (“ASC 805-10-65”).  ASC 805-10-65 addresses application issues on the accounting for contingencies in a business combination.  ASC 805-10-65 is effective for assets or liabilities arising from contingencies in business combinations acquired on or after January 1, 2009.  The adoption of ASC 805-10-65 did not have any impact on the Company’s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320-10-65 – Recognition and Presentation of Other-Than-Temporary Impairments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2009, the FASB issued FASB ASC 320-10-65 relating to the recognition and presentation of other-than-temporary impairments (“ASC 320-10-65”).  ASC 320-10-65 changes the method for determining whether an other-than-temporary impairment exists for debt securities and the amount of the impairment to be recorded in earnings, as well as expands and increases the frequency of existing disclosures about other-than-temporary impairments for debt and equity securities.  ASC 320-10-65 is effective for fiscal years, and interim periods within those fiscal years, ending after June 15, 2009.  The adoption of ASC 320-10-65 did not have any impact on the Company’s financial statements.</w:t>
      </w:r>
    </w:p>
    <w:p>
      <w:pPr>
        <w:pStyle w:val="TextBody"/>
        <w:spacing w:before="0" w:after="0"/>
        <w:ind w:left="0" w:right="0" w:hanging="0"/>
        <w:rPr/>
      </w:pPr>
      <w:r>
        <w:rPr/>
      </w:r>
    </w:p>
    <w:p>
      <w:pPr>
        <w:pStyle w:val="TextBody"/>
        <w:spacing w:before="0" w:after="0"/>
        <w:ind w:left="0" w:right="0" w:hanging="0"/>
        <w:jc w:val="both"/>
        <w:rPr>
          <w:u w:val="single"/>
        </w:rPr>
      </w:pPr>
      <w:r>
        <w:rPr>
          <w:u w:val="single"/>
        </w:rPr>
        <w:t> </w:t>
      </w:r>
      <w:r>
        <w:rPr>
          <w:rFonts w:ascii="Times New Roman" w:hAnsi="Times New Roman"/>
          <w:sz w:val="20"/>
          <w:u w:val="single"/>
        </w:rPr>
        <w:t>New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810-10-15 – Variable Interest Entities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June 2009, an update was made to FASB ASC 810-10-15 related to variable interest entities.  This update changes the calculation for determining entities that have a controlling financial interest in a variable interest entity (“VIE”) from a quantitative based risks and rewards calculation to a qualitative approach.  The qualitative approach identifies which entities have the power to direct the activities that most significantly affect the VIE’s economic performance, have the obligation to absorb losses of the VIE, or have the right to receive benefits from the VIE.  The update also requires ongoing assessments as to whether an entity is the primary beneficiary of a VIE (previously, reconsideration was only required upon the occurrence of specific events), modifies the presentation of consolidated VIE assets and liabilities, and requires additional disclosures about a company’s involvement in VIEs.  This update will be effective for the company beginning January 1, 2010.  We determined that the effect of this adoption will be immaterial to our consolidated financial position and results of operations on the January 1, 2010 effective date.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Forward-Looking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statements in this annual report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3" w:name="PGBRK51"/>
      <w:bookmarkStart w:id="1394" w:name="PGBRK51"/>
      <w:bookmarkEnd w:id="1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5" w:name="FTR51"/>
      <w:bookmarkStart w:id="1396" w:name="FTR51"/>
      <w:bookmarkEnd w:id="1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97" w:name="GLFTR51"/>
      <w:bookmarkEnd w:id="13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98" w:name="PN51"/>
      <w:bookmarkEnd w:id="1398"/>
      <w:r>
        <w:rPr>
          <w:rFonts w:ascii="Times New Roman" w:hAnsi="Times New Roman"/>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9" w:name="HDR51"/>
      <w:bookmarkStart w:id="1400" w:name="HDR51"/>
      <w:bookmarkEnd w:id="1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401" w:name="GLHDR51"/>
        <w:bookmarkEnd w:id="140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different view as to the risks and uncertainties involved, and may have different views as to future events or our operating performance.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Among the factors that could cause actual results to differ materially from those expressed in or underlying our forward-looking statements are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02" w:name="list189"/>
      <w:bookmarkStart w:id="1403" w:name="list189"/>
      <w:bookmarkEnd w:id="1403"/>
    </w:p>
    <w:tbl>
      <w:tblPr>
        <w:tblW w:w="5000" w:type="pct"/>
        <w:jc w:val="left"/>
        <w:tblInd w:w="0" w:type="dxa"/>
        <w:tblCellMar>
          <w:top w:w="0" w:type="dxa"/>
          <w:left w:w="0" w:type="dxa"/>
          <w:bottom w:w="0" w:type="dxa"/>
          <w:right w:w="0" w:type="dxa"/>
        </w:tblCellMar>
      </w:tblPr>
      <w:tblGrid>
        <w:gridCol w:w="1183"/>
        <w:gridCol w:w="9022"/>
      </w:tblGrid>
      <w:tr>
        <w:trPr/>
        <w:tc>
          <w:tcPr>
            <w:tcW w:w="118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our cinema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04" w:name="list190"/>
      <w:bookmarkStart w:id="1405" w:name="list190"/>
      <w:bookmarkEnd w:id="1405"/>
    </w:p>
    <w:tbl>
      <w:tblPr>
        <w:tblW w:w="5000" w:type="pct"/>
        <w:jc w:val="left"/>
        <w:tblInd w:w="0" w:type="dxa"/>
        <w:tblCellMar>
          <w:top w:w="0" w:type="dxa"/>
          <w:left w:w="0" w:type="dxa"/>
          <w:bottom w:w="0" w:type="dxa"/>
          <w:right w:w="0" w:type="dxa"/>
        </w:tblCellMar>
      </w:tblPr>
      <w:tblGrid>
        <w:gridCol w:w="333"/>
        <w:gridCol w:w="9872"/>
      </w:tblGrid>
      <w:tr>
        <w:trPr/>
        <w:tc>
          <w:tcPr>
            <w:tcW w:w="33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8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number and attractiveness to movie goers of the films released in future periods;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06" w:name="list191"/>
      <w:bookmarkStart w:id="1407" w:name="list191"/>
      <w:bookmarkEnd w:id="1407"/>
    </w:p>
    <w:tbl>
      <w:tblPr>
        <w:tblW w:w="5000" w:type="pct"/>
        <w:jc w:val="left"/>
        <w:tblInd w:w="0" w:type="dxa"/>
        <w:tblCellMar>
          <w:top w:w="0" w:type="dxa"/>
          <w:left w:w="0" w:type="dxa"/>
          <w:bottom w:w="0" w:type="dxa"/>
          <w:right w:w="0" w:type="dxa"/>
        </w:tblCellMar>
      </w:tblPr>
      <w:tblGrid>
        <w:gridCol w:w="344"/>
        <w:gridCol w:w="9861"/>
      </w:tblGrid>
      <w:tr>
        <w:trPr/>
        <w:tc>
          <w:tcPr>
            <w:tcW w:w="3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8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amount of money spent by film distributors to promote their motion pictures;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08" w:name="list192"/>
      <w:bookmarkStart w:id="1409" w:name="list192"/>
      <w:bookmarkEnd w:id="1409"/>
    </w:p>
    <w:tbl>
      <w:tblPr>
        <w:tblW w:w="5000" w:type="pct"/>
        <w:jc w:val="left"/>
        <w:tblInd w:w="0" w:type="dxa"/>
        <w:tblCellMar>
          <w:top w:w="0" w:type="dxa"/>
          <w:left w:w="0" w:type="dxa"/>
          <w:bottom w:w="0" w:type="dxa"/>
          <w:right w:w="0" w:type="dxa"/>
        </w:tblCellMar>
      </w:tblPr>
      <w:tblGrid>
        <w:gridCol w:w="239"/>
        <w:gridCol w:w="9966"/>
      </w:tblGrid>
      <w:tr>
        <w:trPr/>
        <w:tc>
          <w:tcPr>
            <w:tcW w:w="2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licensing fees and terms required by film distributors from motion picture exhibitors in order to exhibit their films;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10" w:name="list193"/>
      <w:bookmarkStart w:id="1411" w:name="list193"/>
      <w:bookmarkEnd w:id="141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comparative attractiveness of motion pictures as a source of entertainment and willingness and/or ability of consumers (i) to spend their dollars on entertainment and (ii) to spend their entertainment dollars on movies in an outside the home environment;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12" w:name="list194"/>
      <w:bookmarkStart w:id="1413" w:name="list194"/>
      <w:bookmarkEnd w:id="1413"/>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we encounter competition from other cinema exhibitors, from other sources of outside of the home entertainment, and from inside the home entertainment options, such as “home theaters” and competitive film product distribution technology such as, by way of example, digital and 3D technology, cable, satellite broadcast, DVD and VHS rentals and sales, and so called “movies on demand;”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14" w:name="list195"/>
      <w:bookmarkStart w:id="1415" w:name="list195"/>
      <w:bookmarkEnd w:id="1415"/>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and the efficiency with which, we are able to integrate acquisitions of cinema circuits with our existing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16" w:name="list196"/>
      <w:bookmarkStart w:id="1417" w:name="list196"/>
      <w:bookmarkEnd w:id="1417"/>
    </w:p>
    <w:tbl>
      <w:tblPr>
        <w:tblW w:w="5000" w:type="pct"/>
        <w:jc w:val="left"/>
        <w:tblInd w:w="0" w:type="dxa"/>
        <w:tblCellMar>
          <w:top w:w="0" w:type="dxa"/>
          <w:left w:w="0" w:type="dxa"/>
          <w:bottom w:w="0" w:type="dxa"/>
          <w:right w:w="0" w:type="dxa"/>
        </w:tblCellMar>
      </w:tblPr>
      <w:tblGrid>
        <w:gridCol w:w="704"/>
        <w:gridCol w:w="9501"/>
      </w:tblGrid>
      <w:tr>
        <w:trPr/>
        <w:tc>
          <w:tcPr>
            <w:tcW w:w="70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our real estate development and operation activities: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18" w:name="list197"/>
      <w:bookmarkStart w:id="1419" w:name="list197"/>
      <w:bookmarkEnd w:id="1419"/>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rental rates and capitalization rates applicable to the markets in which we operate and the quality of properties that we own;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20" w:name="list198"/>
      <w:bookmarkStart w:id="1421" w:name="list198"/>
      <w:bookmarkEnd w:id="142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we can obtain on a timely basis the various land use approvals and entitlements needed to develop our properties;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22" w:name="list199"/>
      <w:bookmarkStart w:id="1423" w:name="list199"/>
      <w:bookmarkEnd w:id="1423"/>
    </w:p>
    <w:tbl>
      <w:tblPr>
        <w:tblW w:w="5000" w:type="pct"/>
        <w:jc w:val="left"/>
        <w:tblInd w:w="0" w:type="dxa"/>
        <w:tblCellMar>
          <w:top w:w="0" w:type="dxa"/>
          <w:left w:w="0" w:type="dxa"/>
          <w:bottom w:w="0" w:type="dxa"/>
          <w:right w:w="0" w:type="dxa"/>
        </w:tblCellMar>
      </w:tblPr>
      <w:tblGrid>
        <w:gridCol w:w="412"/>
        <w:gridCol w:w="9793"/>
      </w:tblGrid>
      <w:tr>
        <w:trPr/>
        <w:tc>
          <w:tcPr>
            <w:tcW w:w="4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risks and uncertainties associated with real estate development;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24" w:name="list200"/>
      <w:bookmarkStart w:id="1425" w:name="list200"/>
      <w:bookmarkEnd w:id="1425"/>
    </w:p>
    <w:tbl>
      <w:tblPr>
        <w:tblW w:w="5000" w:type="pct"/>
        <w:jc w:val="left"/>
        <w:tblInd w:w="0" w:type="dxa"/>
        <w:tblCellMar>
          <w:top w:w="0" w:type="dxa"/>
          <w:left w:w="0" w:type="dxa"/>
          <w:bottom w:w="0" w:type="dxa"/>
          <w:right w:w="0" w:type="dxa"/>
        </w:tblCellMar>
      </w:tblPr>
      <w:tblGrid>
        <w:gridCol w:w="573"/>
        <w:gridCol w:w="9632"/>
      </w:tblGrid>
      <w:tr>
        <w:trPr/>
        <w:tc>
          <w:tcPr>
            <w:tcW w:w="5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6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availability and cost of labor and materials;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26" w:name="list201"/>
      <w:bookmarkStart w:id="1427" w:name="list201"/>
      <w:bookmarkEnd w:id="1427"/>
    </w:p>
    <w:tbl>
      <w:tblPr>
        <w:tblW w:w="5000" w:type="pct"/>
        <w:jc w:val="left"/>
        <w:tblInd w:w="0" w:type="dxa"/>
        <w:tblCellMar>
          <w:top w:w="0" w:type="dxa"/>
          <w:left w:w="0" w:type="dxa"/>
          <w:bottom w:w="0" w:type="dxa"/>
          <w:right w:w="0" w:type="dxa"/>
        </w:tblCellMar>
      </w:tblPr>
      <w:tblGrid>
        <w:gridCol w:w="575"/>
        <w:gridCol w:w="9630"/>
      </w:tblGrid>
      <w:tr>
        <w:trPr/>
        <w:tc>
          <w:tcPr>
            <w:tcW w:w="57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6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competition for development sites and tenants;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28" w:name="list202"/>
      <w:bookmarkStart w:id="1429" w:name="list202"/>
      <w:bookmarkEnd w:id="1429"/>
    </w:p>
    <w:tbl>
      <w:tblPr>
        <w:tblW w:w="5000" w:type="pct"/>
        <w:jc w:val="left"/>
        <w:tblInd w:w="0" w:type="dxa"/>
        <w:tblCellMar>
          <w:top w:w="0" w:type="dxa"/>
          <w:left w:w="0" w:type="dxa"/>
          <w:bottom w:w="0" w:type="dxa"/>
          <w:right w:w="0" w:type="dxa"/>
        </w:tblCellMar>
      </w:tblPr>
      <w:tblGrid>
        <w:gridCol w:w="690"/>
        <w:gridCol w:w="9515"/>
      </w:tblGrid>
      <w:tr>
        <w:trPr/>
        <w:tc>
          <w:tcPr>
            <w:tcW w:w="69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5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environmental remediation issues;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30" w:name="list203"/>
      <w:bookmarkStart w:id="1431" w:name="list203"/>
      <w:bookmarkEnd w:id="143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our cinemas can continue to serve as an anchor tenant who will, in turn, be influenced by the same factors as will influence generally the results of our cinema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32" w:name="list204"/>
      <w:bookmarkStart w:id="1433" w:name="list204"/>
      <w:bookmarkEnd w:id="143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34" w:name="list205"/>
      <w:bookmarkStart w:id="1435" w:name="list205"/>
      <w:bookmarkEnd w:id="1435"/>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ongoing access to borrowed funds and capital and the interest that must be paid on that debt and the returns that must be paid on such capital;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36" w:name="list206"/>
      <w:bookmarkStart w:id="1437" w:name="list206"/>
      <w:bookmarkEnd w:id="1437"/>
    </w:p>
    <w:tbl>
      <w:tblPr>
        <w:tblW w:w="5000" w:type="pct"/>
        <w:jc w:val="left"/>
        <w:tblInd w:w="0" w:type="dxa"/>
        <w:tblCellMar>
          <w:top w:w="0" w:type="dxa"/>
          <w:left w:w="0" w:type="dxa"/>
          <w:bottom w:w="0" w:type="dxa"/>
          <w:right w:w="0" w:type="dxa"/>
        </w:tblCellMar>
      </w:tblPr>
      <w:tblGrid>
        <w:gridCol w:w="363"/>
        <w:gridCol w:w="9842"/>
      </w:tblGrid>
      <w:tr>
        <w:trPr/>
        <w:tc>
          <w:tcPr>
            <w:tcW w:w="3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relative values of the currency used in the countries in which we operate;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38" w:name="list207"/>
      <w:bookmarkStart w:id="1439" w:name="list207"/>
      <w:bookmarkEnd w:id="1439"/>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government regulation, including by way of example, the costs resulting from the implementation of the requirements of Sarbanes-Oxley;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40" w:name="list208"/>
      <w:bookmarkStart w:id="1441" w:name="list208"/>
      <w:bookmarkEnd w:id="144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labor relations and costs of labor (including future government requirements with respect to pension liabilities, disability insurance and health coverage, and vacations and leave);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42" w:name="list209"/>
      <w:bookmarkStart w:id="1443" w:name="list209"/>
      <w:bookmarkEnd w:id="1443"/>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exposure from time to time to legal claims and to uninsurable risks such as those related to our historic railroad operations, including potential environmental claims and health related claims relating to alleged exposure to asbestos or other substances now or in the future recognized as being possible causes of cancer or other health related problems;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44" w:name="PGBRK52"/>
      <w:bookmarkStart w:id="1445" w:name="PGBRK52"/>
      <w:bookmarkEnd w:id="1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6" w:name="FTR52"/>
      <w:bookmarkStart w:id="1447" w:name="FTR52"/>
      <w:bookmarkEnd w:id="1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48" w:name="GLFTR52"/>
      <w:bookmarkEnd w:id="14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49" w:name="PN52"/>
      <w:bookmarkEnd w:id="1449"/>
      <w:r>
        <w:rPr>
          <w:rFonts w:ascii="Times New Roman" w:hAnsi="Times New Roman"/>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0" w:name="HDR52"/>
      <w:bookmarkStart w:id="1451" w:name="HDR52"/>
      <w:bookmarkEnd w:id="14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452" w:name="GLHDR52"/>
        <w:bookmarkEnd w:id="145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53" w:name="list210"/>
      <w:bookmarkStart w:id="1454" w:name="list210"/>
      <w:bookmarkEnd w:id="1454"/>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future effective tax rates and the results of currently ongoing and future potential audits by taxing authorities having jurisdiction over our various companies;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55" w:name="list211"/>
      <w:bookmarkStart w:id="1456" w:name="list211"/>
      <w:bookmarkEnd w:id="1456"/>
    </w:p>
    <w:tbl>
      <w:tblPr>
        <w:tblW w:w="5000" w:type="pct"/>
        <w:jc w:val="left"/>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applicable accounting policies and practices.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 extent to which consumers in our markets have the economic wherewithal to spend money on beyond-the-home entertainment.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Finally, please understand that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Additionally, certain of the presentations included in this annual report may contain “non-GAAP financial measures.”  In such case, a reconciliation of this information to our GAAP financial statements will be made available in connection with such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7" w:name="PGBRK53"/>
      <w:bookmarkStart w:id="1458" w:name="PGBRK53"/>
      <w:bookmarkEnd w:id="1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9" w:name="FTR53"/>
      <w:bookmarkStart w:id="1460" w:name="FTR53"/>
      <w:bookmarkEnd w:id="1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61" w:name="GLFTR53"/>
      <w:bookmarkEnd w:id="14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62" w:name="PN53"/>
      <w:bookmarkEnd w:id="1462"/>
      <w:r>
        <w:rPr>
          <w:rFonts w:ascii="Times New Roman" w:hAnsi="Times New Roman"/>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3" w:name="HDR53"/>
      <w:bookmarkStart w:id="1464" w:name="HDR53"/>
      <w:bookmarkEnd w:id="1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465" w:name="GLHDR53"/>
        <w:bookmarkEnd w:id="146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u w:val="single"/>
        </w:rPr>
      </w:pPr>
      <w:bookmarkStart w:id="1466" w:name="item7a"/>
      <w:bookmarkEnd w:id="1466"/>
      <w:r>
        <w:rPr>
          <w:rFonts w:ascii="Times New Roman" w:hAnsi="Times New Roman"/>
          <w:b/>
          <w:sz w:val="20"/>
          <w:u w:val="single"/>
        </w:rPr>
        <w:t>Item 7A – Quantitative and Qualitative Disclosure about Market Risk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67" w:name="list212"/>
      <w:bookmarkStart w:id="1468" w:name="list212"/>
      <w:bookmarkEnd w:id="1468"/>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is based on a single point in time.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69" w:name="list213"/>
      <w:bookmarkStart w:id="1470" w:name="list213"/>
      <w:bookmarkEnd w:id="1470"/>
    </w:p>
    <w:tbl>
      <w:tblPr>
        <w:tblW w:w="5000" w:type="pct"/>
        <w:jc w:val="left"/>
        <w:tblInd w:w="0" w:type="dxa"/>
        <w:tblCellMar>
          <w:top w:w="0" w:type="dxa"/>
          <w:left w:w="0" w:type="dxa"/>
          <w:bottom w:w="0" w:type="dxa"/>
          <w:right w:w="0" w:type="dxa"/>
        </w:tblCellMar>
      </w:tblPr>
      <w:tblGrid>
        <w:gridCol w:w="455"/>
        <w:gridCol w:w="9750"/>
      </w:tblGrid>
      <w:tr>
        <w:trPr/>
        <w:tc>
          <w:tcPr>
            <w:tcW w:w="45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does not include the effects of other complex market reactions that would arise from the changes modeled.</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Although the results of such an analysis may be useful as a benchmark, they should not be viewed as forecasts.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71" w:name="TAB1519"/>
      <w:bookmarkEnd w:id="1471"/>
      <w:r>
        <w:rPr>
          <w:rFonts w:ascii="Times New Roman" w:hAnsi="Times New Roman"/>
          <w:sz w:val="20"/>
        </w:rPr>
        <w:t>At December 31, 2009, approximately 50% and 16% of our assets (determined by the book value of such assets) were invested in assets denominated in Australian dollars (Reading Australia) and New Zealand dollars (Reading New Zealand), respectively, including approximately $15.4 million in cash and cash equivalents.  At December 31, 2008, approximately 43% and 18% of our assets were invested in assets denominated in Australian and New Zealand dollars, respectively, including approximately $19.6 million in cash and cash equivalents.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72" w:name="TAB1520"/>
      <w:bookmarkEnd w:id="1472"/>
      <w:r>
        <w:rPr>
          <w:rFonts w:ascii="Times New Roman" w:hAnsi="Times New Roman"/>
          <w:sz w:val="20"/>
        </w:rPr>
        <w:t>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  As we continue to progress our acquisition and development activities in Australia and New Zealand, we cannot assure you that the foreign currency effect on our earnings will be insignificant in the future.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Historically, our policy has been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48% and 70% of our Australian and New Zealand assets (based on book value), respectively, remain subject to such exposure unless we elect to hedge our foreign currency exchange between the U.S. and Australian and New Zealand dollars.  If the foreign currency rates were to fluctuate by 10% the resulting change in Australian and New Zealand assets would be $9.8 million and $4.7 million, respectively, and the change in annual net income would be $533,000 and $900,0 00, respectively.  At the present time, we have no plan to hedge such exposure.  On February 5, 2007 we issued $51.5 million in 20-year fully subordinated notes and paid off our bank indebtedness in New Zealand $34.4 million (NZ$50.0 million) and retired a portion of our bank indebtedness in Australia $5.8 million (AUS$7.4 million).  By paying off our New Zealand debt and paying down on our Australia debt with the proceeds of our TPS, we have added an increased element of currency risk to our Company.  We believe that this currency risk is mitigated by the long-term nature of the fully subordinated notes and our recent ability to repurchase, at a discount, some of these securities.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73" w:name="TAB1521"/>
      <w:bookmarkEnd w:id="1473"/>
      <w:r>
        <w:rPr>
          <w:rFonts w:ascii="Times New Roman" w:hAnsi="Times New Roman"/>
          <w:sz w:val="20"/>
        </w:rPr>
        <w:t>We record unrealized foreign currency translation gains or losses that could materially affect our financial position.  We have accumulated unrealized foreign currency translation gains of approximately $43.2 million and $9.0 million as of December 31, 2009 and 2008,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majority of our loans have fixed interest rates; however, one of our international loans has a variable interest rate and a change of approximately 1% in short-term interest rates would have resulted in approximately $109,000 increase or decrease in our 2009 interest expense.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74" w:name="PGBRK54"/>
      <w:bookmarkStart w:id="1475" w:name="PGBRK54"/>
      <w:bookmarkEnd w:id="1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6" w:name="FTR54"/>
      <w:bookmarkStart w:id="1477" w:name="FTR54"/>
      <w:bookmarkEnd w:id="1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78" w:name="GLFTR54"/>
      <w:bookmarkEnd w:id="14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79" w:name="PN54"/>
      <w:bookmarkEnd w:id="1479"/>
      <w:r>
        <w:rPr>
          <w:rFonts w:ascii="Times New Roman" w:hAnsi="Times New Roman"/>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0" w:name="HDR54"/>
      <w:bookmarkStart w:id="1481" w:name="HDR54"/>
      <w:bookmarkEnd w:id="1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482" w:name="GLHDR54"/>
        <w:bookmarkEnd w:id="148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bookmarkStart w:id="1483" w:name="item8"/>
      <w:bookmarkEnd w:id="1483"/>
      <w:r>
        <w:rPr>
          <w:rFonts w:ascii="Times New Roman" w:hAnsi="Times New Roman"/>
          <w:b/>
          <w:sz w:val="20"/>
          <w:u w:val="single"/>
        </w:rPr>
        <w:t>Item 8 – Financial Statements and Supplementary Data</w:t>
      </w:r>
    </w:p>
    <w:p>
      <w:pPr>
        <w:pStyle w:val="TextBody"/>
        <w:spacing w:before="0" w:after="0"/>
        <w:ind w:left="0" w:right="0" w:hanging="0"/>
        <w:rPr/>
      </w:pPr>
      <w:r>
        <w:rPr/>
        <w:t> </w:t>
      </w:r>
    </w:p>
    <w:p>
      <w:pPr>
        <w:pStyle w:val="TextBody"/>
        <w:spacing w:before="0" w:after="0"/>
        <w:ind w:left="0" w:right="90" w:hanging="0"/>
        <w:jc w:val="center"/>
        <w:rPr>
          <w:rFonts w:ascii="Times New Roman" w:hAnsi="Times New Roman"/>
          <w:sz w:val="20"/>
          <w:u w:val="single"/>
        </w:rPr>
      </w:pPr>
      <w:r>
        <w:rPr>
          <w:rFonts w:ascii="Times New Roman" w:hAnsi="Times New Roman"/>
          <w:sz w:val="20"/>
          <w:u w:val="single"/>
        </w:rPr>
        <w:t>TABLE OF CONTENTS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561"/>
        <w:gridCol w:w="644"/>
      </w:tblGrid>
      <w:tr>
        <w:trPr/>
        <w:tc>
          <w:tcPr>
            <w:tcW w:w="9561" w:type="dxa"/>
            <w:tcBorders/>
            <w:shd w:fill="CCEEFF" w:val="clear"/>
          </w:tcPr>
          <w:p>
            <w:pPr>
              <w:pStyle w:val="TableContents"/>
              <w:spacing w:before="0" w:after="0"/>
              <w:ind w:left="0" w:right="0" w:hanging="0"/>
              <w:jc w:val="left"/>
              <w:rPr/>
            </w:pPr>
            <w:hyperlink w:anchor="reportofaccountingfirm">
              <w:r>
                <w:rPr>
                  <w:rStyle w:val="InternetLink"/>
                  <w:rFonts w:ascii="times new roman" w:hAnsi="times new roman"/>
                  <w:sz w:val="20"/>
                </w:rPr>
                <w:t>Report of Independent Registered Public Accounting Firm</w:t>
              </w:r>
            </w:hyperlink>
          </w:p>
        </w:tc>
        <w:tc>
          <w:tcPr>
            <w:tcW w:w="644" w:type="dxa"/>
            <w:tcBorders/>
            <w:shd w:fill="CCEEFF" w:val="clear"/>
          </w:tcPr>
          <w:p>
            <w:pPr>
              <w:pStyle w:val="TableContents"/>
              <w:spacing w:before="0" w:after="0"/>
              <w:ind w:left="0" w:right="0" w:hanging="0"/>
              <w:jc w:val="right"/>
              <w:rPr/>
            </w:pPr>
            <w:hyperlink w:anchor="reportofaccountingfirm">
              <w:r>
                <w:rPr>
                  <w:rStyle w:val="InternetLink"/>
                  <w:rFonts w:ascii="times new roman" w:hAnsi="times new roman"/>
                  <w:sz w:val="20"/>
                </w:rPr>
                <w:t>56</w:t>
              </w:r>
            </w:hyperlink>
          </w:p>
        </w:tc>
      </w:tr>
      <w:tr>
        <w:trPr/>
        <w:tc>
          <w:tcPr>
            <w:tcW w:w="9561" w:type="dxa"/>
            <w:tcBorders/>
            <w:shd w:fill="FFFFFF" w:val="clear"/>
          </w:tcPr>
          <w:p>
            <w:pPr>
              <w:pStyle w:val="TableContents"/>
              <w:spacing w:before="0" w:after="0"/>
              <w:ind w:left="0" w:right="0" w:hanging="0"/>
              <w:jc w:val="left"/>
              <w:rPr/>
            </w:pPr>
            <w:hyperlink w:anchor="balancesheets">
              <w:r>
                <w:rPr>
                  <w:rStyle w:val="InternetLink"/>
                  <w:rFonts w:ascii="times new roman" w:hAnsi="times new roman"/>
                  <w:sz w:val="20"/>
                </w:rPr>
                <w:t>Consolidated Balance Sheets as of December 31, 2009 and 2008</w:t>
              </w:r>
            </w:hyperlink>
          </w:p>
        </w:tc>
        <w:tc>
          <w:tcPr>
            <w:tcW w:w="644" w:type="dxa"/>
            <w:tcBorders/>
            <w:shd w:fill="FFFFFF" w:val="clear"/>
          </w:tcPr>
          <w:p>
            <w:pPr>
              <w:pStyle w:val="TableContents"/>
              <w:spacing w:before="0" w:after="0"/>
              <w:ind w:left="0" w:right="0" w:hanging="0"/>
              <w:jc w:val="right"/>
              <w:rPr/>
            </w:pPr>
            <w:hyperlink w:anchor="balancesheets">
              <w:r>
                <w:rPr>
                  <w:rStyle w:val="InternetLink"/>
                  <w:rFonts w:ascii="times new roman" w:hAnsi="times new roman"/>
                  <w:sz w:val="20"/>
                </w:rPr>
                <w:t>57</w:t>
              </w:r>
            </w:hyperlink>
          </w:p>
        </w:tc>
      </w:tr>
      <w:tr>
        <w:trPr/>
        <w:tc>
          <w:tcPr>
            <w:tcW w:w="9561" w:type="dxa"/>
            <w:tcBorders/>
            <w:shd w:fill="CCEEFF" w:val="clear"/>
          </w:tcPr>
          <w:p>
            <w:pPr>
              <w:pStyle w:val="TableContents"/>
              <w:spacing w:before="0" w:after="0"/>
              <w:ind w:left="0" w:right="0" w:hanging="0"/>
              <w:jc w:val="left"/>
              <w:rPr/>
            </w:pPr>
            <w:hyperlink w:anchor="statementofoperations">
              <w:r>
                <w:rPr>
                  <w:rStyle w:val="InternetLink"/>
                  <w:rFonts w:ascii="times new roman" w:hAnsi="times new roman"/>
                  <w:sz w:val="20"/>
                </w:rPr>
                <w:t>Consolidated Statements of Operations for the Three Years Ended December 31, 2009</w:t>
              </w:r>
            </w:hyperlink>
          </w:p>
        </w:tc>
        <w:tc>
          <w:tcPr>
            <w:tcW w:w="644" w:type="dxa"/>
            <w:tcBorders/>
            <w:shd w:fill="CCEEFF" w:val="clear"/>
          </w:tcPr>
          <w:p>
            <w:pPr>
              <w:pStyle w:val="TableContents"/>
              <w:spacing w:before="0" w:after="0"/>
              <w:ind w:left="0" w:right="0" w:hanging="0"/>
              <w:jc w:val="right"/>
              <w:rPr/>
            </w:pPr>
            <w:hyperlink w:anchor="statementofoperations">
              <w:r>
                <w:rPr>
                  <w:rStyle w:val="InternetLink"/>
                  <w:rFonts w:ascii="times new roman" w:hAnsi="times new roman"/>
                  <w:sz w:val="20"/>
                </w:rPr>
                <w:t>58</w:t>
              </w:r>
            </w:hyperlink>
          </w:p>
        </w:tc>
      </w:tr>
      <w:tr>
        <w:trPr/>
        <w:tc>
          <w:tcPr>
            <w:tcW w:w="9561" w:type="dxa"/>
            <w:tcBorders/>
            <w:shd w:fill="FFFFFF" w:val="clear"/>
          </w:tcPr>
          <w:p>
            <w:pPr>
              <w:pStyle w:val="TableContents"/>
              <w:spacing w:before="0" w:after="0"/>
              <w:ind w:left="0" w:right="0" w:hanging="0"/>
              <w:jc w:val="left"/>
              <w:rPr/>
            </w:pPr>
            <w:hyperlink w:anchor="statementsofstockholderequity">
              <w:r>
                <w:rPr>
                  <w:rStyle w:val="InternetLink"/>
                  <w:rFonts w:ascii="times new roman" w:hAnsi="times new roman"/>
                  <w:sz w:val="20"/>
                </w:rPr>
                <w:t>Consolidated Statements of Stockholders’ Equity for the Three Years Ended December 31, 2009</w:t>
              </w:r>
            </w:hyperlink>
          </w:p>
        </w:tc>
        <w:tc>
          <w:tcPr>
            <w:tcW w:w="644" w:type="dxa"/>
            <w:tcBorders/>
            <w:shd w:fill="FFFFFF" w:val="clear"/>
          </w:tcPr>
          <w:p>
            <w:pPr>
              <w:pStyle w:val="TableContents"/>
              <w:spacing w:before="0" w:after="0"/>
              <w:ind w:left="0" w:right="0" w:hanging="0"/>
              <w:jc w:val="right"/>
              <w:rPr/>
            </w:pPr>
            <w:hyperlink w:anchor="statementsofstockholderequity">
              <w:r>
                <w:rPr>
                  <w:rStyle w:val="InternetLink"/>
                  <w:rFonts w:ascii="times new roman" w:hAnsi="times new roman"/>
                  <w:sz w:val="20"/>
                </w:rPr>
                <w:t>59</w:t>
              </w:r>
            </w:hyperlink>
          </w:p>
        </w:tc>
      </w:tr>
      <w:tr>
        <w:trPr/>
        <w:tc>
          <w:tcPr>
            <w:tcW w:w="9561" w:type="dxa"/>
            <w:tcBorders/>
            <w:shd w:fill="CCEEFF" w:val="clear"/>
          </w:tcPr>
          <w:p>
            <w:pPr>
              <w:pStyle w:val="TableContents"/>
              <w:spacing w:before="0" w:after="0"/>
              <w:ind w:left="0" w:right="0" w:hanging="0"/>
              <w:jc w:val="left"/>
              <w:rPr/>
            </w:pPr>
            <w:hyperlink w:anchor="cashflows">
              <w:r>
                <w:rPr>
                  <w:rStyle w:val="InternetLink"/>
                  <w:rFonts w:ascii="times new roman" w:hAnsi="times new roman"/>
                  <w:sz w:val="20"/>
                </w:rPr>
                <w:t>Consolidated Statements of Cash Flows for the Three Years Ended December 31, 2009</w:t>
              </w:r>
            </w:hyperlink>
          </w:p>
        </w:tc>
        <w:tc>
          <w:tcPr>
            <w:tcW w:w="644" w:type="dxa"/>
            <w:tcBorders/>
            <w:shd w:fill="CCEEFF" w:val="clear"/>
          </w:tcPr>
          <w:p>
            <w:pPr>
              <w:pStyle w:val="TableContents"/>
              <w:spacing w:before="0" w:after="0"/>
              <w:ind w:left="0" w:right="0" w:hanging="0"/>
              <w:jc w:val="right"/>
              <w:rPr/>
            </w:pPr>
            <w:hyperlink w:anchor="cashflows">
              <w:r>
                <w:rPr>
                  <w:rStyle w:val="InternetLink"/>
                  <w:rFonts w:ascii="times new roman" w:hAnsi="times new roman"/>
                  <w:sz w:val="20"/>
                </w:rPr>
                <w:t>60</w:t>
              </w:r>
            </w:hyperlink>
          </w:p>
        </w:tc>
      </w:tr>
      <w:tr>
        <w:trPr/>
        <w:tc>
          <w:tcPr>
            <w:tcW w:w="9561" w:type="dxa"/>
            <w:tcBorders/>
            <w:shd w:fill="FFFFFF" w:val="clear"/>
          </w:tcPr>
          <w:p>
            <w:pPr>
              <w:pStyle w:val="TableContents"/>
              <w:spacing w:before="0" w:after="0"/>
              <w:ind w:left="0" w:right="0" w:hanging="0"/>
              <w:jc w:val="left"/>
              <w:rPr/>
            </w:pPr>
            <w:hyperlink w:anchor="notes">
              <w:r>
                <w:rPr>
                  <w:rStyle w:val="InternetLink"/>
                  <w:rFonts w:ascii="times new roman" w:hAnsi="times new roman"/>
                  <w:sz w:val="20"/>
                </w:rPr>
                <w:t>Notes to Consolidated Financial Statements</w:t>
              </w:r>
            </w:hyperlink>
          </w:p>
        </w:tc>
        <w:tc>
          <w:tcPr>
            <w:tcW w:w="644" w:type="dxa"/>
            <w:tcBorders/>
            <w:shd w:fill="FFFFFF" w:val="clear"/>
          </w:tcPr>
          <w:p>
            <w:pPr>
              <w:pStyle w:val="TableContents"/>
              <w:spacing w:before="0" w:after="0"/>
              <w:ind w:left="0" w:right="0" w:hanging="0"/>
              <w:jc w:val="right"/>
              <w:rPr/>
            </w:pPr>
            <w:hyperlink w:anchor="notes">
              <w:r>
                <w:rPr>
                  <w:rStyle w:val="InternetLink"/>
                  <w:rFonts w:ascii="times new roman" w:hAnsi="times new roman"/>
                  <w:sz w:val="20"/>
                </w:rPr>
                <w:t>61</w:t>
              </w:r>
            </w:hyperlink>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84" w:name="PGBRK55"/>
      <w:bookmarkStart w:id="1485" w:name="PGBRK55"/>
      <w:bookmarkEnd w:id="1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6" w:name="FTR55"/>
      <w:bookmarkStart w:id="1487" w:name="FTR55"/>
      <w:bookmarkEnd w:id="1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88" w:name="GLFTR55"/>
      <w:bookmarkEnd w:id="14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89" w:name="PN55"/>
      <w:bookmarkEnd w:id="1489"/>
      <w:r>
        <w:rPr>
          <w:rFonts w:ascii="Times New Roman" w:hAnsi="Times New Roman"/>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0" w:name="HDR55"/>
      <w:bookmarkStart w:id="1491" w:name="HDR55"/>
      <w:bookmarkEnd w:id="1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492" w:name="GLHDR55"/>
        <w:bookmarkEnd w:id="149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493" w:name="reportofaccountingfirm"/>
      <w:bookmarkEnd w:id="1493"/>
      <w:r>
        <w:rPr>
          <w:rFonts w:ascii="Times New Roman" w:hAnsi="Times New Roman"/>
          <w:b/>
          <w:sz w:val="20"/>
        </w:rPr>
        <w:t>Report of Independent Registered Public Accounting Firm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the Board of Directors and Stockholders of</w:t>
      </w:r>
    </w:p>
    <w:p>
      <w:pPr>
        <w:pStyle w:val="TextBody"/>
        <w:spacing w:before="0" w:after="0"/>
        <w:ind w:left="0" w:right="0" w:hanging="0"/>
        <w:jc w:val="both"/>
        <w:rPr>
          <w:rFonts w:ascii="Times New Roman" w:hAnsi="Times New Roman"/>
          <w:sz w:val="20"/>
        </w:rPr>
      </w:pPr>
      <w:r>
        <w:rPr>
          <w:rFonts w:ascii="Times New Roman" w:hAnsi="Times New Roman"/>
          <w:sz w:val="20"/>
        </w:rPr>
        <w:t>Reading International, Inc.</w:t>
      </w:r>
    </w:p>
    <w:p>
      <w:pPr>
        <w:pStyle w:val="TextBody"/>
        <w:spacing w:before="0" w:after="0"/>
        <w:ind w:left="0" w:right="0" w:hanging="0"/>
        <w:jc w:val="both"/>
        <w:rPr>
          <w:rFonts w:ascii="Times New Roman" w:hAnsi="Times New Roman"/>
          <w:sz w:val="20"/>
        </w:rPr>
      </w:pPr>
      <w:r>
        <w:rPr>
          <w:rFonts w:ascii="Times New Roman" w:hAnsi="Times New Roman"/>
          <w:sz w:val="20"/>
        </w:rPr>
        <w:t>Commerce, California</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494" w:name="TAB1522"/>
      <w:bookmarkEnd w:id="1494"/>
      <w:r>
        <w:rPr>
          <w:rFonts w:ascii="Times New Roman" w:hAnsi="Times New Roman"/>
          <w:sz w:val="20"/>
        </w:rPr>
        <w:t>We have audited the accompanying consolidated balance sheets of Reading International, Inc. and subsidiaries (the "Company") as of December 31, 2009 and 2008, and the related consolidated statements of operations, stockholders' equity, and cash flows for each of the three years in the period ended December 31, 2009.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495" w:name="TAB1523"/>
      <w:bookmarkEnd w:id="1495"/>
      <w:r>
        <w:rPr>
          <w:rFonts w:ascii="Times New Roman" w:hAnsi="Times New Roman"/>
          <w:sz w:val="20"/>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496" w:name="TAB1524"/>
      <w:bookmarkEnd w:id="1496"/>
      <w:r>
        <w:rPr>
          <w:rFonts w:ascii="Times New Roman" w:hAnsi="Times New Roman"/>
          <w:sz w:val="20"/>
        </w:rPr>
        <w:t>In our opinion, such consolidated financial statements present fairly, in all material respects, the financial position of Reading International, Inc. and subsidiaries at December 31, 2009 and 2008, and the results of their operations and their cash flows for each of the three years in the period ended December 31, 2009,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497" w:name="TAB1525"/>
      <w:bookmarkEnd w:id="1497"/>
      <w:r>
        <w:rPr>
          <w:rFonts w:ascii="Times New Roman" w:hAnsi="Times New Roman"/>
          <w:sz w:val="20"/>
        </w:rPr>
        <w:t>We have also audited, in accordance with the standards of the Public Company Accounting Oversight Board (United States), the Company's internal control over financial reporting as of December 31, 2009, based on the criteria established in Internal Control—Integrated Framework issued by the Committee of Sponsoring Organizations of the Treadway Commission and our report dated March 12, 2010 expressed an adverse opinion on the effectiveness of the Company's internal control over financial reporting due to the existence of a material weakness.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DELOITTE &amp; TOUCHE LLP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before="0" w:after="0"/>
        <w:ind w:left="0" w:right="0" w:hanging="0"/>
        <w:jc w:val="left"/>
        <w:rPr>
          <w:rFonts w:ascii="Times New Roman" w:hAnsi="Times New Roman"/>
          <w:sz w:val="20"/>
        </w:rPr>
      </w:pPr>
      <w:r>
        <w:rPr>
          <w:rFonts w:ascii="Times New Roman" w:hAnsi="Times New Roman"/>
          <w:sz w:val="20"/>
        </w:rPr>
        <w:t>March 12, 2010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98" w:name="PGBRK56"/>
      <w:bookmarkStart w:id="1499" w:name="PGBRK56"/>
      <w:bookmarkEnd w:id="1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0" w:name="FTR56"/>
      <w:bookmarkStart w:id="1501" w:name="FTR56"/>
      <w:bookmarkEnd w:id="15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02" w:name="GLFTR56"/>
      <w:bookmarkEnd w:id="15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03" w:name="PN56"/>
      <w:bookmarkEnd w:id="1503"/>
      <w:r>
        <w:rPr>
          <w:rFonts w:ascii="Times New Roman" w:hAnsi="Times New Roman"/>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4" w:name="HDR56"/>
      <w:bookmarkStart w:id="1505" w:name="HDR56"/>
      <w:bookmarkEnd w:id="1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506" w:name="GLHDR56"/>
        <w:bookmarkEnd w:id="150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bookmarkStart w:id="1507" w:name="balancesheets"/>
      <w:bookmarkEnd w:id="1507"/>
      <w:r>
        <w:rPr>
          <w:rFonts w:ascii="Times New Roman" w:hAnsi="Times New Roman"/>
          <w:b/>
          <w:sz w:val="20"/>
        </w:rPr>
        <w:t>Reading International, Inc. and Subsidiaries</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Balance Sheets as of December 31, 2009 and 2008</w:t>
      </w:r>
    </w:p>
    <w:p>
      <w:pPr>
        <w:pStyle w:val="TextBody"/>
        <w:spacing w:before="0" w:after="0"/>
        <w:ind w:left="0" w:right="0" w:hanging="0"/>
        <w:jc w:val="left"/>
        <w:rPr>
          <w:rFonts w:ascii="Times New Roman" w:hAnsi="Times New Roman"/>
          <w:b/>
          <w:sz w:val="20"/>
        </w:rPr>
      </w:pPr>
      <w:r>
        <w:rPr>
          <w:rFonts w:ascii="Times New Roman" w:hAnsi="Times New Roman"/>
          <w:b/>
          <w:sz w:val="20"/>
        </w:rPr>
        <w:t>(U.S. dollars in thousands)</w:t>
      </w:r>
    </w:p>
    <w:tbl>
      <w:tblPr>
        <w:tblW w:w="5000" w:type="pct"/>
        <w:jc w:val="left"/>
        <w:tblInd w:w="0" w:type="dxa"/>
        <w:tblCellMar>
          <w:top w:w="0" w:type="dxa"/>
          <w:left w:w="0" w:type="dxa"/>
          <w:bottom w:w="0" w:type="dxa"/>
          <w:right w:w="0" w:type="dxa"/>
        </w:tblCellMar>
      </w:tblPr>
      <w:tblGrid>
        <w:gridCol w:w="7507"/>
        <w:gridCol w:w="105"/>
        <w:gridCol w:w="125"/>
        <w:gridCol w:w="1003"/>
        <w:gridCol w:w="111"/>
        <w:gridCol w:w="105"/>
        <w:gridCol w:w="125"/>
        <w:gridCol w:w="1003"/>
        <w:gridCol w:w="121"/>
      </w:tblGrid>
      <w:tr>
        <w:trPr/>
        <w:tc>
          <w:tcPr>
            <w:tcW w:w="7507"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247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1" w:type="dxa"/>
            <w:tcBorders/>
            <w:shd w:fill="auto" w:val="clear"/>
            <w:vAlign w:val="bottom"/>
          </w:tcPr>
          <w:p>
            <w:pPr>
              <w:pStyle w:val="TableContents"/>
              <w:spacing w:before="0" w:after="283"/>
              <w:jc w:val="left"/>
              <w:rPr/>
            </w:pPr>
            <w:r>
              <w:rPr/>
              <w:t> </w:t>
            </w:r>
          </w:p>
        </w:tc>
      </w:tr>
      <w:tr>
        <w:trPr/>
        <w:tc>
          <w:tcPr>
            <w:tcW w:w="7507"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2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2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1" w:type="dxa"/>
            <w:tcBorders/>
            <w:shd w:fill="auto" w:val="clear"/>
            <w:vAlign w:val="bottom"/>
          </w:tcPr>
          <w:p>
            <w:pPr>
              <w:pStyle w:val="TableContents"/>
              <w:spacing w:before="0" w:after="283"/>
              <w:jc w:val="left"/>
              <w:rPr/>
            </w:pPr>
            <w:r>
              <w:rPr/>
              <w:t> </w:t>
            </w:r>
          </w:p>
        </w:tc>
      </w:tr>
      <w:tr>
        <w:trPr/>
        <w:tc>
          <w:tcPr>
            <w:tcW w:w="7507"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5" w:type="dxa"/>
            <w:tcBorders/>
            <w:shd w:fill="auto" w:val="clear"/>
            <w:vAlign w:val="bottom"/>
          </w:tcPr>
          <w:p>
            <w:pPr>
              <w:pStyle w:val="TableContents"/>
              <w:spacing w:before="0" w:after="283"/>
              <w:rPr/>
            </w:pPr>
            <w:r>
              <w:rPr/>
              <w:t> </w:t>
            </w:r>
          </w:p>
        </w:tc>
        <w:tc>
          <w:tcPr>
            <w:tcW w:w="2472" w:type="dxa"/>
            <w:gridSpan w:val="6"/>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507"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5"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ind w:left="277" w:right="0" w:hanging="0"/>
              <w:jc w:val="right"/>
              <w:rPr>
                <w:rFonts w:ascii="times new roman" w:hAnsi="times new roman"/>
                <w:sz w:val="20"/>
              </w:rPr>
            </w:pPr>
            <w:bookmarkStart w:id="1508" w:name="TAB1526"/>
            <w:bookmarkEnd w:id="1508"/>
            <w:r>
              <w:rPr>
                <w:rFonts w:ascii="times new roman" w:hAnsi="times new roman"/>
                <w:sz w:val="20"/>
              </w:rPr>
              <w:t>24,612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ind w:left="277" w:right="0" w:hanging="0"/>
              <w:jc w:val="right"/>
              <w:rPr>
                <w:rFonts w:ascii="times new roman" w:hAnsi="times new roman"/>
                <w:sz w:val="20"/>
              </w:rPr>
            </w:pPr>
            <w:bookmarkStart w:id="1509" w:name="TAB1527"/>
            <w:bookmarkEnd w:id="1509"/>
            <w:r>
              <w:rPr>
                <w:rFonts w:ascii="times new roman" w:hAnsi="times new roman"/>
                <w:sz w:val="20"/>
              </w:rPr>
              <w:t>30,874</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Receivables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9,458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7,868</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Inventory</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797</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marketable securities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3,120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3,100</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Restricted cash</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21" w:type="dxa"/>
            <w:tcBorders/>
            <w:shd w:fill="CCEEFF" w:val="clear"/>
            <w:vAlign w:val="bottom"/>
          </w:tcPr>
          <w:p>
            <w:pPr>
              <w:pStyle w:val="TableContents"/>
              <w:spacing w:before="0" w:after="283"/>
              <w:jc w:val="left"/>
              <w:rPr/>
            </w:pPr>
            <w:r>
              <w:rPr/>
              <w:t> </w:t>
            </w:r>
          </w:p>
        </w:tc>
      </w:tr>
      <w:tr>
        <w:trPr/>
        <w:tc>
          <w:tcPr>
            <w:tcW w:w="7507"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and other current assets</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3,078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2,324</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firstLine="360"/>
              <w:jc w:val="left"/>
              <w:rPr>
                <w:rFonts w:ascii="times new roman" w:hAnsi="times new roman"/>
                <w:b/>
                <w:sz w:val="20"/>
              </w:rPr>
            </w:pPr>
            <w:r>
              <w:rPr>
                <w:rFonts w:ascii="times new roman" w:hAnsi="times new roman"/>
                <w:b/>
                <w:sz w:val="20"/>
              </w:rPr>
              <w:t>Total current assets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41,449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46,619</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held for and under development</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78,676</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69,016</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&amp; equipment, net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200,749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173,662</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unconsolidated joint ventures and entities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9,732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11,643</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Reading International Trust I</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838</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1,547</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Goodwill</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37,411</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34,964</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Intangible assets, net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22,655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25,118</w:t>
            </w:r>
          </w:p>
        </w:tc>
        <w:tc>
          <w:tcPr>
            <w:tcW w:w="121" w:type="dxa"/>
            <w:tcBorders/>
            <w:shd w:fill="CCEEFF" w:val="clear"/>
            <w:vAlign w:val="bottom"/>
          </w:tcPr>
          <w:p>
            <w:pPr>
              <w:pStyle w:val="TableContents"/>
              <w:spacing w:before="0" w:after="283"/>
              <w:jc w:val="left"/>
              <w:rPr/>
            </w:pPr>
            <w:r>
              <w:rPr/>
              <w:t> </w:t>
            </w:r>
          </w:p>
        </w:tc>
      </w:tr>
      <w:tr>
        <w:trPr/>
        <w:tc>
          <w:tcPr>
            <w:tcW w:w="7507"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assets</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14,907</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9,301</w:t>
            </w:r>
          </w:p>
        </w:tc>
        <w:tc>
          <w:tcPr>
            <w:tcW w:w="121" w:type="dxa"/>
            <w:tcBorders/>
            <w:shd w:fill="FFFFFF" w:val="clear"/>
            <w:vAlign w:val="bottom"/>
          </w:tcPr>
          <w:p>
            <w:pPr>
              <w:pStyle w:val="TableContents"/>
              <w:spacing w:before="0" w:after="283"/>
              <w:jc w:val="left"/>
              <w:rPr/>
            </w:pPr>
            <w:r>
              <w:rPr/>
              <w:t> </w:t>
            </w:r>
          </w:p>
        </w:tc>
      </w:tr>
      <w:tr>
        <w:trPr/>
        <w:tc>
          <w:tcPr>
            <w:tcW w:w="7507" w:type="dxa"/>
            <w:tcBorders>
              <w:bottom w:val="double" w:sz="8" w:space="0" w:color="000000"/>
            </w:tcBorders>
            <w:shd w:fill="CCEEFF" w:val="clear"/>
            <w:tcMar>
              <w:bottom w:w="28" w:type="dxa"/>
            </w:tcMar>
            <w:vAlign w:val="bottom"/>
          </w:tcPr>
          <w:p>
            <w:pPr>
              <w:pStyle w:val="TableContents"/>
              <w:spacing w:before="0" w:after="0"/>
              <w:ind w:left="0" w:right="0" w:firstLine="1440"/>
              <w:jc w:val="left"/>
              <w:rPr>
                <w:rFonts w:ascii="times new roman" w:hAnsi="times new roman"/>
                <w:b/>
                <w:sz w:val="20"/>
              </w:rPr>
            </w:pPr>
            <w:r>
              <w:rPr>
                <w:rFonts w:ascii="times new roman" w:hAnsi="times new roman"/>
                <w:b/>
                <w:sz w:val="20"/>
              </w:rPr>
              <w:t>Total assets</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CCEEFF" w:val="clear"/>
            <w:tcMar>
              <w:bottom w:w="28" w:type="dxa"/>
            </w:tcMar>
            <w:vAlign w:val="bottom"/>
          </w:tcPr>
          <w:p>
            <w:pPr>
              <w:pStyle w:val="TableContents"/>
              <w:spacing w:before="0" w:after="283"/>
              <w:ind w:left="277" w:right="0" w:hanging="0"/>
              <w:jc w:val="right"/>
              <w:rPr>
                <w:rFonts w:ascii="times new roman" w:hAnsi="times new roman"/>
                <w:sz w:val="20"/>
              </w:rPr>
            </w:pPr>
            <w:bookmarkStart w:id="1510" w:name="TAB1528"/>
            <w:bookmarkEnd w:id="1510"/>
            <w:r>
              <w:rPr>
                <w:rFonts w:ascii="times new roman" w:hAnsi="times new roman"/>
                <w:sz w:val="20"/>
              </w:rPr>
              <w:t>406,417</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CCEEFF" w:val="clear"/>
            <w:tcMar>
              <w:bottom w:w="28" w:type="dxa"/>
            </w:tcMar>
            <w:vAlign w:val="bottom"/>
          </w:tcPr>
          <w:p>
            <w:pPr>
              <w:pStyle w:val="TableContents"/>
              <w:spacing w:before="0" w:after="283"/>
              <w:ind w:left="277" w:right="0" w:hanging="0"/>
              <w:jc w:val="right"/>
              <w:rPr>
                <w:rFonts w:ascii="times new roman" w:hAnsi="times new roman"/>
                <w:sz w:val="20"/>
              </w:rPr>
            </w:pPr>
            <w:bookmarkStart w:id="1511" w:name="TAB1529"/>
            <w:bookmarkEnd w:id="1511"/>
            <w:r>
              <w:rPr>
                <w:rFonts w:ascii="times new roman" w:hAnsi="times new roman"/>
                <w:sz w:val="20"/>
              </w:rPr>
              <w:t>371,870</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 AND STOCKHOLDERS' EQUITY</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ind w:left="277" w:right="0" w:hanging="0"/>
              <w:jc w:val="right"/>
              <w:rPr>
                <w:rFonts w:ascii="times new roman" w:hAnsi="times new roman"/>
                <w:sz w:val="20"/>
              </w:rPr>
            </w:pPr>
            <w:bookmarkStart w:id="1512" w:name="TAB1530"/>
            <w:bookmarkEnd w:id="1512"/>
            <w:r>
              <w:rPr>
                <w:rFonts w:ascii="times new roman" w:hAnsi="times new roman"/>
                <w:sz w:val="20"/>
              </w:rPr>
              <w:t>14,943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ind w:left="277" w:right="0" w:hanging="0"/>
              <w:jc w:val="right"/>
              <w:rPr>
                <w:rFonts w:ascii="times new roman" w:hAnsi="times new roman"/>
                <w:sz w:val="20"/>
              </w:rPr>
            </w:pPr>
            <w:bookmarkStart w:id="1513" w:name="TAB1531"/>
            <w:bookmarkEnd w:id="1513"/>
            <w:r>
              <w:rPr>
                <w:rFonts w:ascii="times new roman" w:hAnsi="times new roman"/>
                <w:sz w:val="20"/>
              </w:rPr>
              <w:t>13,170</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Film rent payable</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7,256</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7,315</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 current portion</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7,914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1,347</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payable to related party – current portion</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Taxes payable</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6,140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6,425</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current revenue</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6,968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5,645</w:t>
            </w:r>
          </w:p>
        </w:tc>
        <w:tc>
          <w:tcPr>
            <w:tcW w:w="121" w:type="dxa"/>
            <w:tcBorders/>
            <w:shd w:fill="FFFFFF" w:val="clear"/>
            <w:vAlign w:val="bottom"/>
          </w:tcPr>
          <w:p>
            <w:pPr>
              <w:pStyle w:val="TableContents"/>
              <w:spacing w:before="0" w:after="283"/>
              <w:jc w:val="left"/>
              <w:rPr/>
            </w:pPr>
            <w:r>
              <w:rPr/>
              <w:t> </w:t>
            </w:r>
          </w:p>
        </w:tc>
      </w:tr>
      <w:tr>
        <w:trPr/>
        <w:tc>
          <w:tcPr>
            <w:tcW w:w="7507"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current liabilities</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457</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firstLine="360"/>
              <w:jc w:val="left"/>
              <w:rPr>
                <w:rFonts w:ascii="times new roman" w:hAnsi="times new roman"/>
                <w:b/>
                <w:sz w:val="20"/>
              </w:rPr>
            </w:pPr>
            <w:r>
              <w:rPr>
                <w:rFonts w:ascii="times new roman" w:hAnsi="times new roman"/>
                <w:b/>
                <w:sz w:val="20"/>
              </w:rPr>
              <w:t>Total current liabilities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57,678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34,103</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 long-term portion</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177,166</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172,268</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to related party – long-term portion</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Subordinated debt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51,547</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tax liabilities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6,968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6,347</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non-current revenue</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121" w:type="dxa"/>
            <w:tcBorders/>
            <w:shd w:fill="CCEEFF" w:val="clear"/>
            <w:vAlign w:val="bottom"/>
          </w:tcPr>
          <w:p>
            <w:pPr>
              <w:pStyle w:val="TableContents"/>
              <w:spacing w:before="0" w:after="283"/>
              <w:jc w:val="left"/>
              <w:rPr/>
            </w:pPr>
            <w:r>
              <w:rPr/>
              <w:t> </w:t>
            </w:r>
          </w:p>
        </w:tc>
      </w:tr>
      <w:tr>
        <w:trPr/>
        <w:tc>
          <w:tcPr>
            <w:tcW w:w="7507"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liabilities</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25,852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23,604</w:t>
            </w:r>
          </w:p>
        </w:tc>
        <w:tc>
          <w:tcPr>
            <w:tcW w:w="121" w:type="dxa"/>
            <w:tcBorders/>
            <w:shd w:fill="FFFFFF" w:val="clear"/>
            <w:vAlign w:val="bottom"/>
          </w:tcPr>
          <w:p>
            <w:pPr>
              <w:pStyle w:val="TableContents"/>
              <w:spacing w:before="0" w:after="283"/>
              <w:jc w:val="left"/>
              <w:rPr/>
            </w:pPr>
            <w:r>
              <w:rPr/>
              <w:t> </w:t>
            </w:r>
          </w:p>
        </w:tc>
      </w:tr>
      <w:tr>
        <w:trPr/>
        <w:tc>
          <w:tcPr>
            <w:tcW w:w="7507" w:type="dxa"/>
            <w:tcBorders>
              <w:bottom w:val="single" w:sz="12" w:space="0" w:color="000000"/>
            </w:tcBorders>
            <w:shd w:fill="CCEEFF" w:val="clear"/>
            <w:tcMar>
              <w:bottom w:w="28" w:type="dxa"/>
            </w:tcMar>
            <w:vAlign w:val="bottom"/>
          </w:tcPr>
          <w:p>
            <w:pPr>
              <w:pStyle w:val="TableContents"/>
              <w:spacing w:before="0" w:after="0"/>
              <w:ind w:left="0" w:right="0" w:firstLine="720"/>
              <w:jc w:val="left"/>
              <w:rPr>
                <w:rFonts w:ascii="times new roman" w:hAnsi="times new roman"/>
                <w:b/>
                <w:sz w:val="20"/>
              </w:rPr>
            </w:pPr>
            <w:r>
              <w:rPr>
                <w:rFonts w:ascii="times new roman" w:hAnsi="times new roman"/>
                <w:b/>
                <w:sz w:val="20"/>
              </w:rPr>
              <w:t>Total liabilities</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296,154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ind w:left="196" w:right="0" w:hanging="0"/>
              <w:jc w:val="right"/>
              <w:rPr>
                <w:rFonts w:ascii="times new roman" w:hAnsi="times new roman"/>
                <w:sz w:val="20"/>
              </w:rPr>
            </w:pPr>
            <w:bookmarkStart w:id="1514" w:name="TAB1532"/>
            <w:bookmarkEnd w:id="1514"/>
            <w:r>
              <w:rPr>
                <w:rFonts w:ascii="times new roman" w:hAnsi="times new roman"/>
                <w:sz w:val="20"/>
              </w:rPr>
              <w:t>302,423</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Commitments and contingencies (Note 19)</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equity:</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Class A non-voting common stock, par value $0.01, 100,000,000 shares authorized, 35,610,857 issued and 21,132,582 outstanding at December 31, 2009 and 35,564,339 issued and 20,987,115 outstanding at December 31, 2008</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Class B voting common stock, par value $0.01, 20,000,000 shares authorized and 1,495,490 issued and outstanding at December 31, 2009 and at December 31, 2008</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Nonvoting preferred stock, par value $0.01, 12,000 shares authorized and no issued or outstanding shares at December 31, 2009 and 2008</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Additional paid-in capital</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134,044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133,906</w:t>
            </w:r>
          </w:p>
        </w:tc>
        <w:tc>
          <w:tcPr>
            <w:tcW w:w="121" w:type="dxa"/>
            <w:tcBorders/>
            <w:shd w:fill="CCEEFF" w:val="clear"/>
            <w:vAlign w:val="bottom"/>
          </w:tcPr>
          <w:p>
            <w:pPr>
              <w:pStyle w:val="TableContents"/>
              <w:spacing w:before="0" w:after="283"/>
              <w:jc w:val="left"/>
              <w:rPr/>
            </w:pPr>
            <w:r>
              <w:rPr/>
              <w:t> </w:t>
            </w:r>
          </w:p>
        </w:tc>
      </w:tr>
      <w:tr>
        <w:trPr/>
        <w:tc>
          <w:tcPr>
            <w:tcW w:w="7507" w:type="dxa"/>
            <w:tcBorders/>
            <w:shd w:fill="FFFF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Accumulated deficit</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(63,385</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(69,479</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7" w:type="dxa"/>
            <w:tcBorders/>
            <w:shd w:fill="CCEE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Treasury shares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(3,514</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(4,306</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07" w:type="dxa"/>
            <w:tcBorders>
              <w:bottom w:val="single" w:sz="12" w:space="0" w:color="000000"/>
            </w:tcBorders>
            <w:shd w:fill="FFFFFF" w:val="clear"/>
            <w:tcMar>
              <w:bottom w:w="28" w:type="dxa"/>
            </w:tcM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Accumulated other comprehensive income</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41,514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7,278</w:t>
            </w:r>
          </w:p>
        </w:tc>
        <w:tc>
          <w:tcPr>
            <w:tcW w:w="121" w:type="dxa"/>
            <w:tcBorders/>
            <w:shd w:fill="FFFFFF" w:val="clear"/>
            <w:vAlign w:val="bottom"/>
          </w:tcPr>
          <w:p>
            <w:pPr>
              <w:pStyle w:val="TableContents"/>
              <w:spacing w:before="0" w:after="283"/>
              <w:jc w:val="left"/>
              <w:rPr/>
            </w:pPr>
            <w:r>
              <w:rPr/>
              <w:t> </w:t>
            </w:r>
          </w:p>
        </w:tc>
      </w:tr>
      <w:tr>
        <w:trPr/>
        <w:tc>
          <w:tcPr>
            <w:tcW w:w="7507" w:type="dxa"/>
            <w:tcBorders/>
            <w:shd w:fill="CCEEFF" w:val="clear"/>
            <w:vAlign w:val="bottom"/>
          </w:tcPr>
          <w:p>
            <w:pPr>
              <w:pStyle w:val="TableContents"/>
              <w:spacing w:before="0" w:after="0"/>
              <w:ind w:left="0" w:right="0" w:firstLine="360"/>
              <w:jc w:val="left"/>
              <w:rPr>
                <w:rFonts w:ascii="times new roman" w:hAnsi="times new roman"/>
                <w:b/>
                <w:sz w:val="20"/>
              </w:rPr>
            </w:pPr>
            <w:r>
              <w:rPr>
                <w:rFonts w:ascii="times new roman" w:hAnsi="times new roman"/>
                <w:b/>
                <w:sz w:val="20"/>
              </w:rPr>
              <w:t>Total Reading International, Inc. stockholders’ equity</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108,889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67,630</w:t>
            </w:r>
          </w:p>
        </w:tc>
        <w:tc>
          <w:tcPr>
            <w:tcW w:w="121" w:type="dxa"/>
            <w:tcBorders/>
            <w:shd w:fill="CCEEFF" w:val="clear"/>
            <w:vAlign w:val="bottom"/>
          </w:tcPr>
          <w:p>
            <w:pPr>
              <w:pStyle w:val="TableContents"/>
              <w:spacing w:before="0" w:after="283"/>
              <w:jc w:val="left"/>
              <w:rPr/>
            </w:pPr>
            <w:r>
              <w:rPr/>
              <w:t> </w:t>
            </w:r>
          </w:p>
        </w:tc>
      </w:tr>
      <w:tr>
        <w:trPr/>
        <w:tc>
          <w:tcPr>
            <w:tcW w:w="7507"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Noncontrolling interests</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ind w:left="463" w:right="0" w:hanging="0"/>
              <w:jc w:val="right"/>
              <w:rPr>
                <w:rFonts w:ascii="times new roman" w:hAnsi="times new roman"/>
                <w:sz w:val="20"/>
              </w:rPr>
            </w:pPr>
            <w:bookmarkStart w:id="1515" w:name="TAB1533"/>
            <w:bookmarkEnd w:id="1515"/>
            <w:r>
              <w:rPr>
                <w:rFonts w:ascii="times new roman" w:hAnsi="times new roman"/>
                <w:sz w:val="20"/>
              </w:rPr>
              <w:t>1,374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ind w:left="463" w:right="0" w:hanging="0"/>
              <w:jc w:val="right"/>
              <w:rPr>
                <w:rFonts w:ascii="times new roman" w:hAnsi="times new roman"/>
                <w:sz w:val="20"/>
              </w:rPr>
            </w:pPr>
            <w:bookmarkStart w:id="1516" w:name="TAB1534"/>
            <w:bookmarkEnd w:id="1516"/>
            <w:r>
              <w:rPr>
                <w:rFonts w:ascii="times new roman" w:hAnsi="times new roman"/>
                <w:sz w:val="20"/>
              </w:rPr>
              <w:t>1,817</w:t>
            </w:r>
          </w:p>
        </w:tc>
        <w:tc>
          <w:tcPr>
            <w:tcW w:w="121" w:type="dxa"/>
            <w:tcBorders/>
            <w:shd w:fill="FFFFFF" w:val="clear"/>
            <w:vAlign w:val="bottom"/>
          </w:tcPr>
          <w:p>
            <w:pPr>
              <w:pStyle w:val="TableContents"/>
              <w:spacing w:before="0" w:after="283"/>
              <w:jc w:val="left"/>
              <w:rPr/>
            </w:pPr>
            <w:r>
              <w:rPr/>
              <w:t> </w:t>
            </w:r>
          </w:p>
        </w:tc>
      </w:tr>
      <w:tr>
        <w:trPr/>
        <w:tc>
          <w:tcPr>
            <w:tcW w:w="7507" w:type="dxa"/>
            <w:tcBorders>
              <w:bottom w:val="single" w:sz="12" w:space="0" w:color="000000"/>
            </w:tcBorders>
            <w:shd w:fill="CCEEFF" w:val="clear"/>
            <w:tcMar>
              <w:bottom w:w="28" w:type="dxa"/>
            </w:tcMar>
            <w:vAlign w:val="bottom"/>
          </w:tcPr>
          <w:p>
            <w:pPr>
              <w:pStyle w:val="TableContents"/>
              <w:spacing w:before="0" w:after="0"/>
              <w:ind w:left="0" w:right="0" w:firstLine="720"/>
              <w:jc w:val="left"/>
              <w:rPr>
                <w:rFonts w:ascii="times new roman" w:hAnsi="times new roman"/>
                <w:b/>
                <w:sz w:val="20"/>
              </w:rPr>
            </w:pPr>
            <w:r>
              <w:rPr>
                <w:rFonts w:ascii="times new roman" w:hAnsi="times new roman"/>
                <w:b/>
                <w:sz w:val="20"/>
              </w:rPr>
              <w:t>Total stockholders’ equity</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ind w:left="196" w:right="0" w:hanging="0"/>
              <w:jc w:val="right"/>
              <w:rPr>
                <w:rFonts w:ascii="times new roman" w:hAnsi="times new roman"/>
                <w:sz w:val="20"/>
              </w:rPr>
            </w:pPr>
            <w:bookmarkStart w:id="1517" w:name="TAB1535"/>
            <w:bookmarkEnd w:id="1517"/>
            <w:r>
              <w:rPr>
                <w:rFonts w:ascii="times new roman" w:hAnsi="times new roman"/>
                <w:sz w:val="20"/>
              </w:rPr>
              <w:t>110,263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ind w:left="329" w:right="0" w:hanging="0"/>
              <w:jc w:val="right"/>
              <w:rPr>
                <w:rFonts w:ascii="times new roman" w:hAnsi="times new roman"/>
                <w:sz w:val="20"/>
              </w:rPr>
            </w:pPr>
            <w:bookmarkStart w:id="1518" w:name="TAB1536"/>
            <w:bookmarkEnd w:id="1518"/>
            <w:r>
              <w:rPr>
                <w:rFonts w:ascii="times new roman" w:hAnsi="times new roman"/>
                <w:sz w:val="20"/>
              </w:rPr>
              <w:t>69,447</w:t>
            </w:r>
          </w:p>
        </w:tc>
        <w:tc>
          <w:tcPr>
            <w:tcW w:w="121" w:type="dxa"/>
            <w:tcBorders/>
            <w:shd w:fill="CCEEFF" w:val="clear"/>
            <w:vAlign w:val="bottom"/>
          </w:tcPr>
          <w:p>
            <w:pPr>
              <w:pStyle w:val="TableContents"/>
              <w:spacing w:before="0" w:after="283"/>
              <w:jc w:val="left"/>
              <w:rPr/>
            </w:pPr>
            <w:r>
              <w:rPr/>
              <w:t> </w:t>
            </w:r>
          </w:p>
        </w:tc>
      </w:tr>
      <w:tr>
        <w:trPr/>
        <w:tc>
          <w:tcPr>
            <w:tcW w:w="7507" w:type="dxa"/>
            <w:tcBorders>
              <w:bottom w:val="double" w:sz="8" w:space="0" w:color="000000"/>
            </w:tcBorders>
            <w:shd w:fill="FFFFFF" w:val="clear"/>
            <w:tcMar>
              <w:bottom w:w="28" w:type="dxa"/>
            </w:tcMar>
            <w:vAlign w:val="bottom"/>
          </w:tcPr>
          <w:p>
            <w:pPr>
              <w:pStyle w:val="TableContents"/>
              <w:spacing w:before="0" w:after="0"/>
              <w:ind w:left="0" w:right="0" w:firstLine="1440"/>
              <w:jc w:val="left"/>
              <w:rPr>
                <w:rFonts w:ascii="times new roman" w:hAnsi="times new roman"/>
                <w:b/>
                <w:sz w:val="20"/>
              </w:rPr>
            </w:pPr>
            <w:r>
              <w:rPr>
                <w:rFonts w:ascii="times new roman" w:hAnsi="times new roman"/>
                <w:b/>
                <w:sz w:val="20"/>
              </w:rPr>
              <w:t>Total liabilities and stockholders’ equity</w:t>
            </w:r>
          </w:p>
        </w:tc>
        <w:tc>
          <w:tcPr>
            <w:tcW w:w="105"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FFFFFF" w:val="clear"/>
            <w:tcMar>
              <w:bottom w:w="28" w:type="dxa"/>
            </w:tcMar>
            <w:vAlign w:val="bottom"/>
          </w:tcPr>
          <w:p>
            <w:pPr>
              <w:pStyle w:val="TableContents"/>
              <w:spacing w:before="0" w:after="283"/>
              <w:ind w:left="277" w:right="0" w:hanging="0"/>
              <w:jc w:val="right"/>
              <w:rPr>
                <w:rFonts w:ascii="times new roman" w:hAnsi="times new roman"/>
                <w:sz w:val="20"/>
              </w:rPr>
            </w:pPr>
            <w:bookmarkStart w:id="1519" w:name="TAB1537"/>
            <w:bookmarkEnd w:id="1519"/>
            <w:r>
              <w:rPr>
                <w:rFonts w:ascii="times new roman" w:hAnsi="times new roman"/>
                <w:sz w:val="20"/>
              </w:rPr>
              <w:t>406,417</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FFFFFF" w:val="clear"/>
            <w:tcMar>
              <w:bottom w:w="28" w:type="dxa"/>
            </w:tcMar>
            <w:vAlign w:val="bottom"/>
          </w:tcPr>
          <w:p>
            <w:pPr>
              <w:pStyle w:val="TableContents"/>
              <w:spacing w:before="0" w:after="283"/>
              <w:ind w:left="277" w:right="0" w:hanging="0"/>
              <w:jc w:val="right"/>
              <w:rPr>
                <w:rFonts w:ascii="times new roman" w:hAnsi="times new roman"/>
                <w:sz w:val="20"/>
              </w:rPr>
            </w:pPr>
            <w:bookmarkStart w:id="1520" w:name="TAB1538"/>
            <w:bookmarkEnd w:id="1520"/>
            <w:r>
              <w:rPr>
                <w:rFonts w:ascii="times new roman" w:hAnsi="times new roman"/>
                <w:sz w:val="20"/>
              </w:rPr>
              <w:t>371,870</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21" w:name="PGBRK57"/>
      <w:bookmarkStart w:id="1522" w:name="PGBRK57"/>
      <w:bookmarkEnd w:id="15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3" w:name="FTR57"/>
      <w:bookmarkStart w:id="1524" w:name="FTR57"/>
      <w:bookmarkEnd w:id="1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25" w:name="GLFTR57"/>
      <w:bookmarkEnd w:id="15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26" w:name="PN57"/>
      <w:bookmarkEnd w:id="1526"/>
      <w:r>
        <w:rPr>
          <w:rFonts w:ascii="Times New Roman" w:hAnsi="Times New Roman"/>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7" w:name="HDR57"/>
      <w:bookmarkStart w:id="1528" w:name="HDR57"/>
      <w:bookmarkEnd w:id="1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529" w:name="GLHDR57"/>
        <w:bookmarkEnd w:id="15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bookmarkStart w:id="1530" w:name="statementofoperations"/>
      <w:bookmarkEnd w:id="1530"/>
      <w:r>
        <w:rPr>
          <w:rFonts w:ascii="Times New Roman" w:hAnsi="Times New Roman"/>
          <w:b/>
          <w:sz w:val="20"/>
        </w:rPr>
        <w:t>Reading International, Inc. and Subsidiaries</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Operations for the Three Years Ended December 31, 2009</w:t>
      </w:r>
    </w:p>
    <w:p>
      <w:pPr>
        <w:pStyle w:val="TextBody"/>
        <w:spacing w:before="0" w:after="0"/>
        <w:ind w:left="0" w:right="0" w:hanging="0"/>
        <w:jc w:val="left"/>
        <w:rPr>
          <w:rFonts w:ascii="Times New Roman" w:hAnsi="Times New Roman"/>
          <w:b/>
          <w:sz w:val="20"/>
        </w:rPr>
      </w:pPr>
      <w:r>
        <w:rPr>
          <w:rFonts w:ascii="Times New Roman" w:hAnsi="Times New Roman"/>
          <w:b/>
          <w:sz w:val="20"/>
        </w:rPr>
        <w:t>(U.S. dollars in thousands, except per share amounts)</w:t>
      </w:r>
    </w:p>
    <w:tbl>
      <w:tblPr>
        <w:tblW w:w="5000" w:type="pct"/>
        <w:jc w:val="left"/>
        <w:tblInd w:w="0" w:type="dxa"/>
        <w:tblCellMar>
          <w:top w:w="0" w:type="dxa"/>
          <w:left w:w="0" w:type="dxa"/>
          <w:bottom w:w="0" w:type="dxa"/>
          <w:right w:w="0" w:type="dxa"/>
        </w:tblCellMar>
      </w:tblPr>
      <w:tblGrid>
        <w:gridCol w:w="5936"/>
        <w:gridCol w:w="103"/>
        <w:gridCol w:w="126"/>
        <w:gridCol w:w="1079"/>
        <w:gridCol w:w="110"/>
        <w:gridCol w:w="103"/>
        <w:gridCol w:w="126"/>
        <w:gridCol w:w="1079"/>
        <w:gridCol w:w="110"/>
        <w:gridCol w:w="103"/>
        <w:gridCol w:w="126"/>
        <w:gridCol w:w="1079"/>
        <w:gridCol w:w="125"/>
      </w:tblGrid>
      <w:tr>
        <w:trPr/>
        <w:tc>
          <w:tcPr>
            <w:tcW w:w="5936"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4041"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5" w:type="dxa"/>
            <w:tcBorders/>
            <w:shd w:fill="auto" w:val="clear"/>
            <w:vAlign w:val="bottom"/>
          </w:tcPr>
          <w:p>
            <w:pPr>
              <w:pStyle w:val="TableContents"/>
              <w:spacing w:before="0" w:after="283"/>
              <w:jc w:val="left"/>
              <w:rPr/>
            </w:pPr>
            <w:r>
              <w:rPr/>
              <w:t> </w:t>
            </w:r>
          </w:p>
        </w:tc>
      </w:tr>
      <w:tr>
        <w:trPr/>
        <w:tc>
          <w:tcPr>
            <w:tcW w:w="5936"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20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0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0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5" w:type="dxa"/>
            <w:tcBorders/>
            <w:shd w:fill="auto" w:val="clear"/>
            <w:vAlign w:val="bottom"/>
          </w:tcPr>
          <w:p>
            <w:pPr>
              <w:pStyle w:val="TableContents"/>
              <w:spacing w:before="0" w:after="283"/>
              <w:jc w:val="left"/>
              <w:rPr/>
            </w:pPr>
            <w:r>
              <w:rPr/>
              <w:t> </w:t>
            </w:r>
          </w:p>
        </w:tc>
      </w:tr>
      <w:tr>
        <w:trPr/>
        <w:tc>
          <w:tcPr>
            <w:tcW w:w="5936" w:type="dxa"/>
            <w:tcBorders/>
            <w:shd w:fill="auto" w:val="clear"/>
            <w:vAlign w:val="bottom"/>
          </w:tcPr>
          <w:p>
            <w:pPr>
              <w:pStyle w:val="TableContents"/>
              <w:spacing w:before="0" w:after="0"/>
              <w:ind w:left="0" w:right="0" w:hanging="0"/>
              <w:jc w:val="left"/>
              <w:rPr/>
            </w:pPr>
            <w:r>
              <w:rPr/>
              <w:t> </w:t>
            </w:r>
          </w:p>
          <w:p>
            <w:pPr>
              <w:pStyle w:val="TableContents"/>
              <w:spacing w:before="0" w:after="0"/>
              <w:ind w:left="180" w:right="0" w:hanging="180"/>
              <w:jc w:val="left"/>
              <w:rPr>
                <w:rFonts w:ascii="times new roman" w:hAnsi="times new roman"/>
                <w:b/>
                <w:sz w:val="20"/>
              </w:rPr>
            </w:pPr>
            <w:r>
              <w:rPr>
                <w:rFonts w:ascii="times new roman" w:hAnsi="times new roman"/>
                <w:b/>
                <w:sz w:val="20"/>
              </w:rPr>
              <w:t>Operating revenue</w:t>
            </w:r>
          </w:p>
        </w:tc>
        <w:tc>
          <w:tcPr>
            <w:tcW w:w="103"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5936" w:type="dxa"/>
            <w:tcBorders/>
            <w:shd w:fill="CCEEFF" w:val="clear"/>
            <w:vAlign w:val="bottom"/>
          </w:tcPr>
          <w:p>
            <w:pPr>
              <w:pStyle w:val="TableContents"/>
              <w:spacing w:before="0" w:after="0"/>
              <w:ind w:left="180" w:right="0" w:hanging="0"/>
              <w:jc w:val="left"/>
              <w:rPr>
                <w:rFonts w:ascii="times new roman" w:hAnsi="times new roman"/>
                <w:sz w:val="20"/>
              </w:rPr>
            </w:pPr>
            <w:bookmarkStart w:id="1531" w:name="TAB1539"/>
            <w:bookmarkEnd w:id="1531"/>
            <w:r>
              <w:rPr>
                <w:rFonts w:ascii="times new roman" w:hAnsi="times new roman"/>
                <w:sz w:val="20"/>
              </w:rPr>
              <w:t>Cinema</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ind w:left="198" w:right="0" w:hanging="0"/>
              <w:jc w:val="right"/>
              <w:rPr>
                <w:rFonts w:ascii="times new roman" w:hAnsi="times new roman"/>
                <w:sz w:val="20"/>
              </w:rPr>
            </w:pPr>
            <w:bookmarkStart w:id="1532" w:name="TAB1540"/>
            <w:bookmarkEnd w:id="1532"/>
            <w:r>
              <w:rPr>
                <w:rFonts w:ascii="times new roman" w:hAnsi="times new roman"/>
                <w:sz w:val="20"/>
              </w:rPr>
              <w:t>201,388</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ind w:left="198" w:right="0" w:hanging="0"/>
              <w:jc w:val="right"/>
              <w:rPr>
                <w:rFonts w:ascii="times new roman" w:hAnsi="times new roman"/>
                <w:sz w:val="20"/>
              </w:rPr>
            </w:pPr>
            <w:bookmarkStart w:id="1533" w:name="TAB1541"/>
            <w:bookmarkEnd w:id="1533"/>
            <w:r>
              <w:rPr>
                <w:rFonts w:ascii="times new roman" w:hAnsi="times new roman"/>
                <w:sz w:val="20"/>
              </w:rPr>
              <w:t>181,188</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ind w:left="198" w:right="0" w:hanging="0"/>
              <w:jc w:val="right"/>
              <w:rPr>
                <w:rFonts w:ascii="times new roman" w:hAnsi="times new roman"/>
                <w:sz w:val="20"/>
              </w:rPr>
            </w:pPr>
            <w:bookmarkStart w:id="1534" w:name="TAB1542"/>
            <w:bookmarkEnd w:id="1534"/>
            <w:r>
              <w:rPr>
                <w:rFonts w:ascii="times new roman" w:hAnsi="times new roman"/>
                <w:sz w:val="20"/>
              </w:rPr>
              <w:t>103,467</w:t>
            </w:r>
          </w:p>
        </w:tc>
        <w:tc>
          <w:tcPr>
            <w:tcW w:w="125" w:type="dxa"/>
            <w:tcBorders/>
            <w:shd w:fill="CCEEFF" w:val="clear"/>
            <w:vAlign w:val="bottom"/>
          </w:tcPr>
          <w:p>
            <w:pPr>
              <w:pStyle w:val="TableContents"/>
              <w:spacing w:before="0" w:after="283"/>
              <w:jc w:val="left"/>
              <w:rPr/>
            </w:pPr>
            <w:r>
              <w:rPr/>
              <w:t> </w:t>
            </w:r>
          </w:p>
        </w:tc>
      </w:tr>
      <w:tr>
        <w:trPr/>
        <w:tc>
          <w:tcPr>
            <w:tcW w:w="5936" w:type="dxa"/>
            <w:tcBorders>
              <w:bottom w:val="single" w:sz="12" w:space="0" w:color="000000"/>
            </w:tcBorders>
            <w:shd w:fill="FFFFFF" w:val="clear"/>
            <w:tcMar>
              <w:bottom w:w="28" w:type="dxa"/>
            </w:tcMar>
            <w:vAlign w:val="bottom"/>
          </w:tcPr>
          <w:p>
            <w:pPr>
              <w:pStyle w:val="TableContents"/>
              <w:spacing w:before="0" w:after="0"/>
              <w:ind w:left="180" w:right="0" w:hanging="0"/>
              <w:jc w:val="left"/>
              <w:rPr>
                <w:rFonts w:ascii="times new roman" w:hAnsi="times new roman"/>
                <w:sz w:val="20"/>
              </w:rPr>
            </w:pPr>
            <w:bookmarkStart w:id="1535" w:name="TAB1543"/>
            <w:bookmarkEnd w:id="1535"/>
            <w:r>
              <w:rPr>
                <w:rFonts w:ascii="times new roman" w:hAnsi="times new roman"/>
                <w:sz w:val="20"/>
              </w:rPr>
              <w:t>Real estate</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257" w:right="0" w:hanging="0"/>
              <w:jc w:val="right"/>
              <w:rPr>
                <w:rFonts w:ascii="times new roman" w:hAnsi="times new roman"/>
                <w:sz w:val="20"/>
              </w:rPr>
            </w:pPr>
            <w:bookmarkStart w:id="1536" w:name="TAB1544"/>
            <w:bookmarkEnd w:id="1536"/>
            <w:r>
              <w:rPr>
                <w:rFonts w:ascii="times new roman" w:hAnsi="times new roman"/>
                <w:sz w:val="20"/>
              </w:rPr>
              <w:t>15,626</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257" w:right="0" w:hanging="0"/>
              <w:jc w:val="right"/>
              <w:rPr>
                <w:rFonts w:ascii="times new roman" w:hAnsi="times new roman"/>
                <w:sz w:val="20"/>
              </w:rPr>
            </w:pPr>
            <w:bookmarkStart w:id="1537" w:name="TAB1545"/>
            <w:bookmarkEnd w:id="1537"/>
            <w:r>
              <w:rPr>
                <w:rFonts w:ascii="times new roman" w:hAnsi="times new roman"/>
                <w:sz w:val="20"/>
              </w:rPr>
              <w:t>15,866</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257" w:right="0" w:hanging="0"/>
              <w:jc w:val="right"/>
              <w:rPr>
                <w:rFonts w:ascii="times new roman" w:hAnsi="times new roman"/>
                <w:sz w:val="20"/>
              </w:rPr>
            </w:pPr>
            <w:bookmarkStart w:id="1538" w:name="TAB1546"/>
            <w:bookmarkEnd w:id="1538"/>
            <w:r>
              <w:rPr>
                <w:rFonts w:ascii="times new roman" w:hAnsi="times new roman"/>
                <w:sz w:val="20"/>
              </w:rPr>
              <w:t>15,768</w:t>
            </w:r>
          </w:p>
        </w:tc>
        <w:tc>
          <w:tcPr>
            <w:tcW w:w="125" w:type="dxa"/>
            <w:tcBorders/>
            <w:shd w:fill="FFFFFF" w:val="clear"/>
            <w:vAlign w:val="bottom"/>
          </w:tcPr>
          <w:p>
            <w:pPr>
              <w:pStyle w:val="TableContents"/>
              <w:spacing w:before="0" w:after="283"/>
              <w:jc w:val="left"/>
              <w:rPr/>
            </w:pPr>
            <w:r>
              <w:rPr/>
              <w:t> </w:t>
            </w:r>
          </w:p>
        </w:tc>
      </w:tr>
      <w:tr>
        <w:trPr/>
        <w:tc>
          <w:tcPr>
            <w:tcW w:w="5936" w:type="dxa"/>
            <w:tcBorders>
              <w:bottom w:val="single" w:sz="12" w:space="0" w:color="000000"/>
            </w:tcBorders>
            <w:shd w:fill="CCEEFF" w:val="clear"/>
            <w:tcMar>
              <w:bottom w:w="28" w:type="dxa"/>
            </w:tcMar>
            <w:vAlign w:val="bottom"/>
          </w:tcPr>
          <w:p>
            <w:pPr>
              <w:pStyle w:val="TableContents"/>
              <w:spacing w:before="0" w:after="0"/>
              <w:ind w:left="360" w:right="0" w:hanging="0"/>
              <w:jc w:val="left"/>
              <w:rPr>
                <w:rFonts w:ascii="times new roman" w:hAnsi="times new roman"/>
                <w:sz w:val="20"/>
              </w:rPr>
            </w:pPr>
            <w:bookmarkStart w:id="1539" w:name="TAB1547"/>
            <w:bookmarkEnd w:id="1539"/>
            <w:r>
              <w:rPr>
                <w:rFonts w:ascii="times new roman" w:hAnsi="times new roman"/>
                <w:sz w:val="20"/>
              </w:rPr>
              <w:t>Total operating revenue</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124" w:right="0" w:hanging="0"/>
              <w:jc w:val="right"/>
              <w:rPr>
                <w:rFonts w:ascii="times new roman" w:hAnsi="times new roman"/>
                <w:sz w:val="20"/>
              </w:rPr>
            </w:pPr>
            <w:bookmarkStart w:id="1540" w:name="TAB1548"/>
            <w:bookmarkEnd w:id="1540"/>
            <w:r>
              <w:rPr>
                <w:rFonts w:ascii="times new roman" w:hAnsi="times new roman"/>
                <w:sz w:val="20"/>
              </w:rPr>
              <w:t>217,014</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124" w:right="0" w:hanging="0"/>
              <w:jc w:val="right"/>
              <w:rPr>
                <w:rFonts w:ascii="times new roman" w:hAnsi="times new roman"/>
                <w:sz w:val="20"/>
              </w:rPr>
            </w:pPr>
            <w:bookmarkStart w:id="1541" w:name="TAB1549"/>
            <w:bookmarkEnd w:id="1541"/>
            <w:r>
              <w:rPr>
                <w:rFonts w:ascii="times new roman" w:hAnsi="times new roman"/>
                <w:sz w:val="20"/>
              </w:rPr>
              <w:t>197,054</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124" w:right="0" w:hanging="0"/>
              <w:jc w:val="right"/>
              <w:rPr>
                <w:rFonts w:ascii="times new roman" w:hAnsi="times new roman"/>
                <w:sz w:val="20"/>
              </w:rPr>
            </w:pPr>
            <w:bookmarkStart w:id="1542" w:name="TAB1550"/>
            <w:bookmarkEnd w:id="1542"/>
            <w:r>
              <w:rPr>
                <w:rFonts w:ascii="times new roman" w:hAnsi="times new roman"/>
                <w:sz w:val="20"/>
              </w:rPr>
              <w:t>119,235</w:t>
            </w:r>
          </w:p>
        </w:tc>
        <w:tc>
          <w:tcPr>
            <w:tcW w:w="125" w:type="dxa"/>
            <w:tcBorders/>
            <w:shd w:fill="CCEE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0"/>
              <w:ind w:left="0" w:right="0" w:hanging="0"/>
              <w:jc w:val="left"/>
              <w:rPr/>
            </w:pPr>
            <w:r>
              <w:rPr/>
              <w:t> </w:t>
            </w:r>
          </w:p>
          <w:p>
            <w:pPr>
              <w:pStyle w:val="TableContents"/>
              <w:spacing w:before="0" w:after="0"/>
              <w:ind w:left="180" w:right="0" w:hanging="180"/>
              <w:jc w:val="left"/>
              <w:rPr>
                <w:rFonts w:ascii="times new roman" w:hAnsi="times new roman"/>
                <w:b/>
                <w:sz w:val="20"/>
              </w:rPr>
            </w:pPr>
            <w:r>
              <w:rPr>
                <w:rFonts w:ascii="times new roman" w:hAnsi="times new roman"/>
                <w:b/>
                <w:sz w:val="20"/>
              </w:rPr>
              <w:t>Operating expense</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CCEEFF" w:val="clear"/>
            <w:vAlign w:val="bottom"/>
          </w:tcPr>
          <w:p>
            <w:pPr>
              <w:pStyle w:val="TableContents"/>
              <w:spacing w:before="0" w:after="0"/>
              <w:ind w:left="180" w:right="0" w:hanging="0"/>
              <w:jc w:val="left"/>
              <w:rPr>
                <w:rFonts w:ascii="times new roman" w:hAnsi="times new roman"/>
                <w:sz w:val="20"/>
              </w:rPr>
            </w:pPr>
            <w:bookmarkStart w:id="1543" w:name="TAB1551"/>
            <w:bookmarkEnd w:id="1543"/>
            <w:r>
              <w:rPr>
                <w:rFonts w:ascii="times new roman" w:hAnsi="times new roman"/>
                <w:sz w:val="20"/>
              </w:rPr>
              <w:t>Cinema</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214" w:right="0" w:hanging="0"/>
              <w:jc w:val="right"/>
              <w:rPr>
                <w:rFonts w:ascii="times new roman" w:hAnsi="times new roman"/>
                <w:sz w:val="20"/>
              </w:rPr>
            </w:pPr>
            <w:bookmarkStart w:id="1544" w:name="TAB1552"/>
            <w:bookmarkEnd w:id="1544"/>
            <w:r>
              <w:rPr>
                <w:rFonts w:ascii="times new roman" w:hAnsi="times new roman"/>
                <w:sz w:val="20"/>
              </w:rPr>
              <w:t>156,064</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214" w:right="0" w:hanging="0"/>
              <w:jc w:val="right"/>
              <w:rPr>
                <w:rFonts w:ascii="times new roman" w:hAnsi="times new roman"/>
                <w:sz w:val="20"/>
              </w:rPr>
            </w:pPr>
            <w:bookmarkStart w:id="1545" w:name="TAB1553"/>
            <w:bookmarkEnd w:id="1545"/>
            <w:r>
              <w:rPr>
                <w:rFonts w:ascii="times new roman" w:hAnsi="times new roman"/>
                <w:sz w:val="20"/>
              </w:rPr>
              <w:t>145,236</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347" w:right="0" w:hanging="0"/>
              <w:jc w:val="right"/>
              <w:rPr>
                <w:rFonts w:ascii="times new roman" w:hAnsi="times new roman"/>
                <w:sz w:val="20"/>
              </w:rPr>
            </w:pPr>
            <w:bookmarkStart w:id="1546" w:name="TAB1554"/>
            <w:bookmarkEnd w:id="1546"/>
            <w:r>
              <w:rPr>
                <w:rFonts w:ascii="times new roman" w:hAnsi="times new roman"/>
                <w:sz w:val="20"/>
              </w:rPr>
              <w:t>77,756</w:t>
            </w:r>
          </w:p>
        </w:tc>
        <w:tc>
          <w:tcPr>
            <w:tcW w:w="125" w:type="dxa"/>
            <w:tcBorders/>
            <w:shd w:fill="CCEE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0"/>
              <w:ind w:left="180" w:right="0" w:hanging="0"/>
              <w:jc w:val="left"/>
              <w:rPr>
                <w:rFonts w:ascii="times new roman" w:hAnsi="times new roman"/>
                <w:sz w:val="20"/>
              </w:rPr>
            </w:pPr>
            <w:bookmarkStart w:id="1547" w:name="TAB1555"/>
            <w:bookmarkEnd w:id="1547"/>
            <w:r>
              <w:rPr>
                <w:rFonts w:ascii="times new roman" w:hAnsi="times new roman"/>
                <w:sz w:val="20"/>
              </w:rPr>
              <w:t>Real estate</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347" w:right="0" w:hanging="0"/>
              <w:jc w:val="right"/>
              <w:rPr>
                <w:rFonts w:ascii="times new roman" w:hAnsi="times new roman"/>
                <w:sz w:val="20"/>
              </w:rPr>
            </w:pPr>
            <w:bookmarkStart w:id="1548" w:name="TAB1556"/>
            <w:bookmarkEnd w:id="1548"/>
            <w:r>
              <w:rPr>
                <w:rFonts w:ascii="times new roman" w:hAnsi="times new roman"/>
                <w:sz w:val="20"/>
              </w:rPr>
              <w:t>11,994</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481" w:right="0" w:hanging="0"/>
              <w:jc w:val="right"/>
              <w:rPr>
                <w:rFonts w:ascii="times new roman" w:hAnsi="times new roman"/>
                <w:sz w:val="20"/>
              </w:rPr>
            </w:pPr>
            <w:bookmarkStart w:id="1549" w:name="TAB1557"/>
            <w:bookmarkEnd w:id="1549"/>
            <w:r>
              <w:rPr>
                <w:rFonts w:ascii="times new roman" w:hAnsi="times new roman"/>
                <w:sz w:val="20"/>
              </w:rPr>
              <w:t>9,791</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391" w:right="0" w:hanging="0"/>
              <w:jc w:val="right"/>
              <w:rPr>
                <w:rFonts w:ascii="times new roman" w:hAnsi="times new roman"/>
                <w:sz w:val="20"/>
              </w:rPr>
            </w:pPr>
            <w:bookmarkStart w:id="1550" w:name="TAB1558"/>
            <w:bookmarkEnd w:id="1550"/>
            <w:r>
              <w:rPr>
                <w:rFonts w:ascii="times new roman" w:hAnsi="times new roman"/>
                <w:sz w:val="20"/>
              </w:rPr>
              <w:t>8,324</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CCEEFF" w:val="clear"/>
            <w:vAlign w:val="bottom"/>
          </w:tcPr>
          <w:p>
            <w:pPr>
              <w:pStyle w:val="TableContents"/>
              <w:spacing w:before="0" w:after="0"/>
              <w:ind w:left="180" w:right="0" w:hanging="0"/>
              <w:jc w:val="left"/>
              <w:rPr>
                <w:rFonts w:ascii="times new roman" w:hAnsi="times new roman"/>
                <w:sz w:val="20"/>
              </w:rPr>
            </w:pPr>
            <w:bookmarkStart w:id="1551" w:name="TAB1559"/>
            <w:bookmarkEnd w:id="1551"/>
            <w:r>
              <w:rPr>
                <w:rFonts w:ascii="times new roman" w:hAnsi="times new roman"/>
                <w:sz w:val="20"/>
              </w:rPr>
              <w:t>Depreciation and amortization</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347" w:right="0" w:hanging="0"/>
              <w:jc w:val="right"/>
              <w:rPr>
                <w:rFonts w:ascii="times new roman" w:hAnsi="times new roman"/>
                <w:sz w:val="20"/>
              </w:rPr>
            </w:pPr>
            <w:bookmarkStart w:id="1552" w:name="TAB1560"/>
            <w:bookmarkEnd w:id="1552"/>
            <w:r>
              <w:rPr>
                <w:rFonts w:ascii="times new roman" w:hAnsi="times new roman"/>
                <w:sz w:val="20"/>
              </w:rPr>
              <w:t>15,168</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347" w:right="0" w:hanging="0"/>
              <w:jc w:val="right"/>
              <w:rPr>
                <w:rFonts w:ascii="times new roman" w:hAnsi="times new roman"/>
                <w:sz w:val="20"/>
              </w:rPr>
            </w:pPr>
            <w:bookmarkStart w:id="1553" w:name="TAB1561"/>
            <w:bookmarkEnd w:id="1553"/>
            <w:r>
              <w:rPr>
                <w:rFonts w:ascii="times new roman" w:hAnsi="times new roman"/>
                <w:sz w:val="20"/>
              </w:rPr>
              <w:t>18,558</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257" w:right="0" w:hanging="0"/>
              <w:jc w:val="right"/>
              <w:rPr>
                <w:rFonts w:ascii="times new roman" w:hAnsi="times new roman"/>
                <w:sz w:val="20"/>
              </w:rPr>
            </w:pPr>
            <w:bookmarkStart w:id="1554" w:name="TAB1562"/>
            <w:bookmarkEnd w:id="1554"/>
            <w:r>
              <w:rPr>
                <w:rFonts w:ascii="times new roman" w:hAnsi="times new roman"/>
                <w:sz w:val="20"/>
              </w:rPr>
              <w:t>11,921</w:t>
            </w:r>
          </w:p>
        </w:tc>
        <w:tc>
          <w:tcPr>
            <w:tcW w:w="125" w:type="dxa"/>
            <w:tcBorders/>
            <w:shd w:fill="CCEE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0"/>
              <w:ind w:left="180" w:right="0" w:hanging="0"/>
              <w:jc w:val="left"/>
              <w:rPr>
                <w:rFonts w:ascii="times new roman" w:hAnsi="times new roman"/>
                <w:sz w:val="20"/>
              </w:rPr>
            </w:pPr>
            <w:bookmarkStart w:id="1555" w:name="TAB1563"/>
            <w:bookmarkEnd w:id="1555"/>
            <w:r>
              <w:rPr>
                <w:rFonts w:ascii="times new roman" w:hAnsi="times new roman"/>
                <w:sz w:val="20"/>
              </w:rPr>
              <w:t>Loss on transfer of real estate held for sale to continuing operations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681" w:right="0" w:hanging="0"/>
              <w:jc w:val="right"/>
              <w:rPr>
                <w:rFonts w:ascii="times new roman" w:hAnsi="times new roman"/>
                <w:sz w:val="20"/>
              </w:rPr>
            </w:pPr>
            <w:bookmarkStart w:id="1556" w:name="TAB1564"/>
            <w:bookmarkEnd w:id="1556"/>
            <w:r>
              <w:rPr>
                <w:rFonts w:ascii="times new roman" w:hAnsi="times new roman"/>
                <w:sz w:val="20"/>
              </w:rPr>
              <w:t>549</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903" w:right="0" w:hanging="0"/>
              <w:jc w:val="right"/>
              <w:rPr>
                <w:rFonts w:ascii="times new roman" w:hAnsi="times new roman"/>
                <w:sz w:val="20"/>
              </w:rPr>
            </w:pPr>
            <w:bookmarkStart w:id="1557" w:name="TAB1565"/>
            <w:bookmarkEnd w:id="1557"/>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813" w:right="0" w:hanging="0"/>
              <w:jc w:val="right"/>
              <w:rPr>
                <w:rFonts w:ascii="times new roman" w:hAnsi="times new roman"/>
                <w:sz w:val="20"/>
              </w:rPr>
            </w:pPr>
            <w:bookmarkStart w:id="1558" w:name="TAB1566"/>
            <w:bookmarkEnd w:id="1558"/>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CCEEFF" w:val="clear"/>
            <w:vAlign w:val="bottom"/>
          </w:tcPr>
          <w:p>
            <w:pPr>
              <w:pStyle w:val="TableContents"/>
              <w:spacing w:before="0" w:after="0"/>
              <w:ind w:left="180" w:right="0" w:hanging="0"/>
              <w:jc w:val="left"/>
              <w:rPr>
                <w:rFonts w:ascii="times new roman" w:hAnsi="times new roman"/>
                <w:sz w:val="20"/>
              </w:rPr>
            </w:pPr>
            <w:bookmarkStart w:id="1559" w:name="TAB1567"/>
            <w:bookmarkEnd w:id="1559"/>
            <w:r>
              <w:rPr>
                <w:rFonts w:ascii="times new roman" w:hAnsi="times new roman"/>
                <w:sz w:val="20"/>
              </w:rPr>
              <w:t>Impairment expense</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481" w:right="0" w:hanging="0"/>
              <w:jc w:val="right"/>
              <w:rPr>
                <w:rFonts w:ascii="times new roman" w:hAnsi="times new roman"/>
                <w:sz w:val="20"/>
              </w:rPr>
            </w:pPr>
            <w:bookmarkStart w:id="1560" w:name="TAB1568"/>
            <w:bookmarkEnd w:id="1560"/>
            <w:r>
              <w:rPr>
                <w:rFonts w:ascii="times new roman" w:hAnsi="times new roman"/>
                <w:sz w:val="20"/>
              </w:rPr>
              <w:t>3,217</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481" w:right="0" w:hanging="0"/>
              <w:jc w:val="right"/>
              <w:rPr>
                <w:rFonts w:ascii="times new roman" w:hAnsi="times new roman"/>
                <w:sz w:val="20"/>
              </w:rPr>
            </w:pPr>
            <w:bookmarkStart w:id="1561" w:name="TAB1569"/>
            <w:bookmarkEnd w:id="1561"/>
            <w:r>
              <w:rPr>
                <w:rFonts w:ascii="times new roman" w:hAnsi="times new roman"/>
                <w:sz w:val="20"/>
              </w:rPr>
              <w:t>4,319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813" w:right="0" w:hanging="0"/>
              <w:jc w:val="right"/>
              <w:rPr>
                <w:rFonts w:ascii="times new roman" w:hAnsi="times new roman"/>
                <w:sz w:val="20"/>
              </w:rPr>
            </w:pPr>
            <w:bookmarkStart w:id="1562" w:name="TAB1570"/>
            <w:bookmarkEnd w:id="1562"/>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0"/>
              <w:ind w:left="180" w:right="0" w:hanging="0"/>
              <w:jc w:val="left"/>
              <w:rPr>
                <w:rFonts w:ascii="times new roman" w:hAnsi="times new roman"/>
                <w:sz w:val="20"/>
              </w:rPr>
            </w:pPr>
            <w:bookmarkStart w:id="1563" w:name="TAB1571"/>
            <w:bookmarkEnd w:id="1563"/>
            <w:r>
              <w:rPr>
                <w:rFonts w:ascii="times new roman" w:hAnsi="times new roman"/>
                <w:sz w:val="20"/>
              </w:rPr>
              <w:t>Contractual commitment loss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481" w:right="0" w:hanging="0"/>
              <w:jc w:val="right"/>
              <w:rPr>
                <w:rFonts w:ascii="times new roman" w:hAnsi="times new roman"/>
                <w:sz w:val="20"/>
              </w:rPr>
            </w:pPr>
            <w:bookmarkStart w:id="1564" w:name="TAB1572"/>
            <w:bookmarkEnd w:id="1564"/>
            <w:r>
              <w:rPr>
                <w:rFonts w:ascii="times new roman" w:hAnsi="times new roman"/>
                <w:sz w:val="20"/>
              </w:rPr>
              <w:t>1,092</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903" w:right="0" w:hanging="0"/>
              <w:jc w:val="right"/>
              <w:rPr>
                <w:rFonts w:ascii="times new roman" w:hAnsi="times new roman"/>
                <w:sz w:val="20"/>
              </w:rPr>
            </w:pPr>
            <w:bookmarkStart w:id="1565" w:name="TAB1573"/>
            <w:bookmarkEnd w:id="1565"/>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813" w:right="0" w:hanging="0"/>
              <w:jc w:val="right"/>
              <w:rPr>
                <w:rFonts w:ascii="times new roman" w:hAnsi="times new roman"/>
                <w:sz w:val="20"/>
              </w:rPr>
            </w:pPr>
            <w:bookmarkStart w:id="1566" w:name="TAB1574"/>
            <w:bookmarkEnd w:id="1566"/>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CCEEFF" w:val="clear"/>
            <w:vAlign w:val="bottom"/>
          </w:tcPr>
          <w:p>
            <w:pPr>
              <w:pStyle w:val="TableContents"/>
              <w:spacing w:before="0" w:after="0"/>
              <w:ind w:left="180" w:right="0" w:hanging="0"/>
              <w:jc w:val="left"/>
              <w:rPr>
                <w:rFonts w:ascii="times new roman" w:hAnsi="times new roman"/>
                <w:sz w:val="20"/>
              </w:rPr>
            </w:pPr>
            <w:bookmarkStart w:id="1567" w:name="TAB1575"/>
            <w:bookmarkEnd w:id="1567"/>
            <w:r>
              <w:rPr>
                <w:rFonts w:ascii="times new roman" w:hAnsi="times new roman"/>
                <w:sz w:val="20"/>
              </w:rPr>
              <w:t>General and administrative</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347" w:right="0" w:hanging="0"/>
              <w:jc w:val="right"/>
              <w:rPr>
                <w:rFonts w:ascii="times new roman" w:hAnsi="times new roman"/>
                <w:sz w:val="20"/>
              </w:rPr>
            </w:pPr>
            <w:bookmarkStart w:id="1568" w:name="TAB1576"/>
            <w:bookmarkEnd w:id="1568"/>
            <w:r>
              <w:rPr>
                <w:rFonts w:ascii="times new roman" w:hAnsi="times new roman"/>
                <w:sz w:val="20"/>
              </w:rPr>
              <w:t>17,559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347" w:right="0" w:hanging="0"/>
              <w:jc w:val="right"/>
              <w:rPr>
                <w:rFonts w:ascii="times new roman" w:hAnsi="times new roman"/>
                <w:sz w:val="20"/>
              </w:rPr>
            </w:pPr>
            <w:bookmarkStart w:id="1569" w:name="TAB1577"/>
            <w:bookmarkEnd w:id="1569"/>
            <w:r>
              <w:rPr>
                <w:rFonts w:ascii="times new roman" w:hAnsi="times new roman"/>
                <w:sz w:val="20"/>
              </w:rPr>
              <w:t>21,438</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257" w:right="0" w:hanging="0"/>
              <w:jc w:val="right"/>
              <w:rPr>
                <w:rFonts w:ascii="times new roman" w:hAnsi="times new roman"/>
                <w:sz w:val="20"/>
              </w:rPr>
            </w:pPr>
            <w:bookmarkStart w:id="1570" w:name="TAB1578"/>
            <w:bookmarkEnd w:id="1570"/>
            <w:r>
              <w:rPr>
                <w:rFonts w:ascii="times new roman" w:hAnsi="times new roman"/>
                <w:sz w:val="20"/>
              </w:rPr>
              <w:t>16,085</w:t>
            </w:r>
          </w:p>
        </w:tc>
        <w:tc>
          <w:tcPr>
            <w:tcW w:w="125" w:type="dxa"/>
            <w:tcBorders/>
            <w:shd w:fill="CCEEFF" w:val="clear"/>
            <w:vAlign w:val="bottom"/>
          </w:tcPr>
          <w:p>
            <w:pPr>
              <w:pStyle w:val="TableContents"/>
              <w:spacing w:before="0" w:after="283"/>
              <w:jc w:val="left"/>
              <w:rPr/>
            </w:pPr>
            <w:r>
              <w:rPr/>
              <w:t> </w:t>
            </w:r>
          </w:p>
        </w:tc>
      </w:tr>
      <w:tr>
        <w:trPr/>
        <w:tc>
          <w:tcPr>
            <w:tcW w:w="5936" w:type="dxa"/>
            <w:tcBorders>
              <w:bottom w:val="single" w:sz="12" w:space="0" w:color="000000"/>
            </w:tcBorders>
            <w:shd w:fill="FFFFFF" w:val="clear"/>
            <w:tcMar>
              <w:bottom w:w="28" w:type="dxa"/>
            </w:tcMar>
            <w:vAlign w:val="bottom"/>
          </w:tcPr>
          <w:p>
            <w:pPr>
              <w:pStyle w:val="TableContents"/>
              <w:spacing w:before="0" w:after="0"/>
              <w:ind w:left="0" w:right="0" w:hanging="0"/>
              <w:jc w:val="left"/>
              <w:rPr/>
            </w:pPr>
            <w:r>
              <w:rPr/>
              <w:t>           </w:t>
            </w:r>
            <w:r>
              <w:rPr>
                <w:rFonts w:ascii="times new roman" w:hAnsi="times new roman"/>
                <w:sz w:val="20"/>
              </w:rPr>
              <w:t>Other operating income</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303" w:right="0" w:hanging="0"/>
              <w:jc w:val="right"/>
              <w:rPr>
                <w:rFonts w:ascii="times new roman" w:hAnsi="times new roman"/>
                <w:sz w:val="20"/>
              </w:rPr>
            </w:pPr>
            <w:bookmarkStart w:id="1571" w:name="TAB1579"/>
            <w:bookmarkEnd w:id="1571"/>
            <w:r>
              <w:rPr>
                <w:rFonts w:ascii="times new roman" w:hAnsi="times new roman"/>
                <w:sz w:val="20"/>
              </w:rPr>
              <w:t>(2,551</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903" w:right="0" w:hanging="0"/>
              <w:jc w:val="right"/>
              <w:rPr>
                <w:rFonts w:ascii="times new roman" w:hAnsi="times new roman"/>
                <w:sz w:val="20"/>
              </w:rPr>
            </w:pPr>
            <w:bookmarkStart w:id="1572" w:name="TAB1580"/>
            <w:bookmarkEnd w:id="1572"/>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813" w:right="0" w:hanging="0"/>
              <w:jc w:val="right"/>
              <w:rPr>
                <w:rFonts w:ascii="times new roman" w:hAnsi="times new roman"/>
                <w:sz w:val="20"/>
              </w:rPr>
            </w:pPr>
            <w:bookmarkStart w:id="1573" w:name="TAB1581"/>
            <w:bookmarkEnd w:id="1573"/>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5936" w:type="dxa"/>
            <w:tcBorders>
              <w:bottom w:val="single" w:sz="12" w:space="0" w:color="000000"/>
            </w:tcBorders>
            <w:shd w:fill="CCEEFF" w:val="clear"/>
            <w:tcMar>
              <w:bottom w:w="28" w:type="dxa"/>
            </w:tcMar>
            <w:vAlign w:val="bottom"/>
          </w:tcPr>
          <w:p>
            <w:pPr>
              <w:pStyle w:val="TableContents"/>
              <w:spacing w:before="0" w:after="0"/>
              <w:ind w:left="345" w:right="0" w:hanging="0"/>
              <w:jc w:val="left"/>
              <w:rPr>
                <w:rFonts w:ascii="times new roman" w:hAnsi="times new roman"/>
                <w:sz w:val="20"/>
              </w:rPr>
            </w:pPr>
            <w:bookmarkStart w:id="1574" w:name="TAB1582"/>
            <w:bookmarkEnd w:id="1574"/>
            <w:r>
              <w:rPr>
                <w:rFonts w:ascii="times new roman" w:hAnsi="times new roman"/>
                <w:sz w:val="20"/>
              </w:rPr>
              <w:t>Total operating expense</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214" w:right="0" w:hanging="0"/>
              <w:jc w:val="right"/>
              <w:rPr>
                <w:rFonts w:ascii="times new roman" w:hAnsi="times new roman"/>
                <w:sz w:val="20"/>
              </w:rPr>
            </w:pPr>
            <w:bookmarkStart w:id="1575" w:name="TAB1583"/>
            <w:bookmarkEnd w:id="1575"/>
            <w:r>
              <w:rPr>
                <w:rFonts w:ascii="times new roman" w:hAnsi="times new roman"/>
                <w:sz w:val="20"/>
              </w:rPr>
              <w:t>203,092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214" w:right="0" w:hanging="0"/>
              <w:jc w:val="right"/>
              <w:rPr>
                <w:rFonts w:ascii="times new roman" w:hAnsi="times new roman"/>
                <w:sz w:val="20"/>
              </w:rPr>
            </w:pPr>
            <w:bookmarkStart w:id="1576" w:name="TAB1584"/>
            <w:bookmarkEnd w:id="1576"/>
            <w:r>
              <w:rPr>
                <w:rFonts w:ascii="times new roman" w:hAnsi="times new roman"/>
                <w:sz w:val="20"/>
              </w:rPr>
              <w:t>199,342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124" w:right="0" w:hanging="0"/>
              <w:jc w:val="right"/>
              <w:rPr>
                <w:rFonts w:ascii="times new roman" w:hAnsi="times new roman"/>
                <w:sz w:val="20"/>
              </w:rPr>
            </w:pPr>
            <w:bookmarkStart w:id="1577" w:name="TAB1585"/>
            <w:bookmarkEnd w:id="1577"/>
            <w:r>
              <w:rPr>
                <w:rFonts w:ascii="times new roman" w:hAnsi="times new roman"/>
                <w:sz w:val="20"/>
              </w:rPr>
              <w:t>114,086</w:t>
            </w:r>
          </w:p>
        </w:tc>
        <w:tc>
          <w:tcPr>
            <w:tcW w:w="125" w:type="dxa"/>
            <w:tcBorders/>
            <w:shd w:fill="CCEE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Operating income (loss)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347" w:right="0" w:hanging="0"/>
              <w:jc w:val="right"/>
              <w:rPr>
                <w:rFonts w:ascii="times new roman" w:hAnsi="times new roman"/>
                <w:sz w:val="20"/>
              </w:rPr>
            </w:pPr>
            <w:bookmarkStart w:id="1578" w:name="TAB1586"/>
            <w:bookmarkEnd w:id="1578"/>
            <w:r>
              <w:rPr>
                <w:rFonts w:ascii="times new roman" w:hAnsi="times new roman"/>
                <w:sz w:val="20"/>
              </w:rPr>
              <w:t>13,922</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303" w:right="0" w:hanging="0"/>
              <w:jc w:val="right"/>
              <w:rPr>
                <w:rFonts w:ascii="times new roman" w:hAnsi="times new roman"/>
                <w:sz w:val="20"/>
              </w:rPr>
            </w:pPr>
            <w:bookmarkStart w:id="1579" w:name="TAB1587"/>
            <w:bookmarkEnd w:id="1579"/>
            <w:r>
              <w:rPr>
                <w:rFonts w:ascii="times new roman" w:hAnsi="times new roman"/>
                <w:sz w:val="20"/>
              </w:rPr>
              <w:t>(2,288</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391" w:right="0" w:hanging="0"/>
              <w:jc w:val="right"/>
              <w:rPr>
                <w:rFonts w:ascii="times new roman" w:hAnsi="times new roman"/>
                <w:sz w:val="20"/>
              </w:rPr>
            </w:pPr>
            <w:bookmarkStart w:id="1580" w:name="TAB1588"/>
            <w:bookmarkEnd w:id="1580"/>
            <w:r>
              <w:rPr>
                <w:rFonts w:ascii="times new roman" w:hAnsi="times new roman"/>
                <w:sz w:val="20"/>
              </w:rPr>
              <w:t>5,149</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481" w:right="0" w:hanging="0"/>
              <w:jc w:val="right"/>
              <w:rPr>
                <w:rFonts w:ascii="times new roman" w:hAnsi="times new roman"/>
                <w:sz w:val="20"/>
              </w:rPr>
            </w:pPr>
            <w:bookmarkStart w:id="1581" w:name="TAB1589"/>
            <w:bookmarkEnd w:id="1581"/>
            <w:r>
              <w:rPr>
                <w:rFonts w:ascii="times new roman" w:hAnsi="times new roman"/>
                <w:sz w:val="20"/>
              </w:rPr>
              <w:t>1,154</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481" w:right="0" w:hanging="0"/>
              <w:jc w:val="right"/>
              <w:rPr>
                <w:rFonts w:ascii="times new roman" w:hAnsi="times new roman"/>
                <w:sz w:val="20"/>
              </w:rPr>
            </w:pPr>
            <w:bookmarkStart w:id="1582" w:name="TAB1590"/>
            <w:bookmarkEnd w:id="1582"/>
            <w:r>
              <w:rPr>
                <w:rFonts w:ascii="times new roman" w:hAnsi="times new roman"/>
                <w:sz w:val="20"/>
              </w:rPr>
              <w:t>1,009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591" w:right="0" w:hanging="0"/>
              <w:jc w:val="right"/>
              <w:rPr>
                <w:rFonts w:ascii="times new roman" w:hAnsi="times new roman"/>
                <w:sz w:val="20"/>
              </w:rPr>
            </w:pPr>
            <w:bookmarkStart w:id="1583" w:name="TAB1591"/>
            <w:bookmarkEnd w:id="1583"/>
            <w:r>
              <w:rPr>
                <w:rFonts w:ascii="times new roman" w:hAnsi="times new roman"/>
                <w:sz w:val="20"/>
              </w:rPr>
              <w:t>798</w:t>
            </w:r>
          </w:p>
        </w:tc>
        <w:tc>
          <w:tcPr>
            <w:tcW w:w="125" w:type="dxa"/>
            <w:tcBorders/>
            <w:shd w:fill="CCEE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170" w:right="0" w:hanging="0"/>
              <w:jc w:val="right"/>
              <w:rPr>
                <w:rFonts w:ascii="times new roman" w:hAnsi="times new roman"/>
                <w:sz w:val="20"/>
              </w:rPr>
            </w:pPr>
            <w:bookmarkStart w:id="1584" w:name="TAB1592"/>
            <w:bookmarkEnd w:id="1584"/>
            <w:r>
              <w:rPr>
                <w:rFonts w:ascii="times new roman" w:hAnsi="times new roman"/>
                <w:sz w:val="20"/>
              </w:rPr>
              <w:t>(15,726</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170" w:right="0" w:hanging="0"/>
              <w:jc w:val="right"/>
              <w:rPr>
                <w:rFonts w:ascii="times new roman" w:hAnsi="times new roman"/>
                <w:sz w:val="20"/>
              </w:rPr>
            </w:pPr>
            <w:bookmarkStart w:id="1585" w:name="TAB1593"/>
            <w:bookmarkEnd w:id="1585"/>
            <w:r>
              <w:rPr>
                <w:rFonts w:ascii="times new roman" w:hAnsi="times new roman"/>
                <w:sz w:val="20"/>
              </w:rPr>
              <w:t>(16,749</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213" w:right="0" w:hanging="0"/>
              <w:jc w:val="right"/>
              <w:rPr>
                <w:rFonts w:ascii="times new roman" w:hAnsi="times new roman"/>
                <w:sz w:val="20"/>
              </w:rPr>
            </w:pPr>
            <w:bookmarkStart w:id="1586" w:name="TAB1594"/>
            <w:bookmarkEnd w:id="1586"/>
            <w:r>
              <w:rPr>
                <w:rFonts w:ascii="times new roman" w:hAnsi="times new roman"/>
                <w:sz w:val="20"/>
              </w:rPr>
              <w:t>(8,961</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extinguishment of debt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347" w:right="0" w:hanging="0"/>
              <w:jc w:val="right"/>
              <w:rPr>
                <w:rFonts w:ascii="times new roman" w:hAnsi="times new roman"/>
                <w:sz w:val="20"/>
              </w:rPr>
            </w:pPr>
            <w:bookmarkStart w:id="1587" w:name="TAB1595"/>
            <w:bookmarkEnd w:id="1587"/>
            <w:r>
              <w:rPr>
                <w:rFonts w:ascii="times new roman" w:hAnsi="times new roman"/>
                <w:sz w:val="20"/>
              </w:rPr>
              <w:t>10,714</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903" w:right="0" w:hanging="0"/>
              <w:jc w:val="right"/>
              <w:rPr>
                <w:rFonts w:ascii="times new roman" w:hAnsi="times new roman"/>
                <w:sz w:val="20"/>
              </w:rPr>
            </w:pPr>
            <w:bookmarkStart w:id="1588" w:name="TAB1596"/>
            <w:bookmarkEnd w:id="1588"/>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813" w:right="0" w:hanging="0"/>
              <w:jc w:val="right"/>
              <w:rPr>
                <w:rFonts w:ascii="times new roman" w:hAnsi="times new roman"/>
                <w:sz w:val="20"/>
              </w:rPr>
            </w:pPr>
            <w:bookmarkStart w:id="1589" w:name="TAB1597"/>
            <w:bookmarkEnd w:id="1589"/>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gain (loss) on sale of assets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770" w:right="0" w:hanging="0"/>
              <w:jc w:val="right"/>
              <w:rPr>
                <w:rFonts w:ascii="times new roman" w:hAnsi="times new roman"/>
                <w:sz w:val="20"/>
              </w:rPr>
            </w:pPr>
            <w:bookmarkStart w:id="1590" w:name="TAB1598"/>
            <w:bookmarkEnd w:id="1590"/>
            <w:r>
              <w:rPr>
                <w:rFonts w:ascii="times new roman" w:hAnsi="times new roman"/>
                <w:sz w:val="20"/>
              </w:rPr>
              <w:t>(2</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903" w:right="0" w:hanging="0"/>
              <w:jc w:val="right"/>
              <w:rPr>
                <w:rFonts w:ascii="times new roman" w:hAnsi="times new roman"/>
                <w:sz w:val="20"/>
              </w:rPr>
            </w:pPr>
            <w:bookmarkStart w:id="1591" w:name="TAB1599"/>
            <w:bookmarkEnd w:id="1591"/>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413" w:right="0" w:hanging="0"/>
              <w:jc w:val="right"/>
              <w:rPr>
                <w:rFonts w:ascii="times new roman" w:hAnsi="times new roman"/>
                <w:sz w:val="20"/>
              </w:rPr>
            </w:pPr>
            <w:bookmarkStart w:id="1592" w:name="TAB1600"/>
            <w:bookmarkEnd w:id="1592"/>
            <w:r>
              <w:rPr>
                <w:rFonts w:ascii="times new roman" w:hAnsi="times new roman"/>
                <w:sz w:val="20"/>
              </w:rPr>
              <w:t>(185</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303" w:right="0" w:hanging="0"/>
              <w:jc w:val="right"/>
              <w:rPr>
                <w:rFonts w:ascii="times new roman" w:hAnsi="times new roman"/>
                <w:sz w:val="20"/>
              </w:rPr>
            </w:pPr>
            <w:bookmarkStart w:id="1593" w:name="TAB1601"/>
            <w:bookmarkEnd w:id="1593"/>
            <w:r>
              <w:rPr>
                <w:rFonts w:ascii="times new roman" w:hAnsi="times new roman"/>
                <w:sz w:val="20"/>
              </w:rPr>
              <w:t>(2,013</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681" w:right="0" w:hanging="0"/>
              <w:jc w:val="right"/>
              <w:rPr>
                <w:rFonts w:ascii="times new roman" w:hAnsi="times new roman"/>
                <w:sz w:val="20"/>
              </w:rPr>
            </w:pPr>
            <w:bookmarkStart w:id="1594" w:name="TAB1602"/>
            <w:bookmarkEnd w:id="1594"/>
            <w:r>
              <w:rPr>
                <w:rFonts w:ascii="times new roman" w:hAnsi="times new roman"/>
                <w:sz w:val="20"/>
              </w:rPr>
              <w:t>991</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413" w:right="0" w:hanging="0"/>
              <w:jc w:val="right"/>
              <w:rPr>
                <w:rFonts w:ascii="times new roman" w:hAnsi="times new roman"/>
                <w:sz w:val="20"/>
              </w:rPr>
            </w:pPr>
            <w:bookmarkStart w:id="1595" w:name="TAB1603"/>
            <w:bookmarkEnd w:id="1595"/>
            <w:r>
              <w:rPr>
                <w:rFonts w:ascii="times new roman" w:hAnsi="times new roman"/>
                <w:sz w:val="20"/>
              </w:rPr>
              <w:t>(320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shd w:fill="FFFF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Income (loss) before discontinued operations, income tax expense, and equity earnings of unconsolidated joint ventures and entities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481" w:right="0" w:hanging="0"/>
              <w:jc w:val="right"/>
              <w:rPr>
                <w:rFonts w:ascii="times new roman" w:hAnsi="times new roman"/>
                <w:sz w:val="20"/>
              </w:rPr>
            </w:pPr>
            <w:bookmarkStart w:id="1596" w:name="TAB1604"/>
            <w:bookmarkEnd w:id="1596"/>
            <w:r>
              <w:rPr>
                <w:rFonts w:ascii="times new roman" w:hAnsi="times new roman"/>
                <w:sz w:val="20"/>
              </w:rPr>
              <w:t>8,049</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170" w:right="0" w:hanging="0"/>
              <w:jc w:val="right"/>
              <w:rPr>
                <w:rFonts w:ascii="times new roman" w:hAnsi="times new roman"/>
                <w:sz w:val="20"/>
              </w:rPr>
            </w:pPr>
            <w:bookmarkStart w:id="1597" w:name="TAB1605"/>
            <w:bookmarkEnd w:id="1597"/>
            <w:r>
              <w:rPr>
                <w:rFonts w:ascii="times new roman" w:hAnsi="times new roman"/>
                <w:sz w:val="20"/>
              </w:rPr>
              <w:t>(17,037</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213" w:right="0" w:hanging="0"/>
              <w:jc w:val="right"/>
              <w:rPr>
                <w:rFonts w:ascii="times new roman" w:hAnsi="times new roman"/>
                <w:sz w:val="20"/>
              </w:rPr>
            </w:pPr>
            <w:bookmarkStart w:id="1598" w:name="TAB1606"/>
            <w:bookmarkEnd w:id="1598"/>
            <w:r>
              <w:rPr>
                <w:rFonts w:ascii="times new roman" w:hAnsi="times new roman"/>
                <w:sz w:val="20"/>
              </w:rPr>
              <w:t>(3,519</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sale of a discontinued operation, net of tax</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903" w:right="0" w:hanging="0"/>
              <w:jc w:val="right"/>
              <w:rPr>
                <w:rFonts w:ascii="times new roman" w:hAnsi="times new roman"/>
                <w:sz w:val="20"/>
              </w:rPr>
            </w:pPr>
            <w:bookmarkStart w:id="1599" w:name="TAB1607"/>
            <w:bookmarkEnd w:id="1599"/>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903" w:right="0" w:hanging="0"/>
              <w:jc w:val="right"/>
              <w:rPr>
                <w:rFonts w:ascii="times new roman" w:hAnsi="times new roman"/>
                <w:sz w:val="20"/>
              </w:rPr>
            </w:pPr>
            <w:bookmarkStart w:id="1600" w:name="TAB1608"/>
            <w:bookmarkEnd w:id="1600"/>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391" w:right="0" w:hanging="0"/>
              <w:jc w:val="right"/>
              <w:rPr>
                <w:rFonts w:ascii="times new roman" w:hAnsi="times new roman"/>
                <w:sz w:val="20"/>
              </w:rPr>
            </w:pPr>
            <w:bookmarkStart w:id="1601" w:name="TAB1609"/>
            <w:bookmarkEnd w:id="1601"/>
            <w:r>
              <w:rPr>
                <w:rFonts w:ascii="times new roman" w:hAnsi="times new roman"/>
                <w:sz w:val="20"/>
              </w:rPr>
              <w:t>1,912</w:t>
            </w:r>
          </w:p>
        </w:tc>
        <w:tc>
          <w:tcPr>
            <w:tcW w:w="125" w:type="dxa"/>
            <w:tcBorders/>
            <w:shd w:fill="CCEE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Income (loss) before income tax expense and equity earnings of unconsolidated joint ventures and entities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481" w:right="0" w:hanging="0"/>
              <w:jc w:val="right"/>
              <w:rPr>
                <w:rFonts w:ascii="times new roman" w:hAnsi="times new roman"/>
                <w:sz w:val="20"/>
              </w:rPr>
            </w:pPr>
            <w:bookmarkStart w:id="1602" w:name="TAB1610"/>
            <w:bookmarkEnd w:id="1602"/>
            <w:r>
              <w:rPr>
                <w:rFonts w:ascii="times new roman" w:hAnsi="times new roman"/>
                <w:sz w:val="20"/>
              </w:rPr>
              <w:t>8,049</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170" w:right="0" w:hanging="0"/>
              <w:jc w:val="right"/>
              <w:rPr>
                <w:rFonts w:ascii="times new roman" w:hAnsi="times new roman"/>
                <w:sz w:val="20"/>
              </w:rPr>
            </w:pPr>
            <w:bookmarkStart w:id="1603" w:name="TAB1611"/>
            <w:bookmarkEnd w:id="1603"/>
            <w:r>
              <w:rPr>
                <w:rFonts w:ascii="times new roman" w:hAnsi="times new roman"/>
                <w:sz w:val="20"/>
              </w:rPr>
              <w:t>(17,037</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213" w:right="0" w:hanging="0"/>
              <w:jc w:val="right"/>
              <w:rPr>
                <w:rFonts w:ascii="times new roman" w:hAnsi="times new roman"/>
                <w:sz w:val="20"/>
              </w:rPr>
            </w:pPr>
            <w:bookmarkStart w:id="1604" w:name="TAB1612"/>
            <w:bookmarkEnd w:id="1604"/>
            <w:r>
              <w:rPr>
                <w:rFonts w:ascii="times new roman" w:hAnsi="times new roman"/>
                <w:sz w:val="20"/>
              </w:rPr>
              <w:t>(1,607</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bottom w:val="single" w:sz="12"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Income tax expense</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303" w:right="0" w:hanging="0"/>
              <w:jc w:val="right"/>
              <w:rPr>
                <w:rFonts w:ascii="times new roman" w:hAnsi="times new roman"/>
                <w:sz w:val="20"/>
              </w:rPr>
            </w:pPr>
            <w:bookmarkStart w:id="1605" w:name="TAB1613"/>
            <w:bookmarkEnd w:id="1605"/>
            <w:r>
              <w:rPr>
                <w:rFonts w:ascii="times new roman" w:hAnsi="times new roman"/>
                <w:sz w:val="20"/>
              </w:rPr>
              <w:t>(1,952</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303" w:right="0" w:hanging="0"/>
              <w:jc w:val="right"/>
              <w:rPr>
                <w:rFonts w:ascii="times new roman" w:hAnsi="times new roman"/>
                <w:sz w:val="20"/>
              </w:rPr>
            </w:pPr>
            <w:bookmarkStart w:id="1606" w:name="TAB1614"/>
            <w:bookmarkEnd w:id="1606"/>
            <w:r>
              <w:rPr>
                <w:rFonts w:ascii="times new roman" w:hAnsi="times new roman"/>
                <w:sz w:val="20"/>
              </w:rPr>
              <w:t>(2,099</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213" w:right="0" w:hanging="0"/>
              <w:jc w:val="right"/>
              <w:rPr>
                <w:rFonts w:ascii="times new roman" w:hAnsi="times new roman"/>
                <w:sz w:val="20"/>
              </w:rPr>
            </w:pPr>
            <w:bookmarkStart w:id="1607" w:name="TAB1615"/>
            <w:bookmarkEnd w:id="1607"/>
            <w:r>
              <w:rPr>
                <w:rFonts w:ascii="times new roman" w:hAnsi="times new roman"/>
                <w:sz w:val="20"/>
              </w:rPr>
              <w:t>(2,038</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shd w:fill="FFFF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Income (loss) before equity earnings of unconsolidated joint ventures and entities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481" w:right="0" w:hanging="0"/>
              <w:jc w:val="right"/>
              <w:rPr>
                <w:rFonts w:ascii="times new roman" w:hAnsi="times new roman"/>
                <w:sz w:val="20"/>
              </w:rPr>
            </w:pPr>
            <w:bookmarkStart w:id="1608" w:name="TAB1616"/>
            <w:bookmarkEnd w:id="1608"/>
            <w:r>
              <w:rPr>
                <w:rFonts w:ascii="times new roman" w:hAnsi="times new roman"/>
                <w:sz w:val="20"/>
              </w:rPr>
              <w:t>6,097</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170" w:right="0" w:hanging="0"/>
              <w:jc w:val="right"/>
              <w:rPr>
                <w:rFonts w:ascii="times new roman" w:hAnsi="times new roman"/>
                <w:sz w:val="20"/>
              </w:rPr>
            </w:pPr>
            <w:bookmarkStart w:id="1609" w:name="TAB1617"/>
            <w:bookmarkEnd w:id="1609"/>
            <w:r>
              <w:rPr>
                <w:rFonts w:ascii="times new roman" w:hAnsi="times new roman"/>
                <w:sz w:val="20"/>
              </w:rPr>
              <w:t>(19,136</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ind w:left="213" w:right="0" w:hanging="0"/>
              <w:jc w:val="right"/>
              <w:rPr>
                <w:rFonts w:ascii="times new roman" w:hAnsi="times new roman"/>
                <w:sz w:val="20"/>
              </w:rPr>
            </w:pPr>
            <w:bookmarkStart w:id="1610" w:name="TAB1618"/>
            <w:bookmarkEnd w:id="1610"/>
            <w:r>
              <w:rPr>
                <w:rFonts w:ascii="times new roman" w:hAnsi="times new roman"/>
                <w:sz w:val="20"/>
              </w:rPr>
              <w:t>(3,645</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Equity earnings of unconsolidated joint ventures and entities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681" w:right="0" w:hanging="0"/>
              <w:jc w:val="right"/>
              <w:rPr>
                <w:rFonts w:ascii="times new roman" w:hAnsi="times new roman"/>
                <w:sz w:val="20"/>
              </w:rPr>
            </w:pPr>
            <w:bookmarkStart w:id="1611" w:name="TAB1619"/>
            <w:bookmarkEnd w:id="1611"/>
            <w:r>
              <w:rPr>
                <w:rFonts w:ascii="times new roman" w:hAnsi="times new roman"/>
                <w:sz w:val="20"/>
              </w:rPr>
              <w:t>117</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681" w:right="0" w:hanging="0"/>
              <w:jc w:val="right"/>
              <w:rPr>
                <w:rFonts w:ascii="times new roman" w:hAnsi="times new roman"/>
                <w:sz w:val="20"/>
              </w:rPr>
            </w:pPr>
            <w:bookmarkStart w:id="1612" w:name="TAB1620"/>
            <w:bookmarkEnd w:id="1612"/>
            <w:r>
              <w:rPr>
                <w:rFonts w:ascii="times new roman" w:hAnsi="times new roman"/>
                <w:sz w:val="20"/>
              </w:rPr>
              <w:t>497</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ind w:left="391" w:right="0" w:hanging="0"/>
              <w:jc w:val="right"/>
              <w:rPr>
                <w:rFonts w:ascii="times new roman" w:hAnsi="times new roman"/>
                <w:sz w:val="20"/>
              </w:rPr>
            </w:pPr>
            <w:bookmarkStart w:id="1613" w:name="TAB1621"/>
            <w:bookmarkEnd w:id="1613"/>
            <w:r>
              <w:rPr>
                <w:rFonts w:ascii="times new roman" w:hAnsi="times new roman"/>
                <w:sz w:val="20"/>
              </w:rPr>
              <w:t>2,545</w:t>
            </w:r>
          </w:p>
        </w:tc>
        <w:tc>
          <w:tcPr>
            <w:tcW w:w="125" w:type="dxa"/>
            <w:tcBorders/>
            <w:shd w:fill="CCEEFF" w:val="clear"/>
            <w:vAlign w:val="bottom"/>
          </w:tcPr>
          <w:p>
            <w:pPr>
              <w:pStyle w:val="TableContents"/>
              <w:spacing w:before="0" w:after="283"/>
              <w:jc w:val="left"/>
              <w:rPr/>
            </w:pPr>
            <w:r>
              <w:rPr/>
              <w:t> </w:t>
            </w:r>
          </w:p>
        </w:tc>
      </w:tr>
      <w:tr>
        <w:trPr/>
        <w:tc>
          <w:tcPr>
            <w:tcW w:w="593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sale of unconsolidated joint venture</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591" w:right="0" w:hanging="0"/>
              <w:jc w:val="right"/>
              <w:rPr>
                <w:rFonts w:ascii="times new roman" w:hAnsi="times new roman"/>
                <w:sz w:val="20"/>
              </w:rPr>
            </w:pPr>
            <w:bookmarkStart w:id="1614" w:name="TAB1622"/>
            <w:bookmarkEnd w:id="1614"/>
            <w:r>
              <w:rPr>
                <w:rFonts w:ascii="times new roman" w:hAnsi="times new roman"/>
                <w:sz w:val="20"/>
              </w:rPr>
              <w:t>268</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391" w:right="0" w:hanging="0"/>
              <w:jc w:val="right"/>
              <w:rPr>
                <w:rFonts w:ascii="times new roman" w:hAnsi="times new roman"/>
                <w:sz w:val="20"/>
              </w:rPr>
            </w:pPr>
            <w:bookmarkStart w:id="1615" w:name="TAB1623"/>
            <w:bookmarkEnd w:id="1615"/>
            <w:r>
              <w:rPr>
                <w:rFonts w:ascii="times new roman" w:hAnsi="times new roman"/>
                <w:sz w:val="20"/>
              </w:rPr>
              <w:t>2,450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813" w:right="0" w:hanging="0"/>
              <w:jc w:val="right"/>
              <w:rPr>
                <w:rFonts w:ascii="times new roman" w:hAnsi="times new roman"/>
                <w:sz w:val="20"/>
              </w:rPr>
            </w:pPr>
            <w:bookmarkStart w:id="1616" w:name="TAB1624"/>
            <w:bookmarkEnd w:id="1616"/>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Net income (loss)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ind w:left="18" w:right="0" w:hanging="0"/>
              <w:jc w:val="right"/>
              <w:rPr>
                <w:rFonts w:ascii="times new roman" w:hAnsi="times new roman"/>
                <w:sz w:val="20"/>
              </w:rPr>
            </w:pPr>
            <w:bookmarkStart w:id="1617" w:name="TAB1625"/>
            <w:bookmarkEnd w:id="1617"/>
            <w:r>
              <w:rPr>
                <w:rFonts w:ascii="times new roman" w:hAnsi="times new roman"/>
                <w:sz w:val="20"/>
              </w:rPr>
              <w:t>6,482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ind w:left="18" w:right="0" w:hanging="0"/>
              <w:jc w:val="right"/>
              <w:rPr>
                <w:rFonts w:ascii="times new roman" w:hAnsi="times new roman"/>
                <w:sz w:val="20"/>
              </w:rPr>
            </w:pPr>
            <w:bookmarkStart w:id="1618" w:name="TAB1626"/>
            <w:bookmarkEnd w:id="1618"/>
            <w:r>
              <w:rPr>
                <w:rFonts w:ascii="times new roman" w:hAnsi="times new roman"/>
                <w:sz w:val="20"/>
              </w:rPr>
              <w:t>(16,189</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ind w:left="18" w:right="0" w:hanging="0"/>
              <w:jc w:val="right"/>
              <w:rPr>
                <w:rFonts w:ascii="times new roman" w:hAnsi="times new roman"/>
                <w:sz w:val="20"/>
              </w:rPr>
            </w:pPr>
            <w:bookmarkStart w:id="1619" w:name="TAB1627"/>
            <w:bookmarkEnd w:id="1619"/>
            <w:r>
              <w:rPr>
                <w:rFonts w:ascii="times new roman" w:hAnsi="times new roman"/>
                <w:sz w:val="20"/>
              </w:rPr>
              <w:t>(1,100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bottom w:val="single" w:sz="12"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 attributable to noncontrolling interests</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413" w:right="0" w:hanging="0"/>
              <w:jc w:val="right"/>
              <w:rPr>
                <w:rFonts w:ascii="times new roman" w:hAnsi="times new roman"/>
                <w:sz w:val="20"/>
              </w:rPr>
            </w:pPr>
            <w:bookmarkStart w:id="1620" w:name="TAB1628"/>
            <w:bookmarkEnd w:id="1620"/>
            <w:r>
              <w:rPr>
                <w:rFonts w:ascii="times new roman" w:hAnsi="times new roman"/>
                <w:sz w:val="20"/>
              </w:rPr>
              <w:t>(388</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413" w:right="0" w:hanging="0"/>
              <w:jc w:val="right"/>
              <w:rPr>
                <w:rFonts w:ascii="times new roman" w:hAnsi="times new roman"/>
                <w:sz w:val="20"/>
              </w:rPr>
            </w:pPr>
            <w:bookmarkStart w:id="1621" w:name="TAB1629"/>
            <w:bookmarkEnd w:id="1621"/>
            <w:r>
              <w:rPr>
                <w:rFonts w:ascii="times new roman" w:hAnsi="times new roman"/>
                <w:sz w:val="20"/>
              </w:rPr>
              <w:t>(620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213" w:right="0" w:hanging="0"/>
              <w:jc w:val="right"/>
              <w:rPr>
                <w:rFonts w:ascii="times new roman" w:hAnsi="times new roman"/>
                <w:sz w:val="20"/>
              </w:rPr>
            </w:pPr>
            <w:bookmarkStart w:id="1622" w:name="TAB1630"/>
            <w:bookmarkEnd w:id="1622"/>
            <w:r>
              <w:rPr>
                <w:rFonts w:ascii="times new roman" w:hAnsi="times new roman"/>
                <w:sz w:val="20"/>
              </w:rPr>
              <w:t>(1,003</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bottom w:val="double" w:sz="8"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Net income (loss) attributable to Reading International, Inc. common shareholders</w:t>
            </w:r>
          </w:p>
        </w:tc>
        <w:tc>
          <w:tcPr>
            <w:tcW w:w="103"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double" w:sz="8" w:space="0" w:color="000000"/>
            </w:tcBorders>
            <w:shd w:fill="CCEEFF" w:val="clear"/>
            <w:tcMar>
              <w:bottom w:w="28" w:type="dxa"/>
            </w:tcMar>
            <w:vAlign w:val="bottom"/>
          </w:tcPr>
          <w:p>
            <w:pPr>
              <w:pStyle w:val="TableContents"/>
              <w:spacing w:before="0" w:after="283"/>
              <w:ind w:left="18" w:right="0" w:hanging="0"/>
              <w:jc w:val="right"/>
              <w:rPr>
                <w:rFonts w:ascii="times new roman" w:hAnsi="times new roman"/>
                <w:sz w:val="20"/>
              </w:rPr>
            </w:pPr>
            <w:bookmarkStart w:id="1623" w:name="TAB1631"/>
            <w:bookmarkEnd w:id="1623"/>
            <w:r>
              <w:rPr>
                <w:rFonts w:ascii="times new roman" w:hAnsi="times new roman"/>
                <w:sz w:val="20"/>
              </w:rPr>
              <w:t>6,094</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double" w:sz="8" w:space="0" w:color="000000"/>
            </w:tcBorders>
            <w:shd w:fill="CCEEFF" w:val="clear"/>
            <w:tcMar>
              <w:bottom w:w="28" w:type="dxa"/>
            </w:tcMar>
            <w:vAlign w:val="bottom"/>
          </w:tcPr>
          <w:p>
            <w:pPr>
              <w:pStyle w:val="TableContents"/>
              <w:spacing w:before="0" w:after="283"/>
              <w:ind w:left="18" w:right="0" w:hanging="0"/>
              <w:jc w:val="right"/>
              <w:rPr>
                <w:rFonts w:ascii="times new roman" w:hAnsi="times new roman"/>
                <w:sz w:val="20"/>
              </w:rPr>
            </w:pPr>
            <w:bookmarkStart w:id="1624" w:name="TAB1632"/>
            <w:bookmarkEnd w:id="1624"/>
            <w:r>
              <w:rPr>
                <w:rFonts w:ascii="times new roman" w:hAnsi="times new roman"/>
                <w:sz w:val="20"/>
              </w:rPr>
              <w:t>(16,809</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double" w:sz="8" w:space="0" w:color="000000"/>
            </w:tcBorders>
            <w:shd w:fill="CCEEFF" w:val="clear"/>
            <w:tcMar>
              <w:bottom w:w="28" w:type="dxa"/>
            </w:tcMar>
            <w:vAlign w:val="bottom"/>
          </w:tcPr>
          <w:p>
            <w:pPr>
              <w:pStyle w:val="TableContents"/>
              <w:spacing w:before="0" w:after="283"/>
              <w:ind w:left="18" w:right="0" w:hanging="0"/>
              <w:jc w:val="right"/>
              <w:rPr>
                <w:rFonts w:ascii="times new roman" w:hAnsi="times new roman"/>
                <w:sz w:val="20"/>
              </w:rPr>
            </w:pPr>
            <w:bookmarkStart w:id="1625" w:name="TAB1633"/>
            <w:bookmarkEnd w:id="1625"/>
            <w:r>
              <w:rPr>
                <w:rFonts w:ascii="times new roman" w:hAnsi="times new roman"/>
                <w:sz w:val="20"/>
              </w:rPr>
              <w:t>(2,103</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Earnings (loss) per common share attributable to Reading International, Inc. shareholders – basic:</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Earnings (loss) from continuing operations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ind w:left="198" w:right="0" w:hanging="0"/>
              <w:jc w:val="right"/>
              <w:rPr>
                <w:rFonts w:ascii="times new roman" w:hAnsi="times new roman"/>
                <w:sz w:val="20"/>
              </w:rPr>
            </w:pPr>
            <w:bookmarkStart w:id="1626" w:name="TAB1634"/>
            <w:bookmarkEnd w:id="1626"/>
            <w:r>
              <w:rPr>
                <w:rFonts w:ascii="times new roman" w:hAnsi="times new roman"/>
                <w:sz w:val="20"/>
              </w:rPr>
              <w:t>0.27</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ind w:left="198" w:right="0" w:hanging="0"/>
              <w:jc w:val="right"/>
              <w:rPr>
                <w:rFonts w:ascii="times new roman" w:hAnsi="times new roman"/>
                <w:sz w:val="20"/>
              </w:rPr>
            </w:pPr>
            <w:bookmarkStart w:id="1627" w:name="TAB1635"/>
            <w:bookmarkEnd w:id="1627"/>
            <w:r>
              <w:rPr>
                <w:rFonts w:ascii="times new roman" w:hAnsi="times new roman"/>
                <w:sz w:val="20"/>
              </w:rPr>
              <w:t>(0.75</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ind w:left="198" w:right="0" w:hanging="0"/>
              <w:jc w:val="right"/>
              <w:rPr>
                <w:rFonts w:ascii="times new roman" w:hAnsi="times new roman"/>
                <w:sz w:val="20"/>
              </w:rPr>
            </w:pPr>
            <w:bookmarkStart w:id="1628" w:name="TAB1636"/>
            <w:bookmarkEnd w:id="1628"/>
            <w:r>
              <w:rPr>
                <w:rFonts w:ascii="times new roman" w:hAnsi="times new roman"/>
                <w:sz w:val="20"/>
              </w:rPr>
              <w:t>(0.18</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bottom w:val="single" w:sz="12" w:space="0" w:color="000000"/>
            </w:tcBorders>
            <w:shd w:fill="FFFFFF" w:val="clear"/>
            <w:tcMar>
              <w:bottom w:w="28"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Earnings (loss) from discontinued operations, net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587" w:right="0" w:hanging="0"/>
              <w:jc w:val="right"/>
              <w:rPr>
                <w:rFonts w:ascii="times new roman" w:hAnsi="times new roman"/>
                <w:sz w:val="20"/>
              </w:rPr>
            </w:pPr>
            <w:bookmarkStart w:id="1629" w:name="TAB1637"/>
            <w:bookmarkEnd w:id="1629"/>
            <w:r>
              <w:rPr>
                <w:rFonts w:ascii="times new roman" w:hAnsi="times new roman"/>
                <w:sz w:val="20"/>
              </w:rPr>
              <w:t>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587" w:right="0" w:hanging="0"/>
              <w:jc w:val="right"/>
              <w:rPr>
                <w:rFonts w:ascii="times new roman" w:hAnsi="times new roman"/>
                <w:sz w:val="20"/>
              </w:rPr>
            </w:pPr>
            <w:bookmarkStart w:id="1630" w:name="TAB1638"/>
            <w:bookmarkEnd w:id="1630"/>
            <w:r>
              <w:rPr>
                <w:rFonts w:ascii="times new roman" w:hAnsi="times new roman"/>
                <w:sz w:val="20"/>
              </w:rPr>
              <w:t>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ind w:left="587" w:right="0" w:hanging="0"/>
              <w:jc w:val="right"/>
              <w:rPr>
                <w:rFonts w:ascii="times new roman" w:hAnsi="times new roman"/>
                <w:sz w:val="20"/>
              </w:rPr>
            </w:pPr>
            <w:bookmarkStart w:id="1631" w:name="TAB1639"/>
            <w:bookmarkEnd w:id="1631"/>
            <w:r>
              <w:rPr>
                <w:rFonts w:ascii="times new roman" w:hAnsi="times new roman"/>
                <w:sz w:val="20"/>
              </w:rPr>
              <w:t>0.09</w:t>
            </w:r>
          </w:p>
        </w:tc>
        <w:tc>
          <w:tcPr>
            <w:tcW w:w="125" w:type="dxa"/>
            <w:tcBorders/>
            <w:shd w:fill="FFFFFF" w:val="clear"/>
            <w:vAlign w:val="bottom"/>
          </w:tcPr>
          <w:p>
            <w:pPr>
              <w:pStyle w:val="TableContents"/>
              <w:spacing w:before="0" w:after="283"/>
              <w:jc w:val="left"/>
              <w:rPr/>
            </w:pPr>
            <w:r>
              <w:rPr/>
              <w:t> </w:t>
            </w:r>
          </w:p>
        </w:tc>
      </w:tr>
      <w:tr>
        <w:trPr/>
        <w:tc>
          <w:tcPr>
            <w:tcW w:w="5936" w:type="dxa"/>
            <w:tcBorders>
              <w:bottom w:val="single" w:sz="12"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Basic earnings (loss) per share attributable to Reading International, Inc. shareholders</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single" w:sz="12" w:space="0" w:color="000000"/>
            </w:tcBorders>
            <w:shd w:fill="CCEEFF" w:val="clear"/>
            <w:tcMar>
              <w:bottom w:w="28" w:type="dxa"/>
            </w:tcMar>
            <w:vAlign w:val="bottom"/>
          </w:tcPr>
          <w:p>
            <w:pPr>
              <w:pStyle w:val="TableContents"/>
              <w:spacing w:before="0" w:after="283"/>
              <w:ind w:left="198" w:right="0" w:hanging="0"/>
              <w:jc w:val="right"/>
              <w:rPr>
                <w:rFonts w:ascii="times new roman" w:hAnsi="times new roman"/>
                <w:sz w:val="20"/>
              </w:rPr>
            </w:pPr>
            <w:bookmarkStart w:id="1632" w:name="TAB1640"/>
            <w:bookmarkEnd w:id="1632"/>
            <w:r>
              <w:rPr>
                <w:rFonts w:ascii="times new roman" w:hAnsi="times new roman"/>
                <w:sz w:val="20"/>
              </w:rPr>
              <w:t>0.27</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single" w:sz="12" w:space="0" w:color="000000"/>
            </w:tcBorders>
            <w:shd w:fill="CCEEFF" w:val="clear"/>
            <w:tcMar>
              <w:bottom w:w="28" w:type="dxa"/>
            </w:tcMar>
            <w:vAlign w:val="bottom"/>
          </w:tcPr>
          <w:p>
            <w:pPr>
              <w:pStyle w:val="TableContents"/>
              <w:spacing w:before="0" w:after="283"/>
              <w:ind w:left="198" w:right="0" w:hanging="0"/>
              <w:jc w:val="right"/>
              <w:rPr>
                <w:rFonts w:ascii="times new roman" w:hAnsi="times new roman"/>
                <w:sz w:val="20"/>
              </w:rPr>
            </w:pPr>
            <w:bookmarkStart w:id="1633" w:name="TAB1641"/>
            <w:bookmarkEnd w:id="1633"/>
            <w:r>
              <w:rPr>
                <w:rFonts w:ascii="times new roman" w:hAnsi="times new roman"/>
                <w:sz w:val="20"/>
              </w:rPr>
              <w:t>(0.75</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single" w:sz="12" w:space="0" w:color="000000"/>
            </w:tcBorders>
            <w:shd w:fill="CCEEFF" w:val="clear"/>
            <w:tcMar>
              <w:bottom w:w="28" w:type="dxa"/>
            </w:tcMar>
            <w:vAlign w:val="bottom"/>
          </w:tcPr>
          <w:p>
            <w:pPr>
              <w:pStyle w:val="TableContents"/>
              <w:spacing w:before="0" w:after="283"/>
              <w:ind w:left="198" w:right="0" w:hanging="0"/>
              <w:jc w:val="right"/>
              <w:rPr>
                <w:rFonts w:ascii="times new roman" w:hAnsi="times new roman"/>
                <w:sz w:val="20"/>
              </w:rPr>
            </w:pPr>
            <w:bookmarkStart w:id="1634" w:name="TAB1642"/>
            <w:bookmarkEnd w:id="1634"/>
            <w:r>
              <w:rPr>
                <w:rFonts w:ascii="times new roman" w:hAnsi="times new roman"/>
                <w:sz w:val="20"/>
              </w:rPr>
              <w:t>(0.09</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bottom w:val="single" w:sz="12"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Weighted average number of shares outstanding – basic</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22,580,942</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25" w:type="dxa"/>
            <w:tcBorders/>
            <w:shd w:fill="FFFFFF" w:val="clear"/>
            <w:vAlign w:val="bottom"/>
          </w:tcPr>
          <w:p>
            <w:pPr>
              <w:pStyle w:val="TableContents"/>
              <w:spacing w:before="0" w:after="283"/>
              <w:jc w:val="left"/>
              <w:rPr/>
            </w:pPr>
            <w:r>
              <w:rPr/>
              <w:t> </w:t>
            </w:r>
          </w:p>
        </w:tc>
      </w:tr>
      <w:tr>
        <w:trPr/>
        <w:tc>
          <w:tcPr>
            <w:tcW w:w="5936"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Earnings (loss) per common share attributable to Reading International, Inc. shareholders  – diluted:</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5936"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Earnings (loss) from continuing operations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FFFFFF" w:val="clear"/>
            <w:vAlign w:val="bottom"/>
          </w:tcPr>
          <w:p>
            <w:pPr>
              <w:pStyle w:val="TableContents"/>
              <w:spacing w:before="0" w:after="283"/>
              <w:ind w:left="198" w:right="0" w:hanging="0"/>
              <w:jc w:val="right"/>
              <w:rPr>
                <w:rFonts w:ascii="times new roman" w:hAnsi="times new roman"/>
                <w:sz w:val="20"/>
              </w:rPr>
            </w:pPr>
            <w:bookmarkStart w:id="1635" w:name="TAB1643"/>
            <w:bookmarkEnd w:id="1635"/>
            <w:r>
              <w:rPr>
                <w:rFonts w:ascii="times new roman" w:hAnsi="times new roman"/>
                <w:sz w:val="20"/>
              </w:rPr>
              <w:t>0.27</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FFFFFF" w:val="clear"/>
            <w:vAlign w:val="bottom"/>
          </w:tcPr>
          <w:p>
            <w:pPr>
              <w:pStyle w:val="TableContents"/>
              <w:spacing w:before="0" w:after="283"/>
              <w:ind w:left="198" w:right="0" w:hanging="0"/>
              <w:jc w:val="right"/>
              <w:rPr>
                <w:rFonts w:ascii="times new roman" w:hAnsi="times new roman"/>
                <w:sz w:val="20"/>
              </w:rPr>
            </w:pPr>
            <w:bookmarkStart w:id="1636" w:name="TAB1644"/>
            <w:bookmarkEnd w:id="1636"/>
            <w:r>
              <w:rPr>
                <w:rFonts w:ascii="times new roman" w:hAnsi="times new roman"/>
                <w:sz w:val="20"/>
              </w:rPr>
              <w:t>(0.75</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FFFFFF" w:val="clear"/>
            <w:vAlign w:val="bottom"/>
          </w:tcPr>
          <w:p>
            <w:pPr>
              <w:pStyle w:val="TableContents"/>
              <w:spacing w:before="0" w:after="283"/>
              <w:ind w:left="198" w:right="0" w:hanging="0"/>
              <w:jc w:val="right"/>
              <w:rPr>
                <w:rFonts w:ascii="times new roman" w:hAnsi="times new roman"/>
                <w:sz w:val="20"/>
              </w:rPr>
            </w:pPr>
            <w:bookmarkStart w:id="1637" w:name="TAB1645"/>
            <w:bookmarkEnd w:id="1637"/>
            <w:r>
              <w:rPr>
                <w:rFonts w:ascii="times new roman" w:hAnsi="times new roman"/>
                <w:sz w:val="20"/>
              </w:rPr>
              <w:t>(0.18</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bottom w:val="single" w:sz="12" w:space="0" w:color="000000"/>
            </w:tcBorders>
            <w:shd w:fill="CCEEFF" w:val="clear"/>
            <w:tcMar>
              <w:bottom w:w="28"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Earnings (loss) from discontinued operations, net</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587" w:right="0" w:hanging="0"/>
              <w:jc w:val="right"/>
              <w:rPr>
                <w:rFonts w:ascii="times new roman" w:hAnsi="times new roman"/>
                <w:sz w:val="20"/>
              </w:rPr>
            </w:pPr>
            <w:bookmarkStart w:id="1638" w:name="TAB1646"/>
            <w:bookmarkEnd w:id="1638"/>
            <w:r>
              <w:rPr>
                <w:rFonts w:ascii="times new roman" w:hAnsi="times new roman"/>
                <w:sz w:val="20"/>
              </w:rPr>
              <w:t>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587" w:right="0" w:hanging="0"/>
              <w:jc w:val="right"/>
              <w:rPr>
                <w:rFonts w:ascii="times new roman" w:hAnsi="times new roman"/>
                <w:sz w:val="20"/>
              </w:rPr>
            </w:pPr>
            <w:bookmarkStart w:id="1639" w:name="TAB1647"/>
            <w:bookmarkEnd w:id="1639"/>
            <w:r>
              <w:rPr>
                <w:rFonts w:ascii="times new roman" w:hAnsi="times new roman"/>
                <w:sz w:val="20"/>
              </w:rPr>
              <w:t>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ind w:left="587" w:right="0" w:hanging="0"/>
              <w:jc w:val="right"/>
              <w:rPr>
                <w:rFonts w:ascii="times new roman" w:hAnsi="times new roman"/>
                <w:sz w:val="20"/>
              </w:rPr>
            </w:pPr>
            <w:bookmarkStart w:id="1640" w:name="TAB1648"/>
            <w:bookmarkEnd w:id="1640"/>
            <w:r>
              <w:rPr>
                <w:rFonts w:ascii="times new roman" w:hAnsi="times new roman"/>
                <w:sz w:val="20"/>
              </w:rPr>
              <w:t>0.09</w:t>
            </w:r>
          </w:p>
        </w:tc>
        <w:tc>
          <w:tcPr>
            <w:tcW w:w="125" w:type="dxa"/>
            <w:tcBorders/>
            <w:shd w:fill="CCEEFF" w:val="clear"/>
            <w:vAlign w:val="bottom"/>
          </w:tcPr>
          <w:p>
            <w:pPr>
              <w:pStyle w:val="TableContents"/>
              <w:spacing w:before="0" w:after="283"/>
              <w:jc w:val="left"/>
              <w:rPr/>
            </w:pPr>
            <w:r>
              <w:rPr/>
              <w:t> </w:t>
            </w:r>
          </w:p>
        </w:tc>
      </w:tr>
      <w:tr>
        <w:trPr/>
        <w:tc>
          <w:tcPr>
            <w:tcW w:w="5936" w:type="dxa"/>
            <w:tcBorders>
              <w:bottom w:val="single" w:sz="12"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b/>
                <w:sz w:val="20"/>
              </w:rPr>
              <w:t>Diluted earnings (loss) per share</w:t>
            </w:r>
            <w:r>
              <w:rPr>
                <w:rFonts w:ascii="times new roman" w:hAnsi="times new roman"/>
                <w:sz w:val="20"/>
              </w:rPr>
              <w:t xml:space="preserve"> </w:t>
            </w:r>
            <w:r>
              <w:rPr>
                <w:rFonts w:ascii="times new roman" w:hAnsi="times new roman"/>
                <w:b/>
                <w:sz w:val="20"/>
              </w:rPr>
              <w:t>attributable to Reading International, Inc. shareholders</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single" w:sz="12" w:space="0" w:color="000000"/>
            </w:tcBorders>
            <w:shd w:fill="FFFFFF" w:val="clear"/>
            <w:tcMar>
              <w:bottom w:w="28" w:type="dxa"/>
            </w:tcMar>
            <w:vAlign w:val="bottom"/>
          </w:tcPr>
          <w:p>
            <w:pPr>
              <w:pStyle w:val="TableContents"/>
              <w:spacing w:before="0" w:after="283"/>
              <w:ind w:left="198" w:right="0" w:hanging="0"/>
              <w:jc w:val="right"/>
              <w:rPr>
                <w:rFonts w:ascii="times new roman" w:hAnsi="times new roman"/>
                <w:sz w:val="20"/>
              </w:rPr>
            </w:pPr>
            <w:bookmarkStart w:id="1641" w:name="TAB1649"/>
            <w:bookmarkEnd w:id="1641"/>
            <w:r>
              <w:rPr>
                <w:rFonts w:ascii="times new roman" w:hAnsi="times new roman"/>
                <w:sz w:val="20"/>
              </w:rPr>
              <w:t>0.27</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single" w:sz="12" w:space="0" w:color="000000"/>
            </w:tcBorders>
            <w:shd w:fill="FFFFFF" w:val="clear"/>
            <w:tcMar>
              <w:bottom w:w="28" w:type="dxa"/>
            </w:tcMar>
            <w:vAlign w:val="bottom"/>
          </w:tcPr>
          <w:p>
            <w:pPr>
              <w:pStyle w:val="TableContents"/>
              <w:spacing w:before="0" w:after="283"/>
              <w:ind w:left="198" w:right="0" w:hanging="0"/>
              <w:jc w:val="right"/>
              <w:rPr>
                <w:rFonts w:ascii="times new roman" w:hAnsi="times new roman"/>
                <w:sz w:val="20"/>
              </w:rPr>
            </w:pPr>
            <w:bookmarkStart w:id="1642" w:name="TAB1650"/>
            <w:bookmarkEnd w:id="1642"/>
            <w:r>
              <w:rPr>
                <w:rFonts w:ascii="times new roman" w:hAnsi="times new roman"/>
                <w:sz w:val="20"/>
              </w:rPr>
              <w:t>(0.75</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single" w:sz="12" w:space="0" w:color="000000"/>
            </w:tcBorders>
            <w:shd w:fill="FFFFFF" w:val="clear"/>
            <w:tcMar>
              <w:bottom w:w="28" w:type="dxa"/>
            </w:tcMar>
            <w:vAlign w:val="bottom"/>
          </w:tcPr>
          <w:p>
            <w:pPr>
              <w:pStyle w:val="TableContents"/>
              <w:spacing w:before="0" w:after="283"/>
              <w:ind w:left="198" w:right="0" w:hanging="0"/>
              <w:jc w:val="right"/>
              <w:rPr>
                <w:rFonts w:ascii="times new roman" w:hAnsi="times new roman"/>
                <w:sz w:val="20"/>
              </w:rPr>
            </w:pPr>
            <w:bookmarkStart w:id="1643" w:name="TAB1651"/>
            <w:bookmarkEnd w:id="1643"/>
            <w:r>
              <w:rPr>
                <w:rFonts w:ascii="times new roman" w:hAnsi="times new roman"/>
                <w:sz w:val="20"/>
              </w:rPr>
              <w:t>(0.09</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6" w:type="dxa"/>
            <w:tcBorders>
              <w:bottom w:val="double" w:sz="8" w:space="0" w:color="000000"/>
            </w:tcBorders>
            <w:shd w:fill="CCEEFF" w:val="clear"/>
            <w:tcMar>
              <w:bottom w:w="28" w:type="dxa"/>
            </w:tcM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Weighted average number of shares outstanding – diluted</w:t>
            </w:r>
          </w:p>
        </w:tc>
        <w:tc>
          <w:tcPr>
            <w:tcW w:w="103"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22,767,735</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44" w:name="PGBRK58"/>
      <w:bookmarkStart w:id="1645" w:name="PGBRK58"/>
      <w:bookmarkEnd w:id="16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6" w:name="FTR58"/>
      <w:bookmarkStart w:id="1647" w:name="FTR58"/>
      <w:bookmarkEnd w:id="16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48" w:name="GLFTR58"/>
      <w:bookmarkEnd w:id="16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49" w:name="PN58"/>
      <w:bookmarkEnd w:id="1649"/>
      <w:r>
        <w:rPr>
          <w:rFonts w:ascii="Times New Roman" w:hAnsi="Times New Roman"/>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0" w:name="HDR58"/>
      <w:bookmarkStart w:id="1651" w:name="HDR58"/>
      <w:bookmarkEnd w:id="16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652" w:name="GLHDR58"/>
        <w:bookmarkEnd w:id="165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bookmarkStart w:id="1653" w:name="statementsofstockholderequity"/>
      <w:bookmarkEnd w:id="1653"/>
      <w:r>
        <w:rPr>
          <w:rFonts w:ascii="Times New Roman" w:hAnsi="Times New Roman"/>
          <w:b/>
          <w:sz w:val="20"/>
        </w:rPr>
        <w:t>Reading International, Inc. and Subsidiaries</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Stockholders’ Equity for the Three Years Ended December 31, 2009</w:t>
      </w:r>
    </w:p>
    <w:p>
      <w:pPr>
        <w:pStyle w:val="TextBody"/>
        <w:spacing w:before="0" w:after="0"/>
        <w:ind w:left="0" w:right="0" w:hanging="0"/>
        <w:jc w:val="left"/>
        <w:rPr>
          <w:rFonts w:ascii="Times New Roman" w:hAnsi="Times New Roman"/>
          <w:b/>
          <w:sz w:val="20"/>
        </w:rPr>
      </w:pPr>
      <w:r>
        <w:rPr>
          <w:rFonts w:ascii="Times New Roman" w:hAnsi="Times New Roman"/>
          <w:b/>
          <w:sz w:val="20"/>
        </w:rPr>
        <w:t>(U.S. dollars in thousands)</w:t>
      </w:r>
    </w:p>
    <w:p>
      <w:pPr>
        <w:pStyle w:val="TextBody"/>
        <w:spacing w:before="0" w:after="0"/>
        <w:ind w:left="0" w:right="0" w:hanging="0"/>
        <w:rPr/>
      </w:pPr>
      <w:r>
        <w:rPr/>
      </w:r>
    </w:p>
    <w:tbl>
      <w:tblPr>
        <w:tblW w:w="12730" w:type="dxa"/>
        <w:jc w:val="left"/>
        <w:tblInd w:w="0" w:type="dxa"/>
        <w:tblCellMar>
          <w:top w:w="0" w:type="dxa"/>
          <w:left w:w="0" w:type="dxa"/>
          <w:bottom w:w="0" w:type="dxa"/>
          <w:right w:w="0" w:type="dxa"/>
        </w:tblCellMar>
      </w:tblPr>
      <w:tblGrid>
        <w:gridCol w:w="1085"/>
        <w:gridCol w:w="60"/>
        <w:gridCol w:w="60"/>
        <w:gridCol w:w="590"/>
        <w:gridCol w:w="60"/>
        <w:gridCol w:w="60"/>
        <w:gridCol w:w="139"/>
        <w:gridCol w:w="376"/>
        <w:gridCol w:w="80"/>
        <w:gridCol w:w="60"/>
        <w:gridCol w:w="64"/>
        <w:gridCol w:w="526"/>
        <w:gridCol w:w="60"/>
        <w:gridCol w:w="60"/>
        <w:gridCol w:w="181"/>
        <w:gridCol w:w="334"/>
        <w:gridCol w:w="60"/>
        <w:gridCol w:w="60"/>
        <w:gridCol w:w="140"/>
        <w:gridCol w:w="780"/>
        <w:gridCol w:w="80"/>
        <w:gridCol w:w="60"/>
        <w:gridCol w:w="152"/>
        <w:gridCol w:w="663"/>
        <w:gridCol w:w="80"/>
        <w:gridCol w:w="60"/>
        <w:gridCol w:w="182"/>
        <w:gridCol w:w="948"/>
        <w:gridCol w:w="80"/>
        <w:gridCol w:w="60"/>
        <w:gridCol w:w="216"/>
        <w:gridCol w:w="1124"/>
        <w:gridCol w:w="80"/>
        <w:gridCol w:w="60"/>
        <w:gridCol w:w="181"/>
        <w:gridCol w:w="1009"/>
        <w:gridCol w:w="80"/>
        <w:gridCol w:w="60"/>
        <w:gridCol w:w="244"/>
        <w:gridCol w:w="1066"/>
        <w:gridCol w:w="80"/>
        <w:gridCol w:w="60"/>
        <w:gridCol w:w="179"/>
        <w:gridCol w:w="996"/>
        <w:gridCol w:w="95"/>
      </w:tblGrid>
      <w:tr>
        <w:trPr/>
        <w:tc>
          <w:tcPr>
            <w:tcW w:w="1085"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2650"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1085"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Par Value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 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p>
            <w:pPr>
              <w:pStyle w:val="TableContents"/>
              <w:spacing w:before="0" w:after="0"/>
              <w:ind w:left="0" w:right="0" w:hanging="0"/>
              <w:jc w:val="center"/>
              <w:rPr>
                <w:rFonts w:ascii="times new roman" w:hAnsi="times new roman"/>
                <w:b/>
                <w:sz w:val="20"/>
              </w:rPr>
            </w:pPr>
            <w:r>
              <w:rPr>
                <w:rFonts w:ascii="times new roman" w:hAnsi="times new roman"/>
                <w:b/>
                <w:sz w:val="20"/>
              </w:rPr>
              <w:t>Par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Additional</w:t>
            </w:r>
          </w:p>
          <w:p>
            <w:pPr>
              <w:pStyle w:val="TableContents"/>
              <w:spacing w:before="0" w:after="0"/>
              <w:ind w:left="0" w:right="0" w:hanging="0"/>
              <w:jc w:val="center"/>
              <w:rPr>
                <w:rFonts w:ascii="times new roman" w:hAnsi="times new roman"/>
                <w:b/>
                <w:sz w:val="20"/>
              </w:rPr>
            </w:pPr>
            <w:r>
              <w:rPr>
                <w:rFonts w:ascii="times new roman" w:hAnsi="times new roman"/>
                <w:b/>
                <w:sz w:val="20"/>
              </w:rPr>
              <w:t>Paid-In Capital</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Treasury 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Accumulated Deficit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Accumulated Other Comprehensive Income/(Loss)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Reading International, Inc. Stockholders’ Equity</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Noncontrolling Interests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Stockholders’ Equity</w:t>
            </w:r>
          </w:p>
        </w:tc>
        <w:tc>
          <w:tcPr>
            <w:tcW w:w="95" w:type="dxa"/>
            <w:tcBorders/>
            <w:shd w:fill="auto" w:val="clear"/>
            <w:vAlign w:val="bottom"/>
          </w:tcPr>
          <w:p>
            <w:pPr>
              <w:pStyle w:val="TableContents"/>
              <w:spacing w:before="0" w:after="283"/>
              <w:jc w:val="left"/>
              <w:rPr/>
            </w:pPr>
            <w:r>
              <w:rPr/>
              <w:t> </w:t>
            </w:r>
          </w:p>
        </w:tc>
      </w:tr>
      <w:tr>
        <w:trPr/>
        <w:tc>
          <w:tcPr>
            <w:tcW w:w="1085" w:type="dxa"/>
            <w:tcBorders>
              <w:bottom w:val="double" w:sz="8"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At January 1, 2007</w:t>
            </w:r>
          </w:p>
        </w:tc>
        <w:tc>
          <w:tcPr>
            <w:tcW w:w="60" w:type="dxa"/>
            <w:tcBorders/>
            <w:shd w:fill="CCEEFF" w:val="clear"/>
            <w:vAlign w:val="bottom"/>
          </w:tcPr>
          <w:p>
            <w:pPr>
              <w:pStyle w:val="TableContents"/>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3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spacing w:before="0" w:after="283"/>
              <w:ind w:left="78" w:right="0" w:hanging="0"/>
              <w:jc w:val="right"/>
              <w:rPr>
                <w:rFonts w:ascii="times new roman" w:hAnsi="times new roman"/>
                <w:sz w:val="20"/>
              </w:rPr>
            </w:pPr>
            <w:bookmarkStart w:id="1654" w:name="TAB1652"/>
            <w:bookmarkEnd w:id="1654"/>
            <w:r>
              <w:rPr>
                <w:rFonts w:ascii="times new roman" w:hAnsi="times new roman"/>
                <w:sz w:val="20"/>
              </w:rPr>
              <w:t>128,399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3" w:type="dxa"/>
            <w:tcBorders>
              <w:bottom w:val="double" w:sz="8" w:space="0" w:color="000000"/>
            </w:tcBorders>
            <w:shd w:fill="CCEEFF" w:val="clear"/>
            <w:tcMar>
              <w:bottom w:w="28" w:type="dxa"/>
            </w:tcMar>
            <w:vAlign w:val="bottom"/>
          </w:tcPr>
          <w:p>
            <w:pPr>
              <w:pStyle w:val="TableContents"/>
              <w:spacing w:before="0" w:after="283"/>
              <w:ind w:left="117" w:right="0" w:hanging="0"/>
              <w:jc w:val="right"/>
              <w:rPr>
                <w:rFonts w:ascii="times new roman" w:hAnsi="times new roman"/>
                <w:sz w:val="20"/>
              </w:rPr>
            </w:pPr>
            <w:bookmarkStart w:id="1655" w:name="TAB1653"/>
            <w:bookmarkEnd w:id="1655"/>
            <w:r>
              <w:rPr>
                <w:rFonts w:ascii="times new roman" w:hAnsi="times new roman"/>
                <w:sz w:val="20"/>
              </w:rPr>
              <w:t>(4,306</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8" w:type="dxa"/>
            <w:tcBorders>
              <w:bottom w:val="double" w:sz="8" w:space="0" w:color="000000"/>
            </w:tcBorders>
            <w:shd w:fill="CCEEFF" w:val="clear"/>
            <w:tcMar>
              <w:bottom w:w="28" w:type="dxa"/>
            </w:tcMar>
            <w:vAlign w:val="bottom"/>
          </w:tcPr>
          <w:p>
            <w:pPr>
              <w:pStyle w:val="TableContents"/>
              <w:spacing w:before="0" w:after="283"/>
              <w:ind w:left="117" w:right="0" w:hanging="0"/>
              <w:jc w:val="right"/>
              <w:rPr>
                <w:rFonts w:ascii="times new roman" w:hAnsi="times new roman"/>
                <w:sz w:val="20"/>
              </w:rPr>
            </w:pPr>
            <w:bookmarkStart w:id="1656" w:name="TAB1654"/>
            <w:bookmarkEnd w:id="1656"/>
            <w:r>
              <w:rPr>
                <w:rFonts w:ascii="times new roman" w:hAnsi="times new roman"/>
                <w:sz w:val="20"/>
              </w:rPr>
              <w:t>(50,058</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CCEEFF" w:val="clear"/>
            <w:tcMar>
              <w:bottom w:w="28" w:type="dxa"/>
            </w:tcMar>
            <w:vAlign w:val="bottom"/>
          </w:tcPr>
          <w:p>
            <w:pPr>
              <w:pStyle w:val="TableContents"/>
              <w:spacing w:before="0" w:after="283"/>
              <w:ind w:left="117" w:right="0" w:hanging="0"/>
              <w:jc w:val="right"/>
              <w:rPr>
                <w:rFonts w:ascii="times new roman" w:hAnsi="times new roman"/>
                <w:sz w:val="20"/>
              </w:rPr>
            </w:pPr>
            <w:bookmarkStart w:id="1657" w:name="TAB1655"/>
            <w:bookmarkEnd w:id="1657"/>
            <w:r>
              <w:rPr>
                <w:rFonts w:ascii="times new roman" w:hAnsi="times new roman"/>
                <w:sz w:val="20"/>
              </w:rPr>
              <w:t>33,393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283"/>
              <w:ind w:left="117" w:right="0" w:hanging="0"/>
              <w:jc w:val="right"/>
              <w:rPr>
                <w:rFonts w:ascii="times new roman" w:hAnsi="times new roman"/>
                <w:sz w:val="20"/>
              </w:rPr>
            </w:pPr>
            <w:bookmarkStart w:id="1658" w:name="TAB1656"/>
            <w:bookmarkEnd w:id="1658"/>
            <w:r>
              <w:rPr>
                <w:rFonts w:ascii="times new roman" w:hAnsi="times new roman"/>
                <w:sz w:val="20"/>
              </w:rPr>
              <w:t>107,659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1659" w:name="TAB1657"/>
            <w:bookmarkEnd w:id="1659"/>
            <w:r>
              <w:rPr>
                <w:rFonts w:ascii="times new roman" w:hAnsi="times new roman"/>
                <w:sz w:val="20"/>
              </w:rPr>
              <w:t>2,603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ind w:left="140" w:right="0" w:hanging="0"/>
              <w:jc w:val="right"/>
              <w:rPr>
                <w:rFonts w:ascii="times new roman" w:hAnsi="times new roman"/>
                <w:sz w:val="20"/>
              </w:rPr>
            </w:pPr>
            <w:bookmarkStart w:id="1660" w:name="TAB1658"/>
            <w:bookmarkEnd w:id="1660"/>
            <w:r>
              <w:rPr>
                <w:rFonts w:ascii="times new roman" w:hAnsi="times new roman"/>
                <w:sz w:val="20"/>
              </w:rPr>
              <w:t>110,262</w:t>
            </w:r>
          </w:p>
        </w:tc>
        <w:tc>
          <w:tcPr>
            <w:tcW w:w="95" w:type="dxa"/>
            <w:tcBorders/>
            <w:shd w:fill="CCEEFF" w:val="clear"/>
            <w:vAlign w:val="bottom"/>
          </w:tcPr>
          <w:p>
            <w:pPr>
              <w:pStyle w:val="TableContents"/>
              <w:spacing w:before="0" w:after="283"/>
              <w:jc w:val="left"/>
              <w:rPr/>
            </w:pPr>
            <w:r>
              <w:rPr/>
              <w:t> </w:t>
            </w:r>
          </w:p>
        </w:tc>
      </w:tr>
      <w:tr>
        <w:trPr/>
        <w:tc>
          <w:tcPr>
            <w:tcW w:w="1085" w:type="dxa"/>
            <w:tcBorders/>
            <w:shd w:fill="FFFFFF" w:val="clear"/>
            <w:vAlign w:val="bottom"/>
          </w:tcPr>
          <w:p>
            <w:pPr>
              <w:pStyle w:val="TableContents"/>
              <w:spacing w:before="0" w:after="0"/>
              <w:ind w:left="0" w:right="0" w:hanging="0"/>
              <w:jc w:val="left"/>
              <w:rPr/>
            </w:pPr>
            <w:r>
              <w:rPr/>
              <w:t> </w:t>
            </w:r>
          </w:p>
          <w:p>
            <w:pPr>
              <w:pStyle w:val="TableContents"/>
              <w:spacing w:before="0" w:after="0"/>
              <w:ind w:left="180" w:right="0" w:hanging="180"/>
              <w:jc w:val="left"/>
              <w:rPr>
                <w:rFonts w:ascii="times new roman" w:hAnsi="times new roman"/>
                <w:sz w:val="20"/>
              </w:rPr>
            </w:pPr>
            <w:r>
              <w:rPr>
                <w:rFonts w:ascii="times new roman" w:hAnsi="times new roman"/>
                <w:sz w:val="20"/>
              </w:rPr>
              <w:t>Net loss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525" w:right="0" w:hanging="0"/>
              <w:jc w:val="right"/>
              <w:rPr>
                <w:rFonts w:ascii="times new roman" w:hAnsi="times new roman"/>
                <w:sz w:val="20"/>
              </w:rPr>
            </w:pPr>
            <w:bookmarkStart w:id="1661" w:name="TAB1659"/>
            <w:bookmarkEnd w:id="1661"/>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04" w:right="0" w:hanging="0"/>
              <w:jc w:val="right"/>
              <w:rPr>
                <w:rFonts w:ascii="times new roman" w:hAnsi="times new roman"/>
                <w:sz w:val="20"/>
              </w:rPr>
            </w:pPr>
            <w:bookmarkStart w:id="1662" w:name="TAB1660"/>
            <w:bookmarkEnd w:id="1662"/>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663" w:name="TAB1661"/>
            <w:bookmarkEnd w:id="1663"/>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664" w:name="TAB1662"/>
            <w:bookmarkEnd w:id="1664"/>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ind w:left="528" w:right="0" w:hanging="0"/>
              <w:jc w:val="right"/>
              <w:rPr>
                <w:rFonts w:ascii="times new roman" w:hAnsi="times new roman"/>
                <w:sz w:val="20"/>
              </w:rPr>
            </w:pPr>
            <w:bookmarkStart w:id="1665" w:name="TAB1663"/>
            <w:bookmarkEnd w:id="1665"/>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04" w:right="0" w:hanging="0"/>
              <w:jc w:val="right"/>
              <w:rPr>
                <w:rFonts w:ascii="times new roman" w:hAnsi="times new roman"/>
                <w:sz w:val="20"/>
              </w:rPr>
            </w:pPr>
            <w:bookmarkStart w:id="1666" w:name="TAB1664"/>
            <w:bookmarkEnd w:id="1666"/>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(2,103</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ind w:left="593" w:right="0" w:hanging="0"/>
              <w:jc w:val="right"/>
              <w:rPr>
                <w:rFonts w:ascii="times new roman" w:hAnsi="times new roman"/>
                <w:sz w:val="20"/>
              </w:rPr>
            </w:pPr>
            <w:bookmarkStart w:id="1667" w:name="TAB1665"/>
            <w:bookmarkEnd w:id="1667"/>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15" w:right="0" w:hanging="0"/>
              <w:jc w:val="right"/>
              <w:rPr>
                <w:rFonts w:ascii="times new roman" w:hAnsi="times new roman"/>
                <w:sz w:val="20"/>
              </w:rPr>
            </w:pPr>
            <w:bookmarkStart w:id="1668" w:name="TAB1666"/>
            <w:bookmarkEnd w:id="1668"/>
            <w:r>
              <w:rPr>
                <w:rFonts w:ascii="times new roman" w:hAnsi="times new roman"/>
                <w:sz w:val="20"/>
              </w:rPr>
              <w:t>(2,103</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999" w:right="0" w:hanging="0"/>
              <w:jc w:val="right"/>
              <w:rPr>
                <w:rFonts w:ascii="times new roman" w:hAnsi="times new roman"/>
                <w:sz w:val="20"/>
              </w:rPr>
            </w:pPr>
            <w:bookmarkStart w:id="1669" w:name="TAB1667"/>
            <w:bookmarkEnd w:id="1669"/>
            <w:r>
              <w:rPr>
                <w:rFonts w:ascii="times new roman" w:hAnsi="times new roman"/>
                <w:sz w:val="20"/>
              </w:rPr>
              <w:t>1,003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comprehensive income: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085" w:type="dxa"/>
            <w:tcBorders/>
            <w:shd w:fill="FFFF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Cumulative foreign exchange rate adjustment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525" w:right="0" w:hanging="0"/>
              <w:jc w:val="right"/>
              <w:rPr>
                <w:rFonts w:ascii="times new roman" w:hAnsi="times new roman"/>
                <w:sz w:val="20"/>
              </w:rPr>
            </w:pPr>
            <w:bookmarkStart w:id="1670" w:name="TAB1668"/>
            <w:bookmarkEnd w:id="1670"/>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35" w:right="0" w:hanging="0"/>
              <w:jc w:val="right"/>
              <w:rPr>
                <w:rFonts w:ascii="times new roman" w:hAnsi="times new roman"/>
                <w:sz w:val="20"/>
              </w:rPr>
            </w:pPr>
            <w:bookmarkStart w:id="1671" w:name="TAB1669"/>
            <w:bookmarkEnd w:id="1671"/>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672" w:name="TAB1670"/>
            <w:bookmarkEnd w:id="1672"/>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673" w:name="TAB1671"/>
            <w:bookmarkEnd w:id="1673"/>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ind w:left="528" w:right="0" w:hanging="0"/>
              <w:jc w:val="right"/>
              <w:rPr>
                <w:rFonts w:ascii="times new roman" w:hAnsi="times new roman"/>
                <w:sz w:val="20"/>
              </w:rPr>
            </w:pPr>
            <w:bookmarkStart w:id="1674" w:name="TAB1672"/>
            <w:bookmarkEnd w:id="167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04" w:right="0" w:hanging="0"/>
              <w:jc w:val="right"/>
              <w:rPr>
                <w:rFonts w:ascii="times new roman" w:hAnsi="times new roman"/>
                <w:sz w:val="20"/>
              </w:rPr>
            </w:pPr>
            <w:bookmarkStart w:id="1675" w:name="TAB1673"/>
            <w:bookmarkEnd w:id="1675"/>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ind w:left="593" w:right="0" w:hanging="0"/>
              <w:jc w:val="right"/>
              <w:rPr>
                <w:rFonts w:ascii="times new roman" w:hAnsi="times new roman"/>
                <w:sz w:val="20"/>
              </w:rPr>
            </w:pPr>
            <w:bookmarkStart w:id="1676" w:name="TAB1674"/>
            <w:bookmarkEnd w:id="1676"/>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14,731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59" w:right="0" w:hanging="0"/>
              <w:jc w:val="right"/>
              <w:rPr>
                <w:rFonts w:ascii="times new roman" w:hAnsi="times new roman"/>
                <w:sz w:val="20"/>
              </w:rPr>
            </w:pPr>
            <w:bookmarkStart w:id="1677" w:name="TAB1675"/>
            <w:bookmarkEnd w:id="1677"/>
            <w:r>
              <w:rPr>
                <w:rFonts w:ascii="times new roman" w:hAnsi="times new roman"/>
                <w:sz w:val="20"/>
              </w:rPr>
              <w:t>14,731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375" w:right="0" w:hanging="0"/>
              <w:jc w:val="right"/>
              <w:rPr>
                <w:rFonts w:ascii="times new roman" w:hAnsi="times new roman"/>
                <w:sz w:val="20"/>
              </w:rPr>
            </w:pPr>
            <w:bookmarkStart w:id="1678" w:name="TAB1676"/>
            <w:bookmarkEnd w:id="1678"/>
            <w:r>
              <w:rPr>
                <w:rFonts w:ascii="times new roman" w:hAnsi="times new roman"/>
                <w:sz w:val="20"/>
              </w:rPr>
              <w:t>49</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ind w:left="56" w:right="0" w:hanging="0"/>
              <w:jc w:val="right"/>
              <w:rPr>
                <w:rFonts w:ascii="times new roman" w:hAnsi="times new roman"/>
                <w:sz w:val="20"/>
              </w:rPr>
            </w:pPr>
            <w:bookmarkStart w:id="1679" w:name="TAB1677"/>
            <w:bookmarkEnd w:id="1679"/>
            <w:r>
              <w:rPr>
                <w:rFonts w:ascii="times new roman" w:hAnsi="times new roman"/>
                <w:sz w:val="20"/>
              </w:rPr>
              <w:t>14,780</w:t>
            </w:r>
          </w:p>
        </w:tc>
        <w:tc>
          <w:tcPr>
            <w:tcW w:w="95" w:type="dxa"/>
            <w:tcBorders/>
            <w:shd w:fill="FFFFFF" w:val="clear"/>
            <w:vAlign w:val="bottom"/>
          </w:tcPr>
          <w:p>
            <w:pPr>
              <w:pStyle w:val="TableContents"/>
              <w:spacing w:before="0" w:after="283"/>
              <w:jc w:val="left"/>
              <w:rPr/>
            </w:pPr>
            <w:r>
              <w:rPr/>
              <w:t> </w:t>
            </w:r>
          </w:p>
        </w:tc>
      </w:tr>
      <w:tr>
        <w:trPr/>
        <w:tc>
          <w:tcPr>
            <w:tcW w:w="1085"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Accrued pension service costs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ind w:left="525" w:right="0" w:hanging="0"/>
              <w:jc w:val="right"/>
              <w:rPr>
                <w:rFonts w:ascii="times new roman" w:hAnsi="times new roman"/>
                <w:sz w:val="20"/>
              </w:rPr>
            </w:pPr>
            <w:bookmarkStart w:id="1680" w:name="TAB1678"/>
            <w:bookmarkEnd w:id="1680"/>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ind w:left="435" w:right="0" w:hanging="0"/>
              <w:jc w:val="right"/>
              <w:rPr>
                <w:rFonts w:ascii="times new roman" w:hAnsi="times new roman"/>
                <w:sz w:val="20"/>
              </w:rPr>
            </w:pPr>
            <w:bookmarkStart w:id="1681" w:name="TAB1679"/>
            <w:bookmarkEnd w:id="1681"/>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ind w:left="414" w:right="0" w:hanging="0"/>
              <w:jc w:val="right"/>
              <w:rPr>
                <w:rFonts w:ascii="times new roman" w:hAnsi="times new roman"/>
                <w:sz w:val="20"/>
              </w:rPr>
            </w:pPr>
            <w:bookmarkStart w:id="1682" w:name="TAB1680"/>
            <w:bookmarkEnd w:id="1682"/>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ind w:left="404" w:right="0" w:hanging="0"/>
              <w:jc w:val="right"/>
              <w:rPr>
                <w:rFonts w:ascii="times new roman" w:hAnsi="times new roman"/>
                <w:sz w:val="20"/>
              </w:rPr>
            </w:pPr>
            <w:bookmarkStart w:id="1683" w:name="TAB1681"/>
            <w:bookmarkEnd w:id="1683"/>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ind w:left="528" w:right="0" w:hanging="0"/>
              <w:jc w:val="right"/>
              <w:rPr>
                <w:rFonts w:ascii="times new roman" w:hAnsi="times new roman"/>
                <w:sz w:val="20"/>
              </w:rPr>
            </w:pPr>
            <w:bookmarkStart w:id="1684" w:name="TAB1682"/>
            <w:bookmarkEnd w:id="1684"/>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ind w:left="404" w:right="0" w:hanging="0"/>
              <w:jc w:val="right"/>
              <w:rPr>
                <w:rFonts w:ascii="times new roman" w:hAnsi="times new roman"/>
                <w:sz w:val="20"/>
              </w:rPr>
            </w:pPr>
            <w:bookmarkStart w:id="1685" w:name="TAB1683"/>
            <w:bookmarkEnd w:id="1685"/>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ind w:left="593" w:right="0" w:hanging="0"/>
              <w:jc w:val="right"/>
              <w:rPr>
                <w:rFonts w:ascii="times new roman" w:hAnsi="times new roman"/>
                <w:sz w:val="20"/>
              </w:rPr>
            </w:pPr>
            <w:bookmarkStart w:id="1686" w:name="TAB1684"/>
            <w:bookmarkEnd w:id="1686"/>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(2,063</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15" w:right="0" w:hanging="0"/>
              <w:jc w:val="right"/>
              <w:rPr>
                <w:rFonts w:ascii="times new roman" w:hAnsi="times new roman"/>
                <w:sz w:val="20"/>
              </w:rPr>
            </w:pPr>
            <w:bookmarkStart w:id="1687" w:name="TAB1685"/>
            <w:bookmarkEnd w:id="1687"/>
            <w:r>
              <w:rPr>
                <w:rFonts w:ascii="times new roman" w:hAnsi="times new roman"/>
                <w:sz w:val="20"/>
              </w:rPr>
              <w:t>(2,063</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ind w:left="597" w:right="0" w:hanging="0"/>
              <w:jc w:val="right"/>
              <w:rPr>
                <w:rFonts w:ascii="times new roman" w:hAnsi="times new roman"/>
                <w:sz w:val="20"/>
              </w:rPr>
            </w:pPr>
            <w:bookmarkStart w:id="1688" w:name="TAB1686"/>
            <w:bookmarkEnd w:id="1688"/>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ind w:left="12" w:right="0" w:hanging="0"/>
              <w:jc w:val="right"/>
              <w:rPr>
                <w:rFonts w:ascii="times new roman" w:hAnsi="times new roman"/>
                <w:sz w:val="20"/>
              </w:rPr>
            </w:pPr>
            <w:bookmarkStart w:id="1689" w:name="TAB1687"/>
            <w:bookmarkEnd w:id="1689"/>
            <w:r>
              <w:rPr>
                <w:rFonts w:ascii="times new roman" w:hAnsi="times new roman"/>
                <w:sz w:val="20"/>
              </w:rPr>
              <w:t>(2,063</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bottom w:val="single" w:sz="12" w:space="0" w:color="000000"/>
            </w:tcBorders>
            <w:shd w:fill="FFFFFF" w:val="clear"/>
            <w:tcMar>
              <w:bottom w:w="28" w:type="dxa"/>
            </w:tcM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Unrealized gain on securities</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ind w:left="525" w:right="0" w:hanging="0"/>
              <w:jc w:val="right"/>
              <w:rPr>
                <w:rFonts w:ascii="times new roman" w:hAnsi="times new roman"/>
                <w:sz w:val="20"/>
              </w:rPr>
            </w:pPr>
            <w:bookmarkStart w:id="1690" w:name="TAB1688"/>
            <w:bookmarkEnd w:id="1690"/>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ind w:left="435" w:right="0" w:hanging="0"/>
              <w:jc w:val="right"/>
              <w:rPr>
                <w:rFonts w:ascii="times new roman" w:hAnsi="times new roman"/>
                <w:sz w:val="20"/>
              </w:rPr>
            </w:pPr>
            <w:bookmarkStart w:id="1691" w:name="TAB1689"/>
            <w:bookmarkEnd w:id="1691"/>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ind w:left="414" w:right="0" w:hanging="0"/>
              <w:jc w:val="right"/>
              <w:rPr>
                <w:rFonts w:ascii="times new roman" w:hAnsi="times new roman"/>
                <w:sz w:val="20"/>
              </w:rPr>
            </w:pPr>
            <w:bookmarkStart w:id="1692" w:name="TAB1690"/>
            <w:bookmarkEnd w:id="1692"/>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ind w:left="404" w:right="0" w:hanging="0"/>
              <w:jc w:val="right"/>
              <w:rPr>
                <w:rFonts w:ascii="times new roman" w:hAnsi="times new roman"/>
                <w:sz w:val="20"/>
              </w:rPr>
            </w:pPr>
            <w:bookmarkStart w:id="1693" w:name="TAB1691"/>
            <w:bookmarkEnd w:id="1693"/>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ind w:left="528" w:right="0" w:hanging="0"/>
              <w:jc w:val="right"/>
              <w:rPr>
                <w:rFonts w:ascii="times new roman" w:hAnsi="times new roman"/>
                <w:sz w:val="20"/>
              </w:rPr>
            </w:pPr>
            <w:bookmarkStart w:id="1694" w:name="TAB1692"/>
            <w:bookmarkEnd w:id="169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ind w:left="404" w:right="0" w:hanging="0"/>
              <w:jc w:val="right"/>
              <w:rPr>
                <w:rFonts w:ascii="times new roman" w:hAnsi="times new roman"/>
                <w:sz w:val="20"/>
              </w:rPr>
            </w:pPr>
            <w:bookmarkStart w:id="1695" w:name="TAB1693"/>
            <w:bookmarkEnd w:id="1695"/>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ind w:left="593" w:right="0" w:hanging="0"/>
              <w:jc w:val="right"/>
              <w:rPr>
                <w:rFonts w:ascii="times new roman" w:hAnsi="times new roman"/>
                <w:sz w:val="20"/>
              </w:rPr>
            </w:pPr>
            <w:bookmarkStart w:id="1696" w:name="TAB1694"/>
            <w:bookmarkEnd w:id="1696"/>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FFFFFF" w:val="clear"/>
            <w:tcMar>
              <w:bottom w:w="28" w:type="dxa"/>
            </w:tcMar>
            <w:vAlign w:val="bottom"/>
          </w:tcPr>
          <w:p>
            <w:pPr>
              <w:pStyle w:val="TableContents"/>
              <w:spacing w:before="0" w:after="283"/>
              <w:ind w:left="371" w:right="0" w:hanging="0"/>
              <w:jc w:val="right"/>
              <w:rPr>
                <w:rFonts w:ascii="times new roman" w:hAnsi="times new roman"/>
                <w:sz w:val="20"/>
              </w:rPr>
            </w:pPr>
            <w:bookmarkStart w:id="1697" w:name="TAB1695"/>
            <w:bookmarkEnd w:id="1697"/>
            <w:r>
              <w:rPr>
                <w:rFonts w:ascii="times new roman" w:hAnsi="times new roman"/>
                <w:sz w:val="20"/>
              </w:rPr>
              <w:t>116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93" w:right="0" w:hanging="0"/>
              <w:jc w:val="right"/>
              <w:rPr>
                <w:rFonts w:ascii="times new roman" w:hAnsi="times new roman"/>
                <w:sz w:val="20"/>
              </w:rPr>
            </w:pPr>
            <w:bookmarkStart w:id="1698" w:name="TAB1696"/>
            <w:bookmarkEnd w:id="1698"/>
            <w:r>
              <w:rPr>
                <w:rFonts w:ascii="times new roman" w:hAnsi="times new roman"/>
                <w:sz w:val="20"/>
              </w:rPr>
              <w:t>116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ind w:left="597" w:right="0" w:hanging="0"/>
              <w:jc w:val="right"/>
              <w:rPr>
                <w:rFonts w:ascii="times new roman" w:hAnsi="times new roman"/>
                <w:sz w:val="20"/>
              </w:rPr>
            </w:pPr>
            <w:bookmarkStart w:id="1699" w:name="TAB1697"/>
            <w:bookmarkEnd w:id="1699"/>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ind w:left="390" w:right="0" w:hanging="0"/>
              <w:jc w:val="right"/>
              <w:rPr>
                <w:rFonts w:ascii="times new roman" w:hAnsi="times new roman"/>
                <w:sz w:val="20"/>
              </w:rPr>
            </w:pPr>
            <w:bookmarkStart w:id="1700" w:name="TAB1698"/>
            <w:bookmarkEnd w:id="1700"/>
            <w:r>
              <w:rPr>
                <w:rFonts w:ascii="times new roman" w:hAnsi="times new roman"/>
                <w:sz w:val="20"/>
              </w:rPr>
              <w:t>116</w:t>
            </w:r>
          </w:p>
        </w:tc>
        <w:tc>
          <w:tcPr>
            <w:tcW w:w="95" w:type="dxa"/>
            <w:tcBorders/>
            <w:shd w:fill="FFFFFF" w:val="clear"/>
            <w:vAlign w:val="bottom"/>
          </w:tcPr>
          <w:p>
            <w:pPr>
              <w:pStyle w:val="TableContents"/>
              <w:spacing w:before="0" w:after="283"/>
              <w:jc w:val="left"/>
              <w:rPr/>
            </w:pPr>
            <w:r>
              <w:rPr/>
              <w:t> </w:t>
            </w:r>
          </w:p>
        </w:tc>
      </w:tr>
      <w:tr>
        <w:trPr/>
        <w:tc>
          <w:tcPr>
            <w:tcW w:w="1085" w:type="dxa"/>
            <w:tcBorders>
              <w:bottom w:val="single" w:sz="12"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Total comprehensive income</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ind w:left="525" w:right="0" w:hanging="0"/>
              <w:jc w:val="right"/>
              <w:rPr>
                <w:rFonts w:ascii="times new roman" w:hAnsi="times new roman"/>
                <w:sz w:val="20"/>
              </w:rPr>
            </w:pPr>
            <w:bookmarkStart w:id="1701" w:name="TAB1699"/>
            <w:bookmarkEnd w:id="1701"/>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CCEEFF" w:val="clear"/>
            <w:tcMar>
              <w:bottom w:w="28" w:type="dxa"/>
            </w:tcMar>
            <w:vAlign w:val="bottom"/>
          </w:tcPr>
          <w:p>
            <w:pPr>
              <w:pStyle w:val="TableContents"/>
              <w:spacing w:before="0" w:after="283"/>
              <w:ind w:left="435" w:right="0" w:hanging="0"/>
              <w:jc w:val="right"/>
              <w:rPr>
                <w:rFonts w:ascii="times new roman" w:hAnsi="times new roman"/>
                <w:sz w:val="20"/>
              </w:rPr>
            </w:pPr>
            <w:bookmarkStart w:id="1702" w:name="TAB1700"/>
            <w:bookmarkEnd w:id="170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CCEEFF" w:val="clear"/>
            <w:tcMar>
              <w:bottom w:w="28" w:type="dxa"/>
            </w:tcMar>
            <w:vAlign w:val="bottom"/>
          </w:tcPr>
          <w:p>
            <w:pPr>
              <w:pStyle w:val="TableContents"/>
              <w:spacing w:before="0" w:after="283"/>
              <w:ind w:left="414" w:right="0" w:hanging="0"/>
              <w:jc w:val="right"/>
              <w:rPr>
                <w:rFonts w:ascii="times new roman" w:hAnsi="times new roman"/>
                <w:sz w:val="20"/>
              </w:rPr>
            </w:pPr>
            <w:bookmarkStart w:id="1703" w:name="TAB1701"/>
            <w:bookmarkEnd w:id="1703"/>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ind w:left="404" w:right="0" w:hanging="0"/>
              <w:jc w:val="right"/>
              <w:rPr>
                <w:rFonts w:ascii="times new roman" w:hAnsi="times new roman"/>
                <w:sz w:val="20"/>
              </w:rPr>
            </w:pPr>
            <w:bookmarkStart w:id="1704" w:name="TAB1702"/>
            <w:bookmarkEnd w:id="1704"/>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ind w:left="528" w:right="0" w:hanging="0"/>
              <w:jc w:val="right"/>
              <w:rPr>
                <w:rFonts w:ascii="times new roman" w:hAnsi="times new roman"/>
                <w:sz w:val="20"/>
              </w:rPr>
            </w:pPr>
            <w:bookmarkStart w:id="1705" w:name="TAB1703"/>
            <w:bookmarkEnd w:id="1705"/>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spacing w:before="0" w:after="283"/>
              <w:ind w:left="404" w:right="0" w:hanging="0"/>
              <w:jc w:val="right"/>
              <w:rPr>
                <w:rFonts w:ascii="times new roman" w:hAnsi="times new roman"/>
                <w:sz w:val="20"/>
              </w:rPr>
            </w:pPr>
            <w:bookmarkStart w:id="1706" w:name="TAB1704"/>
            <w:bookmarkEnd w:id="1706"/>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spacing w:before="0" w:after="283"/>
              <w:ind w:left="593" w:right="0" w:hanging="0"/>
              <w:jc w:val="right"/>
              <w:rPr>
                <w:rFonts w:ascii="times new roman" w:hAnsi="times new roman"/>
                <w:sz w:val="20"/>
              </w:rPr>
            </w:pPr>
            <w:bookmarkStart w:id="1707" w:name="TAB1705"/>
            <w:bookmarkEnd w:id="1707"/>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283"/>
              <w:ind w:left="593" w:right="0" w:hanging="0"/>
              <w:jc w:val="right"/>
              <w:rPr>
                <w:rFonts w:ascii="times new roman" w:hAnsi="times new roman"/>
                <w:sz w:val="20"/>
              </w:rPr>
            </w:pPr>
            <w:bookmarkStart w:id="1708" w:name="TAB1706"/>
            <w:bookmarkEnd w:id="1708"/>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59" w:right="0" w:hanging="0"/>
              <w:jc w:val="right"/>
              <w:rPr>
                <w:rFonts w:ascii="times new roman" w:hAnsi="times new roman"/>
                <w:sz w:val="20"/>
              </w:rPr>
            </w:pPr>
            <w:bookmarkStart w:id="1709" w:name="TAB1707"/>
            <w:bookmarkEnd w:id="1709"/>
            <w:r>
              <w:rPr>
                <w:rFonts w:ascii="times new roman" w:hAnsi="times new roman"/>
                <w:sz w:val="20"/>
              </w:rPr>
              <w:t>10,681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spacing w:before="0" w:after="283"/>
              <w:ind w:left="193" w:right="0" w:hanging="0"/>
              <w:jc w:val="right"/>
              <w:rPr>
                <w:rFonts w:ascii="times new roman" w:hAnsi="times new roman"/>
                <w:sz w:val="20"/>
              </w:rPr>
            </w:pPr>
            <w:bookmarkStart w:id="1710" w:name="TAB1708"/>
            <w:bookmarkEnd w:id="1710"/>
            <w:r>
              <w:rPr>
                <w:rFonts w:ascii="times new roman" w:hAnsi="times new roman"/>
                <w:sz w:val="20"/>
              </w:rPr>
              <w:t>1,052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ind w:left="56" w:right="0" w:hanging="0"/>
              <w:jc w:val="right"/>
              <w:rPr>
                <w:rFonts w:ascii="times new roman" w:hAnsi="times new roman"/>
                <w:sz w:val="20"/>
              </w:rPr>
            </w:pPr>
            <w:bookmarkStart w:id="1711" w:name="TAB1709"/>
            <w:bookmarkEnd w:id="1711"/>
            <w:r>
              <w:rPr>
                <w:rFonts w:ascii="times new roman" w:hAnsi="times new roman"/>
                <w:sz w:val="20"/>
              </w:rPr>
              <w:t>11,733</w:t>
            </w:r>
          </w:p>
        </w:tc>
        <w:tc>
          <w:tcPr>
            <w:tcW w:w="95" w:type="dxa"/>
            <w:tcBorders/>
            <w:shd w:fill="CCEEFF" w:val="clear"/>
            <w:vAlign w:val="bottom"/>
          </w:tcPr>
          <w:p>
            <w:pPr>
              <w:pStyle w:val="TableContents"/>
              <w:spacing w:before="0" w:after="283"/>
              <w:jc w:val="left"/>
              <w:rPr/>
            </w:pPr>
            <w:r>
              <w:rPr/>
              <w:t> </w:t>
            </w:r>
          </w:p>
        </w:tc>
      </w:tr>
      <w:tr>
        <w:trPr/>
        <w:tc>
          <w:tcPr>
            <w:tcW w:w="108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Stock option and restricted stock compensation expense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525" w:right="0" w:hanging="0"/>
              <w:jc w:val="right"/>
              <w:rPr>
                <w:rFonts w:ascii="times new roman" w:hAnsi="times new roman"/>
                <w:sz w:val="20"/>
              </w:rPr>
            </w:pPr>
            <w:bookmarkStart w:id="1712" w:name="TAB1710"/>
            <w:bookmarkEnd w:id="1712"/>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35" w:right="0" w:hanging="0"/>
              <w:jc w:val="right"/>
              <w:rPr>
                <w:rFonts w:ascii="times new roman" w:hAnsi="times new roman"/>
                <w:sz w:val="20"/>
              </w:rPr>
            </w:pPr>
            <w:bookmarkStart w:id="1713" w:name="TAB1711"/>
            <w:bookmarkEnd w:id="1713"/>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714" w:name="TAB1712"/>
            <w:bookmarkEnd w:id="1714"/>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715" w:name="TAB1713"/>
            <w:bookmarkEnd w:id="1715"/>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ind w:left="306" w:right="0" w:hanging="0"/>
              <w:jc w:val="right"/>
              <w:rPr>
                <w:rFonts w:ascii="times new roman" w:hAnsi="times new roman"/>
                <w:sz w:val="20"/>
              </w:rPr>
            </w:pPr>
            <w:bookmarkStart w:id="1716" w:name="TAB1714"/>
            <w:bookmarkEnd w:id="1716"/>
            <w:r>
              <w:rPr>
                <w:rFonts w:ascii="times new roman" w:hAnsi="times new roman"/>
                <w:sz w:val="20"/>
              </w:rPr>
              <w:t>994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04" w:right="0" w:hanging="0"/>
              <w:jc w:val="right"/>
              <w:rPr>
                <w:rFonts w:ascii="times new roman" w:hAnsi="times new roman"/>
                <w:sz w:val="20"/>
              </w:rPr>
            </w:pPr>
            <w:bookmarkStart w:id="1717" w:name="TAB1715"/>
            <w:bookmarkEnd w:id="1717"/>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ind w:left="593" w:right="0" w:hanging="0"/>
              <w:jc w:val="right"/>
              <w:rPr>
                <w:rFonts w:ascii="times new roman" w:hAnsi="times new roman"/>
                <w:sz w:val="20"/>
              </w:rPr>
            </w:pPr>
            <w:bookmarkStart w:id="1718" w:name="TAB1716"/>
            <w:bookmarkEnd w:id="1718"/>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ind w:left="593" w:right="0" w:hanging="0"/>
              <w:jc w:val="right"/>
              <w:rPr>
                <w:rFonts w:ascii="times new roman" w:hAnsi="times new roman"/>
                <w:sz w:val="20"/>
              </w:rPr>
            </w:pPr>
            <w:bookmarkStart w:id="1719" w:name="TAB1717"/>
            <w:bookmarkEnd w:id="1719"/>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93" w:right="0" w:hanging="0"/>
              <w:jc w:val="right"/>
              <w:rPr>
                <w:rFonts w:ascii="times new roman" w:hAnsi="times new roman"/>
                <w:sz w:val="20"/>
              </w:rPr>
            </w:pPr>
            <w:bookmarkStart w:id="1720" w:name="TAB1718"/>
            <w:bookmarkEnd w:id="1720"/>
            <w:r>
              <w:rPr>
                <w:rFonts w:ascii="times new roman" w:hAnsi="times new roman"/>
                <w:sz w:val="20"/>
              </w:rPr>
              <w:t>994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597" w:right="0" w:hanging="0"/>
              <w:jc w:val="right"/>
              <w:rPr>
                <w:rFonts w:ascii="times new roman" w:hAnsi="times new roman"/>
                <w:sz w:val="20"/>
              </w:rPr>
            </w:pPr>
            <w:bookmarkStart w:id="1721" w:name="TAB1719"/>
            <w:bookmarkEnd w:id="1721"/>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ind w:left="390" w:right="0" w:hanging="0"/>
              <w:jc w:val="right"/>
              <w:rPr>
                <w:rFonts w:ascii="times new roman" w:hAnsi="times new roman"/>
                <w:sz w:val="20"/>
              </w:rPr>
            </w:pPr>
            <w:bookmarkStart w:id="1722" w:name="TAB1720"/>
            <w:bookmarkEnd w:id="1722"/>
            <w:r>
              <w:rPr>
                <w:rFonts w:ascii="times new roman" w:hAnsi="times new roman"/>
                <w:sz w:val="20"/>
              </w:rPr>
              <w:t>994</w:t>
            </w:r>
          </w:p>
        </w:tc>
        <w:tc>
          <w:tcPr>
            <w:tcW w:w="95" w:type="dxa"/>
            <w:tcBorders/>
            <w:shd w:fill="FFFFFF" w:val="clear"/>
            <w:vAlign w:val="bottom"/>
          </w:tcPr>
          <w:p>
            <w:pPr>
              <w:pStyle w:val="TableContents"/>
              <w:spacing w:before="0" w:after="283"/>
              <w:jc w:val="left"/>
              <w:rPr/>
            </w:pPr>
            <w:r>
              <w:rPr/>
              <w:t> </w:t>
            </w:r>
          </w:p>
        </w:tc>
      </w:tr>
      <w:tr>
        <w:trPr/>
        <w:tc>
          <w:tcPr>
            <w:tcW w:w="10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Adjustment to accumulated deficit for adoption of ASC 740-10-25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ind w:left="525" w:right="0" w:hanging="0"/>
              <w:jc w:val="right"/>
              <w:rPr>
                <w:rFonts w:ascii="times new roman" w:hAnsi="times new roman"/>
                <w:sz w:val="20"/>
              </w:rPr>
            </w:pPr>
            <w:bookmarkStart w:id="1723" w:name="TAB1721"/>
            <w:bookmarkEnd w:id="1723"/>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ind w:left="435" w:right="0" w:hanging="0"/>
              <w:jc w:val="right"/>
              <w:rPr>
                <w:rFonts w:ascii="times new roman" w:hAnsi="times new roman"/>
                <w:sz w:val="20"/>
              </w:rPr>
            </w:pPr>
            <w:bookmarkStart w:id="1724" w:name="TAB1722"/>
            <w:bookmarkEnd w:id="1724"/>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ind w:left="414" w:right="0" w:hanging="0"/>
              <w:jc w:val="right"/>
              <w:rPr>
                <w:rFonts w:ascii="times new roman" w:hAnsi="times new roman"/>
                <w:sz w:val="20"/>
              </w:rPr>
            </w:pPr>
            <w:bookmarkStart w:id="1725" w:name="TAB1723"/>
            <w:bookmarkEnd w:id="1725"/>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ind w:left="404" w:right="0" w:hanging="0"/>
              <w:jc w:val="right"/>
              <w:rPr>
                <w:rFonts w:ascii="times new roman" w:hAnsi="times new roman"/>
                <w:sz w:val="20"/>
              </w:rPr>
            </w:pPr>
            <w:bookmarkStart w:id="1726" w:name="TAB1724"/>
            <w:bookmarkEnd w:id="1726"/>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ind w:left="528" w:right="0" w:hanging="0"/>
              <w:jc w:val="right"/>
              <w:rPr>
                <w:rFonts w:ascii="times new roman" w:hAnsi="times new roman"/>
                <w:sz w:val="20"/>
              </w:rPr>
            </w:pPr>
            <w:bookmarkStart w:id="1727" w:name="TAB1725"/>
            <w:bookmarkEnd w:id="1727"/>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ind w:left="404" w:right="0" w:hanging="0"/>
              <w:jc w:val="right"/>
              <w:rPr>
                <w:rFonts w:ascii="times new roman" w:hAnsi="times new roman"/>
                <w:sz w:val="20"/>
              </w:rPr>
            </w:pPr>
            <w:bookmarkStart w:id="1728" w:name="TAB1726"/>
            <w:bookmarkEnd w:id="1728"/>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ind w:left="193" w:right="0" w:hanging="0"/>
              <w:jc w:val="right"/>
              <w:rPr>
                <w:rFonts w:ascii="times new roman" w:hAnsi="times new roman"/>
                <w:sz w:val="20"/>
              </w:rPr>
            </w:pPr>
            <w:bookmarkStart w:id="1729" w:name="TAB1727"/>
            <w:bookmarkEnd w:id="1729"/>
            <w:r>
              <w:rPr>
                <w:rFonts w:ascii="times new roman" w:hAnsi="times new roman"/>
                <w:sz w:val="20"/>
              </w:rPr>
              <w:t>(509</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ind w:left="593" w:right="0" w:hanging="0"/>
              <w:jc w:val="right"/>
              <w:rPr>
                <w:rFonts w:ascii="times new roman" w:hAnsi="times new roman"/>
                <w:sz w:val="20"/>
              </w:rPr>
            </w:pPr>
            <w:bookmarkStart w:id="1730" w:name="TAB1728"/>
            <w:bookmarkEnd w:id="1730"/>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215" w:right="0" w:hanging="0"/>
              <w:jc w:val="right"/>
              <w:rPr>
                <w:rFonts w:ascii="times new roman" w:hAnsi="times new roman"/>
                <w:sz w:val="20"/>
              </w:rPr>
            </w:pPr>
            <w:bookmarkStart w:id="1731" w:name="TAB1729"/>
            <w:bookmarkEnd w:id="1731"/>
            <w:r>
              <w:rPr>
                <w:rFonts w:ascii="times new roman" w:hAnsi="times new roman"/>
                <w:sz w:val="20"/>
              </w:rPr>
              <w:t>(509</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ind w:left="597" w:right="0" w:hanging="0"/>
              <w:jc w:val="right"/>
              <w:rPr>
                <w:rFonts w:ascii="times new roman" w:hAnsi="times new roman"/>
                <w:sz w:val="20"/>
              </w:rPr>
            </w:pPr>
            <w:bookmarkStart w:id="1732" w:name="TAB1730"/>
            <w:bookmarkEnd w:id="173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ind w:left="212" w:right="0" w:hanging="0"/>
              <w:jc w:val="right"/>
              <w:rPr>
                <w:rFonts w:ascii="times new roman" w:hAnsi="times new roman"/>
                <w:sz w:val="20"/>
              </w:rPr>
            </w:pPr>
            <w:bookmarkStart w:id="1733" w:name="TAB1731"/>
            <w:bookmarkEnd w:id="1733"/>
            <w:r>
              <w:rPr>
                <w:rFonts w:ascii="times new roman" w:hAnsi="times new roman"/>
                <w:sz w:val="20"/>
              </w:rPr>
              <w:t>(509</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Exercise of Sutton Hill Properties option</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525" w:right="0" w:hanging="0"/>
              <w:jc w:val="right"/>
              <w:rPr>
                <w:rFonts w:ascii="times new roman" w:hAnsi="times new roman"/>
                <w:sz w:val="20"/>
              </w:rPr>
            </w:pPr>
            <w:bookmarkStart w:id="1734" w:name="TAB1732"/>
            <w:bookmarkEnd w:id="1734"/>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35" w:right="0" w:hanging="0"/>
              <w:jc w:val="right"/>
              <w:rPr>
                <w:rFonts w:ascii="times new roman" w:hAnsi="times new roman"/>
                <w:sz w:val="20"/>
              </w:rPr>
            </w:pPr>
            <w:bookmarkStart w:id="1735" w:name="TAB1733"/>
            <w:bookmarkEnd w:id="1735"/>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736" w:name="TAB1734"/>
            <w:bookmarkEnd w:id="1736"/>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737" w:name="TAB1735"/>
            <w:bookmarkEnd w:id="1737"/>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04" w:right="0" w:hanging="0"/>
              <w:jc w:val="right"/>
              <w:rPr>
                <w:rFonts w:ascii="times new roman" w:hAnsi="times new roman"/>
                <w:sz w:val="20"/>
              </w:rPr>
            </w:pPr>
            <w:bookmarkStart w:id="1738" w:name="TAB1736"/>
            <w:bookmarkEnd w:id="1738"/>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ind w:left="593" w:right="0" w:hanging="0"/>
              <w:jc w:val="right"/>
              <w:rPr>
                <w:rFonts w:ascii="times new roman" w:hAnsi="times new roman"/>
                <w:sz w:val="20"/>
              </w:rPr>
            </w:pPr>
            <w:bookmarkStart w:id="1739" w:name="TAB1737"/>
            <w:bookmarkEnd w:id="1739"/>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ind w:left="593" w:right="0" w:hanging="0"/>
              <w:jc w:val="right"/>
              <w:rPr>
                <w:rFonts w:ascii="times new roman" w:hAnsi="times new roman"/>
                <w:sz w:val="20"/>
              </w:rPr>
            </w:pPr>
            <w:bookmarkStart w:id="1740" w:name="TAB1738"/>
            <w:bookmarkEnd w:id="1740"/>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193" w:right="0" w:hanging="0"/>
              <w:jc w:val="right"/>
              <w:rPr>
                <w:rFonts w:ascii="times new roman" w:hAnsi="times new roman"/>
                <w:sz w:val="20"/>
              </w:rPr>
            </w:pPr>
            <w:bookmarkStart w:id="1741" w:name="TAB1739"/>
            <w:bookmarkEnd w:id="1741"/>
            <w:r>
              <w:rPr>
                <w:rFonts w:ascii="times new roman" w:hAnsi="times new roman"/>
                <w:sz w:val="20"/>
              </w:rPr>
              <w:t>2,512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597" w:right="0" w:hanging="0"/>
              <w:jc w:val="right"/>
              <w:rPr>
                <w:rFonts w:ascii="times new roman" w:hAnsi="times new roman"/>
                <w:sz w:val="20"/>
              </w:rPr>
            </w:pPr>
            <w:bookmarkStart w:id="1742" w:name="TAB1740"/>
            <w:bookmarkEnd w:id="1742"/>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2,512</w:t>
            </w:r>
          </w:p>
        </w:tc>
        <w:tc>
          <w:tcPr>
            <w:tcW w:w="95" w:type="dxa"/>
            <w:tcBorders/>
            <w:shd w:fill="FFFFFF" w:val="clear"/>
            <w:vAlign w:val="bottom"/>
          </w:tcPr>
          <w:p>
            <w:pPr>
              <w:pStyle w:val="TableContents"/>
              <w:spacing w:before="0" w:after="283"/>
              <w:jc w:val="left"/>
              <w:rPr/>
            </w:pPr>
            <w:r>
              <w:rPr/>
              <w:t> </w:t>
            </w:r>
          </w:p>
        </w:tc>
      </w:tr>
      <w:tr>
        <w:trPr/>
        <w:tc>
          <w:tcPr>
            <w:tcW w:w="10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Class A common stock issued for stock options exercised</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ind w:left="569" w:right="0" w:hanging="0"/>
              <w:jc w:val="right"/>
              <w:rPr>
                <w:rFonts w:ascii="times new roman" w:hAnsi="times new roman"/>
                <w:sz w:val="20"/>
              </w:rPr>
            </w:pPr>
            <w:bookmarkStart w:id="1743" w:name="TAB1741"/>
            <w:bookmarkEnd w:id="1743"/>
            <w:r>
              <w:rPr>
                <w:rFonts w:ascii="times new roman" w:hAnsi="times new roman"/>
                <w:sz w:val="20"/>
              </w:rPr>
              <w:t>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ind w:left="435" w:right="0" w:hanging="0"/>
              <w:jc w:val="right"/>
              <w:rPr>
                <w:rFonts w:ascii="times new roman" w:hAnsi="times new roman"/>
                <w:sz w:val="20"/>
              </w:rPr>
            </w:pPr>
            <w:bookmarkStart w:id="1744" w:name="TAB1742"/>
            <w:bookmarkEnd w:id="1744"/>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ind w:left="414" w:right="0" w:hanging="0"/>
              <w:jc w:val="right"/>
              <w:rPr>
                <w:rFonts w:ascii="times new roman" w:hAnsi="times new roman"/>
                <w:sz w:val="20"/>
              </w:rPr>
            </w:pPr>
            <w:bookmarkStart w:id="1745" w:name="TAB1743"/>
            <w:bookmarkEnd w:id="1745"/>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ind w:left="404" w:right="0" w:hanging="0"/>
              <w:jc w:val="right"/>
              <w:rPr>
                <w:rFonts w:ascii="times new roman" w:hAnsi="times new roman"/>
                <w:sz w:val="20"/>
              </w:rPr>
            </w:pPr>
            <w:bookmarkStart w:id="1746" w:name="TAB1744"/>
            <w:bookmarkEnd w:id="1746"/>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ind w:left="439" w:right="0" w:hanging="0"/>
              <w:jc w:val="right"/>
              <w:rPr>
                <w:rFonts w:ascii="times new roman" w:hAnsi="times new roman"/>
                <w:sz w:val="20"/>
              </w:rPr>
            </w:pPr>
            <w:bookmarkStart w:id="1747" w:name="TAB1745"/>
            <w:bookmarkEnd w:id="1747"/>
            <w:r>
              <w:rPr>
                <w:rFonts w:ascii="times new roman" w:hAnsi="times new roman"/>
                <w:sz w:val="20"/>
              </w:rPr>
              <w:t>25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ind w:left="404" w:right="0" w:hanging="0"/>
              <w:jc w:val="right"/>
              <w:rPr>
                <w:rFonts w:ascii="times new roman" w:hAnsi="times new roman"/>
                <w:sz w:val="20"/>
              </w:rPr>
            </w:pPr>
            <w:bookmarkStart w:id="1748" w:name="TAB1746"/>
            <w:bookmarkEnd w:id="1748"/>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ind w:left="593" w:right="0" w:hanging="0"/>
              <w:jc w:val="right"/>
              <w:rPr>
                <w:rFonts w:ascii="times new roman" w:hAnsi="times new roman"/>
                <w:sz w:val="20"/>
              </w:rPr>
            </w:pPr>
            <w:bookmarkStart w:id="1749" w:name="TAB1747"/>
            <w:bookmarkEnd w:id="1749"/>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ind w:left="593" w:right="0" w:hanging="0"/>
              <w:jc w:val="right"/>
              <w:rPr>
                <w:rFonts w:ascii="times new roman" w:hAnsi="times new roman"/>
                <w:sz w:val="20"/>
              </w:rPr>
            </w:pPr>
            <w:bookmarkStart w:id="1750" w:name="TAB1748"/>
            <w:bookmarkEnd w:id="1750"/>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26" w:right="0" w:hanging="0"/>
              <w:jc w:val="right"/>
              <w:rPr>
                <w:rFonts w:ascii="times new roman" w:hAnsi="times new roman"/>
                <w:sz w:val="20"/>
              </w:rPr>
            </w:pPr>
            <w:bookmarkStart w:id="1751" w:name="TAB1749"/>
            <w:bookmarkEnd w:id="1751"/>
            <w:r>
              <w:rPr>
                <w:rFonts w:ascii="times new roman" w:hAnsi="times new roman"/>
                <w:sz w:val="20"/>
              </w:rPr>
              <w:t>25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ind w:left="597" w:right="0" w:hanging="0"/>
              <w:jc w:val="right"/>
              <w:rPr>
                <w:rFonts w:ascii="times new roman" w:hAnsi="times new roman"/>
                <w:sz w:val="20"/>
              </w:rPr>
            </w:pPr>
            <w:bookmarkStart w:id="1752" w:name="TAB1750"/>
            <w:bookmarkEnd w:id="175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95" w:type="dxa"/>
            <w:tcBorders/>
            <w:shd w:fill="CCEEFF" w:val="clear"/>
            <w:vAlign w:val="bottom"/>
          </w:tcPr>
          <w:p>
            <w:pPr>
              <w:pStyle w:val="TableContents"/>
              <w:spacing w:before="0" w:after="283"/>
              <w:jc w:val="left"/>
              <w:rPr/>
            </w:pPr>
            <w:r>
              <w:rPr/>
              <w:t> </w:t>
            </w:r>
          </w:p>
        </w:tc>
      </w:tr>
      <w:tr>
        <w:trPr/>
        <w:tc>
          <w:tcPr>
            <w:tcW w:w="108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Contributions from noncontrolling shareholders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525" w:right="0" w:hanging="0"/>
              <w:jc w:val="right"/>
              <w:rPr>
                <w:rFonts w:ascii="times new roman" w:hAnsi="times new roman"/>
                <w:sz w:val="20"/>
              </w:rPr>
            </w:pPr>
            <w:bookmarkStart w:id="1753" w:name="TAB1751"/>
            <w:bookmarkEnd w:id="1753"/>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35" w:right="0" w:hanging="0"/>
              <w:jc w:val="right"/>
              <w:rPr>
                <w:rFonts w:ascii="times new roman" w:hAnsi="times new roman"/>
                <w:sz w:val="20"/>
              </w:rPr>
            </w:pPr>
            <w:bookmarkStart w:id="1754" w:name="TAB1752"/>
            <w:bookmarkEnd w:id="175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755" w:name="TAB1753"/>
            <w:bookmarkEnd w:id="1755"/>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756" w:name="TAB1754"/>
            <w:bookmarkEnd w:id="1756"/>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ind w:left="528" w:right="0" w:hanging="0"/>
              <w:jc w:val="right"/>
              <w:rPr>
                <w:rFonts w:ascii="times new roman" w:hAnsi="times new roman"/>
                <w:sz w:val="20"/>
              </w:rPr>
            </w:pPr>
            <w:bookmarkStart w:id="1757" w:name="TAB1755"/>
            <w:bookmarkEnd w:id="1757"/>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04" w:right="0" w:hanging="0"/>
              <w:jc w:val="right"/>
              <w:rPr>
                <w:rFonts w:ascii="times new roman" w:hAnsi="times new roman"/>
                <w:sz w:val="20"/>
              </w:rPr>
            </w:pPr>
            <w:bookmarkStart w:id="1758" w:name="TAB1756"/>
            <w:bookmarkEnd w:id="1758"/>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ind w:left="593" w:right="0" w:hanging="0"/>
              <w:jc w:val="right"/>
              <w:rPr>
                <w:rFonts w:ascii="times new roman" w:hAnsi="times new roman"/>
                <w:sz w:val="20"/>
              </w:rPr>
            </w:pPr>
            <w:bookmarkStart w:id="1759" w:name="TAB1757"/>
            <w:bookmarkEnd w:id="1759"/>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ind w:left="593" w:right="0" w:hanging="0"/>
              <w:jc w:val="right"/>
              <w:rPr>
                <w:rFonts w:ascii="times new roman" w:hAnsi="times new roman"/>
                <w:sz w:val="20"/>
              </w:rPr>
            </w:pPr>
            <w:bookmarkStart w:id="1760" w:name="TAB1758"/>
            <w:bookmarkEnd w:id="1760"/>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15" w:right="0" w:hanging="0"/>
              <w:jc w:val="right"/>
              <w:rPr>
                <w:rFonts w:ascii="times new roman" w:hAnsi="times new roman"/>
                <w:sz w:val="20"/>
              </w:rPr>
            </w:pPr>
            <w:bookmarkStart w:id="1761" w:name="TAB1759"/>
            <w:bookmarkEnd w:id="1761"/>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193" w:right="0" w:hanging="0"/>
              <w:jc w:val="right"/>
              <w:rPr>
                <w:rFonts w:ascii="times new roman" w:hAnsi="times new roman"/>
                <w:sz w:val="20"/>
              </w:rPr>
            </w:pPr>
            <w:bookmarkStart w:id="1762" w:name="TAB1760"/>
            <w:bookmarkEnd w:id="1762"/>
            <w:r>
              <w:rPr>
                <w:rFonts w:ascii="times new roman" w:hAnsi="times new roman"/>
                <w:sz w:val="20"/>
              </w:rPr>
              <w:t>3,050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3,050</w:t>
            </w:r>
          </w:p>
        </w:tc>
        <w:tc>
          <w:tcPr>
            <w:tcW w:w="95" w:type="dxa"/>
            <w:tcBorders/>
            <w:shd w:fill="FFFFFF" w:val="clear"/>
            <w:vAlign w:val="bottom"/>
          </w:tcPr>
          <w:p>
            <w:pPr>
              <w:pStyle w:val="TableContents"/>
              <w:spacing w:before="0" w:after="283"/>
              <w:jc w:val="left"/>
              <w:rPr/>
            </w:pPr>
            <w:r>
              <w:rPr/>
              <w:t> </w:t>
            </w:r>
          </w:p>
        </w:tc>
      </w:tr>
      <w:tr>
        <w:trPr/>
        <w:tc>
          <w:tcPr>
            <w:tcW w:w="1085" w:type="dxa"/>
            <w:tcBorders>
              <w:bottom w:val="single" w:sz="12"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Distributions to noncontrolling shareholders</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ind w:left="525" w:right="0" w:hanging="0"/>
              <w:jc w:val="right"/>
              <w:rPr>
                <w:rFonts w:ascii="times new roman" w:hAnsi="times new roman"/>
                <w:sz w:val="20"/>
              </w:rPr>
            </w:pPr>
            <w:bookmarkStart w:id="1763" w:name="TAB1761"/>
            <w:bookmarkEnd w:id="1763"/>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CCEEFF" w:val="clear"/>
            <w:tcMar>
              <w:bottom w:w="28" w:type="dxa"/>
            </w:tcMar>
            <w:vAlign w:val="bottom"/>
          </w:tcPr>
          <w:p>
            <w:pPr>
              <w:pStyle w:val="TableContents"/>
              <w:spacing w:before="0" w:after="283"/>
              <w:ind w:left="435" w:right="0" w:hanging="0"/>
              <w:jc w:val="right"/>
              <w:rPr>
                <w:rFonts w:ascii="times new roman" w:hAnsi="times new roman"/>
                <w:sz w:val="20"/>
              </w:rPr>
            </w:pPr>
            <w:bookmarkStart w:id="1764" w:name="TAB1762"/>
            <w:bookmarkEnd w:id="1764"/>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CCEEFF" w:val="clear"/>
            <w:tcMar>
              <w:bottom w:w="28" w:type="dxa"/>
            </w:tcMar>
            <w:vAlign w:val="bottom"/>
          </w:tcPr>
          <w:p>
            <w:pPr>
              <w:pStyle w:val="TableContents"/>
              <w:spacing w:before="0" w:after="283"/>
              <w:ind w:left="414" w:right="0" w:hanging="0"/>
              <w:jc w:val="right"/>
              <w:rPr>
                <w:rFonts w:ascii="times new roman" w:hAnsi="times new roman"/>
                <w:sz w:val="20"/>
              </w:rPr>
            </w:pPr>
            <w:bookmarkStart w:id="1765" w:name="TAB1763"/>
            <w:bookmarkEnd w:id="1765"/>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ind w:left="404" w:right="0" w:hanging="0"/>
              <w:jc w:val="right"/>
              <w:rPr>
                <w:rFonts w:ascii="times new roman" w:hAnsi="times new roman"/>
                <w:sz w:val="20"/>
              </w:rPr>
            </w:pPr>
            <w:bookmarkStart w:id="1766" w:name="TAB1764"/>
            <w:bookmarkEnd w:id="1766"/>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ind w:left="528" w:right="0" w:hanging="0"/>
              <w:jc w:val="right"/>
              <w:rPr>
                <w:rFonts w:ascii="times new roman" w:hAnsi="times new roman"/>
                <w:sz w:val="20"/>
              </w:rPr>
            </w:pPr>
            <w:bookmarkStart w:id="1767" w:name="TAB1765"/>
            <w:bookmarkEnd w:id="1767"/>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spacing w:before="0" w:after="283"/>
              <w:ind w:left="404" w:right="0" w:hanging="0"/>
              <w:jc w:val="right"/>
              <w:rPr>
                <w:rFonts w:ascii="times new roman" w:hAnsi="times new roman"/>
                <w:sz w:val="20"/>
              </w:rPr>
            </w:pPr>
            <w:bookmarkStart w:id="1768" w:name="TAB1766"/>
            <w:bookmarkEnd w:id="1768"/>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spacing w:before="0" w:after="283"/>
              <w:ind w:left="593" w:right="0" w:hanging="0"/>
              <w:jc w:val="right"/>
              <w:rPr>
                <w:rFonts w:ascii="times new roman" w:hAnsi="times new roman"/>
                <w:sz w:val="20"/>
              </w:rPr>
            </w:pPr>
            <w:bookmarkStart w:id="1769" w:name="TAB1767"/>
            <w:bookmarkEnd w:id="1769"/>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283"/>
              <w:ind w:left="593" w:right="0" w:hanging="0"/>
              <w:jc w:val="right"/>
              <w:rPr>
                <w:rFonts w:ascii="times new roman" w:hAnsi="times new roman"/>
                <w:sz w:val="20"/>
              </w:rPr>
            </w:pPr>
            <w:bookmarkStart w:id="1770" w:name="TAB1768"/>
            <w:bookmarkEnd w:id="1770"/>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615" w:right="0" w:hanging="0"/>
              <w:jc w:val="right"/>
              <w:rPr>
                <w:rFonts w:ascii="times new roman" w:hAnsi="times new roman"/>
                <w:sz w:val="20"/>
              </w:rPr>
            </w:pPr>
            <w:bookmarkStart w:id="1771" w:name="TAB1769"/>
            <w:bookmarkEnd w:id="1771"/>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spacing w:before="0" w:after="283"/>
              <w:ind w:left="15" w:right="0" w:hanging="0"/>
              <w:jc w:val="right"/>
              <w:rPr>
                <w:rFonts w:ascii="times new roman" w:hAnsi="times new roman"/>
                <w:sz w:val="20"/>
              </w:rPr>
            </w:pPr>
            <w:bookmarkStart w:id="1772" w:name="TAB1770"/>
            <w:bookmarkEnd w:id="1772"/>
            <w:r>
              <w:rPr>
                <w:rFonts w:ascii="times new roman" w:hAnsi="times new roman"/>
                <w:sz w:val="20"/>
              </w:rPr>
              <w:t>(3,870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ind w:left="12" w:right="0" w:hanging="0"/>
              <w:jc w:val="right"/>
              <w:rPr>
                <w:rFonts w:ascii="times new roman" w:hAnsi="times new roman"/>
                <w:sz w:val="20"/>
              </w:rPr>
            </w:pPr>
            <w:bookmarkStart w:id="1773" w:name="TAB1771"/>
            <w:bookmarkEnd w:id="1773"/>
            <w:r>
              <w:rPr>
                <w:rFonts w:ascii="times new roman" w:hAnsi="times new roman"/>
                <w:sz w:val="20"/>
              </w:rPr>
              <w:t>(3,870</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bottom w:val="double" w:sz="8"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At December 31, 2007</w:t>
            </w:r>
          </w:p>
        </w:tc>
        <w:tc>
          <w:tcPr>
            <w:tcW w:w="60" w:type="dxa"/>
            <w:tcBorders/>
            <w:shd w:fill="FFFFFF" w:val="clear"/>
            <w:vAlign w:val="bottom"/>
          </w:tcPr>
          <w:p>
            <w:pPr>
              <w:pStyle w:val="TableContents"/>
              <w:spacing w:before="0" w:after="283"/>
              <w:jc w:val="left"/>
              <w:rPr/>
            </w:pPr>
            <w:r>
              <w:rPr/>
              <w:t> </w:t>
            </w:r>
          </w:p>
        </w:tc>
        <w:tc>
          <w:tcPr>
            <w:tcW w:w="6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20,987</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double" w:sz="8" w:space="0" w:color="000000"/>
            </w:tcBorders>
            <w:shd w:fill="FFFFFF" w:val="clear"/>
            <w:tcMar>
              <w:bottom w:w="28" w:type="dxa"/>
            </w:tcMar>
            <w:vAlign w:val="bottom"/>
          </w:tcPr>
          <w:p>
            <w:pPr>
              <w:pStyle w:val="TableContents"/>
              <w:spacing w:before="0" w:after="283"/>
              <w:ind w:left="213" w:right="0" w:hanging="0"/>
              <w:jc w:val="right"/>
              <w:rPr>
                <w:rFonts w:ascii="times new roman" w:hAnsi="times new roman"/>
                <w:sz w:val="20"/>
              </w:rPr>
            </w:pPr>
            <w:bookmarkStart w:id="1774" w:name="TAB1772"/>
            <w:bookmarkEnd w:id="1774"/>
            <w:r>
              <w:rPr>
                <w:rFonts w:ascii="times new roman" w:hAnsi="times new roman"/>
                <w:sz w:val="20"/>
              </w:rPr>
              <w:t>216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double" w:sz="8" w:space="0" w:color="000000"/>
            </w:tcBorders>
            <w:shd w:fill="FFFFFF" w:val="clear"/>
            <w:tcMar>
              <w:bottom w:w="28" w:type="dxa"/>
            </w:tcMar>
            <w:vAlign w:val="bottom"/>
          </w:tcPr>
          <w:p>
            <w:pPr>
              <w:pStyle w:val="TableContents"/>
              <w:spacing w:before="0" w:after="283"/>
              <w:ind w:left="315" w:right="0" w:hanging="0"/>
              <w:jc w:val="right"/>
              <w:rPr>
                <w:rFonts w:ascii="times new roman" w:hAnsi="times new roman"/>
                <w:sz w:val="20"/>
              </w:rPr>
            </w:pPr>
            <w:bookmarkStart w:id="1775" w:name="TAB1773"/>
            <w:bookmarkEnd w:id="1775"/>
            <w:r>
              <w:rPr>
                <w:rFonts w:ascii="times new roman" w:hAnsi="times new roman"/>
                <w:sz w:val="20"/>
              </w:rPr>
              <w:t>15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131,930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(4,306</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(52,670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21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24" w:type="dxa"/>
            <w:tcBorders>
              <w:bottom w:val="double" w:sz="8" w:space="0" w:color="000000"/>
            </w:tcBorders>
            <w:shd w:fill="FFFFFF" w:val="clear"/>
            <w:tcMar>
              <w:bottom w:w="28" w:type="dxa"/>
            </w:tcMar>
            <w:vAlign w:val="bottom"/>
          </w:tcPr>
          <w:p>
            <w:pPr>
              <w:pStyle w:val="TableContents"/>
              <w:spacing w:before="0" w:after="283"/>
              <w:ind w:left="37" w:right="0" w:hanging="0"/>
              <w:jc w:val="right"/>
              <w:rPr>
                <w:rFonts w:ascii="times new roman" w:hAnsi="times new roman"/>
                <w:sz w:val="20"/>
              </w:rPr>
            </w:pPr>
            <w:bookmarkStart w:id="1776" w:name="TAB1774"/>
            <w:bookmarkEnd w:id="1776"/>
            <w:r>
              <w:rPr>
                <w:rFonts w:ascii="times new roman" w:hAnsi="times new roman"/>
                <w:sz w:val="20"/>
              </w:rPr>
              <w:t>46,177</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121,362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double" w:sz="8" w:space="0" w:color="000000"/>
            </w:tcBorders>
            <w:shd w:fill="FFFFFF" w:val="clear"/>
            <w:tcMar>
              <w:bottom w:w="28" w:type="dxa"/>
            </w:tcMar>
            <w:vAlign w:val="bottom"/>
          </w:tcPr>
          <w:p>
            <w:pPr>
              <w:pStyle w:val="TableContents"/>
              <w:spacing w:before="0" w:after="283"/>
              <w:ind w:left="175" w:right="0" w:hanging="0"/>
              <w:jc w:val="right"/>
              <w:rPr>
                <w:rFonts w:ascii="times new roman" w:hAnsi="times new roman"/>
                <w:sz w:val="20"/>
              </w:rPr>
            </w:pPr>
            <w:bookmarkStart w:id="1777" w:name="TAB1775"/>
            <w:bookmarkEnd w:id="1777"/>
            <w:r>
              <w:rPr>
                <w:rFonts w:ascii="times new roman" w:hAnsi="times new roman"/>
                <w:sz w:val="20"/>
              </w:rPr>
              <w:t>2,835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124,197</w:t>
            </w:r>
          </w:p>
        </w:tc>
        <w:tc>
          <w:tcPr>
            <w:tcW w:w="95" w:type="dxa"/>
            <w:tcBorders/>
            <w:shd w:fill="FFFFFF" w:val="clear"/>
            <w:vAlign w:val="bottom"/>
          </w:tcPr>
          <w:p>
            <w:pPr>
              <w:pStyle w:val="TableContents"/>
              <w:spacing w:before="0" w:after="283"/>
              <w:jc w:val="left"/>
              <w:rPr/>
            </w:pPr>
            <w:r>
              <w:rPr/>
              <w:t> </w:t>
            </w:r>
          </w:p>
        </w:tc>
      </w:tr>
      <w:tr>
        <w:trPr/>
        <w:tc>
          <w:tcPr>
            <w:tcW w:w="1085" w:type="dxa"/>
            <w:tcBorders/>
            <w:shd w:fill="CCEEFF" w:val="clear"/>
            <w:vAlign w:val="bottom"/>
          </w:tcPr>
          <w:p>
            <w:pPr>
              <w:pStyle w:val="TableContents"/>
              <w:spacing w:before="0" w:after="0"/>
              <w:ind w:left="0" w:right="0" w:hanging="0"/>
              <w:jc w:val="left"/>
              <w:rPr/>
            </w:pPr>
            <w:r>
              <w:rPr/>
              <w:t> </w:t>
            </w:r>
          </w:p>
          <w:p>
            <w:pPr>
              <w:pStyle w:val="TableContents"/>
              <w:spacing w:before="0" w:after="0"/>
              <w:ind w:left="180" w:right="0" w:hanging="18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ind w:left="525" w:right="0" w:hanging="0"/>
              <w:jc w:val="right"/>
              <w:rPr>
                <w:rFonts w:ascii="times new roman" w:hAnsi="times new roman"/>
                <w:sz w:val="20"/>
              </w:rPr>
            </w:pPr>
            <w:bookmarkStart w:id="1778" w:name="TAB1776"/>
            <w:bookmarkEnd w:id="1778"/>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ind w:left="435" w:right="0" w:hanging="0"/>
              <w:jc w:val="right"/>
              <w:rPr>
                <w:rFonts w:ascii="times new roman" w:hAnsi="times new roman"/>
                <w:sz w:val="20"/>
              </w:rPr>
            </w:pPr>
            <w:bookmarkStart w:id="1779" w:name="TAB1777"/>
            <w:bookmarkEnd w:id="1779"/>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ind w:left="414" w:right="0" w:hanging="0"/>
              <w:jc w:val="right"/>
              <w:rPr>
                <w:rFonts w:ascii="times new roman" w:hAnsi="times new roman"/>
                <w:sz w:val="20"/>
              </w:rPr>
            </w:pPr>
            <w:bookmarkStart w:id="1780" w:name="TAB1778"/>
            <w:bookmarkEnd w:id="1780"/>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ind w:left="404" w:right="0" w:hanging="0"/>
              <w:jc w:val="right"/>
              <w:rPr>
                <w:rFonts w:ascii="times new roman" w:hAnsi="times new roman"/>
                <w:sz w:val="20"/>
              </w:rPr>
            </w:pPr>
            <w:bookmarkStart w:id="1781" w:name="TAB1779"/>
            <w:bookmarkEnd w:id="1781"/>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ind w:left="528" w:right="0" w:hanging="0"/>
              <w:jc w:val="right"/>
              <w:rPr>
                <w:rFonts w:ascii="times new roman" w:hAnsi="times new roman"/>
                <w:sz w:val="20"/>
              </w:rPr>
            </w:pPr>
            <w:bookmarkStart w:id="1782" w:name="TAB1780"/>
            <w:bookmarkEnd w:id="178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ind w:left="438" w:right="0" w:hanging="0"/>
              <w:jc w:val="right"/>
              <w:rPr>
                <w:rFonts w:ascii="times new roman" w:hAnsi="times new roman"/>
                <w:sz w:val="20"/>
              </w:rPr>
            </w:pPr>
            <w:bookmarkStart w:id="1783" w:name="TAB1781"/>
            <w:bookmarkEnd w:id="1783"/>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ind w:left="230" w:right="0" w:hanging="0"/>
              <w:jc w:val="right"/>
              <w:rPr>
                <w:rFonts w:ascii="times new roman" w:hAnsi="times new roman"/>
                <w:sz w:val="20"/>
              </w:rPr>
            </w:pPr>
            <w:bookmarkStart w:id="1784" w:name="TAB1782"/>
            <w:bookmarkEnd w:id="1784"/>
            <w:r>
              <w:rPr>
                <w:rFonts w:ascii="times new roman" w:hAnsi="times new roman"/>
                <w:sz w:val="20"/>
              </w:rPr>
              <w:t>(16,809</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ind w:left="593" w:right="0" w:hanging="0"/>
              <w:jc w:val="right"/>
              <w:rPr>
                <w:rFonts w:ascii="times new roman" w:hAnsi="times new roman"/>
                <w:sz w:val="20"/>
              </w:rPr>
            </w:pPr>
            <w:bookmarkStart w:id="1785" w:name="TAB1783"/>
            <w:bookmarkEnd w:id="1785"/>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(16,809</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ind w:left="393" w:right="0" w:hanging="0"/>
              <w:jc w:val="right"/>
              <w:rPr>
                <w:rFonts w:ascii="times new roman" w:hAnsi="times new roman"/>
                <w:sz w:val="20"/>
              </w:rPr>
            </w:pPr>
            <w:bookmarkStart w:id="1786" w:name="TAB1784"/>
            <w:bookmarkEnd w:id="1786"/>
            <w:r>
              <w:rPr>
                <w:rFonts w:ascii="times new roman" w:hAnsi="times new roman"/>
                <w:sz w:val="20"/>
              </w:rPr>
              <w:t>620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(16,189</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comprehensive income:</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0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Cumulative foreign exchange rate adjustment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ind w:left="525" w:right="0" w:hanging="0"/>
              <w:jc w:val="right"/>
              <w:rPr>
                <w:rFonts w:ascii="times new roman" w:hAnsi="times new roman"/>
                <w:sz w:val="20"/>
              </w:rPr>
            </w:pPr>
            <w:bookmarkStart w:id="1787" w:name="TAB1785"/>
            <w:bookmarkEnd w:id="1787"/>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ind w:left="435" w:right="0" w:hanging="0"/>
              <w:jc w:val="right"/>
              <w:rPr>
                <w:rFonts w:ascii="times new roman" w:hAnsi="times new roman"/>
                <w:sz w:val="20"/>
              </w:rPr>
            </w:pPr>
            <w:bookmarkStart w:id="1788" w:name="TAB1786"/>
            <w:bookmarkEnd w:id="1788"/>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ind w:left="414" w:right="0" w:hanging="0"/>
              <w:jc w:val="right"/>
              <w:rPr>
                <w:rFonts w:ascii="times new roman" w:hAnsi="times new roman"/>
                <w:sz w:val="20"/>
              </w:rPr>
            </w:pPr>
            <w:bookmarkStart w:id="1789" w:name="TAB1787"/>
            <w:bookmarkEnd w:id="1789"/>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ind w:left="404" w:right="0" w:hanging="0"/>
              <w:jc w:val="right"/>
              <w:rPr>
                <w:rFonts w:ascii="times new roman" w:hAnsi="times new roman"/>
                <w:sz w:val="20"/>
              </w:rPr>
            </w:pPr>
            <w:bookmarkStart w:id="1790" w:name="TAB1788"/>
            <w:bookmarkEnd w:id="1790"/>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ind w:left="528" w:right="0" w:hanging="0"/>
              <w:jc w:val="right"/>
              <w:rPr>
                <w:rFonts w:ascii="times new roman" w:hAnsi="times new roman"/>
                <w:sz w:val="20"/>
              </w:rPr>
            </w:pPr>
            <w:bookmarkStart w:id="1791" w:name="TAB1789"/>
            <w:bookmarkEnd w:id="1791"/>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ind w:left="438" w:right="0" w:hanging="0"/>
              <w:jc w:val="right"/>
              <w:rPr>
                <w:rFonts w:ascii="times new roman" w:hAnsi="times new roman"/>
                <w:sz w:val="20"/>
              </w:rPr>
            </w:pPr>
            <w:bookmarkStart w:id="1792" w:name="TAB1790"/>
            <w:bookmarkEnd w:id="179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ind w:left="593" w:right="0" w:hanging="0"/>
              <w:jc w:val="right"/>
              <w:rPr>
                <w:rFonts w:ascii="times new roman" w:hAnsi="times new roman"/>
                <w:sz w:val="20"/>
              </w:rPr>
            </w:pPr>
            <w:bookmarkStart w:id="1793" w:name="TAB1791"/>
            <w:bookmarkEnd w:id="1793"/>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(39,196</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(39,196</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ind w:left="215" w:right="0" w:hanging="0"/>
              <w:jc w:val="right"/>
              <w:rPr>
                <w:rFonts w:ascii="times new roman" w:hAnsi="times new roman"/>
                <w:sz w:val="20"/>
              </w:rPr>
            </w:pPr>
            <w:bookmarkStart w:id="1794" w:name="TAB1792"/>
            <w:bookmarkEnd w:id="1794"/>
            <w:r>
              <w:rPr>
                <w:rFonts w:ascii="times new roman" w:hAnsi="times new roman"/>
                <w:sz w:val="20"/>
              </w:rPr>
              <w:t>(53</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(39,249</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Accrued pension service costs</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525" w:right="0" w:hanging="0"/>
              <w:jc w:val="right"/>
              <w:rPr>
                <w:rFonts w:ascii="times new roman" w:hAnsi="times new roman"/>
                <w:sz w:val="20"/>
              </w:rPr>
            </w:pPr>
            <w:bookmarkStart w:id="1795" w:name="TAB1793"/>
            <w:bookmarkEnd w:id="1795"/>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35" w:right="0" w:hanging="0"/>
              <w:jc w:val="right"/>
              <w:rPr>
                <w:rFonts w:ascii="times new roman" w:hAnsi="times new roman"/>
                <w:sz w:val="20"/>
              </w:rPr>
            </w:pPr>
            <w:bookmarkStart w:id="1796" w:name="TAB1794"/>
            <w:bookmarkEnd w:id="1796"/>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797" w:name="TAB1795"/>
            <w:bookmarkEnd w:id="1797"/>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798" w:name="TAB1796"/>
            <w:bookmarkEnd w:id="1798"/>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ind w:left="528" w:right="0" w:hanging="0"/>
              <w:jc w:val="right"/>
              <w:rPr>
                <w:rFonts w:ascii="times new roman" w:hAnsi="times new roman"/>
                <w:sz w:val="20"/>
              </w:rPr>
            </w:pPr>
            <w:bookmarkStart w:id="1799" w:name="TAB1797"/>
            <w:bookmarkEnd w:id="1799"/>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38" w:right="0" w:hanging="0"/>
              <w:jc w:val="right"/>
              <w:rPr>
                <w:rFonts w:ascii="times new roman" w:hAnsi="times new roman"/>
                <w:sz w:val="20"/>
              </w:rPr>
            </w:pPr>
            <w:bookmarkStart w:id="1800" w:name="TAB1798"/>
            <w:bookmarkEnd w:id="1800"/>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ind w:left="593" w:right="0" w:hanging="0"/>
              <w:jc w:val="right"/>
              <w:rPr>
                <w:rFonts w:ascii="times new roman" w:hAnsi="times new roman"/>
                <w:sz w:val="20"/>
              </w:rPr>
            </w:pPr>
            <w:bookmarkStart w:id="1801" w:name="TAB1799"/>
            <w:bookmarkEnd w:id="1801"/>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ind w:left="396" w:right="0" w:hanging="0"/>
              <w:jc w:val="right"/>
              <w:rPr>
                <w:rFonts w:ascii="times new roman" w:hAnsi="times new roman"/>
                <w:sz w:val="20"/>
              </w:rPr>
            </w:pPr>
            <w:bookmarkStart w:id="1802" w:name="TAB1800"/>
            <w:bookmarkEnd w:id="1802"/>
            <w:r>
              <w:rPr>
                <w:rFonts w:ascii="times new roman" w:hAnsi="times new roman"/>
                <w:sz w:val="20"/>
              </w:rPr>
              <w:t>318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93" w:right="0" w:hanging="0"/>
              <w:jc w:val="right"/>
              <w:rPr>
                <w:rFonts w:ascii="times new roman" w:hAnsi="times new roman"/>
                <w:sz w:val="20"/>
              </w:rPr>
            </w:pPr>
            <w:bookmarkStart w:id="1803" w:name="TAB1801"/>
            <w:bookmarkEnd w:id="1803"/>
            <w:r>
              <w:rPr>
                <w:rFonts w:ascii="times new roman" w:hAnsi="times new roman"/>
                <w:sz w:val="20"/>
              </w:rPr>
              <w:t>318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615" w:right="0" w:hanging="0"/>
              <w:jc w:val="right"/>
              <w:rPr>
                <w:rFonts w:ascii="times new roman" w:hAnsi="times new roman"/>
                <w:sz w:val="20"/>
              </w:rPr>
            </w:pPr>
            <w:bookmarkStart w:id="1804" w:name="TAB1802"/>
            <w:bookmarkEnd w:id="180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ind w:left="390" w:right="0" w:hanging="0"/>
              <w:jc w:val="right"/>
              <w:rPr>
                <w:rFonts w:ascii="times new roman" w:hAnsi="times new roman"/>
                <w:sz w:val="20"/>
              </w:rPr>
            </w:pPr>
            <w:bookmarkStart w:id="1805" w:name="TAB1803"/>
            <w:bookmarkEnd w:id="1805"/>
            <w:r>
              <w:rPr>
                <w:rFonts w:ascii="times new roman" w:hAnsi="times new roman"/>
                <w:sz w:val="20"/>
              </w:rPr>
              <w:t>318</w:t>
            </w:r>
          </w:p>
        </w:tc>
        <w:tc>
          <w:tcPr>
            <w:tcW w:w="95" w:type="dxa"/>
            <w:tcBorders/>
            <w:shd w:fill="FFFFFF" w:val="clear"/>
            <w:vAlign w:val="bottom"/>
          </w:tcPr>
          <w:p>
            <w:pPr>
              <w:pStyle w:val="TableContents"/>
              <w:spacing w:before="0" w:after="283"/>
              <w:jc w:val="left"/>
              <w:rPr/>
            </w:pPr>
            <w:r>
              <w:rPr/>
              <w:t> </w:t>
            </w:r>
          </w:p>
        </w:tc>
      </w:tr>
      <w:tr>
        <w:trPr/>
        <w:tc>
          <w:tcPr>
            <w:tcW w:w="1085" w:type="dxa"/>
            <w:tcBorders>
              <w:bottom w:val="single" w:sz="12"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Unrealized loss on securities</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ind w:left="525" w:right="0" w:hanging="0"/>
              <w:jc w:val="right"/>
              <w:rPr>
                <w:rFonts w:ascii="times new roman" w:hAnsi="times new roman"/>
                <w:sz w:val="20"/>
              </w:rPr>
            </w:pPr>
            <w:bookmarkStart w:id="1806" w:name="TAB1804"/>
            <w:bookmarkEnd w:id="1806"/>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CCEEFF" w:val="clear"/>
            <w:tcMar>
              <w:bottom w:w="28" w:type="dxa"/>
            </w:tcMar>
            <w:vAlign w:val="bottom"/>
          </w:tcPr>
          <w:p>
            <w:pPr>
              <w:pStyle w:val="TableContents"/>
              <w:spacing w:before="0" w:after="283"/>
              <w:ind w:left="435" w:right="0" w:hanging="0"/>
              <w:jc w:val="right"/>
              <w:rPr>
                <w:rFonts w:ascii="times new roman" w:hAnsi="times new roman"/>
                <w:sz w:val="20"/>
              </w:rPr>
            </w:pPr>
            <w:bookmarkStart w:id="1807" w:name="TAB1805"/>
            <w:bookmarkEnd w:id="1807"/>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CCEEFF" w:val="clear"/>
            <w:tcMar>
              <w:bottom w:w="28" w:type="dxa"/>
            </w:tcMar>
            <w:vAlign w:val="bottom"/>
          </w:tcPr>
          <w:p>
            <w:pPr>
              <w:pStyle w:val="TableContents"/>
              <w:spacing w:before="0" w:after="283"/>
              <w:ind w:left="414" w:right="0" w:hanging="0"/>
              <w:jc w:val="right"/>
              <w:rPr>
                <w:rFonts w:ascii="times new roman" w:hAnsi="times new roman"/>
                <w:sz w:val="20"/>
              </w:rPr>
            </w:pPr>
            <w:bookmarkStart w:id="1808" w:name="TAB1806"/>
            <w:bookmarkEnd w:id="1808"/>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ind w:left="404" w:right="0" w:hanging="0"/>
              <w:jc w:val="right"/>
              <w:rPr>
                <w:rFonts w:ascii="times new roman" w:hAnsi="times new roman"/>
                <w:sz w:val="20"/>
              </w:rPr>
            </w:pPr>
            <w:bookmarkStart w:id="1809" w:name="TAB1807"/>
            <w:bookmarkEnd w:id="1809"/>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ind w:left="528" w:right="0" w:hanging="0"/>
              <w:jc w:val="right"/>
              <w:rPr>
                <w:rFonts w:ascii="times new roman" w:hAnsi="times new roman"/>
                <w:sz w:val="20"/>
              </w:rPr>
            </w:pPr>
            <w:bookmarkStart w:id="1810" w:name="TAB1808"/>
            <w:bookmarkEnd w:id="1810"/>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spacing w:before="0" w:after="283"/>
              <w:ind w:left="438" w:right="0" w:hanging="0"/>
              <w:jc w:val="right"/>
              <w:rPr>
                <w:rFonts w:ascii="times new roman" w:hAnsi="times new roman"/>
                <w:sz w:val="20"/>
              </w:rPr>
            </w:pPr>
            <w:bookmarkStart w:id="1811" w:name="TAB1809"/>
            <w:bookmarkEnd w:id="1811"/>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spacing w:before="0" w:after="283"/>
              <w:ind w:left="593" w:right="0" w:hanging="0"/>
              <w:jc w:val="right"/>
              <w:rPr>
                <w:rFonts w:ascii="times new roman" w:hAnsi="times new roman"/>
                <w:sz w:val="20"/>
              </w:rPr>
            </w:pPr>
            <w:bookmarkStart w:id="1812" w:name="TAB1810"/>
            <w:bookmarkEnd w:id="181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283"/>
              <w:ind w:left="351" w:right="0" w:hanging="0"/>
              <w:jc w:val="right"/>
              <w:rPr>
                <w:rFonts w:ascii="times new roman" w:hAnsi="times new roman"/>
                <w:sz w:val="20"/>
              </w:rPr>
            </w:pPr>
            <w:bookmarkStart w:id="1813" w:name="TAB1811"/>
            <w:bookmarkEnd w:id="1813"/>
            <w:r>
              <w:rPr>
                <w:rFonts w:ascii="times new roman" w:hAnsi="times new roman"/>
                <w:sz w:val="20"/>
              </w:rPr>
              <w:t>(21</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348" w:right="0" w:hanging="0"/>
              <w:jc w:val="right"/>
              <w:rPr>
                <w:rFonts w:ascii="times new roman" w:hAnsi="times new roman"/>
                <w:sz w:val="20"/>
              </w:rPr>
            </w:pPr>
            <w:bookmarkStart w:id="1814" w:name="TAB1812"/>
            <w:bookmarkEnd w:id="1814"/>
            <w:r>
              <w:rPr>
                <w:rFonts w:ascii="times new roman" w:hAnsi="times new roman"/>
                <w:sz w:val="20"/>
              </w:rPr>
              <w:t>(21</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spacing w:before="0" w:after="283"/>
              <w:ind w:left="615" w:right="0" w:hanging="0"/>
              <w:jc w:val="right"/>
              <w:rPr>
                <w:rFonts w:ascii="times new roman" w:hAnsi="times new roman"/>
                <w:sz w:val="20"/>
              </w:rPr>
            </w:pPr>
            <w:bookmarkStart w:id="1815" w:name="TAB1813"/>
            <w:bookmarkEnd w:id="1815"/>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ind w:left="345" w:right="0" w:hanging="0"/>
              <w:jc w:val="right"/>
              <w:rPr>
                <w:rFonts w:ascii="times new roman" w:hAnsi="times new roman"/>
                <w:sz w:val="20"/>
              </w:rPr>
            </w:pPr>
            <w:bookmarkStart w:id="1816" w:name="TAB1814"/>
            <w:bookmarkEnd w:id="1816"/>
            <w:r>
              <w:rPr>
                <w:rFonts w:ascii="times new roman" w:hAnsi="times new roman"/>
                <w:sz w:val="20"/>
              </w:rPr>
              <w:t>(21</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bottom w:val="single" w:sz="12"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Total comprehensive loss</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ind w:left="525" w:right="0" w:hanging="0"/>
              <w:jc w:val="right"/>
              <w:rPr>
                <w:rFonts w:ascii="times new roman" w:hAnsi="times new roman"/>
                <w:sz w:val="20"/>
              </w:rPr>
            </w:pPr>
            <w:bookmarkStart w:id="1817" w:name="TAB1815"/>
            <w:bookmarkEnd w:id="1817"/>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ind w:left="435" w:right="0" w:hanging="0"/>
              <w:jc w:val="right"/>
              <w:rPr>
                <w:rFonts w:ascii="times new roman" w:hAnsi="times new roman"/>
                <w:sz w:val="20"/>
              </w:rPr>
            </w:pPr>
            <w:bookmarkStart w:id="1818" w:name="TAB1816"/>
            <w:bookmarkEnd w:id="1818"/>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ind w:left="414" w:right="0" w:hanging="0"/>
              <w:jc w:val="right"/>
              <w:rPr>
                <w:rFonts w:ascii="times new roman" w:hAnsi="times new roman"/>
                <w:sz w:val="20"/>
              </w:rPr>
            </w:pPr>
            <w:bookmarkStart w:id="1819" w:name="TAB1817"/>
            <w:bookmarkEnd w:id="1819"/>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ind w:left="404" w:right="0" w:hanging="0"/>
              <w:jc w:val="right"/>
              <w:rPr>
                <w:rFonts w:ascii="times new roman" w:hAnsi="times new roman"/>
                <w:sz w:val="20"/>
              </w:rPr>
            </w:pPr>
            <w:bookmarkStart w:id="1820" w:name="TAB1818"/>
            <w:bookmarkEnd w:id="1820"/>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ind w:left="528" w:right="0" w:hanging="0"/>
              <w:jc w:val="right"/>
              <w:rPr>
                <w:rFonts w:ascii="times new roman" w:hAnsi="times new roman"/>
                <w:sz w:val="20"/>
              </w:rPr>
            </w:pPr>
            <w:bookmarkStart w:id="1821" w:name="TAB1819"/>
            <w:bookmarkEnd w:id="1821"/>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ind w:left="438" w:right="0" w:hanging="0"/>
              <w:jc w:val="right"/>
              <w:rPr>
                <w:rFonts w:ascii="times new roman" w:hAnsi="times new roman"/>
                <w:sz w:val="20"/>
              </w:rPr>
            </w:pPr>
            <w:bookmarkStart w:id="1822" w:name="TAB1820"/>
            <w:bookmarkEnd w:id="1822"/>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ind w:left="593" w:right="0" w:hanging="0"/>
              <w:jc w:val="right"/>
              <w:rPr>
                <w:rFonts w:ascii="times new roman" w:hAnsi="times new roman"/>
                <w:sz w:val="20"/>
              </w:rPr>
            </w:pPr>
            <w:bookmarkStart w:id="1823" w:name="TAB1821"/>
            <w:bookmarkEnd w:id="1823"/>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FFFFFF" w:val="clear"/>
            <w:tcMar>
              <w:bottom w:w="28" w:type="dxa"/>
            </w:tcMar>
            <w:vAlign w:val="bottom"/>
          </w:tcPr>
          <w:p>
            <w:pPr>
              <w:pStyle w:val="TableContents"/>
              <w:spacing w:before="0" w:after="283"/>
              <w:ind w:left="593" w:right="0" w:hanging="0"/>
              <w:jc w:val="right"/>
              <w:rPr>
                <w:rFonts w:ascii="times new roman" w:hAnsi="times new roman"/>
                <w:sz w:val="20"/>
              </w:rPr>
            </w:pPr>
            <w:bookmarkStart w:id="1824" w:name="TAB1822"/>
            <w:bookmarkEnd w:id="182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(55,708</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ind w:left="393" w:right="0" w:hanging="0"/>
              <w:jc w:val="right"/>
              <w:rPr>
                <w:rFonts w:ascii="times new roman" w:hAnsi="times new roman"/>
                <w:sz w:val="20"/>
              </w:rPr>
            </w:pPr>
            <w:bookmarkStart w:id="1825" w:name="TAB1823"/>
            <w:bookmarkEnd w:id="1825"/>
            <w:r>
              <w:rPr>
                <w:rFonts w:ascii="times new roman" w:hAnsi="times new roman"/>
                <w:sz w:val="20"/>
              </w:rPr>
              <w:t>567</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(55,141</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Stock option and restricted stock compensation expense</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ind w:left="525" w:right="0" w:hanging="0"/>
              <w:jc w:val="right"/>
              <w:rPr>
                <w:rFonts w:ascii="times new roman" w:hAnsi="times new roman"/>
                <w:sz w:val="20"/>
              </w:rPr>
            </w:pPr>
            <w:bookmarkStart w:id="1826" w:name="TAB1824"/>
            <w:bookmarkEnd w:id="1826"/>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ind w:left="435" w:right="0" w:hanging="0"/>
              <w:jc w:val="right"/>
              <w:rPr>
                <w:rFonts w:ascii="times new roman" w:hAnsi="times new roman"/>
                <w:sz w:val="20"/>
              </w:rPr>
            </w:pPr>
            <w:bookmarkStart w:id="1827" w:name="TAB1825"/>
            <w:bookmarkEnd w:id="1827"/>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ind w:left="414" w:right="0" w:hanging="0"/>
              <w:jc w:val="right"/>
              <w:rPr>
                <w:rFonts w:ascii="times new roman" w:hAnsi="times new roman"/>
                <w:sz w:val="20"/>
              </w:rPr>
            </w:pPr>
            <w:bookmarkStart w:id="1828" w:name="TAB1826"/>
            <w:bookmarkEnd w:id="1828"/>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ind w:left="404" w:right="0" w:hanging="0"/>
              <w:jc w:val="right"/>
              <w:rPr>
                <w:rFonts w:ascii="times new roman" w:hAnsi="times new roman"/>
                <w:sz w:val="20"/>
              </w:rPr>
            </w:pPr>
            <w:bookmarkStart w:id="1829" w:name="TAB1827"/>
            <w:bookmarkEnd w:id="1829"/>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ind w:left="438" w:right="0" w:hanging="0"/>
              <w:jc w:val="right"/>
              <w:rPr>
                <w:rFonts w:ascii="times new roman" w:hAnsi="times new roman"/>
                <w:sz w:val="20"/>
              </w:rPr>
            </w:pPr>
            <w:bookmarkStart w:id="1830" w:name="TAB1828"/>
            <w:bookmarkEnd w:id="1830"/>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ind w:left="593" w:right="0" w:hanging="0"/>
              <w:jc w:val="right"/>
              <w:rPr>
                <w:rFonts w:ascii="times new roman" w:hAnsi="times new roman"/>
                <w:sz w:val="20"/>
              </w:rPr>
            </w:pPr>
            <w:bookmarkStart w:id="1831" w:name="TAB1829"/>
            <w:bookmarkEnd w:id="1831"/>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ind w:left="593" w:right="0" w:hanging="0"/>
              <w:jc w:val="right"/>
              <w:rPr>
                <w:rFonts w:ascii="times new roman" w:hAnsi="times new roman"/>
                <w:sz w:val="20"/>
              </w:rPr>
            </w:pPr>
            <w:bookmarkStart w:id="1832" w:name="TAB1830"/>
            <w:bookmarkEnd w:id="183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193" w:right="0" w:hanging="0"/>
              <w:jc w:val="right"/>
              <w:rPr>
                <w:rFonts w:ascii="times new roman" w:hAnsi="times new roman"/>
                <w:sz w:val="20"/>
              </w:rPr>
            </w:pPr>
            <w:bookmarkStart w:id="1833" w:name="TAB1831"/>
            <w:bookmarkEnd w:id="1833"/>
            <w:r>
              <w:rPr>
                <w:rFonts w:ascii="times new roman" w:hAnsi="times new roman"/>
                <w:sz w:val="20"/>
              </w:rPr>
              <w:t>1,976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ind w:left="615" w:right="0" w:hanging="0"/>
              <w:jc w:val="right"/>
              <w:rPr>
                <w:rFonts w:ascii="times new roman" w:hAnsi="times new roman"/>
                <w:sz w:val="20"/>
              </w:rPr>
            </w:pPr>
            <w:bookmarkStart w:id="1834" w:name="TAB1832"/>
            <w:bookmarkEnd w:id="1834"/>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ind w:left="190" w:right="0" w:hanging="0"/>
              <w:jc w:val="right"/>
              <w:rPr>
                <w:rFonts w:ascii="times new roman" w:hAnsi="times new roman"/>
                <w:sz w:val="20"/>
              </w:rPr>
            </w:pPr>
            <w:bookmarkStart w:id="1835" w:name="TAB1833"/>
            <w:bookmarkEnd w:id="1835"/>
            <w:r>
              <w:rPr>
                <w:rFonts w:ascii="times new roman" w:hAnsi="times new roman"/>
                <w:sz w:val="20"/>
              </w:rPr>
              <w:t>1,976</w:t>
            </w:r>
          </w:p>
        </w:tc>
        <w:tc>
          <w:tcPr>
            <w:tcW w:w="95" w:type="dxa"/>
            <w:tcBorders/>
            <w:shd w:fill="CCEEFF" w:val="clear"/>
            <w:vAlign w:val="bottom"/>
          </w:tcPr>
          <w:p>
            <w:pPr>
              <w:pStyle w:val="TableContents"/>
              <w:spacing w:before="0" w:after="283"/>
              <w:jc w:val="left"/>
              <w:rPr/>
            </w:pPr>
            <w:r>
              <w:rPr/>
              <w:t> </w:t>
            </w:r>
          </w:p>
        </w:tc>
      </w:tr>
      <w:tr>
        <w:trPr/>
        <w:tc>
          <w:tcPr>
            <w:tcW w:w="1085" w:type="dxa"/>
            <w:tcBorders>
              <w:bottom w:val="single" w:sz="12"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Distributions to noncontrolling shareholders</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ind w:left="525" w:right="0" w:hanging="0"/>
              <w:jc w:val="right"/>
              <w:rPr>
                <w:rFonts w:ascii="times new roman" w:hAnsi="times new roman"/>
                <w:sz w:val="20"/>
              </w:rPr>
            </w:pPr>
            <w:bookmarkStart w:id="1836" w:name="TAB1834"/>
            <w:bookmarkEnd w:id="1836"/>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ind w:left="435" w:right="0" w:hanging="0"/>
              <w:jc w:val="right"/>
              <w:rPr>
                <w:rFonts w:ascii="times new roman" w:hAnsi="times new roman"/>
                <w:sz w:val="20"/>
              </w:rPr>
            </w:pPr>
            <w:bookmarkStart w:id="1837" w:name="TAB1835"/>
            <w:bookmarkEnd w:id="1837"/>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ind w:left="414" w:right="0" w:hanging="0"/>
              <w:jc w:val="right"/>
              <w:rPr>
                <w:rFonts w:ascii="times new roman" w:hAnsi="times new roman"/>
                <w:sz w:val="20"/>
              </w:rPr>
            </w:pPr>
            <w:bookmarkStart w:id="1838" w:name="TAB1836"/>
            <w:bookmarkEnd w:id="1838"/>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ind w:left="404" w:right="0" w:hanging="0"/>
              <w:jc w:val="right"/>
              <w:rPr>
                <w:rFonts w:ascii="times new roman" w:hAnsi="times new roman"/>
                <w:sz w:val="20"/>
              </w:rPr>
            </w:pPr>
            <w:bookmarkStart w:id="1839" w:name="TAB1837"/>
            <w:bookmarkEnd w:id="1839"/>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ind w:left="528" w:right="0" w:hanging="0"/>
              <w:jc w:val="right"/>
              <w:rPr>
                <w:rFonts w:ascii="times new roman" w:hAnsi="times new roman"/>
                <w:sz w:val="20"/>
              </w:rPr>
            </w:pPr>
            <w:bookmarkStart w:id="1840" w:name="TAB1838"/>
            <w:bookmarkEnd w:id="1840"/>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ind w:left="438" w:right="0" w:hanging="0"/>
              <w:jc w:val="right"/>
              <w:rPr>
                <w:rFonts w:ascii="times new roman" w:hAnsi="times new roman"/>
                <w:sz w:val="20"/>
              </w:rPr>
            </w:pPr>
            <w:bookmarkStart w:id="1841" w:name="TAB1839"/>
            <w:bookmarkEnd w:id="1841"/>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ind w:left="593" w:right="0" w:hanging="0"/>
              <w:jc w:val="right"/>
              <w:rPr>
                <w:rFonts w:ascii="times new roman" w:hAnsi="times new roman"/>
                <w:sz w:val="20"/>
              </w:rPr>
            </w:pPr>
            <w:bookmarkStart w:id="1842" w:name="TAB1840"/>
            <w:bookmarkEnd w:id="1842"/>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FFFFFF" w:val="clear"/>
            <w:tcMar>
              <w:bottom w:w="28" w:type="dxa"/>
            </w:tcMar>
            <w:vAlign w:val="bottom"/>
          </w:tcPr>
          <w:p>
            <w:pPr>
              <w:pStyle w:val="TableContents"/>
              <w:spacing w:before="0" w:after="283"/>
              <w:ind w:left="593" w:right="0" w:hanging="0"/>
              <w:jc w:val="right"/>
              <w:rPr>
                <w:rFonts w:ascii="times new roman" w:hAnsi="times new roman"/>
                <w:sz w:val="20"/>
              </w:rPr>
            </w:pPr>
            <w:bookmarkStart w:id="1843" w:name="TAB1841"/>
            <w:bookmarkEnd w:id="1843"/>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615" w:right="0" w:hanging="0"/>
              <w:jc w:val="right"/>
              <w:rPr>
                <w:rFonts w:ascii="times new roman" w:hAnsi="times new roman"/>
                <w:sz w:val="20"/>
              </w:rPr>
            </w:pPr>
            <w:bookmarkStart w:id="1844" w:name="TAB1842"/>
            <w:bookmarkEnd w:id="184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ind w:left="15" w:right="0" w:hanging="0"/>
              <w:jc w:val="right"/>
              <w:rPr>
                <w:rFonts w:ascii="times new roman" w:hAnsi="times new roman"/>
                <w:sz w:val="20"/>
              </w:rPr>
            </w:pPr>
            <w:bookmarkStart w:id="1845" w:name="TAB1843"/>
            <w:bookmarkEnd w:id="1845"/>
            <w:r>
              <w:rPr>
                <w:rFonts w:ascii="times new roman" w:hAnsi="times new roman"/>
                <w:sz w:val="20"/>
              </w:rPr>
              <w:t>(1,585</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ind w:left="12" w:right="0" w:hanging="0"/>
              <w:jc w:val="right"/>
              <w:rPr>
                <w:rFonts w:ascii="times new roman" w:hAnsi="times new roman"/>
                <w:sz w:val="20"/>
              </w:rPr>
            </w:pPr>
            <w:bookmarkStart w:id="1846" w:name="TAB1844"/>
            <w:bookmarkEnd w:id="1846"/>
            <w:r>
              <w:rPr>
                <w:rFonts w:ascii="times new roman" w:hAnsi="times new roman"/>
                <w:sz w:val="20"/>
              </w:rPr>
              <w:t>(1,585</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bottom w:val="double" w:sz="8"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At December 31, 2008</w:t>
            </w:r>
          </w:p>
        </w:tc>
        <w:tc>
          <w:tcPr>
            <w:tcW w:w="60" w:type="dxa"/>
            <w:tcBorders/>
            <w:shd w:fill="CCEEFF" w:val="clear"/>
            <w:vAlign w:val="bottom"/>
          </w:tcPr>
          <w:p>
            <w:pPr>
              <w:pStyle w:val="TableContents"/>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376" w:type="dxa"/>
            <w:tcBorders>
              <w:bottom w:val="double" w:sz="8" w:space="0" w:color="000000"/>
            </w:tcBorders>
            <w:shd w:fill="CCEEFF" w:val="clear"/>
            <w:tcMar>
              <w:bottom w:w="28" w:type="dxa"/>
            </w:tcMar>
            <w:vAlign w:val="bottom"/>
          </w:tcPr>
          <w:p>
            <w:pPr>
              <w:pStyle w:val="TableContents"/>
              <w:spacing w:before="0" w:after="283"/>
              <w:ind w:left="198" w:right="0" w:hanging="0"/>
              <w:jc w:val="right"/>
              <w:rPr>
                <w:rFonts w:ascii="times new roman" w:hAnsi="times new roman"/>
                <w:sz w:val="20"/>
              </w:rPr>
            </w:pPr>
            <w:bookmarkStart w:id="1847" w:name="TAB1845"/>
            <w:bookmarkEnd w:id="1847"/>
            <w:r>
              <w:rPr>
                <w:rFonts w:ascii="times new roman" w:hAnsi="times new roman"/>
                <w:sz w:val="20"/>
              </w:rPr>
              <w:t>216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double" w:sz="8" w:space="0" w:color="000000"/>
            </w:tcBorders>
            <w:shd w:fill="CCEEFF" w:val="clear"/>
            <w:tcMar>
              <w:bottom w:w="28" w:type="dxa"/>
            </w:tcMar>
            <w:vAlign w:val="bottom"/>
          </w:tcPr>
          <w:p>
            <w:pPr>
              <w:pStyle w:val="TableContents"/>
              <w:spacing w:before="0" w:after="283"/>
              <w:ind w:left="315" w:right="0" w:hanging="0"/>
              <w:jc w:val="right"/>
              <w:rPr>
                <w:rFonts w:ascii="times new roman" w:hAnsi="times new roman"/>
                <w:sz w:val="20"/>
              </w:rPr>
            </w:pPr>
            <w:bookmarkStart w:id="1848" w:name="TAB1846"/>
            <w:bookmarkEnd w:id="1848"/>
            <w:r>
              <w:rPr>
                <w:rFonts w:ascii="times new roman" w:hAnsi="times new roman"/>
                <w:sz w:val="20"/>
              </w:rPr>
              <w:t>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133,906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66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(4,306</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4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(69,479</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4" w:type="dxa"/>
            <w:tcBorders>
              <w:bottom w:val="double" w:sz="8" w:space="0" w:color="000000"/>
            </w:tcBorders>
            <w:shd w:fill="CCEEFF" w:val="clear"/>
            <w:tcMar>
              <w:bottom w:w="28" w:type="dxa"/>
            </w:tcMar>
            <w:vAlign w:val="bottom"/>
          </w:tcPr>
          <w:p>
            <w:pPr>
              <w:pStyle w:val="TableContents"/>
              <w:spacing w:before="0" w:after="283"/>
              <w:ind w:left="196" w:right="0" w:hanging="0"/>
              <w:jc w:val="right"/>
              <w:rPr>
                <w:rFonts w:ascii="times new roman" w:hAnsi="times new roman"/>
                <w:sz w:val="20"/>
              </w:rPr>
            </w:pPr>
            <w:bookmarkStart w:id="1849" w:name="TAB1847"/>
            <w:bookmarkEnd w:id="1849"/>
            <w:r>
              <w:rPr>
                <w:rFonts w:ascii="times new roman" w:hAnsi="times new roman"/>
                <w:sz w:val="20"/>
              </w:rPr>
              <w:t>7,278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double" w:sz="8" w:space="0" w:color="000000"/>
            </w:tcBorders>
            <w:shd w:fill="CCEEFF" w:val="clear"/>
            <w:tcMar>
              <w:bottom w:w="28" w:type="dxa"/>
            </w:tcMar>
            <w:vAlign w:val="bottom"/>
          </w:tcPr>
          <w:p>
            <w:pPr>
              <w:pStyle w:val="TableContents"/>
              <w:spacing w:before="0" w:after="283"/>
              <w:ind w:left="59" w:right="0" w:hanging="0"/>
              <w:jc w:val="right"/>
              <w:rPr>
                <w:rFonts w:ascii="times new roman" w:hAnsi="times new roman"/>
                <w:sz w:val="20"/>
              </w:rPr>
            </w:pPr>
            <w:bookmarkStart w:id="1850" w:name="TAB1848"/>
            <w:bookmarkEnd w:id="1850"/>
            <w:r>
              <w:rPr>
                <w:rFonts w:ascii="times new roman" w:hAnsi="times new roman"/>
                <w:sz w:val="20"/>
              </w:rPr>
              <w:t>67,630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double" w:sz="8" w:space="0" w:color="000000"/>
            </w:tcBorders>
            <w:shd w:fill="CCEEFF" w:val="clear"/>
            <w:tcMar>
              <w:bottom w:w="28" w:type="dxa"/>
            </w:tcMar>
            <w:vAlign w:val="bottom"/>
          </w:tcPr>
          <w:p>
            <w:pPr>
              <w:pStyle w:val="TableContents"/>
              <w:spacing w:before="0" w:after="283"/>
              <w:ind w:left="193" w:right="0" w:hanging="0"/>
              <w:jc w:val="right"/>
              <w:rPr>
                <w:rFonts w:ascii="times new roman" w:hAnsi="times new roman"/>
                <w:sz w:val="20"/>
              </w:rPr>
            </w:pPr>
            <w:bookmarkStart w:id="1851" w:name="TAB1849"/>
            <w:bookmarkEnd w:id="1851"/>
            <w:r>
              <w:rPr>
                <w:rFonts w:ascii="times new roman" w:hAnsi="times new roman"/>
                <w:sz w:val="20"/>
              </w:rPr>
              <w:t>1,817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double" w:sz="8" w:space="0" w:color="000000"/>
            </w:tcBorders>
            <w:shd w:fill="CCEEFF" w:val="clear"/>
            <w:tcMar>
              <w:bottom w:w="28" w:type="dxa"/>
            </w:tcMar>
            <w:vAlign w:val="bottom"/>
          </w:tcPr>
          <w:p>
            <w:pPr>
              <w:pStyle w:val="TableContents"/>
              <w:spacing w:before="0" w:after="283"/>
              <w:ind w:left="56" w:right="0" w:hanging="0"/>
              <w:jc w:val="right"/>
              <w:rPr>
                <w:rFonts w:ascii="times new roman" w:hAnsi="times new roman"/>
                <w:sz w:val="20"/>
              </w:rPr>
            </w:pPr>
            <w:bookmarkStart w:id="1852" w:name="TAB1850"/>
            <w:bookmarkEnd w:id="1852"/>
            <w:r>
              <w:rPr>
                <w:rFonts w:ascii="times new roman" w:hAnsi="times new roman"/>
                <w:sz w:val="20"/>
              </w:rPr>
              <w:t>69,447</w:t>
            </w:r>
          </w:p>
        </w:tc>
        <w:tc>
          <w:tcPr>
            <w:tcW w:w="95" w:type="dxa"/>
            <w:tcBorders/>
            <w:shd w:fill="CCEEFF" w:val="clear"/>
            <w:vAlign w:val="bottom"/>
          </w:tcPr>
          <w:p>
            <w:pPr>
              <w:pStyle w:val="TableContents"/>
              <w:spacing w:before="0" w:after="283"/>
              <w:jc w:val="left"/>
              <w:rPr/>
            </w:pPr>
            <w:r>
              <w:rPr/>
              <w:t> </w:t>
            </w:r>
          </w:p>
        </w:tc>
      </w:tr>
      <w:tr>
        <w:trPr/>
        <w:tc>
          <w:tcPr>
            <w:tcW w:w="1085" w:type="dxa"/>
            <w:tcBorders/>
            <w:shd w:fill="FFFFFF" w:val="clear"/>
            <w:vAlign w:val="bottom"/>
          </w:tcPr>
          <w:p>
            <w:pPr>
              <w:pStyle w:val="TableContents"/>
              <w:spacing w:before="0" w:after="0"/>
              <w:ind w:left="0" w:right="0" w:hanging="0"/>
              <w:jc w:val="left"/>
              <w:rPr/>
            </w:pPr>
            <w:r>
              <w:rPr/>
              <w:t> </w:t>
            </w:r>
          </w:p>
          <w:p>
            <w:pPr>
              <w:pStyle w:val="TableContents"/>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525" w:right="0" w:hanging="0"/>
              <w:jc w:val="right"/>
              <w:rPr>
                <w:rFonts w:ascii="times new roman" w:hAnsi="times new roman"/>
                <w:sz w:val="20"/>
              </w:rPr>
            </w:pPr>
            <w:bookmarkStart w:id="1853" w:name="TAB1851"/>
            <w:bookmarkEnd w:id="1853"/>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35" w:right="0" w:hanging="0"/>
              <w:jc w:val="right"/>
              <w:rPr>
                <w:rFonts w:ascii="times new roman" w:hAnsi="times new roman"/>
                <w:sz w:val="20"/>
              </w:rPr>
            </w:pPr>
            <w:bookmarkStart w:id="1854" w:name="TAB1852"/>
            <w:bookmarkEnd w:id="185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855" w:name="TAB1853"/>
            <w:bookmarkEnd w:id="1855"/>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856" w:name="TAB1854"/>
            <w:bookmarkEnd w:id="1856"/>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ind w:left="528" w:right="0" w:hanging="0"/>
              <w:jc w:val="right"/>
              <w:rPr>
                <w:rFonts w:ascii="times new roman" w:hAnsi="times new roman"/>
                <w:sz w:val="20"/>
              </w:rPr>
            </w:pPr>
            <w:bookmarkStart w:id="1857" w:name="TAB1855"/>
            <w:bookmarkEnd w:id="1857"/>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38" w:right="0" w:hanging="0"/>
              <w:jc w:val="right"/>
              <w:rPr>
                <w:rFonts w:ascii="times new roman" w:hAnsi="times new roman"/>
                <w:sz w:val="20"/>
              </w:rPr>
            </w:pPr>
            <w:bookmarkStart w:id="1858" w:name="TAB1856"/>
            <w:bookmarkEnd w:id="1858"/>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ind w:left="230" w:right="0" w:hanging="0"/>
              <w:jc w:val="right"/>
              <w:rPr>
                <w:rFonts w:ascii="times new roman" w:hAnsi="times new roman"/>
                <w:sz w:val="20"/>
              </w:rPr>
            </w:pPr>
            <w:bookmarkStart w:id="1859" w:name="TAB1857"/>
            <w:bookmarkEnd w:id="1859"/>
            <w:r>
              <w:rPr>
                <w:rFonts w:ascii="times new roman" w:hAnsi="times new roman"/>
                <w:sz w:val="20"/>
              </w:rPr>
              <w:t>6,094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ind w:left="593" w:right="0" w:hanging="0"/>
              <w:jc w:val="right"/>
              <w:rPr>
                <w:rFonts w:ascii="times new roman" w:hAnsi="times new roman"/>
                <w:sz w:val="20"/>
              </w:rPr>
            </w:pPr>
            <w:bookmarkStart w:id="1860" w:name="TAB1858"/>
            <w:bookmarkEnd w:id="1860"/>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193" w:right="0" w:hanging="0"/>
              <w:jc w:val="right"/>
              <w:rPr>
                <w:rFonts w:ascii="times new roman" w:hAnsi="times new roman"/>
                <w:sz w:val="20"/>
              </w:rPr>
            </w:pPr>
            <w:bookmarkStart w:id="1861" w:name="TAB1859"/>
            <w:bookmarkEnd w:id="1861"/>
            <w:r>
              <w:rPr>
                <w:rFonts w:ascii="times new roman" w:hAnsi="times new roman"/>
                <w:sz w:val="20"/>
              </w:rPr>
              <w:t>6,094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393" w:right="0" w:hanging="0"/>
              <w:jc w:val="right"/>
              <w:rPr>
                <w:rFonts w:ascii="times new roman" w:hAnsi="times new roman"/>
                <w:sz w:val="20"/>
              </w:rPr>
            </w:pPr>
            <w:bookmarkStart w:id="1862" w:name="TAB1860"/>
            <w:bookmarkEnd w:id="1862"/>
            <w:r>
              <w:rPr>
                <w:rFonts w:ascii="times new roman" w:hAnsi="times new roman"/>
                <w:sz w:val="20"/>
              </w:rPr>
              <w:t>388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ind w:left="190" w:right="0" w:hanging="0"/>
              <w:jc w:val="right"/>
              <w:rPr>
                <w:rFonts w:ascii="times new roman" w:hAnsi="times new roman"/>
                <w:sz w:val="20"/>
              </w:rPr>
            </w:pPr>
            <w:bookmarkStart w:id="1863" w:name="TAB1861"/>
            <w:bookmarkEnd w:id="1863"/>
            <w:r>
              <w:rPr>
                <w:rFonts w:ascii="times new roman" w:hAnsi="times new roman"/>
                <w:sz w:val="20"/>
              </w:rPr>
              <w:t>6,482</w:t>
            </w:r>
          </w:p>
        </w:tc>
        <w:tc>
          <w:tcPr>
            <w:tcW w:w="95" w:type="dxa"/>
            <w:tcBorders/>
            <w:shd w:fill="FFFFFF" w:val="clear"/>
            <w:vAlign w:val="bottom"/>
          </w:tcPr>
          <w:p>
            <w:pPr>
              <w:pStyle w:val="TableContents"/>
              <w:spacing w:before="0" w:after="283"/>
              <w:jc w:val="left"/>
              <w:rPr/>
            </w:pPr>
            <w:r>
              <w:rPr/>
              <w:t> </w:t>
            </w:r>
          </w:p>
        </w:tc>
      </w:tr>
      <w:tr>
        <w:trPr/>
        <w:tc>
          <w:tcPr>
            <w:tcW w:w="10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comprehensive income: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1085" w:type="dxa"/>
            <w:tcBorders/>
            <w:shd w:fill="FFFF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Cumulative foreign exchange rate adjustment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525" w:right="0" w:hanging="0"/>
              <w:jc w:val="right"/>
              <w:rPr>
                <w:rFonts w:ascii="times new roman" w:hAnsi="times new roman"/>
                <w:sz w:val="20"/>
              </w:rPr>
            </w:pPr>
            <w:bookmarkStart w:id="1864" w:name="TAB1862"/>
            <w:bookmarkEnd w:id="1864"/>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35" w:right="0" w:hanging="0"/>
              <w:jc w:val="right"/>
              <w:rPr>
                <w:rFonts w:ascii="times new roman" w:hAnsi="times new roman"/>
                <w:sz w:val="20"/>
              </w:rPr>
            </w:pPr>
            <w:bookmarkStart w:id="1865" w:name="TAB1863"/>
            <w:bookmarkEnd w:id="1865"/>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866" w:name="TAB1864"/>
            <w:bookmarkEnd w:id="1866"/>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867" w:name="TAB1865"/>
            <w:bookmarkEnd w:id="1867"/>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ind w:left="528" w:right="0" w:hanging="0"/>
              <w:jc w:val="right"/>
              <w:rPr>
                <w:rFonts w:ascii="times new roman" w:hAnsi="times new roman"/>
                <w:sz w:val="20"/>
              </w:rPr>
            </w:pPr>
            <w:bookmarkStart w:id="1868" w:name="TAB1866"/>
            <w:bookmarkEnd w:id="1868"/>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38" w:right="0" w:hanging="0"/>
              <w:jc w:val="right"/>
              <w:rPr>
                <w:rFonts w:ascii="times new roman" w:hAnsi="times new roman"/>
                <w:sz w:val="20"/>
              </w:rPr>
            </w:pPr>
            <w:bookmarkStart w:id="1869" w:name="TAB1867"/>
            <w:bookmarkEnd w:id="1869"/>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ind w:left="593" w:right="0" w:hanging="0"/>
              <w:jc w:val="right"/>
              <w:rPr>
                <w:rFonts w:ascii="times new roman" w:hAnsi="times new roman"/>
                <w:sz w:val="20"/>
              </w:rPr>
            </w:pPr>
            <w:bookmarkStart w:id="1870" w:name="TAB1868"/>
            <w:bookmarkEnd w:id="1870"/>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34,130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34,130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241" w:right="0" w:hanging="0"/>
              <w:jc w:val="right"/>
              <w:rPr>
                <w:rFonts w:ascii="times new roman" w:hAnsi="times new roman"/>
                <w:sz w:val="20"/>
              </w:rPr>
            </w:pPr>
            <w:bookmarkStart w:id="1871" w:name="TAB1869"/>
            <w:bookmarkEnd w:id="1871"/>
            <w:r>
              <w:rPr>
                <w:rFonts w:ascii="times new roman" w:hAnsi="times new roman"/>
                <w:sz w:val="20"/>
              </w:rPr>
              <w:t>141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ind w:left="56" w:right="0" w:hanging="0"/>
              <w:jc w:val="right"/>
              <w:rPr>
                <w:rFonts w:ascii="times new roman" w:hAnsi="times new roman"/>
                <w:sz w:val="20"/>
              </w:rPr>
            </w:pPr>
            <w:bookmarkStart w:id="1872" w:name="TAB1870"/>
            <w:bookmarkEnd w:id="1872"/>
            <w:r>
              <w:rPr>
                <w:rFonts w:ascii="times new roman" w:hAnsi="times new roman"/>
                <w:sz w:val="20"/>
              </w:rPr>
              <w:t>34,271</w:t>
            </w:r>
          </w:p>
        </w:tc>
        <w:tc>
          <w:tcPr>
            <w:tcW w:w="95" w:type="dxa"/>
            <w:tcBorders/>
            <w:shd w:fill="FFFFFF" w:val="clear"/>
            <w:vAlign w:val="bottom"/>
          </w:tcPr>
          <w:p>
            <w:pPr>
              <w:pStyle w:val="TableContents"/>
              <w:spacing w:before="0" w:after="283"/>
              <w:jc w:val="left"/>
              <w:rPr/>
            </w:pPr>
            <w:r>
              <w:rPr/>
              <w:t> </w:t>
            </w:r>
          </w:p>
        </w:tc>
      </w:tr>
      <w:tr>
        <w:trPr/>
        <w:tc>
          <w:tcPr>
            <w:tcW w:w="1085"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Accrued pension service costs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ind w:left="525" w:right="0" w:hanging="0"/>
              <w:jc w:val="right"/>
              <w:rPr>
                <w:rFonts w:ascii="times new roman" w:hAnsi="times new roman"/>
                <w:sz w:val="20"/>
              </w:rPr>
            </w:pPr>
            <w:bookmarkStart w:id="1873" w:name="TAB1871"/>
            <w:bookmarkEnd w:id="1873"/>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ind w:left="435" w:right="0" w:hanging="0"/>
              <w:jc w:val="right"/>
              <w:rPr>
                <w:rFonts w:ascii="times new roman" w:hAnsi="times new roman"/>
                <w:sz w:val="20"/>
              </w:rPr>
            </w:pPr>
            <w:bookmarkStart w:id="1874" w:name="TAB1872"/>
            <w:bookmarkEnd w:id="1874"/>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ind w:left="414" w:right="0" w:hanging="0"/>
              <w:jc w:val="right"/>
              <w:rPr>
                <w:rFonts w:ascii="times new roman" w:hAnsi="times new roman"/>
                <w:sz w:val="20"/>
              </w:rPr>
            </w:pPr>
            <w:bookmarkStart w:id="1875" w:name="TAB1873"/>
            <w:bookmarkEnd w:id="1875"/>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ind w:left="404" w:right="0" w:hanging="0"/>
              <w:jc w:val="right"/>
              <w:rPr>
                <w:rFonts w:ascii="times new roman" w:hAnsi="times new roman"/>
                <w:sz w:val="20"/>
              </w:rPr>
            </w:pPr>
            <w:bookmarkStart w:id="1876" w:name="TAB1874"/>
            <w:bookmarkEnd w:id="1876"/>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ind w:left="528" w:right="0" w:hanging="0"/>
              <w:jc w:val="right"/>
              <w:rPr>
                <w:rFonts w:ascii="times new roman" w:hAnsi="times new roman"/>
                <w:sz w:val="20"/>
              </w:rPr>
            </w:pPr>
            <w:bookmarkStart w:id="1877" w:name="TAB1875"/>
            <w:bookmarkEnd w:id="1877"/>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ind w:left="438" w:right="0" w:hanging="0"/>
              <w:jc w:val="right"/>
              <w:rPr>
                <w:rFonts w:ascii="times new roman" w:hAnsi="times new roman"/>
                <w:sz w:val="20"/>
              </w:rPr>
            </w:pPr>
            <w:bookmarkStart w:id="1878" w:name="TAB1876"/>
            <w:bookmarkEnd w:id="1878"/>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ind w:left="593" w:right="0" w:hanging="0"/>
              <w:jc w:val="right"/>
              <w:rPr>
                <w:rFonts w:ascii="times new roman" w:hAnsi="times new roman"/>
                <w:sz w:val="20"/>
              </w:rPr>
            </w:pPr>
            <w:bookmarkStart w:id="1879" w:name="TAB1877"/>
            <w:bookmarkEnd w:id="1879"/>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ind w:left="218" w:right="0" w:hanging="0"/>
              <w:jc w:val="right"/>
              <w:rPr>
                <w:rFonts w:ascii="times new roman" w:hAnsi="times new roman"/>
                <w:sz w:val="20"/>
              </w:rPr>
            </w:pPr>
            <w:bookmarkStart w:id="1880" w:name="TAB1878"/>
            <w:bookmarkEnd w:id="1880"/>
            <w:r>
              <w:rPr>
                <w:rFonts w:ascii="times new roman" w:hAnsi="times new roman"/>
                <w:sz w:val="20"/>
              </w:rPr>
              <w:t>(418</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215" w:right="0" w:hanging="0"/>
              <w:jc w:val="right"/>
              <w:rPr>
                <w:rFonts w:ascii="times new roman" w:hAnsi="times new roman"/>
                <w:sz w:val="20"/>
              </w:rPr>
            </w:pPr>
            <w:bookmarkStart w:id="1881" w:name="TAB1879"/>
            <w:bookmarkEnd w:id="1881"/>
            <w:r>
              <w:rPr>
                <w:rFonts w:ascii="times new roman" w:hAnsi="times new roman"/>
                <w:sz w:val="20"/>
              </w:rPr>
              <w:t>(418</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ind w:left="597" w:right="0" w:hanging="0"/>
              <w:jc w:val="right"/>
              <w:rPr>
                <w:rFonts w:ascii="times new roman" w:hAnsi="times new roman"/>
                <w:sz w:val="20"/>
              </w:rPr>
            </w:pPr>
            <w:bookmarkStart w:id="1882" w:name="TAB1880"/>
            <w:bookmarkEnd w:id="188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ind w:left="212" w:right="0" w:hanging="0"/>
              <w:jc w:val="right"/>
              <w:rPr>
                <w:rFonts w:ascii="times new roman" w:hAnsi="times new roman"/>
                <w:sz w:val="20"/>
              </w:rPr>
            </w:pPr>
            <w:bookmarkStart w:id="1883" w:name="TAB1881"/>
            <w:bookmarkEnd w:id="1883"/>
            <w:r>
              <w:rPr>
                <w:rFonts w:ascii="times new roman" w:hAnsi="times new roman"/>
                <w:sz w:val="20"/>
              </w:rPr>
              <w:t>(418</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bottom w:val="single" w:sz="12" w:space="0" w:color="000000"/>
            </w:tcBorders>
            <w:shd w:fill="FFFFFF" w:val="clear"/>
            <w:tcMar>
              <w:bottom w:w="28" w:type="dxa"/>
            </w:tcM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Unrealized loss on securities</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ind w:left="525" w:right="0" w:hanging="0"/>
              <w:jc w:val="right"/>
              <w:rPr>
                <w:rFonts w:ascii="times new roman" w:hAnsi="times new roman"/>
                <w:sz w:val="20"/>
              </w:rPr>
            </w:pPr>
            <w:bookmarkStart w:id="1884" w:name="TAB1882"/>
            <w:bookmarkEnd w:id="1884"/>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ind w:left="435" w:right="0" w:hanging="0"/>
              <w:jc w:val="right"/>
              <w:rPr>
                <w:rFonts w:ascii="times new roman" w:hAnsi="times new roman"/>
                <w:sz w:val="20"/>
              </w:rPr>
            </w:pPr>
            <w:bookmarkStart w:id="1885" w:name="TAB1883"/>
            <w:bookmarkEnd w:id="1885"/>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ind w:left="414" w:right="0" w:hanging="0"/>
              <w:jc w:val="right"/>
              <w:rPr>
                <w:rFonts w:ascii="times new roman" w:hAnsi="times new roman"/>
                <w:sz w:val="20"/>
              </w:rPr>
            </w:pPr>
            <w:bookmarkStart w:id="1886" w:name="TAB1884"/>
            <w:bookmarkEnd w:id="1886"/>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ind w:left="404" w:right="0" w:hanging="0"/>
              <w:jc w:val="right"/>
              <w:rPr>
                <w:rFonts w:ascii="times new roman" w:hAnsi="times new roman"/>
                <w:sz w:val="20"/>
              </w:rPr>
            </w:pPr>
            <w:bookmarkStart w:id="1887" w:name="TAB1885"/>
            <w:bookmarkEnd w:id="1887"/>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ind w:left="528" w:right="0" w:hanging="0"/>
              <w:jc w:val="right"/>
              <w:rPr>
                <w:rFonts w:ascii="times new roman" w:hAnsi="times new roman"/>
                <w:sz w:val="20"/>
              </w:rPr>
            </w:pPr>
            <w:bookmarkStart w:id="1888" w:name="TAB1886"/>
            <w:bookmarkEnd w:id="1888"/>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ind w:left="438" w:right="0" w:hanging="0"/>
              <w:jc w:val="right"/>
              <w:rPr>
                <w:rFonts w:ascii="times new roman" w:hAnsi="times new roman"/>
                <w:sz w:val="20"/>
              </w:rPr>
            </w:pPr>
            <w:bookmarkStart w:id="1889" w:name="TAB1887"/>
            <w:bookmarkEnd w:id="1889"/>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ind w:left="593" w:right="0" w:hanging="0"/>
              <w:jc w:val="right"/>
              <w:rPr>
                <w:rFonts w:ascii="times new roman" w:hAnsi="times new roman"/>
                <w:sz w:val="20"/>
              </w:rPr>
            </w:pPr>
            <w:bookmarkStart w:id="1890" w:name="TAB1888"/>
            <w:bookmarkEnd w:id="1890"/>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FFFFFF" w:val="clear"/>
            <w:tcMar>
              <w:bottom w:w="28" w:type="dxa"/>
            </w:tcMar>
            <w:vAlign w:val="bottom"/>
          </w:tcPr>
          <w:p>
            <w:pPr>
              <w:pStyle w:val="TableContents"/>
              <w:spacing w:before="0" w:after="283"/>
              <w:ind w:left="396" w:right="0" w:hanging="0"/>
              <w:jc w:val="right"/>
              <w:rPr>
                <w:rFonts w:ascii="times new roman" w:hAnsi="times new roman"/>
                <w:sz w:val="20"/>
              </w:rPr>
            </w:pPr>
            <w:bookmarkStart w:id="1891" w:name="TAB1889"/>
            <w:bookmarkEnd w:id="1891"/>
            <w:r>
              <w:rPr>
                <w:rFonts w:ascii="times new roman" w:hAnsi="times new roman"/>
                <w:sz w:val="20"/>
              </w:rPr>
              <w:t>524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93" w:right="0" w:hanging="0"/>
              <w:jc w:val="right"/>
              <w:rPr>
                <w:rFonts w:ascii="times new roman" w:hAnsi="times new roman"/>
                <w:sz w:val="20"/>
              </w:rPr>
            </w:pPr>
            <w:bookmarkStart w:id="1892" w:name="TAB1890"/>
            <w:bookmarkEnd w:id="1892"/>
            <w:r>
              <w:rPr>
                <w:rFonts w:ascii="times new roman" w:hAnsi="times new roman"/>
                <w:sz w:val="20"/>
              </w:rPr>
              <w:t>524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ind w:left="597" w:right="0" w:hanging="0"/>
              <w:jc w:val="right"/>
              <w:rPr>
                <w:rFonts w:ascii="times new roman" w:hAnsi="times new roman"/>
                <w:sz w:val="20"/>
              </w:rPr>
            </w:pPr>
            <w:bookmarkStart w:id="1893" w:name="TAB1891"/>
            <w:bookmarkEnd w:id="1893"/>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ind w:left="390" w:right="0" w:hanging="0"/>
              <w:jc w:val="right"/>
              <w:rPr>
                <w:rFonts w:ascii="times new roman" w:hAnsi="times new roman"/>
                <w:sz w:val="20"/>
              </w:rPr>
            </w:pPr>
            <w:bookmarkStart w:id="1894" w:name="TAB1892"/>
            <w:bookmarkEnd w:id="1894"/>
            <w:r>
              <w:rPr>
                <w:rFonts w:ascii="times new roman" w:hAnsi="times new roman"/>
                <w:sz w:val="20"/>
              </w:rPr>
              <w:t>524</w:t>
            </w:r>
          </w:p>
        </w:tc>
        <w:tc>
          <w:tcPr>
            <w:tcW w:w="95" w:type="dxa"/>
            <w:tcBorders/>
            <w:shd w:fill="FFFFFF" w:val="clear"/>
            <w:vAlign w:val="bottom"/>
          </w:tcPr>
          <w:p>
            <w:pPr>
              <w:pStyle w:val="TableContents"/>
              <w:spacing w:before="0" w:after="283"/>
              <w:jc w:val="left"/>
              <w:rPr/>
            </w:pPr>
            <w:r>
              <w:rPr/>
              <w:t> </w:t>
            </w:r>
          </w:p>
        </w:tc>
      </w:tr>
      <w:tr>
        <w:trPr/>
        <w:tc>
          <w:tcPr>
            <w:tcW w:w="1085" w:type="dxa"/>
            <w:tcBorders>
              <w:bottom w:val="single" w:sz="12"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Total comprehensive income</w:t>
            </w:r>
          </w:p>
        </w:tc>
        <w:tc>
          <w:tcPr>
            <w:tcW w:w="60" w:type="dxa"/>
            <w:tcBorders/>
            <w:shd w:fill="CCEEFF" w:val="clear"/>
            <w:vAlign w:val="bottom"/>
          </w:tcPr>
          <w:p>
            <w:pPr>
              <w:pStyle w:val="TableContents"/>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ind w:left="525" w:right="0" w:hanging="0"/>
              <w:jc w:val="right"/>
              <w:rPr>
                <w:rFonts w:ascii="times new roman" w:hAnsi="times new roman"/>
                <w:sz w:val="20"/>
              </w:rPr>
            </w:pPr>
            <w:bookmarkStart w:id="1895" w:name="TAB1893"/>
            <w:bookmarkEnd w:id="1895"/>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CCEEFF" w:val="clear"/>
            <w:tcMar>
              <w:bottom w:w="28" w:type="dxa"/>
            </w:tcMar>
            <w:vAlign w:val="bottom"/>
          </w:tcPr>
          <w:p>
            <w:pPr>
              <w:pStyle w:val="TableContents"/>
              <w:spacing w:before="0" w:after="283"/>
              <w:ind w:left="435" w:right="0" w:hanging="0"/>
              <w:jc w:val="right"/>
              <w:rPr>
                <w:rFonts w:ascii="times new roman" w:hAnsi="times new roman"/>
                <w:sz w:val="20"/>
              </w:rPr>
            </w:pPr>
            <w:bookmarkStart w:id="1896" w:name="TAB1894"/>
            <w:bookmarkEnd w:id="1896"/>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CCEEFF" w:val="clear"/>
            <w:tcMar>
              <w:bottom w:w="28" w:type="dxa"/>
            </w:tcMar>
            <w:vAlign w:val="bottom"/>
          </w:tcPr>
          <w:p>
            <w:pPr>
              <w:pStyle w:val="TableContents"/>
              <w:spacing w:before="0" w:after="283"/>
              <w:ind w:left="414" w:right="0" w:hanging="0"/>
              <w:jc w:val="right"/>
              <w:rPr>
                <w:rFonts w:ascii="times new roman" w:hAnsi="times new roman"/>
                <w:sz w:val="20"/>
              </w:rPr>
            </w:pPr>
            <w:bookmarkStart w:id="1897" w:name="TAB1895"/>
            <w:bookmarkEnd w:id="1897"/>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ind w:left="404" w:right="0" w:hanging="0"/>
              <w:jc w:val="right"/>
              <w:rPr>
                <w:rFonts w:ascii="times new roman" w:hAnsi="times new roman"/>
                <w:sz w:val="20"/>
              </w:rPr>
            </w:pPr>
            <w:bookmarkStart w:id="1898" w:name="TAB1896"/>
            <w:bookmarkEnd w:id="1898"/>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ind w:left="528" w:right="0" w:hanging="0"/>
              <w:jc w:val="right"/>
              <w:rPr>
                <w:rFonts w:ascii="times new roman" w:hAnsi="times new roman"/>
                <w:sz w:val="20"/>
              </w:rPr>
            </w:pPr>
            <w:bookmarkStart w:id="1899" w:name="TAB1897"/>
            <w:bookmarkEnd w:id="1899"/>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spacing w:before="0" w:after="283"/>
              <w:ind w:left="438" w:right="0" w:hanging="0"/>
              <w:jc w:val="right"/>
              <w:rPr>
                <w:rFonts w:ascii="times new roman" w:hAnsi="times new roman"/>
                <w:sz w:val="20"/>
              </w:rPr>
            </w:pPr>
            <w:bookmarkStart w:id="1900" w:name="TAB1898"/>
            <w:bookmarkEnd w:id="1900"/>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spacing w:before="0" w:after="283"/>
              <w:ind w:left="593" w:right="0" w:hanging="0"/>
              <w:jc w:val="right"/>
              <w:rPr>
                <w:rFonts w:ascii="times new roman" w:hAnsi="times new roman"/>
                <w:sz w:val="20"/>
              </w:rPr>
            </w:pPr>
            <w:bookmarkStart w:id="1901" w:name="TAB1899"/>
            <w:bookmarkEnd w:id="1901"/>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283"/>
              <w:ind w:left="593" w:right="0" w:hanging="0"/>
              <w:jc w:val="right"/>
              <w:rPr>
                <w:rFonts w:ascii="times new roman" w:hAnsi="times new roman"/>
                <w:sz w:val="20"/>
              </w:rPr>
            </w:pPr>
            <w:bookmarkStart w:id="1902" w:name="TAB1900"/>
            <w:bookmarkEnd w:id="190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59" w:right="0" w:hanging="0"/>
              <w:jc w:val="right"/>
              <w:rPr>
                <w:rFonts w:ascii="times new roman" w:hAnsi="times new roman"/>
                <w:sz w:val="20"/>
              </w:rPr>
            </w:pPr>
            <w:bookmarkStart w:id="1903" w:name="TAB1901"/>
            <w:bookmarkEnd w:id="1903"/>
            <w:r>
              <w:rPr>
                <w:rFonts w:ascii="times new roman" w:hAnsi="times new roman"/>
                <w:sz w:val="20"/>
              </w:rPr>
              <w:t>40,330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spacing w:before="0" w:after="283"/>
              <w:ind w:left="393" w:right="0" w:hanging="0"/>
              <w:jc w:val="right"/>
              <w:rPr>
                <w:rFonts w:ascii="times new roman" w:hAnsi="times new roman"/>
                <w:sz w:val="20"/>
              </w:rPr>
            </w:pPr>
            <w:bookmarkStart w:id="1904" w:name="TAB1902"/>
            <w:bookmarkEnd w:id="1904"/>
            <w:r>
              <w:rPr>
                <w:rFonts w:ascii="times new roman" w:hAnsi="times new roman"/>
                <w:sz w:val="20"/>
              </w:rPr>
              <w:t>529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ind w:left="56" w:right="0" w:hanging="0"/>
              <w:jc w:val="right"/>
              <w:rPr>
                <w:rFonts w:ascii="times new roman" w:hAnsi="times new roman"/>
                <w:sz w:val="20"/>
              </w:rPr>
            </w:pPr>
            <w:bookmarkStart w:id="1905" w:name="TAB1903"/>
            <w:bookmarkEnd w:id="1905"/>
            <w:r>
              <w:rPr>
                <w:rFonts w:ascii="times new roman" w:hAnsi="times new roman"/>
                <w:sz w:val="20"/>
              </w:rPr>
              <w:t>40,859</w:t>
            </w:r>
          </w:p>
        </w:tc>
        <w:tc>
          <w:tcPr>
            <w:tcW w:w="95" w:type="dxa"/>
            <w:tcBorders/>
            <w:shd w:fill="CCEEFF" w:val="clear"/>
            <w:vAlign w:val="bottom"/>
          </w:tcPr>
          <w:p>
            <w:pPr>
              <w:pStyle w:val="TableContents"/>
              <w:spacing w:before="0" w:after="283"/>
              <w:jc w:val="left"/>
              <w:rPr/>
            </w:pPr>
            <w:r>
              <w:rPr/>
              <w:t> </w:t>
            </w:r>
          </w:p>
        </w:tc>
      </w:tr>
      <w:tr>
        <w:trPr/>
        <w:tc>
          <w:tcPr>
            <w:tcW w:w="108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Stock option and restricted stock compensation expense</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525" w:right="0" w:hanging="0"/>
              <w:jc w:val="right"/>
              <w:rPr>
                <w:rFonts w:ascii="times new roman" w:hAnsi="times new roman"/>
                <w:sz w:val="20"/>
              </w:rPr>
            </w:pPr>
            <w:bookmarkStart w:id="1906" w:name="TAB1904"/>
            <w:bookmarkEnd w:id="1906"/>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35" w:right="0" w:hanging="0"/>
              <w:jc w:val="right"/>
              <w:rPr>
                <w:rFonts w:ascii="times new roman" w:hAnsi="times new roman"/>
                <w:sz w:val="20"/>
              </w:rPr>
            </w:pPr>
            <w:bookmarkStart w:id="1907" w:name="TAB1905"/>
            <w:bookmarkEnd w:id="1907"/>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908" w:name="TAB1906"/>
            <w:bookmarkEnd w:id="1908"/>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909" w:name="TAB1907"/>
            <w:bookmarkEnd w:id="1909"/>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38" w:right="0" w:hanging="0"/>
              <w:jc w:val="right"/>
              <w:rPr>
                <w:rFonts w:ascii="times new roman" w:hAnsi="times new roman"/>
                <w:sz w:val="20"/>
              </w:rPr>
            </w:pPr>
            <w:bookmarkStart w:id="1910" w:name="TAB1908"/>
            <w:bookmarkEnd w:id="1910"/>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ind w:left="593" w:right="0" w:hanging="0"/>
              <w:jc w:val="right"/>
              <w:rPr>
                <w:rFonts w:ascii="times new roman" w:hAnsi="times new roman"/>
                <w:sz w:val="20"/>
              </w:rPr>
            </w:pPr>
            <w:bookmarkStart w:id="1911" w:name="TAB1909"/>
            <w:bookmarkEnd w:id="1911"/>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ind w:left="593" w:right="0" w:hanging="0"/>
              <w:jc w:val="right"/>
              <w:rPr>
                <w:rFonts w:ascii="times new roman" w:hAnsi="times new roman"/>
                <w:sz w:val="20"/>
              </w:rPr>
            </w:pPr>
            <w:bookmarkStart w:id="1912" w:name="TAB1910"/>
            <w:bookmarkEnd w:id="1912"/>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93" w:right="0" w:hanging="0"/>
              <w:jc w:val="right"/>
              <w:rPr>
                <w:rFonts w:ascii="times new roman" w:hAnsi="times new roman"/>
                <w:sz w:val="20"/>
              </w:rPr>
            </w:pPr>
            <w:bookmarkStart w:id="1913" w:name="TAB1911"/>
            <w:bookmarkEnd w:id="1913"/>
            <w:r>
              <w:rPr>
                <w:rFonts w:ascii="times new roman" w:hAnsi="times new roman"/>
                <w:sz w:val="20"/>
              </w:rPr>
              <w:t>916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615" w:right="0" w:hanging="0"/>
              <w:jc w:val="right"/>
              <w:rPr>
                <w:rFonts w:ascii="times new roman" w:hAnsi="times new roman"/>
                <w:sz w:val="20"/>
              </w:rPr>
            </w:pPr>
            <w:bookmarkStart w:id="1914" w:name="TAB1912"/>
            <w:bookmarkEnd w:id="191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ind w:left="390" w:right="0" w:hanging="0"/>
              <w:jc w:val="right"/>
              <w:rPr>
                <w:rFonts w:ascii="times new roman" w:hAnsi="times new roman"/>
                <w:sz w:val="20"/>
              </w:rPr>
            </w:pPr>
            <w:bookmarkStart w:id="1915" w:name="TAB1913"/>
            <w:bookmarkEnd w:id="1915"/>
            <w:r>
              <w:rPr>
                <w:rFonts w:ascii="times new roman" w:hAnsi="times new roman"/>
                <w:sz w:val="20"/>
              </w:rPr>
              <w:t>916</w:t>
            </w:r>
          </w:p>
        </w:tc>
        <w:tc>
          <w:tcPr>
            <w:tcW w:w="95" w:type="dxa"/>
            <w:tcBorders/>
            <w:shd w:fill="FFFFFF" w:val="clear"/>
            <w:vAlign w:val="bottom"/>
          </w:tcPr>
          <w:p>
            <w:pPr>
              <w:pStyle w:val="TableContents"/>
              <w:spacing w:before="0" w:after="283"/>
              <w:jc w:val="left"/>
              <w:rPr/>
            </w:pPr>
            <w:r>
              <w:rPr/>
              <w:t> </w:t>
            </w:r>
          </w:p>
        </w:tc>
      </w:tr>
      <w:tr>
        <w:trPr/>
        <w:tc>
          <w:tcPr>
            <w:tcW w:w="10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Cancelation of treasury shares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ind w:left="525" w:right="0" w:hanging="0"/>
              <w:jc w:val="right"/>
              <w:rPr>
                <w:rFonts w:ascii="times new roman" w:hAnsi="times new roman"/>
                <w:sz w:val="20"/>
              </w:rPr>
            </w:pPr>
            <w:bookmarkStart w:id="1916" w:name="TAB1914"/>
            <w:bookmarkEnd w:id="1916"/>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ind w:left="302" w:right="0" w:hanging="0"/>
              <w:jc w:val="right"/>
              <w:rPr>
                <w:rFonts w:ascii="times new roman" w:hAnsi="times new roman"/>
                <w:sz w:val="20"/>
              </w:rPr>
            </w:pPr>
            <w:bookmarkStart w:id="1917" w:name="TAB1915"/>
            <w:bookmarkEnd w:id="1917"/>
            <w:r>
              <w:rPr>
                <w:rFonts w:ascii="times new roman" w:hAnsi="times new roman"/>
                <w:sz w:val="20"/>
              </w:rPr>
              <w:t>(1</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ind w:left="414" w:right="0" w:hanging="0"/>
              <w:jc w:val="right"/>
              <w:rPr>
                <w:rFonts w:ascii="times new roman" w:hAnsi="times new roman"/>
                <w:sz w:val="20"/>
              </w:rPr>
            </w:pPr>
            <w:bookmarkStart w:id="1918" w:name="TAB1916"/>
            <w:bookmarkEnd w:id="1918"/>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ind w:left="404" w:right="0" w:hanging="0"/>
              <w:jc w:val="right"/>
              <w:rPr>
                <w:rFonts w:ascii="times new roman" w:hAnsi="times new roman"/>
                <w:sz w:val="20"/>
              </w:rPr>
            </w:pPr>
            <w:bookmarkStart w:id="1919" w:name="TAB1917"/>
            <w:bookmarkEnd w:id="1919"/>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ind w:left="128" w:right="0" w:hanging="0"/>
              <w:jc w:val="right"/>
              <w:rPr>
                <w:rFonts w:ascii="times new roman" w:hAnsi="times new roman"/>
                <w:sz w:val="20"/>
              </w:rPr>
            </w:pPr>
            <w:bookmarkStart w:id="1920" w:name="TAB1918"/>
            <w:bookmarkEnd w:id="1920"/>
            <w:r>
              <w:rPr>
                <w:rFonts w:ascii="times new roman" w:hAnsi="times new roman"/>
                <w:sz w:val="20"/>
              </w:rPr>
              <w:t>(791</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ind w:left="216" w:right="0" w:hanging="0"/>
              <w:jc w:val="right"/>
              <w:rPr>
                <w:rFonts w:ascii="times new roman" w:hAnsi="times new roman"/>
                <w:sz w:val="20"/>
              </w:rPr>
            </w:pPr>
            <w:bookmarkStart w:id="1921" w:name="TAB1919"/>
            <w:bookmarkEnd w:id="1921"/>
            <w:r>
              <w:rPr>
                <w:rFonts w:ascii="times new roman" w:hAnsi="times new roman"/>
                <w:sz w:val="20"/>
              </w:rPr>
              <w:t>792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ind w:left="593" w:right="0" w:hanging="0"/>
              <w:jc w:val="right"/>
              <w:rPr>
                <w:rFonts w:ascii="times new roman" w:hAnsi="times new roman"/>
                <w:sz w:val="20"/>
              </w:rPr>
            </w:pPr>
            <w:bookmarkStart w:id="1922" w:name="TAB1920"/>
            <w:bookmarkEnd w:id="192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ind w:left="593" w:right="0" w:hanging="0"/>
              <w:jc w:val="right"/>
              <w:rPr>
                <w:rFonts w:ascii="times new roman" w:hAnsi="times new roman"/>
                <w:sz w:val="20"/>
              </w:rPr>
            </w:pPr>
            <w:bookmarkStart w:id="1923" w:name="TAB1921"/>
            <w:bookmarkEnd w:id="1923"/>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15" w:right="0" w:hanging="0"/>
              <w:jc w:val="right"/>
              <w:rPr>
                <w:rFonts w:ascii="times new roman" w:hAnsi="times new roman"/>
                <w:sz w:val="20"/>
              </w:rPr>
            </w:pPr>
            <w:bookmarkStart w:id="1924" w:name="TAB1922"/>
            <w:bookmarkEnd w:id="1924"/>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ind w:left="615" w:right="0" w:hanging="0"/>
              <w:jc w:val="right"/>
              <w:rPr>
                <w:rFonts w:ascii="times new roman" w:hAnsi="times new roman"/>
                <w:sz w:val="20"/>
              </w:rPr>
            </w:pPr>
            <w:bookmarkStart w:id="1925" w:name="TAB1923"/>
            <w:bookmarkEnd w:id="1925"/>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ind w:left="612" w:right="0" w:hanging="0"/>
              <w:jc w:val="right"/>
              <w:rPr>
                <w:rFonts w:ascii="times new roman" w:hAnsi="times new roman"/>
                <w:sz w:val="20"/>
              </w:rPr>
            </w:pPr>
            <w:bookmarkStart w:id="1926" w:name="TAB1924"/>
            <w:bookmarkEnd w:id="1926"/>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r>
      <w:tr>
        <w:trPr/>
        <w:tc>
          <w:tcPr>
            <w:tcW w:w="108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Class A common stock issued for stock bonuses and options exercised</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ind w:left="303" w:right="0" w:hanging="0"/>
              <w:jc w:val="right"/>
              <w:rPr>
                <w:rFonts w:ascii="times new roman" w:hAnsi="times new roman"/>
                <w:sz w:val="20"/>
              </w:rPr>
            </w:pPr>
            <w:bookmarkStart w:id="1927" w:name="TAB1925"/>
            <w:bookmarkEnd w:id="1927"/>
            <w:r>
              <w:rPr>
                <w:rFonts w:ascii="times new roman" w:hAnsi="times new roman"/>
                <w:sz w:val="20"/>
              </w:rPr>
              <w:t>146</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ind w:left="435" w:right="0" w:hanging="0"/>
              <w:jc w:val="right"/>
              <w:rPr>
                <w:rFonts w:ascii="times new roman" w:hAnsi="times new roman"/>
                <w:sz w:val="20"/>
              </w:rPr>
            </w:pPr>
            <w:bookmarkStart w:id="1928" w:name="TAB1926"/>
            <w:bookmarkEnd w:id="1928"/>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ind w:left="414" w:right="0" w:hanging="0"/>
              <w:jc w:val="right"/>
              <w:rPr>
                <w:rFonts w:ascii="times new roman" w:hAnsi="times new roman"/>
                <w:sz w:val="20"/>
              </w:rPr>
            </w:pPr>
            <w:bookmarkStart w:id="1929" w:name="TAB1927"/>
            <w:bookmarkEnd w:id="1929"/>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ind w:left="404" w:right="0" w:hanging="0"/>
              <w:jc w:val="right"/>
              <w:rPr>
                <w:rFonts w:ascii="times new roman" w:hAnsi="times new roman"/>
                <w:sz w:val="20"/>
              </w:rPr>
            </w:pPr>
            <w:bookmarkStart w:id="1930" w:name="TAB1928"/>
            <w:bookmarkEnd w:id="1930"/>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ind w:left="439" w:right="0" w:hanging="0"/>
              <w:jc w:val="right"/>
              <w:rPr>
                <w:rFonts w:ascii="times new roman" w:hAnsi="times new roman"/>
                <w:sz w:val="20"/>
              </w:rPr>
            </w:pPr>
            <w:bookmarkStart w:id="1931" w:name="TAB1929"/>
            <w:bookmarkEnd w:id="1931"/>
            <w:r>
              <w:rPr>
                <w:rFonts w:ascii="times new roman" w:hAnsi="times new roman"/>
                <w:sz w:val="20"/>
              </w:rPr>
              <w:t>13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ind w:left="438" w:right="0" w:hanging="0"/>
              <w:jc w:val="right"/>
              <w:rPr>
                <w:rFonts w:ascii="times new roman" w:hAnsi="times new roman"/>
                <w:sz w:val="20"/>
              </w:rPr>
            </w:pPr>
            <w:bookmarkStart w:id="1932" w:name="TAB1930"/>
            <w:bookmarkEnd w:id="1932"/>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ind w:left="593" w:right="0" w:hanging="0"/>
              <w:jc w:val="right"/>
              <w:rPr>
                <w:rFonts w:ascii="times new roman" w:hAnsi="times new roman"/>
                <w:sz w:val="20"/>
              </w:rPr>
            </w:pPr>
            <w:bookmarkStart w:id="1933" w:name="TAB1931"/>
            <w:bookmarkEnd w:id="1933"/>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ind w:left="593" w:right="0" w:hanging="0"/>
              <w:jc w:val="right"/>
              <w:rPr>
                <w:rFonts w:ascii="times new roman" w:hAnsi="times new roman"/>
                <w:sz w:val="20"/>
              </w:rPr>
            </w:pPr>
            <w:bookmarkStart w:id="1934" w:name="TAB1932"/>
            <w:bookmarkEnd w:id="193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526" w:right="0" w:hanging="0"/>
              <w:jc w:val="right"/>
              <w:rPr>
                <w:rFonts w:ascii="times new roman" w:hAnsi="times new roman"/>
                <w:sz w:val="20"/>
              </w:rPr>
            </w:pPr>
            <w:bookmarkStart w:id="1935" w:name="TAB1933"/>
            <w:bookmarkEnd w:id="1935"/>
            <w:r>
              <w:rPr>
                <w:rFonts w:ascii="times new roman" w:hAnsi="times new roman"/>
                <w:sz w:val="20"/>
              </w:rPr>
              <w:t>13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ind w:left="615" w:right="0" w:hanging="0"/>
              <w:jc w:val="right"/>
              <w:rPr>
                <w:rFonts w:ascii="times new roman" w:hAnsi="times new roman"/>
                <w:sz w:val="20"/>
              </w:rPr>
            </w:pPr>
            <w:bookmarkStart w:id="1936" w:name="TAB1934"/>
            <w:bookmarkEnd w:id="1936"/>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ind w:left="523" w:right="0" w:hanging="0"/>
              <w:jc w:val="right"/>
              <w:rPr>
                <w:rFonts w:ascii="times new roman" w:hAnsi="times new roman"/>
                <w:sz w:val="20"/>
              </w:rPr>
            </w:pPr>
            <w:bookmarkStart w:id="1937" w:name="TAB1935"/>
            <w:bookmarkEnd w:id="1937"/>
            <w:r>
              <w:rPr>
                <w:rFonts w:ascii="times new roman" w:hAnsi="times new roman"/>
                <w:sz w:val="20"/>
              </w:rPr>
              <w:t>13</w:t>
            </w:r>
          </w:p>
        </w:tc>
        <w:tc>
          <w:tcPr>
            <w:tcW w:w="95" w:type="dxa"/>
            <w:tcBorders/>
            <w:shd w:fill="FFFFFF" w:val="clear"/>
            <w:vAlign w:val="bottom"/>
          </w:tcPr>
          <w:p>
            <w:pPr>
              <w:pStyle w:val="TableContents"/>
              <w:spacing w:before="0" w:after="283"/>
              <w:jc w:val="left"/>
              <w:rPr/>
            </w:pPr>
            <w:r>
              <w:rPr/>
              <w:t> </w:t>
            </w:r>
          </w:p>
        </w:tc>
      </w:tr>
      <w:tr>
        <w:trPr/>
        <w:tc>
          <w:tcPr>
            <w:tcW w:w="10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Contributions from noncontrolling shareholders</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ind w:left="525" w:right="0" w:hanging="0"/>
              <w:jc w:val="right"/>
              <w:rPr>
                <w:rFonts w:ascii="times new roman" w:hAnsi="times new roman"/>
                <w:sz w:val="20"/>
              </w:rPr>
            </w:pPr>
            <w:bookmarkStart w:id="1938" w:name="TAB1936"/>
            <w:bookmarkEnd w:id="1938"/>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ind w:left="435" w:right="0" w:hanging="0"/>
              <w:jc w:val="right"/>
              <w:rPr>
                <w:rFonts w:ascii="times new roman" w:hAnsi="times new roman"/>
                <w:sz w:val="20"/>
              </w:rPr>
            </w:pPr>
            <w:bookmarkStart w:id="1939" w:name="TAB1937"/>
            <w:bookmarkEnd w:id="1939"/>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ind w:left="414" w:right="0" w:hanging="0"/>
              <w:jc w:val="right"/>
              <w:rPr>
                <w:rFonts w:ascii="times new roman" w:hAnsi="times new roman"/>
                <w:sz w:val="20"/>
              </w:rPr>
            </w:pPr>
            <w:bookmarkStart w:id="1940" w:name="TAB1938"/>
            <w:bookmarkEnd w:id="1940"/>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ind w:left="404" w:right="0" w:hanging="0"/>
              <w:jc w:val="right"/>
              <w:rPr>
                <w:rFonts w:ascii="times new roman" w:hAnsi="times new roman"/>
                <w:sz w:val="20"/>
              </w:rPr>
            </w:pPr>
            <w:bookmarkStart w:id="1941" w:name="TAB1939"/>
            <w:bookmarkEnd w:id="1941"/>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ind w:left="528" w:right="0" w:hanging="0"/>
              <w:jc w:val="right"/>
              <w:rPr>
                <w:rFonts w:ascii="times new roman" w:hAnsi="times new roman"/>
                <w:sz w:val="20"/>
              </w:rPr>
            </w:pPr>
            <w:bookmarkStart w:id="1942" w:name="TAB1940"/>
            <w:bookmarkEnd w:id="1942"/>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ind w:left="438" w:right="0" w:hanging="0"/>
              <w:jc w:val="right"/>
              <w:rPr>
                <w:rFonts w:ascii="times new roman" w:hAnsi="times new roman"/>
                <w:sz w:val="20"/>
              </w:rPr>
            </w:pPr>
            <w:bookmarkStart w:id="1943" w:name="TAB1941"/>
            <w:bookmarkEnd w:id="1943"/>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ind w:left="593" w:right="0" w:hanging="0"/>
              <w:jc w:val="right"/>
              <w:rPr>
                <w:rFonts w:ascii="times new roman" w:hAnsi="times new roman"/>
                <w:sz w:val="20"/>
              </w:rPr>
            </w:pPr>
            <w:bookmarkStart w:id="1944" w:name="TAB1942"/>
            <w:bookmarkEnd w:id="1944"/>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ind w:left="593" w:right="0" w:hanging="0"/>
              <w:jc w:val="right"/>
              <w:rPr>
                <w:rFonts w:ascii="times new roman" w:hAnsi="times new roman"/>
                <w:sz w:val="20"/>
              </w:rPr>
            </w:pPr>
            <w:bookmarkStart w:id="1945" w:name="TAB1943"/>
            <w:bookmarkEnd w:id="1945"/>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15" w:right="0" w:hanging="0"/>
              <w:jc w:val="right"/>
              <w:rPr>
                <w:rFonts w:ascii="times new roman" w:hAnsi="times new roman"/>
                <w:sz w:val="20"/>
              </w:rPr>
            </w:pPr>
            <w:bookmarkStart w:id="1946" w:name="TAB1944"/>
            <w:bookmarkEnd w:id="1946"/>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ind w:left="393" w:right="0" w:hanging="0"/>
              <w:jc w:val="right"/>
              <w:rPr>
                <w:rFonts w:ascii="times new roman" w:hAnsi="times new roman"/>
                <w:sz w:val="20"/>
              </w:rPr>
            </w:pPr>
            <w:bookmarkStart w:id="1947" w:name="TAB1945"/>
            <w:bookmarkEnd w:id="1947"/>
            <w:r>
              <w:rPr>
                <w:rFonts w:ascii="times new roman" w:hAnsi="times new roman"/>
                <w:sz w:val="20"/>
              </w:rPr>
              <w:t>175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ind w:left="390" w:right="0" w:hanging="0"/>
              <w:jc w:val="right"/>
              <w:rPr>
                <w:rFonts w:ascii="times new roman" w:hAnsi="times new roman"/>
                <w:sz w:val="20"/>
              </w:rPr>
            </w:pPr>
            <w:bookmarkStart w:id="1948" w:name="TAB1946"/>
            <w:bookmarkEnd w:id="1948"/>
            <w:r>
              <w:rPr>
                <w:rFonts w:ascii="times new roman" w:hAnsi="times new roman"/>
                <w:sz w:val="20"/>
              </w:rPr>
              <w:t>175</w:t>
            </w:r>
          </w:p>
        </w:tc>
        <w:tc>
          <w:tcPr>
            <w:tcW w:w="95" w:type="dxa"/>
            <w:tcBorders/>
            <w:shd w:fill="CCEEFF" w:val="clear"/>
            <w:vAlign w:val="bottom"/>
          </w:tcPr>
          <w:p>
            <w:pPr>
              <w:pStyle w:val="TableContents"/>
              <w:spacing w:before="0" w:after="283"/>
              <w:jc w:val="left"/>
              <w:rPr/>
            </w:pPr>
            <w:r>
              <w:rPr/>
              <w:t> </w:t>
            </w:r>
          </w:p>
        </w:tc>
      </w:tr>
      <w:tr>
        <w:trPr/>
        <w:tc>
          <w:tcPr>
            <w:tcW w:w="1085" w:type="dxa"/>
            <w:tcBorders>
              <w:bottom w:val="single" w:sz="12"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Distributions to noncontrolling shareholders</w:t>
            </w:r>
          </w:p>
        </w:tc>
        <w:tc>
          <w:tcPr>
            <w:tcW w:w="60" w:type="dxa"/>
            <w:tcBorders/>
            <w:shd w:fill="FFFFFF" w:val="clear"/>
            <w:vAlign w:val="bottom"/>
          </w:tcPr>
          <w:p>
            <w:pPr>
              <w:pStyle w:val="TableContents"/>
              <w:spacing w:before="0" w:after="283"/>
              <w:jc w:val="lef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ind w:left="525" w:right="0" w:hanging="0"/>
              <w:jc w:val="right"/>
              <w:rPr>
                <w:rFonts w:ascii="times new roman" w:hAnsi="times new roman"/>
                <w:sz w:val="20"/>
              </w:rPr>
            </w:pPr>
            <w:bookmarkStart w:id="1949" w:name="TAB1947"/>
            <w:bookmarkEnd w:id="1949"/>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ind w:left="435" w:right="0" w:hanging="0"/>
              <w:jc w:val="right"/>
              <w:rPr>
                <w:rFonts w:ascii="times new roman" w:hAnsi="times new roman"/>
                <w:sz w:val="20"/>
              </w:rPr>
            </w:pPr>
            <w:bookmarkStart w:id="1950" w:name="TAB1948"/>
            <w:bookmarkEnd w:id="1950"/>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ind w:left="414" w:right="0" w:hanging="0"/>
              <w:jc w:val="right"/>
              <w:rPr>
                <w:rFonts w:ascii="times new roman" w:hAnsi="times new roman"/>
                <w:sz w:val="20"/>
              </w:rPr>
            </w:pPr>
            <w:bookmarkStart w:id="1951" w:name="TAB1949"/>
            <w:bookmarkEnd w:id="1951"/>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ind w:left="404" w:right="0" w:hanging="0"/>
              <w:jc w:val="right"/>
              <w:rPr>
                <w:rFonts w:ascii="times new roman" w:hAnsi="times new roman"/>
                <w:sz w:val="20"/>
              </w:rPr>
            </w:pPr>
            <w:bookmarkStart w:id="1952" w:name="TAB1950"/>
            <w:bookmarkEnd w:id="1952"/>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ind w:left="528" w:right="0" w:hanging="0"/>
              <w:jc w:val="right"/>
              <w:rPr>
                <w:rFonts w:ascii="times new roman" w:hAnsi="times new roman"/>
                <w:sz w:val="20"/>
              </w:rPr>
            </w:pPr>
            <w:bookmarkStart w:id="1953" w:name="TAB1951"/>
            <w:bookmarkEnd w:id="1953"/>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ind w:left="438" w:right="0" w:hanging="0"/>
              <w:jc w:val="right"/>
              <w:rPr>
                <w:rFonts w:ascii="times new roman" w:hAnsi="times new roman"/>
                <w:sz w:val="20"/>
              </w:rPr>
            </w:pPr>
            <w:bookmarkStart w:id="1954" w:name="TAB1952"/>
            <w:bookmarkEnd w:id="1954"/>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ind w:left="593" w:right="0" w:hanging="0"/>
              <w:jc w:val="right"/>
              <w:rPr>
                <w:rFonts w:ascii="times new roman" w:hAnsi="times new roman"/>
                <w:sz w:val="20"/>
              </w:rPr>
            </w:pPr>
            <w:bookmarkStart w:id="1955" w:name="TAB1953"/>
            <w:bookmarkEnd w:id="1955"/>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FFFFFF" w:val="clear"/>
            <w:tcMar>
              <w:bottom w:w="28" w:type="dxa"/>
            </w:tcMar>
            <w:vAlign w:val="bottom"/>
          </w:tcPr>
          <w:p>
            <w:pPr>
              <w:pStyle w:val="TableContents"/>
              <w:spacing w:before="0" w:after="283"/>
              <w:ind w:left="593" w:right="0" w:hanging="0"/>
              <w:jc w:val="right"/>
              <w:rPr>
                <w:rFonts w:ascii="times new roman" w:hAnsi="times new roman"/>
                <w:sz w:val="20"/>
              </w:rPr>
            </w:pPr>
            <w:bookmarkStart w:id="1956" w:name="TAB1954"/>
            <w:bookmarkEnd w:id="1956"/>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615" w:right="0" w:hanging="0"/>
              <w:jc w:val="right"/>
              <w:rPr>
                <w:rFonts w:ascii="times new roman" w:hAnsi="times new roman"/>
                <w:sz w:val="20"/>
              </w:rPr>
            </w:pPr>
            <w:bookmarkStart w:id="1957" w:name="TAB1955"/>
            <w:bookmarkEnd w:id="1957"/>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ind w:left="15" w:right="0" w:hanging="0"/>
              <w:jc w:val="right"/>
              <w:rPr>
                <w:rFonts w:ascii="times new roman" w:hAnsi="times new roman"/>
                <w:sz w:val="20"/>
              </w:rPr>
            </w:pPr>
            <w:bookmarkStart w:id="1958" w:name="TAB1956"/>
            <w:bookmarkEnd w:id="1958"/>
            <w:r>
              <w:rPr>
                <w:rFonts w:ascii="times new roman" w:hAnsi="times new roman"/>
                <w:sz w:val="20"/>
              </w:rPr>
              <w:t>(1,147</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ind w:left="12" w:right="0" w:hanging="0"/>
              <w:jc w:val="right"/>
              <w:rPr>
                <w:rFonts w:ascii="times new roman" w:hAnsi="times new roman"/>
                <w:sz w:val="20"/>
              </w:rPr>
            </w:pPr>
            <w:bookmarkStart w:id="1959" w:name="TAB1957"/>
            <w:bookmarkEnd w:id="1959"/>
            <w:r>
              <w:rPr>
                <w:rFonts w:ascii="times new roman" w:hAnsi="times new roman"/>
                <w:sz w:val="20"/>
              </w:rPr>
              <w:t>(1,147</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085" w:type="dxa"/>
            <w:tcBorders>
              <w:bottom w:val="double" w:sz="8"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At December 31, 2009</w:t>
            </w:r>
          </w:p>
        </w:tc>
        <w:tc>
          <w:tcPr>
            <w:tcW w:w="60" w:type="dxa"/>
            <w:tcBorders/>
            <w:shd w:fill="CCEEFF" w:val="clear"/>
            <w:vAlign w:val="bottom"/>
          </w:tcPr>
          <w:p>
            <w:pPr>
              <w:pStyle w:val="TableContents"/>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21,133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3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6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3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spacing w:before="0" w:after="283"/>
              <w:ind w:left="78" w:right="0" w:hanging="0"/>
              <w:jc w:val="right"/>
              <w:rPr>
                <w:rFonts w:ascii="times new roman" w:hAnsi="times new roman"/>
                <w:sz w:val="20"/>
              </w:rPr>
            </w:pPr>
            <w:bookmarkStart w:id="1960" w:name="TAB1958"/>
            <w:bookmarkEnd w:id="1960"/>
            <w:r>
              <w:rPr>
                <w:rFonts w:ascii="times new roman" w:hAnsi="times new roman"/>
                <w:sz w:val="20"/>
              </w:rPr>
              <w:t>134,044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3" w:type="dxa"/>
            <w:tcBorders>
              <w:bottom w:val="double" w:sz="8" w:space="0" w:color="000000"/>
            </w:tcBorders>
            <w:shd w:fill="CCEEFF" w:val="clear"/>
            <w:tcMar>
              <w:bottom w:w="28" w:type="dxa"/>
            </w:tcMar>
            <w:vAlign w:val="bottom"/>
          </w:tcPr>
          <w:p>
            <w:pPr>
              <w:pStyle w:val="TableContents"/>
              <w:spacing w:before="0" w:after="283"/>
              <w:ind w:left="117" w:right="0" w:hanging="0"/>
              <w:jc w:val="right"/>
              <w:rPr>
                <w:rFonts w:ascii="times new roman" w:hAnsi="times new roman"/>
                <w:sz w:val="20"/>
              </w:rPr>
            </w:pPr>
            <w:bookmarkStart w:id="1961" w:name="TAB1959"/>
            <w:bookmarkEnd w:id="1961"/>
            <w:r>
              <w:rPr>
                <w:rFonts w:ascii="times new roman" w:hAnsi="times new roman"/>
                <w:sz w:val="20"/>
              </w:rPr>
              <w:t>(3,514</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8" w:type="dxa"/>
            <w:tcBorders>
              <w:bottom w:val="double" w:sz="8" w:space="0" w:color="000000"/>
            </w:tcBorders>
            <w:shd w:fill="CCEEFF" w:val="clear"/>
            <w:tcMar>
              <w:bottom w:w="28" w:type="dxa"/>
            </w:tcMar>
            <w:vAlign w:val="bottom"/>
          </w:tcPr>
          <w:p>
            <w:pPr>
              <w:pStyle w:val="TableContents"/>
              <w:spacing w:before="0" w:after="283"/>
              <w:ind w:left="117" w:right="0" w:hanging="0"/>
              <w:jc w:val="right"/>
              <w:rPr>
                <w:rFonts w:ascii="times new roman" w:hAnsi="times new roman"/>
                <w:sz w:val="20"/>
              </w:rPr>
            </w:pPr>
            <w:bookmarkStart w:id="1962" w:name="TAB1960"/>
            <w:bookmarkEnd w:id="1962"/>
            <w:r>
              <w:rPr>
                <w:rFonts w:ascii="times new roman" w:hAnsi="times new roman"/>
                <w:sz w:val="20"/>
              </w:rPr>
              <w:t>(63,385</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CCEEFF" w:val="clear"/>
            <w:tcMar>
              <w:bottom w:w="28" w:type="dxa"/>
            </w:tcMar>
            <w:vAlign w:val="bottom"/>
          </w:tcPr>
          <w:p>
            <w:pPr>
              <w:pStyle w:val="TableContents"/>
              <w:spacing w:before="0" w:after="283"/>
              <w:ind w:left="117" w:right="0" w:hanging="0"/>
              <w:jc w:val="right"/>
              <w:rPr>
                <w:rFonts w:ascii="times new roman" w:hAnsi="times new roman"/>
                <w:sz w:val="20"/>
              </w:rPr>
            </w:pPr>
            <w:bookmarkStart w:id="1963" w:name="TAB1961"/>
            <w:bookmarkEnd w:id="1963"/>
            <w:r>
              <w:rPr>
                <w:rFonts w:ascii="times new roman" w:hAnsi="times new roman"/>
                <w:sz w:val="20"/>
              </w:rPr>
              <w:t>41,514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283"/>
              <w:ind w:left="117" w:right="0" w:hanging="0"/>
              <w:jc w:val="right"/>
              <w:rPr>
                <w:rFonts w:ascii="times new roman" w:hAnsi="times new roman"/>
                <w:sz w:val="20"/>
              </w:rPr>
            </w:pPr>
            <w:bookmarkStart w:id="1964" w:name="TAB1962"/>
            <w:bookmarkEnd w:id="1964"/>
            <w:r>
              <w:rPr>
                <w:rFonts w:ascii="times new roman" w:hAnsi="times new roman"/>
                <w:sz w:val="20"/>
              </w:rPr>
              <w:t>108,889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4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1965" w:name="TAB1963"/>
            <w:bookmarkEnd w:id="1965"/>
            <w:r>
              <w:rPr>
                <w:rFonts w:ascii="times new roman" w:hAnsi="times new roman"/>
                <w:sz w:val="20"/>
              </w:rPr>
              <w:t>1,374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ind w:left="140" w:right="0" w:hanging="0"/>
              <w:jc w:val="right"/>
              <w:rPr>
                <w:rFonts w:ascii="times new roman" w:hAnsi="times new roman"/>
                <w:sz w:val="20"/>
              </w:rPr>
            </w:pPr>
            <w:bookmarkStart w:id="1966" w:name="TAB1964"/>
            <w:bookmarkEnd w:id="1966"/>
            <w:r>
              <w:rPr>
                <w:rFonts w:ascii="times new roman" w:hAnsi="times new roman"/>
                <w:sz w:val="20"/>
              </w:rPr>
              <w:t>110,263</w:t>
            </w:r>
          </w:p>
        </w:tc>
        <w:tc>
          <w:tcPr>
            <w:tcW w:w="9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67" w:name="PGBRK59"/>
      <w:bookmarkStart w:id="1968" w:name="PGBRK59"/>
      <w:bookmarkEnd w:id="19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9" w:name="FTR59"/>
      <w:bookmarkStart w:id="1970" w:name="FTR59"/>
      <w:bookmarkEnd w:id="19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71" w:name="GLFTR59"/>
      <w:bookmarkEnd w:id="19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72" w:name="PN59"/>
      <w:bookmarkEnd w:id="1972"/>
      <w:r>
        <w:rPr>
          <w:rFonts w:ascii="Times New Roman" w:hAnsi="Times New Roman"/>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3" w:name="HDR59"/>
      <w:bookmarkStart w:id="1974" w:name="HDR59"/>
      <w:bookmarkEnd w:id="19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975" w:name="GLHDR59"/>
        <w:bookmarkEnd w:id="19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bookmarkStart w:id="1976" w:name="cashflows"/>
      <w:bookmarkEnd w:id="1976"/>
      <w:r>
        <w:rPr>
          <w:rFonts w:ascii="Times New Roman" w:hAnsi="Times New Roman"/>
          <w:b/>
          <w:sz w:val="20"/>
        </w:rPr>
        <w:t>Reading International, Inc. and Subsidiaries</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Cash Flows for the Three Years Ended December 31, 2009</w:t>
      </w:r>
    </w:p>
    <w:p>
      <w:pPr>
        <w:pStyle w:val="TextBody"/>
        <w:spacing w:before="0" w:after="0"/>
        <w:ind w:left="0" w:right="0" w:hanging="0"/>
        <w:jc w:val="left"/>
        <w:rPr>
          <w:rFonts w:ascii="Times New Roman" w:hAnsi="Times New Roman"/>
          <w:b/>
          <w:sz w:val="20"/>
        </w:rPr>
      </w:pPr>
      <w:r>
        <w:rPr>
          <w:rFonts w:ascii="Times New Roman" w:hAnsi="Times New Roman"/>
          <w:b/>
          <w:sz w:val="20"/>
        </w:rPr>
        <w:t>(U.S. dollars in thousands)</w:t>
      </w:r>
    </w:p>
    <w:tbl>
      <w:tblPr>
        <w:tblW w:w="5000" w:type="pct"/>
        <w:jc w:val="left"/>
        <w:tblInd w:w="0" w:type="dxa"/>
        <w:tblCellMar>
          <w:top w:w="0" w:type="dxa"/>
          <w:left w:w="0" w:type="dxa"/>
          <w:bottom w:w="0" w:type="dxa"/>
          <w:right w:w="0" w:type="dxa"/>
        </w:tblCellMar>
      </w:tblPr>
      <w:tblGrid>
        <w:gridCol w:w="6000"/>
        <w:gridCol w:w="109"/>
        <w:gridCol w:w="134"/>
        <w:gridCol w:w="1031"/>
        <w:gridCol w:w="117"/>
        <w:gridCol w:w="109"/>
        <w:gridCol w:w="134"/>
        <w:gridCol w:w="1031"/>
        <w:gridCol w:w="117"/>
        <w:gridCol w:w="108"/>
        <w:gridCol w:w="134"/>
        <w:gridCol w:w="1031"/>
        <w:gridCol w:w="150"/>
      </w:tblGrid>
      <w:tr>
        <w:trPr/>
        <w:tc>
          <w:tcPr>
            <w:tcW w:w="600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94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50" w:type="dxa"/>
            <w:tcBorders/>
            <w:shd w:fill="auto" w:val="clear"/>
            <w:vAlign w:val="bottom"/>
          </w:tcPr>
          <w:p>
            <w:pPr>
              <w:pStyle w:val="TableContents"/>
              <w:spacing w:before="0" w:after="283"/>
              <w:jc w:val="left"/>
              <w:rPr/>
            </w:pPr>
            <w:r>
              <w:rPr/>
              <w:t> </w:t>
            </w:r>
          </w:p>
        </w:tc>
      </w:tr>
      <w:tr>
        <w:trPr/>
        <w:tc>
          <w:tcPr>
            <w:tcW w:w="6000"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6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7"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6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7"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50" w:type="dxa"/>
            <w:tcBorders/>
            <w:shd w:fill="auto" w:val="clear"/>
            <w:vAlign w:val="bottom"/>
          </w:tcPr>
          <w:p>
            <w:pPr>
              <w:pStyle w:val="TableContents"/>
              <w:spacing w:before="0" w:after="283"/>
              <w:jc w:val="left"/>
              <w:rPr/>
            </w:pPr>
            <w:r>
              <w:rPr/>
              <w:t> </w:t>
            </w:r>
          </w:p>
        </w:tc>
      </w:tr>
      <w:tr>
        <w:trPr/>
        <w:tc>
          <w:tcPr>
            <w:tcW w:w="6000" w:type="dxa"/>
            <w:tcBorders/>
            <w:shd w:fill="auto"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Operating Activities</w:t>
            </w:r>
          </w:p>
        </w:tc>
        <w:tc>
          <w:tcPr>
            <w:tcW w:w="109" w:type="dxa"/>
            <w:tcBorders/>
            <w:shd w:fill="auto" w:val="clear"/>
            <w:vAlign w:val="bottom"/>
          </w:tcPr>
          <w:p>
            <w:pPr>
              <w:pStyle w:val="TableContents"/>
              <w:spacing w:before="0" w:after="283"/>
              <w:rPr/>
            </w:pPr>
            <w:r>
              <w:rPr/>
              <w:t> </w:t>
            </w:r>
          </w:p>
        </w:tc>
        <w:tc>
          <w:tcPr>
            <w:tcW w:w="1165"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65"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5" w:type="dxa"/>
            <w:gridSpan w:val="2"/>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 (loss)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CCEEFF" w:val="clear"/>
            <w:vAlign w:val="bottom"/>
          </w:tcPr>
          <w:p>
            <w:pPr>
              <w:pStyle w:val="TableContents"/>
              <w:spacing w:before="0" w:after="283"/>
              <w:ind w:left="106" w:right="0" w:hanging="0"/>
              <w:jc w:val="right"/>
              <w:rPr>
                <w:rFonts w:ascii="times new roman" w:hAnsi="times new roman"/>
                <w:sz w:val="20"/>
              </w:rPr>
            </w:pPr>
            <w:bookmarkStart w:id="1977" w:name="TAB1965"/>
            <w:bookmarkEnd w:id="1977"/>
            <w:r>
              <w:rPr>
                <w:rFonts w:ascii="times new roman" w:hAnsi="times new roman"/>
                <w:sz w:val="20"/>
              </w:rPr>
              <w:t>6,482</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CCEEFF" w:val="clear"/>
            <w:vAlign w:val="bottom"/>
          </w:tcPr>
          <w:p>
            <w:pPr>
              <w:pStyle w:val="TableContents"/>
              <w:spacing w:before="0" w:after="283"/>
              <w:ind w:left="106" w:right="0" w:hanging="0"/>
              <w:jc w:val="right"/>
              <w:rPr>
                <w:rFonts w:ascii="times new roman" w:hAnsi="times new roman"/>
                <w:sz w:val="20"/>
              </w:rPr>
            </w:pPr>
            <w:bookmarkStart w:id="1978" w:name="TAB1966"/>
            <w:bookmarkEnd w:id="1978"/>
            <w:r>
              <w:rPr>
                <w:rFonts w:ascii="times new roman" w:hAnsi="times new roman"/>
                <w:sz w:val="20"/>
              </w:rPr>
              <w:t>(16,189</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CCEEFF" w:val="clear"/>
            <w:vAlign w:val="bottom"/>
          </w:tcPr>
          <w:p>
            <w:pPr>
              <w:pStyle w:val="TableContents"/>
              <w:spacing w:before="0" w:after="283"/>
              <w:ind w:left="106" w:right="0" w:hanging="0"/>
              <w:jc w:val="right"/>
              <w:rPr>
                <w:rFonts w:ascii="times new roman" w:hAnsi="times new roman"/>
                <w:sz w:val="20"/>
              </w:rPr>
            </w:pPr>
            <w:bookmarkStart w:id="1979" w:name="TAB1967"/>
            <w:bookmarkEnd w:id="1979"/>
            <w:r>
              <w:rPr>
                <w:rFonts w:ascii="times new roman" w:hAnsi="times new roman"/>
                <w:sz w:val="20"/>
              </w:rPr>
              <w:t>(1,100</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FFFFFF" w:val="clear"/>
            <w:vAlign w:val="bottom"/>
          </w:tcPr>
          <w:p>
            <w:pPr>
              <w:pStyle w:val="TableContents"/>
              <w:spacing w:before="0" w:after="0"/>
              <w:ind w:left="360" w:right="0" w:hanging="180"/>
              <w:jc w:val="left"/>
              <w:rPr>
                <w:rFonts w:ascii="times new roman" w:hAnsi="times new roman"/>
                <w:i/>
                <w:sz w:val="20"/>
              </w:rPr>
            </w:pPr>
            <w:r>
              <w:rPr>
                <w:rFonts w:ascii="times new roman" w:hAnsi="times new roman"/>
                <w:i/>
                <w:sz w:val="20"/>
              </w:rPr>
              <w:t>Adjustments to reconcile net income( loss) to net cash provided by operating activities:</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Realized (gain) loss on foreign currency translation</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2,257</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Equity earnings of unconsolidated joint ventures and entities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(497</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(2,545</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Distributions of earnings from unconsolidated joint ventures and entities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1,167</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951</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4,619</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Loss provision on marketable securities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1,047</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607</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Loss provision on impairment of asset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4,319</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Loss associated with contractual commitment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Loss on extinguishment of debt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Loss on sale of assets, net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Loss on transfer of real estate held for sale to continuing operations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Gain on the sale of unconsolidated joint venture or entity</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(2,450</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Gain on sale of Glendale Building</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(1,912</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Gain on sale of marketable securities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(773</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Actuarial gain on pension plan</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Gain on insurance settlement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(910</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Gain on option termination</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Gain in other operating income</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(2,551</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Gain on retirement of subordinated debt (trust preferred securities)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(10,714</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Depreciation and amortization</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15,168</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18,558</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11,921</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Amortization of prior service costs  related to pension plan</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Amortization of above and below market lease</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772</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637</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Amortization of deferred financing costs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775</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1,235</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Amortization of straight-line rent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977</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1,459</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Stock based compensation expense</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1,976</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994</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180"/>
              <w:jc w:val="left"/>
              <w:rPr>
                <w:rFonts w:ascii="times new roman" w:hAnsi="times new roman"/>
                <w:i/>
                <w:sz w:val="20"/>
              </w:rPr>
            </w:pPr>
            <w:r>
              <w:rPr>
                <w:rFonts w:ascii="times new roman" w:hAnsi="times new roman"/>
                <w:i/>
                <w:sz w:val="20"/>
              </w:rPr>
              <w:t>Changes in assets and liabilities:</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702" w:right="0" w:hanging="180"/>
              <w:jc w:val="left"/>
              <w:rPr>
                <w:rFonts w:ascii="times new roman" w:hAnsi="times new roman"/>
                <w:sz w:val="20"/>
              </w:rPr>
            </w:pPr>
            <w:bookmarkStart w:id="1980" w:name="TAB1968"/>
            <w:bookmarkEnd w:id="1980"/>
            <w:r>
              <w:rPr>
                <w:rFonts w:ascii="times new roman" w:hAnsi="times new roman"/>
                <w:sz w:val="20"/>
              </w:rPr>
              <w:t>(Increase) decrease in receivables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(3,152</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1,377</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702" w:right="0" w:hanging="180"/>
              <w:jc w:val="left"/>
              <w:rPr>
                <w:rFonts w:ascii="times new roman" w:hAnsi="times new roman"/>
                <w:sz w:val="20"/>
              </w:rPr>
            </w:pPr>
            <w:bookmarkStart w:id="1981" w:name="TAB1969"/>
            <w:bookmarkEnd w:id="1981"/>
            <w:r>
              <w:rPr>
                <w:rFonts w:ascii="times new roman" w:hAnsi="times new roman"/>
                <w:sz w:val="20"/>
              </w:rPr>
              <w:t>(Increase) decrease in prepaid and other assets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(1,712</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784</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(1,753</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CCEEFF" w:val="clear"/>
            <w:vAlign w:val="bottom"/>
          </w:tcPr>
          <w:p>
            <w:pPr>
              <w:pStyle w:val="TableContents"/>
              <w:spacing w:before="0" w:after="0"/>
              <w:ind w:left="702" w:right="0" w:hanging="180"/>
              <w:jc w:val="left"/>
              <w:rPr>
                <w:rFonts w:ascii="times new roman" w:hAnsi="times new roman"/>
                <w:sz w:val="20"/>
              </w:rPr>
            </w:pPr>
            <w:bookmarkStart w:id="1982" w:name="TAB1970"/>
            <w:bookmarkEnd w:id="1982"/>
            <w:r>
              <w:rPr>
                <w:rFonts w:ascii="times new roman" w:hAnsi="times new roman"/>
                <w:sz w:val="20"/>
              </w:rPr>
              <w:t>Increase in payable and accrued liabilities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4,677</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702" w:right="0" w:hanging="180"/>
              <w:jc w:val="left"/>
              <w:rPr>
                <w:rFonts w:ascii="times new roman" w:hAnsi="times new roman"/>
                <w:sz w:val="20"/>
              </w:rPr>
            </w:pPr>
            <w:bookmarkStart w:id="1983" w:name="TAB1971"/>
            <w:bookmarkEnd w:id="1983"/>
            <w:r>
              <w:rPr>
                <w:rFonts w:ascii="times new roman" w:hAnsi="times new roman"/>
                <w:sz w:val="20"/>
              </w:rPr>
              <w:t>Increase (decrease) in film rent payable</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(942</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4,856</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(1,631</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bottom w:val="single" w:sz="12" w:space="0" w:color="000000"/>
            </w:tcBorders>
            <w:shd w:fill="CCEEFF" w:val="clear"/>
            <w:tcMar>
              <w:bottom w:w="28" w:type="dxa"/>
            </w:tcMar>
            <w:vAlign w:val="bottom"/>
          </w:tcPr>
          <w:p>
            <w:pPr>
              <w:pStyle w:val="TableContents"/>
              <w:spacing w:before="0" w:after="0"/>
              <w:ind w:left="702" w:right="0" w:hanging="180"/>
              <w:jc w:val="left"/>
              <w:rPr>
                <w:rFonts w:ascii="times new roman" w:hAnsi="times new roman"/>
                <w:sz w:val="20"/>
              </w:rPr>
            </w:pPr>
            <w:bookmarkStart w:id="1984" w:name="TAB1972"/>
            <w:bookmarkEnd w:id="1984"/>
            <w:r>
              <w:rPr>
                <w:rFonts w:ascii="times new roman" w:hAnsi="times new roman"/>
                <w:sz w:val="20"/>
              </w:rPr>
              <w:t>Increase in deferred revenue and other liabilities</w:t>
            </w:r>
          </w:p>
        </w:tc>
        <w:tc>
          <w:tcPr>
            <w:tcW w:w="109"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1,628</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6,562</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2,121</w:t>
            </w:r>
          </w:p>
        </w:tc>
        <w:tc>
          <w:tcPr>
            <w:tcW w:w="150" w:type="dxa"/>
            <w:tcBorders/>
            <w:shd w:fill="CCEEFF" w:val="clear"/>
            <w:vAlign w:val="bottom"/>
          </w:tcPr>
          <w:p>
            <w:pPr>
              <w:pStyle w:val="TableContents"/>
              <w:spacing w:before="0" w:after="283"/>
              <w:jc w:val="left"/>
              <w:rPr/>
            </w:pPr>
            <w:r>
              <w:rPr/>
              <w:t> </w:t>
            </w:r>
          </w:p>
        </w:tc>
      </w:tr>
      <w:tr>
        <w:trPr/>
        <w:tc>
          <w:tcPr>
            <w:tcW w:w="6000" w:type="dxa"/>
            <w:tcBorders>
              <w:bottom w:val="single" w:sz="12" w:space="0" w:color="000000"/>
            </w:tcBorders>
            <w:shd w:fill="FFFFFF" w:val="clear"/>
            <w:tcMar>
              <w:bottom w:w="28" w:type="dxa"/>
            </w:tcMar>
            <w:vAlign w:val="bottom"/>
          </w:tcPr>
          <w:p>
            <w:pPr>
              <w:pStyle w:val="TableContents"/>
              <w:spacing w:before="0" w:after="0"/>
              <w:ind w:left="720" w:right="0" w:hanging="720"/>
              <w:jc w:val="left"/>
              <w:rPr>
                <w:rFonts w:ascii="times new roman" w:hAnsi="times new roman"/>
                <w:sz w:val="20"/>
              </w:rPr>
            </w:pPr>
            <w:r>
              <w:rPr>
                <w:rFonts w:ascii="times new roman" w:hAnsi="times new roman"/>
                <w:sz w:val="20"/>
              </w:rPr>
              <w:t>Net cash provided by operating activities</w:t>
            </w:r>
          </w:p>
        </w:tc>
        <w:tc>
          <w:tcPr>
            <w:tcW w:w="109"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17,978</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24,315</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13,284</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Investing Activities</w:t>
            </w:r>
          </w:p>
        </w:tc>
        <w:tc>
          <w:tcPr>
            <w:tcW w:w="10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342" w:right="0" w:hanging="180"/>
              <w:jc w:val="left"/>
              <w:rPr>
                <w:rFonts w:ascii="times new roman" w:hAnsi="times new roman"/>
                <w:sz w:val="20"/>
              </w:rPr>
            </w:pPr>
            <w:bookmarkStart w:id="1985" w:name="TAB1973"/>
            <w:bookmarkEnd w:id="1985"/>
            <w:r>
              <w:rPr>
                <w:rFonts w:ascii="times new roman" w:hAnsi="times new roman"/>
                <w:sz w:val="20"/>
              </w:rPr>
              <w:t>Proceeds from sale of unconsolidated joint venture</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3,267</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342" w:right="0" w:hanging="180"/>
              <w:jc w:val="left"/>
              <w:rPr>
                <w:rFonts w:ascii="times new roman" w:hAnsi="times new roman"/>
                <w:sz w:val="20"/>
              </w:rPr>
            </w:pPr>
            <w:bookmarkStart w:id="1986" w:name="TAB1974"/>
            <w:bookmarkEnd w:id="1986"/>
            <w:r>
              <w:rPr>
                <w:rFonts w:ascii="times new roman" w:hAnsi="times new roman"/>
                <w:sz w:val="20"/>
              </w:rPr>
              <w:t>Acquisitions of real estate and leasehold interests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(51,746</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(20,633</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FFFFFF" w:val="clear"/>
            <w:vAlign w:val="bottom"/>
          </w:tcPr>
          <w:p>
            <w:pPr>
              <w:pStyle w:val="TableContents"/>
              <w:spacing w:before="0" w:after="0"/>
              <w:ind w:left="342" w:right="0" w:hanging="180"/>
              <w:jc w:val="left"/>
              <w:rPr>
                <w:rFonts w:ascii="times new roman" w:hAnsi="times new roman"/>
                <w:sz w:val="20"/>
              </w:rPr>
            </w:pPr>
            <w:bookmarkStart w:id="1987" w:name="TAB1975"/>
            <w:bookmarkEnd w:id="1987"/>
            <w:r>
              <w:rPr>
                <w:rFonts w:ascii="times new roman" w:hAnsi="times new roman"/>
                <w:sz w:val="20"/>
              </w:rPr>
              <w:t>Acquisition deposit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(706</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CCEEFF" w:val="clear"/>
            <w:vAlign w:val="bottom"/>
          </w:tcPr>
          <w:p>
            <w:pPr>
              <w:pStyle w:val="TableContents"/>
              <w:spacing w:before="0" w:after="0"/>
              <w:ind w:left="342" w:right="0" w:hanging="180"/>
              <w:jc w:val="left"/>
              <w:rPr>
                <w:rFonts w:ascii="times new roman" w:hAnsi="times new roman"/>
                <w:sz w:val="20"/>
              </w:rPr>
            </w:pPr>
            <w:bookmarkStart w:id="1988" w:name="TAB1976"/>
            <w:bookmarkEnd w:id="1988"/>
            <w:r>
              <w:rPr>
                <w:rFonts w:ascii="times new roman" w:hAnsi="times new roman"/>
                <w:sz w:val="20"/>
              </w:rPr>
              <w:t>Purchases of and additions to property and equipment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(5,686</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(23,420</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(21,781</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FFFFFF" w:val="clear"/>
            <w:vAlign w:val="bottom"/>
          </w:tcPr>
          <w:p>
            <w:pPr>
              <w:pStyle w:val="TableContents"/>
              <w:spacing w:before="0" w:after="0"/>
              <w:ind w:left="342" w:right="0" w:hanging="180"/>
              <w:jc w:val="left"/>
              <w:rPr>
                <w:rFonts w:ascii="times new roman" w:hAnsi="times new roman"/>
                <w:sz w:val="20"/>
              </w:rPr>
            </w:pPr>
            <w:bookmarkStart w:id="1989" w:name="TAB1977"/>
            <w:bookmarkEnd w:id="1989"/>
            <w:r>
              <w:rPr>
                <w:rFonts w:ascii="times new roman" w:hAnsi="times new roman"/>
                <w:sz w:val="20"/>
              </w:rPr>
              <w:t>Investment in Reading International Trust I</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(1,547</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CCEEFF" w:val="clear"/>
            <w:vAlign w:val="bottom"/>
          </w:tcPr>
          <w:p>
            <w:pPr>
              <w:pStyle w:val="TableContents"/>
              <w:spacing w:before="0" w:after="0"/>
              <w:ind w:left="342" w:right="0" w:hanging="180"/>
              <w:jc w:val="left"/>
              <w:rPr>
                <w:rFonts w:ascii="times new roman" w:hAnsi="times new roman"/>
                <w:sz w:val="20"/>
              </w:rPr>
            </w:pPr>
            <w:bookmarkStart w:id="1990" w:name="TAB1978"/>
            <w:bookmarkEnd w:id="1990"/>
            <w:r>
              <w:rPr>
                <w:rFonts w:ascii="times new roman" w:hAnsi="times new roman"/>
                <w:sz w:val="20"/>
              </w:rPr>
              <w:t>Distributions of investment in unconsolidated joint ventures and entities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3,336</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2,445</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342" w:right="0" w:hanging="180"/>
              <w:jc w:val="left"/>
              <w:rPr>
                <w:rFonts w:ascii="times new roman" w:hAnsi="times new roman"/>
                <w:sz w:val="20"/>
              </w:rPr>
            </w:pPr>
            <w:bookmarkStart w:id="1991" w:name="TAB1979"/>
            <w:bookmarkEnd w:id="1991"/>
            <w:r>
              <w:rPr>
                <w:rFonts w:ascii="times new roman" w:hAnsi="times new roman"/>
                <w:sz w:val="20"/>
              </w:rPr>
              <w:t>Investment in unconsolidated joint ventures and entities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342" w:right="0" w:hanging="180"/>
              <w:jc w:val="left"/>
              <w:rPr>
                <w:rFonts w:ascii="times new roman" w:hAnsi="times new roman"/>
                <w:sz w:val="20"/>
              </w:rPr>
            </w:pPr>
            <w:bookmarkStart w:id="1992" w:name="TAB1980"/>
            <w:bookmarkEnd w:id="1992"/>
            <w:r>
              <w:rPr>
                <w:rFonts w:ascii="times new roman" w:hAnsi="times new roman"/>
                <w:sz w:val="20"/>
              </w:rPr>
              <w:t>(Increase) decrease in restricted cash</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1,335</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(1,852</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342" w:right="0" w:hanging="180"/>
              <w:jc w:val="left"/>
              <w:rPr>
                <w:rFonts w:ascii="times new roman" w:hAnsi="times new roman"/>
                <w:sz w:val="20"/>
              </w:rPr>
            </w:pPr>
            <w:bookmarkStart w:id="1993" w:name="TAB1981"/>
            <w:bookmarkEnd w:id="1993"/>
            <w:r>
              <w:rPr>
                <w:rFonts w:ascii="times new roman" w:hAnsi="times new roman"/>
                <w:sz w:val="20"/>
              </w:rPr>
              <w:t>Option proceeds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1,363</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342" w:right="0" w:hanging="180"/>
              <w:jc w:val="left"/>
              <w:rPr>
                <w:rFonts w:ascii="times new roman" w:hAnsi="times new roman"/>
                <w:sz w:val="20"/>
              </w:rPr>
            </w:pPr>
            <w:bookmarkStart w:id="1994" w:name="TAB1982"/>
            <w:bookmarkEnd w:id="1994"/>
            <w:r>
              <w:rPr>
                <w:rFonts w:ascii="times new roman" w:hAnsi="times new roman"/>
                <w:sz w:val="20"/>
              </w:rPr>
              <w:t>Purchases of marketable securities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(11,463</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(15,651</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FFFFFF" w:val="clear"/>
            <w:vAlign w:val="bottom"/>
          </w:tcPr>
          <w:p>
            <w:pPr>
              <w:pStyle w:val="TableContents"/>
              <w:spacing w:before="0" w:after="0"/>
              <w:ind w:left="342" w:right="0" w:hanging="180"/>
              <w:jc w:val="left"/>
              <w:rPr>
                <w:rFonts w:ascii="times new roman" w:hAnsi="times new roman"/>
                <w:sz w:val="20"/>
              </w:rPr>
            </w:pPr>
            <w:bookmarkStart w:id="1995" w:name="TAB1983"/>
            <w:bookmarkEnd w:id="1995"/>
            <w:r>
              <w:rPr>
                <w:rFonts w:ascii="times new roman" w:hAnsi="times new roman"/>
                <w:sz w:val="20"/>
              </w:rPr>
              <w:t>Sale of marketable securities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19,900</w:t>
            </w:r>
          </w:p>
        </w:tc>
        <w:tc>
          <w:tcPr>
            <w:tcW w:w="150" w:type="dxa"/>
            <w:tcBorders/>
            <w:shd w:fill="FFFFFF" w:val="clear"/>
            <w:vAlign w:val="bottom"/>
          </w:tcPr>
          <w:p>
            <w:pPr>
              <w:pStyle w:val="TableContents"/>
              <w:spacing w:before="0" w:after="283"/>
              <w:jc w:val="left"/>
              <w:rPr/>
            </w:pPr>
            <w:r>
              <w:rPr/>
              <w:t> </w:t>
            </w:r>
          </w:p>
        </w:tc>
      </w:tr>
      <w:tr>
        <w:trPr/>
        <w:tc>
          <w:tcPr>
            <w:tcW w:w="6000" w:type="dxa"/>
            <w:tcBorders>
              <w:bottom w:val="single" w:sz="12" w:space="0" w:color="000000"/>
            </w:tcBorders>
            <w:shd w:fill="CCEEFF" w:val="clear"/>
            <w:tcMar>
              <w:bottom w:w="28" w:type="dxa"/>
            </w:tcMar>
            <w:vAlign w:val="bottom"/>
          </w:tcPr>
          <w:p>
            <w:pPr>
              <w:pStyle w:val="TableContents"/>
              <w:spacing w:before="0" w:after="0"/>
              <w:ind w:left="342" w:right="0" w:hanging="180"/>
              <w:jc w:val="left"/>
              <w:rPr>
                <w:rFonts w:ascii="times new roman" w:hAnsi="times new roman"/>
                <w:sz w:val="20"/>
              </w:rPr>
            </w:pPr>
            <w:bookmarkStart w:id="1996" w:name="TAB1984"/>
            <w:bookmarkEnd w:id="1996"/>
            <w:r>
              <w:rPr>
                <w:rFonts w:ascii="times new roman" w:hAnsi="times new roman"/>
                <w:sz w:val="20"/>
              </w:rPr>
              <w:t>Proceeds from insurance settlement</w:t>
            </w:r>
          </w:p>
        </w:tc>
        <w:tc>
          <w:tcPr>
            <w:tcW w:w="109"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910</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CCEEFF" w:val="clear"/>
            <w:vAlign w:val="bottom"/>
          </w:tcPr>
          <w:p>
            <w:pPr>
              <w:pStyle w:val="TableContents"/>
              <w:spacing w:before="0" w:after="283"/>
              <w:jc w:val="left"/>
              <w:rPr/>
            </w:pPr>
            <w:r>
              <w:rPr/>
              <w:t> </w:t>
            </w:r>
          </w:p>
        </w:tc>
      </w:tr>
      <w:tr>
        <w:trPr/>
        <w:tc>
          <w:tcPr>
            <w:tcW w:w="6000" w:type="dxa"/>
            <w:tcBorders>
              <w:bottom w:val="single" w:sz="12"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cash used in investing activities</w:t>
            </w:r>
          </w:p>
        </w:tc>
        <w:tc>
          <w:tcPr>
            <w:tcW w:w="109"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(12,899</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(69,539</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(38,286</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Financing Activities</w:t>
            </w:r>
          </w:p>
        </w:tc>
        <w:tc>
          <w:tcPr>
            <w:tcW w:w="10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342" w:right="0" w:hanging="180"/>
              <w:jc w:val="left"/>
              <w:rPr>
                <w:rFonts w:ascii="times new roman" w:hAnsi="times new roman"/>
                <w:sz w:val="20"/>
              </w:rPr>
            </w:pPr>
            <w:bookmarkStart w:id="1997" w:name="TAB1985"/>
            <w:bookmarkEnd w:id="1997"/>
            <w:r>
              <w:rPr>
                <w:rFonts w:ascii="times new roman" w:hAnsi="times new roman"/>
                <w:sz w:val="20"/>
              </w:rPr>
              <w:t>Repayment of long-term borrowings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(14,888</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(9,414</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(57,560</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CCEEFF" w:val="clear"/>
            <w:vAlign w:val="bottom"/>
          </w:tcPr>
          <w:p>
            <w:pPr>
              <w:pStyle w:val="TableContents"/>
              <w:spacing w:before="0" w:after="0"/>
              <w:ind w:left="342" w:right="0" w:hanging="180"/>
              <w:jc w:val="left"/>
              <w:rPr>
                <w:rFonts w:ascii="times new roman" w:hAnsi="times new roman"/>
                <w:sz w:val="20"/>
              </w:rPr>
            </w:pPr>
            <w:bookmarkStart w:id="1998" w:name="TAB1986"/>
            <w:bookmarkEnd w:id="1998"/>
            <w:r>
              <w:rPr>
                <w:rFonts w:ascii="times new roman" w:hAnsi="times new roman"/>
                <w:sz w:val="20"/>
              </w:rPr>
              <w:t>Proceeds from borrowings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1,455</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74,734</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97,632</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342" w:right="0" w:hanging="180"/>
              <w:jc w:val="left"/>
              <w:rPr>
                <w:rFonts w:ascii="times new roman" w:hAnsi="times new roman"/>
                <w:sz w:val="20"/>
              </w:rPr>
            </w:pPr>
            <w:bookmarkStart w:id="1999" w:name="TAB1987"/>
            <w:bookmarkEnd w:id="1999"/>
            <w:r>
              <w:rPr>
                <w:rFonts w:ascii="times new roman" w:hAnsi="times new roman"/>
                <w:sz w:val="20"/>
              </w:rPr>
              <w:t>Capitalized borrowing costs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(3,581</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(2,334</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CCEEFF" w:val="clear"/>
            <w:vAlign w:val="bottom"/>
          </w:tcPr>
          <w:p>
            <w:pPr>
              <w:pStyle w:val="TableContents"/>
              <w:spacing w:before="0" w:after="0"/>
              <w:ind w:left="342" w:right="0" w:hanging="180"/>
              <w:jc w:val="left"/>
              <w:rPr>
                <w:rFonts w:ascii="times new roman" w:hAnsi="times new roman"/>
                <w:sz w:val="20"/>
              </w:rPr>
            </w:pPr>
            <w:bookmarkStart w:id="2000" w:name="TAB1988"/>
            <w:bookmarkEnd w:id="2000"/>
            <w:r>
              <w:rPr>
                <w:rFonts w:ascii="times new roman" w:hAnsi="times new roman"/>
                <w:sz w:val="20"/>
              </w:rPr>
              <w:t>Option deposit received</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342" w:right="0" w:hanging="180"/>
              <w:jc w:val="left"/>
              <w:rPr>
                <w:rFonts w:ascii="times new roman" w:hAnsi="times new roman"/>
                <w:sz w:val="20"/>
              </w:rPr>
            </w:pPr>
            <w:bookmarkStart w:id="2001" w:name="TAB1989"/>
            <w:bookmarkEnd w:id="2001"/>
            <w:r>
              <w:rPr>
                <w:rFonts w:ascii="times new roman" w:hAnsi="times new roman"/>
                <w:sz w:val="20"/>
              </w:rPr>
              <w:t>Proceeds from exercise of stock options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342" w:right="0" w:hanging="180"/>
              <w:jc w:val="left"/>
              <w:rPr>
                <w:rFonts w:ascii="times new roman" w:hAnsi="times new roman"/>
                <w:sz w:val="20"/>
              </w:rPr>
            </w:pPr>
            <w:bookmarkStart w:id="2002" w:name="TAB1990"/>
            <w:bookmarkEnd w:id="2002"/>
            <w:r>
              <w:rPr>
                <w:rFonts w:ascii="times new roman" w:hAnsi="times new roman"/>
                <w:sz w:val="20"/>
              </w:rPr>
              <w:t>Proceeds from contributions of noncontrolling interests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50" w:type="dxa"/>
            <w:tcBorders/>
            <w:shd w:fill="CCEEFF" w:val="clear"/>
            <w:vAlign w:val="bottom"/>
          </w:tcPr>
          <w:p>
            <w:pPr>
              <w:pStyle w:val="TableContents"/>
              <w:spacing w:before="0" w:after="283"/>
              <w:jc w:val="left"/>
              <w:rPr/>
            </w:pPr>
            <w:r>
              <w:rPr/>
              <w:t> </w:t>
            </w:r>
          </w:p>
        </w:tc>
      </w:tr>
      <w:tr>
        <w:trPr/>
        <w:tc>
          <w:tcPr>
            <w:tcW w:w="6000" w:type="dxa"/>
            <w:tcBorders>
              <w:bottom w:val="single" w:sz="12" w:space="0" w:color="000000"/>
            </w:tcBorders>
            <w:shd w:fill="FFFFFF" w:val="clear"/>
            <w:tcMar>
              <w:bottom w:w="28" w:type="dxa"/>
            </w:tcMar>
            <w:vAlign w:val="bottom"/>
          </w:tcPr>
          <w:p>
            <w:pPr>
              <w:pStyle w:val="TableContents"/>
              <w:spacing w:before="0" w:after="0"/>
              <w:ind w:left="342" w:right="0" w:hanging="180"/>
              <w:jc w:val="left"/>
              <w:rPr>
                <w:rFonts w:ascii="times new roman" w:hAnsi="times new roman"/>
                <w:sz w:val="20"/>
              </w:rPr>
            </w:pPr>
            <w:bookmarkStart w:id="2003" w:name="TAB1991"/>
            <w:bookmarkEnd w:id="2003"/>
            <w:r>
              <w:rPr>
                <w:rFonts w:ascii="times new roman" w:hAnsi="times new roman"/>
                <w:sz w:val="20"/>
              </w:rPr>
              <w:t>Noncontrolling interests distributions</w:t>
            </w:r>
          </w:p>
        </w:tc>
        <w:tc>
          <w:tcPr>
            <w:tcW w:w="109"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(1,585</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(3,870</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bottom w:val="single" w:sz="12"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cash provided by (used in) financing activities</w:t>
            </w:r>
          </w:p>
        </w:tc>
        <w:tc>
          <w:tcPr>
            <w:tcW w:w="109"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(14,394</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60,154</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33,943</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Effect of exchange rate on cash</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3,053</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(4,838</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833</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Increase (decrease) in cash and cash equivalents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(6,262</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10,092</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9,774</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r>
      <w:tr>
        <w:trPr/>
        <w:tc>
          <w:tcPr>
            <w:tcW w:w="6000" w:type="dxa"/>
            <w:tcBorders>
              <w:bottom w:val="single" w:sz="12"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Cash and cash equivalents at beginning of year</w:t>
            </w:r>
          </w:p>
        </w:tc>
        <w:tc>
          <w:tcPr>
            <w:tcW w:w="109"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30,874</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20,782</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11,008</w:t>
            </w:r>
          </w:p>
        </w:tc>
        <w:tc>
          <w:tcPr>
            <w:tcW w:w="150" w:type="dxa"/>
            <w:tcBorders/>
            <w:shd w:fill="FFFFFF" w:val="clear"/>
            <w:vAlign w:val="bottom"/>
          </w:tcPr>
          <w:p>
            <w:pPr>
              <w:pStyle w:val="TableContents"/>
              <w:spacing w:before="0" w:after="283"/>
              <w:jc w:val="left"/>
              <w:rPr/>
            </w:pPr>
            <w:r>
              <w:rPr/>
              <w:t> </w:t>
            </w:r>
          </w:p>
        </w:tc>
      </w:tr>
      <w:tr>
        <w:trPr/>
        <w:tc>
          <w:tcPr>
            <w:tcW w:w="6000" w:type="dxa"/>
            <w:tcBorders>
              <w:bottom w:val="double" w:sz="8"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Cash and cash equivalents at end of year</w:t>
            </w:r>
          </w:p>
        </w:tc>
        <w:tc>
          <w:tcPr>
            <w:tcW w:w="109" w:type="dxa"/>
            <w:tcBorders/>
            <w:shd w:fill="CCEEFF" w:val="clear"/>
            <w:vAlign w:val="bottom"/>
          </w:tcPr>
          <w:p>
            <w:pPr>
              <w:pStyle w:val="TableContents"/>
              <w:spacing w:before="0" w:after="283"/>
              <w:jc w:val="lef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bottom w:val="double" w:sz="8" w:space="0" w:color="000000"/>
            </w:tcBorders>
            <w:shd w:fill="CCEEFF" w:val="clear"/>
            <w:tcMar>
              <w:bottom w:w="28" w:type="dxa"/>
            </w:tcMar>
            <w:vAlign w:val="bottom"/>
          </w:tcPr>
          <w:p>
            <w:pPr>
              <w:pStyle w:val="TableContents"/>
              <w:spacing w:before="0" w:after="283"/>
              <w:ind w:left="106" w:right="0" w:hanging="0"/>
              <w:jc w:val="right"/>
              <w:rPr>
                <w:rFonts w:ascii="times new roman" w:hAnsi="times new roman"/>
                <w:sz w:val="20"/>
              </w:rPr>
            </w:pPr>
            <w:bookmarkStart w:id="2004" w:name="TAB1992"/>
            <w:bookmarkEnd w:id="2004"/>
            <w:r>
              <w:rPr>
                <w:rFonts w:ascii="times new roman" w:hAnsi="times new roman"/>
                <w:sz w:val="20"/>
              </w:rPr>
              <w:t>24,612</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bottom w:val="double" w:sz="8" w:space="0" w:color="000000"/>
            </w:tcBorders>
            <w:shd w:fill="CCEEFF" w:val="clear"/>
            <w:tcMar>
              <w:bottom w:w="28" w:type="dxa"/>
            </w:tcMar>
            <w:vAlign w:val="bottom"/>
          </w:tcPr>
          <w:p>
            <w:pPr>
              <w:pStyle w:val="TableContents"/>
              <w:spacing w:before="0" w:after="283"/>
              <w:ind w:left="106" w:right="0" w:hanging="0"/>
              <w:jc w:val="right"/>
              <w:rPr>
                <w:rFonts w:ascii="times new roman" w:hAnsi="times new roman"/>
                <w:sz w:val="20"/>
              </w:rPr>
            </w:pPr>
            <w:bookmarkStart w:id="2005" w:name="TAB1993"/>
            <w:bookmarkEnd w:id="2005"/>
            <w:r>
              <w:rPr>
                <w:rFonts w:ascii="times new roman" w:hAnsi="times new roman"/>
                <w:sz w:val="20"/>
              </w:rPr>
              <w:t>30,874</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bottom w:val="double" w:sz="8" w:space="0" w:color="000000"/>
            </w:tcBorders>
            <w:shd w:fill="CCEEFF" w:val="clear"/>
            <w:tcMar>
              <w:bottom w:w="28" w:type="dxa"/>
            </w:tcMar>
            <w:vAlign w:val="bottom"/>
          </w:tcPr>
          <w:p>
            <w:pPr>
              <w:pStyle w:val="TableContents"/>
              <w:spacing w:before="0" w:after="283"/>
              <w:ind w:left="106" w:right="0" w:hanging="0"/>
              <w:jc w:val="right"/>
              <w:rPr>
                <w:rFonts w:ascii="times new roman" w:hAnsi="times new roman"/>
                <w:sz w:val="20"/>
              </w:rPr>
            </w:pPr>
            <w:bookmarkStart w:id="2006" w:name="TAB1994"/>
            <w:bookmarkEnd w:id="2006"/>
            <w:r>
              <w:rPr>
                <w:rFonts w:ascii="times new roman" w:hAnsi="times new roman"/>
                <w:sz w:val="20"/>
              </w:rPr>
              <w:t>20,782</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Supplemental Disclosures</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342" w:right="0" w:hanging="180"/>
              <w:jc w:val="left"/>
              <w:rPr>
                <w:rFonts w:ascii="times new roman" w:hAnsi="times new roman"/>
                <w:sz w:val="20"/>
              </w:rPr>
            </w:pPr>
            <w:bookmarkStart w:id="2007" w:name="TAB1995"/>
            <w:bookmarkEnd w:id="2007"/>
            <w:r>
              <w:rPr>
                <w:rFonts w:ascii="times new roman" w:hAnsi="times new roman"/>
                <w:sz w:val="20"/>
              </w:rPr>
              <w:t>Cash paid during the period for:</w:t>
            </w:r>
          </w:p>
        </w:tc>
        <w:tc>
          <w:tcPr>
            <w:tcW w:w="10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Interest on borrowings, net of amounts capitalized</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FFFFFF" w:val="clear"/>
            <w:vAlign w:val="bottom"/>
          </w:tcPr>
          <w:p>
            <w:pPr>
              <w:pStyle w:val="TableContents"/>
              <w:spacing w:before="0" w:after="283"/>
              <w:ind w:left="106" w:right="0" w:hanging="0"/>
              <w:jc w:val="right"/>
              <w:rPr>
                <w:rFonts w:ascii="times new roman" w:hAnsi="times new roman"/>
                <w:sz w:val="20"/>
              </w:rPr>
            </w:pPr>
            <w:bookmarkStart w:id="2008" w:name="TAB1996"/>
            <w:bookmarkEnd w:id="2008"/>
            <w:r>
              <w:rPr>
                <w:rFonts w:ascii="times new roman" w:hAnsi="times new roman"/>
                <w:sz w:val="20"/>
              </w:rPr>
              <w:t>14,347</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FFFFFF" w:val="clear"/>
            <w:vAlign w:val="bottom"/>
          </w:tcPr>
          <w:p>
            <w:pPr>
              <w:pStyle w:val="TableContents"/>
              <w:spacing w:before="0" w:after="283"/>
              <w:ind w:left="106" w:right="0" w:hanging="0"/>
              <w:jc w:val="right"/>
              <w:rPr>
                <w:rFonts w:ascii="times new roman" w:hAnsi="times new roman"/>
                <w:sz w:val="20"/>
              </w:rPr>
            </w:pPr>
            <w:bookmarkStart w:id="2009" w:name="TAB1997"/>
            <w:bookmarkEnd w:id="2009"/>
            <w:r>
              <w:rPr>
                <w:rFonts w:ascii="times new roman" w:hAnsi="times new roman"/>
                <w:sz w:val="20"/>
              </w:rPr>
              <w:t>18,018</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FFFFFF" w:val="clear"/>
            <w:vAlign w:val="bottom"/>
          </w:tcPr>
          <w:p>
            <w:pPr>
              <w:pStyle w:val="TableContents"/>
              <w:spacing w:before="0" w:after="283"/>
              <w:ind w:left="106" w:right="0" w:hanging="0"/>
              <w:jc w:val="right"/>
              <w:rPr>
                <w:rFonts w:ascii="times new roman" w:hAnsi="times new roman"/>
                <w:sz w:val="20"/>
              </w:rPr>
            </w:pPr>
            <w:bookmarkStart w:id="2010" w:name="TAB1998"/>
            <w:bookmarkEnd w:id="2010"/>
            <w:r>
              <w:rPr>
                <w:rFonts w:ascii="times new roman" w:hAnsi="times new roman"/>
                <w:sz w:val="20"/>
              </w:rPr>
              <w:t>12,389</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Income taxes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CCEEFF" w:val="clear"/>
            <w:vAlign w:val="bottom"/>
          </w:tcPr>
          <w:p>
            <w:pPr>
              <w:pStyle w:val="TableContents"/>
              <w:spacing w:before="0" w:after="283"/>
              <w:ind w:left="106" w:right="0" w:hanging="0"/>
              <w:jc w:val="right"/>
              <w:rPr>
                <w:rFonts w:ascii="times new roman" w:hAnsi="times new roman"/>
                <w:sz w:val="20"/>
              </w:rPr>
            </w:pPr>
            <w:bookmarkStart w:id="2011" w:name="TAB1999"/>
            <w:bookmarkEnd w:id="2011"/>
            <w:r>
              <w:rPr>
                <w:rFonts w:ascii="times new roman" w:hAnsi="times new roman"/>
                <w:sz w:val="20"/>
              </w:rPr>
              <w:t>774</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CCEEFF" w:val="clear"/>
            <w:vAlign w:val="bottom"/>
          </w:tcPr>
          <w:p>
            <w:pPr>
              <w:pStyle w:val="TableContents"/>
              <w:spacing w:before="0" w:after="283"/>
              <w:ind w:left="106" w:right="0" w:hanging="0"/>
              <w:jc w:val="right"/>
              <w:rPr>
                <w:rFonts w:ascii="times new roman" w:hAnsi="times new roman"/>
                <w:sz w:val="20"/>
              </w:rPr>
            </w:pPr>
            <w:bookmarkStart w:id="2012" w:name="TAB11000"/>
            <w:bookmarkEnd w:id="2012"/>
            <w:r>
              <w:rPr>
                <w:rFonts w:ascii="times new roman" w:hAnsi="times new roman"/>
                <w:sz w:val="20"/>
              </w:rPr>
              <w:t>319</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CCEEFF" w:val="clear"/>
            <w:vAlign w:val="bottom"/>
          </w:tcPr>
          <w:p>
            <w:pPr>
              <w:pStyle w:val="TableContents"/>
              <w:spacing w:before="0" w:after="283"/>
              <w:ind w:left="106" w:right="0" w:hanging="0"/>
              <w:jc w:val="right"/>
              <w:rPr>
                <w:rFonts w:ascii="times new roman" w:hAnsi="times new roman"/>
                <w:sz w:val="20"/>
              </w:rPr>
            </w:pPr>
            <w:bookmarkStart w:id="2013" w:name="TAB11001"/>
            <w:bookmarkEnd w:id="2013"/>
            <w:r>
              <w:rPr>
                <w:rFonts w:ascii="times new roman" w:hAnsi="times new roman"/>
                <w:sz w:val="20"/>
              </w:rPr>
              <w:t>282</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Non-Cash Transactions</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360"/>
              <w:jc w:val="left"/>
              <w:rPr>
                <w:rFonts w:ascii="times new roman" w:hAnsi="times new roman"/>
                <w:sz w:val="20"/>
              </w:rPr>
            </w:pPr>
            <w:bookmarkStart w:id="2014" w:name="TAB11002"/>
            <w:bookmarkEnd w:id="2014"/>
            <w:r>
              <w:rPr>
                <w:rFonts w:ascii="times new roman" w:hAnsi="times new roman"/>
                <w:sz w:val="20"/>
              </w:rPr>
              <w:t>Exchange of marketable securities for Reading International Trust I securities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(11,463</w:t>
            </w:r>
          </w:p>
        </w:tc>
        <w:tc>
          <w:tcPr>
            <w:tcW w:w="11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360"/>
              <w:jc w:val="left"/>
              <w:rPr>
                <w:rFonts w:ascii="times new roman" w:hAnsi="times new roman"/>
                <w:sz w:val="20"/>
              </w:rPr>
            </w:pPr>
            <w:bookmarkStart w:id="2015" w:name="TAB11003"/>
            <w:bookmarkEnd w:id="2015"/>
            <w:r>
              <w:rPr>
                <w:rFonts w:ascii="times new roman" w:hAnsi="times new roman"/>
                <w:sz w:val="20"/>
              </w:rPr>
              <w:t>Retirement of subordinated debt (trust preferred securities)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(23,634</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540" w:right="0" w:hanging="360"/>
              <w:jc w:val="left"/>
              <w:rPr>
                <w:rFonts w:ascii="times new roman" w:hAnsi="times new roman"/>
                <w:sz w:val="20"/>
              </w:rPr>
            </w:pPr>
            <w:bookmarkStart w:id="2016" w:name="TAB11004"/>
            <w:bookmarkEnd w:id="2016"/>
            <w:r>
              <w:rPr>
                <w:rFonts w:ascii="times new roman" w:hAnsi="times new roman"/>
                <w:sz w:val="20"/>
              </w:rPr>
              <w:t>Retirement of Reading International Trust I securities</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11,463</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360"/>
              <w:jc w:val="left"/>
              <w:rPr>
                <w:rFonts w:ascii="times new roman" w:hAnsi="times new roman"/>
                <w:sz w:val="20"/>
              </w:rPr>
            </w:pPr>
            <w:bookmarkStart w:id="2017" w:name="TAB11005"/>
            <w:bookmarkEnd w:id="2017"/>
            <w:r>
              <w:rPr>
                <w:rFonts w:ascii="times new roman" w:hAnsi="times new roman"/>
                <w:sz w:val="20"/>
              </w:rPr>
              <w:t>Retirement of investment in Reading International Trust I securities</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709</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FFFFFF" w:val="clear"/>
            <w:vAlign w:val="bottom"/>
          </w:tcPr>
          <w:p>
            <w:pPr>
              <w:pStyle w:val="TableContents"/>
              <w:spacing w:before="0" w:after="283"/>
              <w:jc w:val="left"/>
              <w:rPr/>
            </w:pPr>
            <w:r>
              <w:rPr/>
              <w:t> </w:t>
            </w:r>
          </w:p>
        </w:tc>
      </w:tr>
      <w:tr>
        <w:trPr/>
        <w:tc>
          <w:tcPr>
            <w:tcW w:w="600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Note payable due to Seller issued for acquisition (Note 12)</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14,750</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Increase (decrease) in cost basis of Cinemas 1, 2 &amp; 3 related to the purchase price adjustment of the call option liability to a related party</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(2,100</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r>
      <w:tr>
        <w:trPr/>
        <w:tc>
          <w:tcPr>
            <w:tcW w:w="6000" w:type="dxa"/>
            <w:tcBorders/>
            <w:shd w:fill="CCEEFF" w:val="clear"/>
            <w:vAlign w:val="bottom"/>
          </w:tcPr>
          <w:p>
            <w:pPr>
              <w:pStyle w:val="TableContents"/>
              <w:spacing w:before="0" w:after="0"/>
              <w:ind w:left="540" w:right="0" w:hanging="360"/>
              <w:jc w:val="left"/>
              <w:rPr>
                <w:rFonts w:ascii="times new roman" w:hAnsi="times new roman"/>
                <w:sz w:val="20"/>
              </w:rPr>
            </w:pPr>
            <w:bookmarkStart w:id="2018" w:name="TAB11006"/>
            <w:bookmarkEnd w:id="2018"/>
            <w:r>
              <w:rPr>
                <w:rFonts w:ascii="times new roman" w:hAnsi="times new roman"/>
                <w:sz w:val="20"/>
              </w:rPr>
              <w:t>Adjustment to retained earnings related to adoption of ASC 740-10-25 (Note 10)</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509</w:t>
            </w:r>
          </w:p>
        </w:tc>
        <w:tc>
          <w:tcPr>
            <w:tcW w:w="150" w:type="dxa"/>
            <w:tcBorders/>
            <w:shd w:fill="CCEEFF" w:val="clear"/>
            <w:vAlign w:val="bottom"/>
          </w:tcPr>
          <w:p>
            <w:pPr>
              <w:pStyle w:val="TableContents"/>
              <w:spacing w:before="0" w:after="283"/>
              <w:jc w:val="left"/>
              <w:rPr/>
            </w:pPr>
            <w:r>
              <w:rPr/>
              <w:t> </w:t>
            </w:r>
          </w:p>
        </w:tc>
      </w:tr>
      <w:tr>
        <w:trPr/>
        <w:tc>
          <w:tcPr>
            <w:tcW w:w="6000" w:type="dxa"/>
            <w:tcBorders/>
            <w:shd w:fill="FFFFFF" w:val="clear"/>
            <w:vAlign w:val="bottom"/>
          </w:tcPr>
          <w:p>
            <w:pPr>
              <w:pStyle w:val="TableContents"/>
              <w:spacing w:before="0" w:after="0"/>
              <w:ind w:left="540" w:right="0" w:hanging="360"/>
              <w:jc w:val="left"/>
              <w:rPr>
                <w:rFonts w:ascii="times new roman" w:hAnsi="times new roman"/>
                <w:sz w:val="20"/>
              </w:rPr>
            </w:pPr>
            <w:bookmarkStart w:id="2019" w:name="TAB11007"/>
            <w:bookmarkEnd w:id="2019"/>
            <w:r>
              <w:rPr>
                <w:rFonts w:ascii="times new roman" w:hAnsi="times new roman"/>
                <w:sz w:val="20"/>
              </w:rPr>
              <w:t>Decrease in deposit payable and increase in noncontrolling interest related to the exercise of the Cinemas 1, 2 &amp; 3 call option by a related party (Note 15)</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CCEEFF" w:val="clear"/>
            <w:vAlign w:val="bottom"/>
          </w:tcPr>
          <w:p>
            <w:pPr>
              <w:pStyle w:val="TableContents"/>
              <w:spacing w:before="0" w:after="0"/>
              <w:ind w:left="540" w:right="0" w:hanging="360"/>
              <w:jc w:val="left"/>
              <w:rPr>
                <w:rFonts w:ascii="times new roman" w:hAnsi="times new roman"/>
                <w:sz w:val="20"/>
              </w:rPr>
            </w:pPr>
            <w:bookmarkStart w:id="2020" w:name="TAB11008"/>
            <w:bookmarkEnd w:id="2020"/>
            <w:r>
              <w:rPr>
                <w:rFonts w:ascii="times new roman" w:hAnsi="times new roman"/>
                <w:sz w:val="20"/>
              </w:rPr>
              <w:t>Decrease in call option liability and increase in additional paid in capital related to the exercise of the Cinemas 1, 2 &amp; 3 call option by a related party (Note 15)</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0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(2,512</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0" w:type="dxa"/>
            <w:tcBorders/>
            <w:shd w:fill="FFFFFF" w:val="clear"/>
            <w:vAlign w:val="bottom"/>
          </w:tcPr>
          <w:p>
            <w:pPr>
              <w:pStyle w:val="TableContents"/>
              <w:spacing w:before="0" w:after="0"/>
              <w:ind w:left="540" w:right="0" w:hanging="360"/>
              <w:jc w:val="left"/>
              <w:rPr>
                <w:rFonts w:ascii="times new roman" w:hAnsi="times new roman"/>
                <w:sz w:val="20"/>
              </w:rPr>
            </w:pPr>
            <w:bookmarkStart w:id="2021" w:name="TAB11009"/>
            <w:bookmarkEnd w:id="2021"/>
            <w:r>
              <w:rPr>
                <w:rFonts w:ascii="times new roman" w:hAnsi="times new roman"/>
                <w:sz w:val="20"/>
              </w:rPr>
              <w:t>Accrued addition to property and equipment</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10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385</w:t>
            </w:r>
          </w:p>
        </w:tc>
        <w:tc>
          <w:tcPr>
            <w:tcW w:w="15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22" w:name="PGBRK60"/>
      <w:bookmarkStart w:id="2023" w:name="PGBRK60"/>
      <w:bookmarkEnd w:id="20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4" w:name="FTR60"/>
      <w:bookmarkStart w:id="2025" w:name="FTR60"/>
      <w:bookmarkEnd w:id="20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26" w:name="GLFTR60"/>
      <w:bookmarkEnd w:id="20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27" w:name="PN60"/>
      <w:bookmarkEnd w:id="2027"/>
      <w:r>
        <w:rPr>
          <w:rFonts w:ascii="Times New Roman" w:hAnsi="Times New Roman"/>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8" w:name="HDR60"/>
      <w:bookmarkStart w:id="2029" w:name="HDR60"/>
      <w:bookmarkEnd w:id="20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30" w:name="GLHDR60"/>
        <w:bookmarkEnd w:id="20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bookmarkStart w:id="2031" w:name="notes"/>
      <w:bookmarkEnd w:id="2031"/>
      <w:r>
        <w:rPr>
          <w:rFonts w:ascii="Times New Roman" w:hAnsi="Times New Roman"/>
          <w:b/>
          <w:sz w:val="20"/>
        </w:rPr>
        <w:t>Reading International, Inc. and Subsidiaries</w:t>
      </w:r>
    </w:p>
    <w:p>
      <w:pPr>
        <w:pStyle w:val="TextBody"/>
        <w:spacing w:before="0" w:after="0"/>
        <w:ind w:left="0" w:right="0" w:hanging="0"/>
        <w:jc w:val="left"/>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left"/>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 – Nature of Business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32" w:name="TAB11010"/>
      <w:bookmarkEnd w:id="2032"/>
      <w:r>
        <w:rPr>
          <w:rFonts w:ascii="Times New Roman" w:hAnsi="Times New Roman"/>
          <w:sz w:val="20"/>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Our businesses consist primarily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033" w:name="list214"/>
      <w:bookmarkStart w:id="2034" w:name="list214"/>
      <w:bookmarkEnd w:id="2034"/>
    </w:p>
    <w:tbl>
      <w:tblPr>
        <w:tblW w:w="5000" w:type="pct"/>
        <w:jc w:val="left"/>
        <w:tblInd w:w="0" w:type="dxa"/>
        <w:tblCellMar>
          <w:top w:w="0" w:type="dxa"/>
          <w:left w:w="0" w:type="dxa"/>
          <w:bottom w:w="0" w:type="dxa"/>
          <w:right w:w="0" w:type="dxa"/>
        </w:tblCellMar>
      </w:tblPr>
      <w:tblGrid>
        <w:gridCol w:w="417"/>
        <w:gridCol w:w="9788"/>
      </w:tblGrid>
      <w:tr>
        <w:trPr/>
        <w:tc>
          <w:tcPr>
            <w:tcW w:w="4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development, ownership and operation of multiplex cinemas in the United States, Australia, and New Zealand;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35" w:name="list215"/>
      <w:bookmarkStart w:id="2036" w:name="list215"/>
      <w:bookmarkEnd w:id="203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development, ownership, and operation of retail and commercial real estate in Australia, New Zealand, and the United States.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 – Summary of Significant Accounting Policies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Basis of Consolidation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37" w:name="TAB11011"/>
      <w:bookmarkEnd w:id="2037"/>
      <w:r>
        <w:rPr>
          <w:rFonts w:ascii="Times New Roman" w:hAnsi="Times New Roman"/>
          <w:sz w:val="20"/>
        </w:rPr>
        <w:t>The consolidated financial statements of RDI and its subsidiaries include the accounts of CDL, RDGE, and CRG.  Also consolidated are Angelika Film Center LLC (“AFC”), in which we own a 50% controlling membership interest and whose only asset is the Angelika Film Center in Manhattan; Australia Country Cinemas Pty, Limited (“ACC”), a company in which we own a 75% interest, and whose only assets are our leasehold cinemas in Townsville and Dubbo, Australia; and the Elsternwick Classic, an unincorporated joint venture in which we own a 66.6% interest and whose only asset is the Elsternwick Classic cinema in Melbourne, Australia.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investment interests are appropriately accounted for as unconsolidated joint ventures and entities, and accordingly, our unconsolidated joint ventures and entities in 20% to 50% owned companies are accounted for on the equity method.  These investment interests include our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038" w:name="list216"/>
      <w:bookmarkStart w:id="2039" w:name="list216"/>
      <w:bookmarkEnd w:id="203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33.3% undivided interest in the unincorporated joint venture that owns the Mt. Gravatt cinema in a suburb of Brisbane, Australia;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40" w:name="list217"/>
      <w:bookmarkStart w:id="2041" w:name="list217"/>
      <w:bookmarkEnd w:id="204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25% undivided interest in the unincorporated joint venture that owns 205-209 East 57th Street Associates, LLC (</w:t>
            </w:r>
            <w:r>
              <w:rPr>
                <w:rFonts w:ascii="Times New Roman" w:hAnsi="Times New Roman"/>
                <w:i/>
                <w:sz w:val="20"/>
              </w:rPr>
              <w:t>Place 57</w:t>
            </w:r>
            <w:r>
              <w:rPr>
                <w:rFonts w:ascii="Times New Roman" w:hAnsi="Times New Roman"/>
                <w:sz w:val="20"/>
              </w:rPr>
              <w:t>) a limited liability company formed to redevelop our former cinema site at 205 East 57th Street in Manhattan;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42" w:name="list218"/>
      <w:bookmarkStart w:id="2043" w:name="list218"/>
      <w:bookmarkEnd w:id="204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33.3% undivided interest in Rialto Distribution, an unincorporated joint venture engaged in the business of distributing art film in New Zealand and Australia;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44" w:name="list219"/>
      <w:bookmarkStart w:id="2045" w:name="list219"/>
      <w:bookmarkEnd w:id="2045"/>
    </w:p>
    <w:tbl>
      <w:tblPr>
        <w:tblW w:w="5000" w:type="pct"/>
        <w:jc w:val="left"/>
        <w:tblInd w:w="0" w:type="dxa"/>
        <w:tblCellMar>
          <w:top w:w="0" w:type="dxa"/>
          <w:left w:w="0" w:type="dxa"/>
          <w:bottom w:w="0" w:type="dxa"/>
          <w:right w:w="0" w:type="dxa"/>
        </w:tblCellMar>
      </w:tblPr>
      <w:tblGrid>
        <w:gridCol w:w="540"/>
        <w:gridCol w:w="9665"/>
      </w:tblGrid>
      <w:tr>
        <w:trPr/>
        <w:tc>
          <w:tcPr>
            <w:tcW w:w="54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50% undivided interest in the unincorporated joint venture that owns Rialto Cinemas.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Accounting Principles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consolidated financial statements have been prepared in accordance with accounting principles generally accepted in the United States of America (“US GAAP”).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Cash and Cash Equivalents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consider all highly liquid investments with original maturities of three months or less when purchased to be cash equivalents for which cost approximates fair value.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Receivables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receivables balance is composed primarily of credit card receivables, representing the purchase price of tickets, concessions, or coupon books sold at our various businesses.  Sales charged on customer credit cards are collected when the credit card transactions are processed.  The remaining receivables balance is primarily made up of the goods and services tax (“GST”) refund receivable from our Australian taxing authorities and the management fee receivable from the managed cinemas.  We have no history of significant bad debt losses and we establish an allowance for accounts that we deem uncollectible.</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6" w:name="PGBRK61"/>
      <w:bookmarkStart w:id="2047" w:name="PGBRK61"/>
      <w:bookmarkEnd w:id="20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8" w:name="FTR61"/>
      <w:bookmarkStart w:id="2049" w:name="FTR61"/>
      <w:bookmarkEnd w:id="2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50" w:name="GLFTR61"/>
      <w:bookmarkEnd w:id="20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51" w:name="PN61"/>
      <w:bookmarkEnd w:id="2051"/>
      <w:r>
        <w:rPr>
          <w:rFonts w:ascii="Times New Roman" w:hAnsi="Times New Roman"/>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2" w:name="HDR61"/>
      <w:bookmarkStart w:id="2053" w:name="HDR61"/>
      <w:bookmarkEnd w:id="20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54" w:name="GLHDR61"/>
        <w:bookmarkEnd w:id="205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Inventory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Inventory is composed of concession goods used in theater operations and is stated at the lower of cost (first-in, first-out method) or net realizable value.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Investment in Marketable Securities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account for investments in marketable debt and equity securities in accordance with Financial Accounting Standards Board (“FASB”) Accounting Standards Codification (“ASC”) 320-10 - </w:t>
      </w:r>
      <w:r>
        <w:rPr>
          <w:rFonts w:ascii="Times New Roman" w:hAnsi="Times New Roman"/>
          <w:i/>
          <w:sz w:val="20"/>
        </w:rPr>
        <w:t>Investments—Debt and Equity Securities</w:t>
      </w:r>
      <w:r>
        <w:rPr>
          <w:rFonts w:ascii="Times New Roman" w:hAnsi="Times New Roman"/>
          <w:sz w:val="20"/>
        </w:rPr>
        <w:t xml:space="preserve"> (“ASC 320-10”).  Our investment in Marketable Securities includes equity instruments that are classified as available for sale and are recorded at market using the specific identification method.  In accordance with ASC 320-10, available for sale securities are carried at their fair market value and any difference between cost and market value is recorded as unrealized gain or loss, net of income taxes, and is reported as accumulated other comprehensive income in the consolidated statement of stockh olders’ equity.  Premiums and discounts of debt instruments are recognized in interest income using the effective interest method.  Realized gains and losses and declines in value expected to be other-than-temporary on available for sale securities are included in other expense.  We evaluate our available for sale securities for other than temporary impairments at the end of each reporting period.  During 2009, we realized a loss of $2.1 million on certain marketable securities due to an other than temporary decline in market price.  This loss was later offset by a $1.1 million realized gain on exchange of marketable securities.  During 2008 and 2007, we realized losses of $607,000, and $779,000, respectively, on marketable securities due to other than temporary declines in market price.  Additionally, these investment have a cumulative unrealized gain (loss) of $521,000 included in other comprehensive income at December 31, 2009. 60; For the twelve months ended December 31, 2009, 2008, and 2007, our net unrealized gain (loss) was $524,000, ($21,000), and $116,000, respectively.  The cost of securities sold is based on the specific identification method.  Interest and dividends on securities classified as available for sale are included in interest income.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55" w:name="TAB11012"/>
      <w:bookmarkEnd w:id="2055"/>
      <w:r>
        <w:rPr>
          <w:rFonts w:ascii="Times New Roman" w:hAnsi="Times New Roman"/>
          <w:sz w:val="20"/>
        </w:rPr>
        <w:t>Included in the fourth quarter 2009 the realized gain on exchange of marketable securities of $1.1 million is an out-of-period adjustment in connection with the recording of this gain.  The adjustment increased investment in marketable securities, decreased other comprehensive income, and increased other income by approximately $1.1 million in the fourth quarter of 2009, which increased net income by the same amount in the fourth quarter of 2009.  Had the amount been reflected during the third quarter of 2009, in the period in which it arose, other income would have increased by $1.1 million and net income would have increased by the same amount during that period.  Based upon an evaluation of all relevant quantitative and qualitative factors, and after cons idering the provisions of ASC 250-10, Accounting Changes and Error Corrections, and SAB Nos. 99 and 108, we believe this correcting adjustment was not material to our full year results for 2009 or the trend of earnings.  In addition, we do not believe the correcting adjustment is material to the amounts reported in the previous quarter.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Variable Interest Entity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56" w:name="TAB11013"/>
      <w:bookmarkEnd w:id="2056"/>
      <w:r>
        <w:rPr>
          <w:rFonts w:ascii="Times New Roman" w:hAnsi="Times New Roman"/>
          <w:sz w:val="20"/>
        </w:rPr>
        <w:t>Our determination of the appropriate accounting method with respect to our investment in Reading International Trust I, which is considered a Variable Interest Entity (“VIE”), is based on FASB ASC 810-10.  We account for this VIE, of which we are not the primary beneficiary, under the equity method of accounting.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57" w:name="TAB11014"/>
      <w:bookmarkEnd w:id="2057"/>
      <w:r>
        <w:rPr>
          <w:rFonts w:ascii="Times New Roman" w:hAnsi="Times New Roman"/>
          <w:sz w:val="20"/>
        </w:rPr>
        <w:t>We determine if an entity is a VIE under FASB ASC 810-10 based on several factors, including whether the entity’s total equity investment at risk upon inception is sufficient to finance the entity’s activities without additional subordinated financial support.  We make judgments regarding the sufficiency of the equity at risk based first on a qualitative analysis, then a quantitative analysis, if necessary.  In a quantitative analysis, we incorporate various estimates, including estimated future cash flows, asset hold periods and discount rates, as well as estimates of the probabilities of various scenarios occurring.  If the entity is a VIE, we then determine whether we consolidate the entity as the primary beneficiary.  We determine w hether an entity is a VIE and, if so, whether it should be consolidated by utilizing judgments and estimates that are inherently subjective.  If we made different judgments or utilized different estimates in these evaluations, it could result in differing conclusions as to whether or not an entity is a VIE and whether or not to consolidate such entity.  Our investments in unconsolidated entities in which we have the ability to exercise significant influence over operating and financial policies, but do not control or entities which are variable interest entities in which we are not the primary beneficiary are accounted for under the equity method.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58" w:name="TAB11015"/>
      <w:bookmarkEnd w:id="2058"/>
      <w:r>
        <w:rPr>
          <w:rFonts w:ascii="Times New Roman" w:hAnsi="Times New Roman"/>
          <w:sz w:val="20"/>
        </w:rPr>
        <w:t>We carry our investment in the Reading International Trust I using the equity method of accounting because we have the ability to exercise significant influence (but not control) over operating and financial policies of each such entity.  We eliminate transactions with such equity method entities to the extent of our ownership in each such entity.  Accordingly, our share of net income (loss) of these equity method entities is included in consolidated net income (loss).  We have no implicit or explicit obligation to further fund our investment in Reading International Trust I.</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59" w:name="PGBRK62"/>
      <w:bookmarkStart w:id="2060" w:name="PGBRK62"/>
      <w:bookmarkEnd w:id="20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1" w:name="FTR62"/>
      <w:bookmarkStart w:id="2062" w:name="FTR62"/>
      <w:bookmarkEnd w:id="20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63" w:name="GLFTR62"/>
      <w:bookmarkEnd w:id="20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64" w:name="PN62"/>
      <w:bookmarkEnd w:id="2064"/>
      <w:r>
        <w:rPr>
          <w:rFonts w:ascii="Times New Roman" w:hAnsi="Times New Roman"/>
          <w:sz w:val="20"/>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5" w:name="HDR62"/>
      <w:bookmarkStart w:id="2066" w:name="HDR62"/>
      <w:bookmarkEnd w:id="20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67" w:name="GLHDR62"/>
        <w:bookmarkEnd w:id="206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Restricted Cash</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classify restricted cash as those cash accounts for which the use of funds is restricted by contract or bank covenant.  At December 31, 2009 and 2008, our restricted cash balance was $321,000 and $1.7 million, respectively, which was primarily funds held in escrow for the renovation of one of our cinemas.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Fair Value of Financial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carrying amounts of our cash and cash equivalents, accounts receivable, restricted cash, and accounts payable approximate fair value due to their short-term maturities.  See Note 16 – </w:t>
      </w:r>
      <w:r>
        <w:rPr>
          <w:rFonts w:ascii="Times New Roman" w:hAnsi="Times New Roman"/>
          <w:i/>
          <w:sz w:val="20"/>
        </w:rPr>
        <w:t>Fair Value of Financial Instruments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Derivative Financial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FASB ASC 815-20 – </w:t>
      </w:r>
      <w:r>
        <w:rPr>
          <w:rFonts w:ascii="Times New Roman" w:hAnsi="Times New Roman"/>
          <w:i/>
          <w:sz w:val="20"/>
        </w:rPr>
        <w:t>Derivatives and Hedging</w:t>
      </w:r>
      <w:r>
        <w:rPr>
          <w:rFonts w:ascii="Times New Roman" w:hAnsi="Times New Roman"/>
          <w:sz w:val="20"/>
        </w:rPr>
        <w:t xml:space="preserve"> (“ASC 815-20”), we carry all derivative financial instruments on our Consolidated Balance Sheets at fair value.  Derivatives are generally executed for interest rate management purposes but are not designated as hedges in accordance with ASC 815-20.  Therefore, changes in market values are recognized in current earnings.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Property Held for and Under Development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Property held for development is carried at cost.  Property under development consists of land, new buildings and improvements under development, and their associated capitalized interest and other development costs.  These building and improvement costs are directly associated with the development of potential cinemas (whether for sale or lease), the development of ETRC locations, or other improvements to real property.  As incurred, we expense start-up costs (such as pre-opening cinema advertising and training expense) and other costs not directly related to the acquisition and development of long-term assets.  We cease capitalization on a development property when the property is complete and ready for its intended use, or if activities necessary to get the property ready for its intended use have been substantially curtailed.  Subsequent to the year-ended December 31, 2008, we decided to curtail our current development progress on certain Australian and New Zealand land development projects.  As a result, these properties are now considered held for development and we will not capitalize interest for these projects until the development work recommences.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Incident to the development of our Burwood property, in late 2006, we began various fill and earth moving operations.  In late February 2007, it became apparent that our cost estimates with respect to site preparation were low, as the extent of the contaminated soil present at the site, a former brickworks site, was greater than we had originally believed.  As we were not the source of this contamination, we are not currently under any legal obligation to remove this contaminated soil from the site.  However, as a practical matter, we intend to address these issues in connection with our planned redevelopment of the site as a mixed-use retail, entertainment, commercial and residential complex.  As of December 31, 2009, we estimate that the total site preparation costs associated with the removal of this contaminated soil will be $8.6 million (AUS$9.6 million) and as of that date we had incurred a total of $6.6 million (AUS$7.4 million) of these costs.  In accordance with FASB ASC 410-30-25 – </w:t>
      </w:r>
      <w:r>
        <w:rPr>
          <w:rFonts w:ascii="Times New Roman" w:hAnsi="Times New Roman"/>
          <w:i/>
          <w:sz w:val="20"/>
        </w:rPr>
        <w:t>Environmental Obligations</w:t>
      </w:r>
      <w:r>
        <w:rPr>
          <w:rFonts w:ascii="Times New Roman" w:hAnsi="Times New Roman"/>
          <w:sz w:val="20"/>
        </w:rPr>
        <w:t>, contamination clean up costs that improve the property from its original acquisition state are capitalized as part of the property’s overall development costs.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Property and Equipment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Property and equipment consists of land, buildings and improvements, leasehold improvements, fixtures and equipment.  With the exception of land, property and equipment is carried at cost and depreciated over the useful lives of the related assets.  In accordance with US GAAP, land is not depreciated.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68" w:name="PGBRK63"/>
      <w:bookmarkStart w:id="2069" w:name="PGBRK63"/>
      <w:bookmarkEnd w:id="20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0" w:name="FTR63"/>
      <w:bookmarkStart w:id="2071" w:name="FTR63"/>
      <w:bookmarkEnd w:id="2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72" w:name="GLFTR63"/>
      <w:bookmarkEnd w:id="20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73" w:name="PN63"/>
      <w:bookmarkEnd w:id="2073"/>
      <w:r>
        <w:rPr>
          <w:rFonts w:ascii="Times New Roman" w:hAnsi="Times New Roman"/>
          <w:sz w:val="20"/>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4" w:name="HDR63"/>
      <w:bookmarkStart w:id="2075" w:name="HDR63"/>
      <w:bookmarkEnd w:id="20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76" w:name="GLHDR63"/>
        <w:bookmarkEnd w:id="207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Construction-in-Progress Costs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Construction-in-progress includes costs associated with already existing buildings, property, furniture, and fixtures for which we are in the process of improving the site or its associated business assets.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Accounting for the Impairment of Long Lived Assets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assess whether there has been impairment in the value of our long-lived assets whenever events or changes in circumstances indicate the carrying amount of an asset may not be recoverable.  Recoverability of assets to be held and used is then measured by a comparison of the carrying amount to the future net cash flows, undiscounted and without interest, expected to be generated by the asset.  If such assets are considered impaired, the impairment to be recognized is measured by the amount by which the carrying amount of the assets exceeds the fair value of the assets.  Assets to be disposed of are reported at the lower of the carrying amount or fair value, less costs to sell.  We recorded impairment losses of approximately $3.2 million and $4.3 million relating to certain of our property under development, property held for development, and cinema locations for the years ended December 31, 2009 and 2008, respectively.  The impairments reflect our estimates of fair value which were based on appraisals or a discounted income approach with market based assumptions.  Our impairment calculations contain uncertainties and use significant estimates and judgments, and are based on the information available at the balance sheet date.  Future economic and other events could negatively impact the evaluation and future material impairment charges may become necessary.  We evaluate impairment for our joint venture investments in accordance with FASB ASC 318-10 – </w:t>
      </w:r>
      <w:r>
        <w:rPr>
          <w:rFonts w:ascii="Times New Roman" w:hAnsi="Times New Roman"/>
          <w:i/>
          <w:sz w:val="20"/>
        </w:rPr>
        <w:t>Investments—Equity Method and Joint Ventures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Goodwill and Intangible Assets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use the purchase method of accounting for all business combinations.  Goodwill and intangible assets with indefinite useful lives are not amortized, but instead, tested for impairment at least annually.  Prior to conducting our goodwill impairment analysis, we assess long-lived assets for impairment in accordance with FASB ASC 360-15 - </w:t>
      </w:r>
      <w:r>
        <w:rPr>
          <w:rFonts w:ascii="Times New Roman" w:hAnsi="Times New Roman"/>
          <w:i/>
          <w:sz w:val="20"/>
        </w:rPr>
        <w:t>Impairment or Disposal of Long-Lived Assets</w:t>
      </w:r>
      <w:r>
        <w:rPr>
          <w:rFonts w:ascii="Times New Roman" w:hAnsi="Times New Roman"/>
          <w:sz w:val="20"/>
        </w:rPr>
        <w:t xml:space="preserve"> (“ASC 360-15”).  We then perform the impairment analysis at the reporting unit level (one level below the operating segment level) (see Note 10 – </w:t>
      </w:r>
      <w:r>
        <w:rPr>
          <w:rFonts w:ascii="Times New Roman" w:hAnsi="Times New Roman"/>
          <w:i/>
          <w:sz w:val="20"/>
        </w:rPr>
        <w:t>Goodwill and Intangibles</w:t>
      </w:r>
      <w:r>
        <w:rPr>
          <w:rFonts w:ascii="Times New Roman" w:hAnsi="Times New Roman"/>
          <w:sz w:val="20"/>
        </w:rPr>
        <w:t xml:space="preserve">) as defined by FASB ASC 350-35 – </w:t>
      </w:r>
      <w:r>
        <w:rPr>
          <w:rFonts w:ascii="Times New Roman" w:hAnsi="Times New Roman"/>
          <w:i/>
          <w:sz w:val="20"/>
        </w:rPr>
        <w:t>Goodwill Subsequent Measurement (“ASC 350-35”).  This analysis requires management to make a series of critical assumptions to: (1) evaluate whether any impairment exists; and (2) measure the amount of impairment.  We estimate the fair value of our reporting units as compared with their current book value.  If the estimated fair value of a reporting unit is less than the book value, then impairment is deemed to have occurred.  In estimating the fair value of our reporting units, we primarily use the income approach (which uses forecasted, discounted cash flows to estimate the fair value of the reporting unit).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Discontinued Operations and Properties Held for Sale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ASC 360-15, the revenue, expenses and net gain on dispositions of operating properties and the revenue and expenses on properties classified as held for sale are reported in the consolidated statements of operations as discontinued operations for all periods presented through the date of the respective disposition.  The net gain (loss) on disposition is included in the period the property is sold.  In determining whether the income and loss and net gain on dispositions of operating properties is reported as discontinued operations, we evaluate whether we have any significant continuing involvement in the operations, leasing or management of the sold property in accordance with FASB ASC 205-20 – </w:t>
      </w:r>
      <w:r>
        <w:rPr>
          <w:rFonts w:ascii="Times New Roman" w:hAnsi="Times New Roman"/>
          <w:i/>
          <w:sz w:val="20"/>
        </w:rPr>
        <w:t xml:space="preserve">Presentation of Financial Statements – Di scontinued Operations </w:t>
      </w:r>
      <w:r>
        <w:rPr>
          <w:rFonts w:ascii="Times New Roman" w:hAnsi="Times New Roman"/>
          <w:sz w:val="20"/>
        </w:rPr>
        <w:t>(“ASC 205-20”).  If we were to determine that there was any significant continuing involvement, the income and loss and net gain on dispositions of the operating property would not be recorded in discontinued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 property is classified as held for sale when certain criteria, as set forth under ASC 360-15, are met.  At such time,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We had one property in Australia previously classified as held for sale as of and for the year ended December 31, 2008.  However, that property was ultimately not sold, and as we have determined to continue to operate the property for the foreseeable future, it is no longer classified as held for sale (see Note 9 – </w:t>
      </w:r>
      <w:r>
        <w:rPr>
          <w:rFonts w:ascii="Times New Roman" w:hAnsi="Times New Roman"/>
          <w:i/>
          <w:sz w:val="20"/>
        </w:rPr>
        <w:t>Transfer of Held for Sale Real Estate to Continuing Operations and Related Items</w:t>
      </w:r>
      <w:r>
        <w:rPr>
          <w:rFonts w:ascii="Times New Roman" w:hAnsi="Times New Roman"/>
          <w:sz w:val="20"/>
        </w:rPr>
        <w:t>).  The reclassified results for this transfer of held for sale to operating are reflected in our December 31, 2009, 2008, and 2007 Statement of Operations.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7" w:name="PGBRK64"/>
      <w:bookmarkStart w:id="2078" w:name="PGBRK64"/>
      <w:bookmarkEnd w:id="20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9" w:name="FTR64"/>
      <w:bookmarkStart w:id="2080" w:name="FTR64"/>
      <w:bookmarkEnd w:id="20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81" w:name="GLFTR64"/>
      <w:bookmarkEnd w:id="20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082" w:name="PN64"/>
      <w:bookmarkEnd w:id="2082"/>
      <w:r>
        <w:rPr>
          <w:rFonts w:eastAsia="Times New Roman" w:cs="Times New Roman" w:ascii="Times New Roman" w:hAnsi="Times New Roman"/>
          <w:sz w:val="20"/>
          <w:szCs w:val="20"/>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083" w:name="HDR64"/>
      <w:bookmarkStart w:id="2084" w:name="HDR64"/>
      <w:bookmarkEnd w:id="20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85" w:name="GLHDR64"/>
        <w:bookmarkEnd w:id="208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Revenue Recognition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Revenue from cinema ticket sales and concession sales are recognized when sold.  Revenue from gift certificate sales is deferred and recognized when the certificates are redeemed.  Rental revenue is recognized on a straight-line basis in accordance with FASB ASC 840-20-25 – </w:t>
      </w:r>
      <w:r>
        <w:rPr>
          <w:rFonts w:ascii="Times New Roman" w:hAnsi="Times New Roman"/>
          <w:i/>
          <w:sz w:val="20"/>
        </w:rPr>
        <w:t xml:space="preserve">Leases Having Both Scheduled Rent Increases and Contingent Rents </w:t>
      </w:r>
      <w:r>
        <w:rPr>
          <w:rFonts w:ascii="Times New Roman" w:hAnsi="Times New Roman"/>
          <w:sz w:val="20"/>
        </w:rPr>
        <w:t>(“ASC 840-20-25”).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Deferred Leasing/Financing Costs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Direct costs incurred in connection with obtaining tenants and/or financing are amortized over the respective term of the lease or loan on a straight-line basis.  Direct costs incurred in connection with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General and Administrative Expense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86" w:name="TAB11016"/>
      <w:bookmarkEnd w:id="2086"/>
      <w:r>
        <w:rPr>
          <w:rFonts w:ascii="Times New Roman" w:hAnsi="Times New Roman"/>
          <w:sz w:val="20"/>
        </w:rPr>
        <w:t>For the years ended December 31, 2009, 2008, and 2007, we booked gains on the settlement of litigation of $3.3 million, $2.5 million, and $523,000, respectively, included in other income, as a recovery of legal expenses previously included in general and administrative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Depreciation and Amortization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Depreciation and amortization are provided using the straight-line method over the estimated useful lives of the assets.  The estimated useful lives are generally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843"/>
        <w:gridCol w:w="6362"/>
      </w:tblGrid>
      <w:tr>
        <w:trPr/>
        <w:tc>
          <w:tcPr>
            <w:tcW w:w="3843"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Building and improvements</w:t>
            </w:r>
          </w:p>
        </w:tc>
        <w:tc>
          <w:tcPr>
            <w:tcW w:w="636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15-40 years</w:t>
            </w:r>
          </w:p>
        </w:tc>
      </w:tr>
      <w:tr>
        <w:trPr/>
        <w:tc>
          <w:tcPr>
            <w:tcW w:w="384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Leasehold improvement</w:t>
            </w:r>
          </w:p>
        </w:tc>
        <w:tc>
          <w:tcPr>
            <w:tcW w:w="636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Shorter of the life of the lease or useful life of the improvement</w:t>
            </w:r>
          </w:p>
        </w:tc>
      </w:tr>
      <w:tr>
        <w:trPr/>
        <w:tc>
          <w:tcPr>
            <w:tcW w:w="3843"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Theater equipment</w:t>
            </w:r>
          </w:p>
        </w:tc>
        <w:tc>
          <w:tcPr>
            <w:tcW w:w="636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7 years</w:t>
            </w:r>
          </w:p>
        </w:tc>
      </w:tr>
      <w:tr>
        <w:trPr/>
        <w:tc>
          <w:tcPr>
            <w:tcW w:w="384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Furniture and fixtures</w:t>
            </w:r>
          </w:p>
        </w:tc>
        <w:tc>
          <w:tcPr>
            <w:tcW w:w="636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5 – 10 years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Translation of Non-U.S. Currency Amounts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87" w:name="TAB11017"/>
      <w:bookmarkEnd w:id="2087"/>
      <w:r>
        <w:rPr>
          <w:rFonts w:ascii="Times New Roman" w:hAnsi="Times New Roman"/>
          <w:sz w:val="20"/>
        </w:rPr>
        <w:t>The carrying value of our Australian and New Zealand assets fluctuates due to changes in the exchange rate between the U.S. dollar and the Australian and New Zealand dollars.  The exchange rates of the U.S. dollar to the Australian dollar were $0.8979 and $0.6983 as of December 31, 2009 and 2008, respectively.  The exchange rates of the U.S. dollar to the New Zealand dollar were $0.7255 and $0.5815 as of December 31, 2009 and 2008,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Income Taxes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88" w:name="TAB11018"/>
      <w:bookmarkEnd w:id="2088"/>
      <w:r>
        <w:rPr>
          <w:rFonts w:ascii="Times New Roman" w:hAnsi="Times New Roman"/>
          <w:sz w:val="20"/>
        </w:rPr>
        <w:t xml:space="preserve">We account for income taxes under FASB ASC 740-10 – </w:t>
      </w:r>
      <w:r>
        <w:rPr>
          <w:rFonts w:ascii="Times New Roman" w:hAnsi="Times New Roman"/>
          <w:i/>
          <w:sz w:val="20"/>
        </w:rPr>
        <w:t xml:space="preserve">Income Taxes </w:t>
      </w:r>
      <w:r>
        <w:rPr>
          <w:rFonts w:ascii="Times New Roman" w:hAnsi="Times New Roman"/>
          <w:sz w:val="20"/>
        </w:rPr>
        <w:t>(“ASC 740-10”), which prescribes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Valuation allowances are established, when necessary, to reduce deferred tax assets to the amount expected to be realized.  Income tax expense (benefit) is the tax payable (refundable) for the period and the change during the period in deferred tax assets and liabilities.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9" w:name="PGBRK65"/>
      <w:bookmarkStart w:id="2090" w:name="PGBRK65"/>
      <w:bookmarkEnd w:id="20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1" w:name="FTR65"/>
      <w:bookmarkStart w:id="2092" w:name="FTR65"/>
      <w:bookmarkEnd w:id="20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93" w:name="GLFTR65"/>
      <w:bookmarkEnd w:id="20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094" w:name="PN65"/>
      <w:bookmarkEnd w:id="2094"/>
      <w:r>
        <w:rPr>
          <w:rFonts w:eastAsia="Times New Roman" w:cs="Times New Roman" w:ascii="Times New Roman" w:hAnsi="Times New Roman"/>
          <w:sz w:val="20"/>
          <w:szCs w:val="20"/>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095" w:name="HDR65"/>
      <w:bookmarkStart w:id="2096" w:name="HDR65"/>
      <w:bookmarkEnd w:id="20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97" w:name="GLHDR65"/>
        <w:bookmarkEnd w:id="209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Earnings per Share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Basic earnings per share is calculated using the weighted average number of shares of Class A and Class B Stock outstanding during the years ended December 31, 2009, 2008, and 2007, respectively.  Diluted earnings per share is calculated by dividing net earnings available to common stockholders by the weighted average common shares outstanding plus the dilutive effect of stock options and unvested restricted stock.  We had unissued restricted stock of 143,462 shares as of the year ended December 31, 2009 and stock options to purchase 589,750, 577,850, and 577,850, shares of Class A Common Stock were outstanding at December 31, 2009, 2008, and 2007, respectively, at a weighted average exercise price of $5.51, $5.60, and $5.60 per share, respectively.  Stock options to purchase 150,000, 185,100, and 185,100 shares of Class B Common Stock were outstanding at the years ended December 31, 2009, 2008, and 2007, respectively, at a weighted average exercise price of $10.24, $9.90, and $9.90 per share, respectively.  In accordance with FASB ASC 260-10 – </w:t>
      </w:r>
      <w:r>
        <w:rPr>
          <w:rFonts w:ascii="Times New Roman" w:hAnsi="Times New Roman"/>
          <w:i/>
          <w:sz w:val="20"/>
        </w:rPr>
        <w:t>Earnings Per Share</w:t>
      </w:r>
      <w:r>
        <w:rPr>
          <w:rFonts w:ascii="Times New Roman" w:hAnsi="Times New Roman"/>
          <w:sz w:val="20"/>
        </w:rPr>
        <w:t xml:space="preserve"> (“ASC 260-10”), as we had recorded a loss from continuing operations before discontinued operations for the years ended December 31, 2008 and 2007, the effect of the stock options and restricted stock was anti-dilutive and accordingly excluded from the diluted earnings per share computation.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Real Estate Purchase Price Allocation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allocate the purchase price to tangible assets of an acquired property (which includes land, building and 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tenant improvements are based on present values determined based upon the application of hypothetical leases with market rates and terms.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as a reduction of rental income over the remaining non-cancelable terms of the respective leases.  We amortize any capitalized below-market lease values as an increase to rental income over the initial term and any fixed-rate renewal periods in the respective leases.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measure the aggregate value of other intangible assets acquired based on the difference between (i) the property valued with existing in-place leases adjusted to market rental rates and (ii) the property valued as if vacant.  Management’s estimates of value are made using methods similar to those used by independent appraisers (e.g., discounted cash flow analysis).  Factors considered by management in its analysis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tangible and intangible assets acquired.  0;In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total amount of other intangible assets acquired is further allocated to in-place lease values and customer relationship intangible values based on management’s evaluation of the specific characteristics of each tenant’s lease and our overall relationship with that respective tenant.  Characteristics considered by management in allocating these values include the nature and extent of our existing business relationships with the tenant, growth prospects for developing new business with the tenant, the tenant’s credit quality and expectations of lease renewals (including those existing under the terms of the lease agreement), among other factors.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amortize the value of in-place leases to expense over the initial term of the respective leases.  The value of customer relationship intangibles is amortized to expense over the initial term and any renewal periods in the respective leases, but in no event may the amortization period for intangible assets exceed the remaining depreciable life of the building.  Should a tenant terminate its lease, the unamortized portion of the in-place lease value and customer relationship intangibles would be charged to expense.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98" w:name="PGBRK66"/>
      <w:bookmarkStart w:id="2099" w:name="PGBRK66"/>
      <w:bookmarkEnd w:id="20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0" w:name="FTR66"/>
      <w:bookmarkStart w:id="2101" w:name="FTR66"/>
      <w:bookmarkEnd w:id="2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02" w:name="GLFTR66"/>
      <w:bookmarkEnd w:id="2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103" w:name="PN66"/>
      <w:bookmarkEnd w:id="2103"/>
      <w:r>
        <w:rPr>
          <w:rFonts w:eastAsia="Times New Roman" w:cs="Times New Roman" w:ascii="Times New Roman" w:hAnsi="Times New Roman"/>
          <w:sz w:val="20"/>
          <w:szCs w:val="20"/>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104" w:name="HDR66"/>
      <w:bookmarkStart w:id="2105" w:name="HDR66"/>
      <w:bookmarkEnd w:id="2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06" w:name="GLHDR66"/>
        <w:bookmarkEnd w:id="210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firstLine="720"/>
        <w:jc w:val="both"/>
        <w:rPr>
          <w:rFonts w:ascii="Times New Roman" w:hAnsi="Times New Roman"/>
          <w:sz w:val="20"/>
        </w:rPr>
      </w:pPr>
      <w:r>
        <w:rPr>
          <w:rFonts w:ascii="Times New Roman" w:hAnsi="Times New Roman"/>
          <w:sz w:val="20"/>
        </w:rPr>
        <w:t>These assessments have a direct impact on net income and revenue.  If we assign more fair value to the in-place leases versus buildings and tenant improvements, assigned costs would generally be depreciated over a shorter period, resulting in more depreciation expense and a lower net income on an annual basis.  Likewise, if we estimate that more of our leases in-place at acquisition are on terms believed to be above the current market rates for similar properties, the calculated present value of the amount above market would be amortized monthly as a direct reduction to rental revenue and ultimately reduce the amount of net income.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Business Acquisition Valuations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assets and liabilities of businesses acquired are recorded at their respective preliminary fair values as of the acquisition date in accordance with FASB ASC 805-10 – </w:t>
      </w:r>
      <w:r>
        <w:rPr>
          <w:rFonts w:ascii="Times New Roman" w:hAnsi="Times New Roman"/>
          <w:i/>
          <w:sz w:val="20"/>
        </w:rPr>
        <w:t>Business Combinations</w:t>
      </w:r>
      <w:r>
        <w:rPr>
          <w:rFonts w:ascii="Times New Roman" w:hAnsi="Times New Roman"/>
          <w:sz w:val="20"/>
        </w:rPr>
        <w:t xml:space="preserve"> (“ASC 805-10”).  Upon the acquisition of real properties, we allocate the purchase price of such properties to acquired tangible assets, consisting of land and building, and identified intangible assets and liabilities, consisting of the value of above market and below market leases and the value of in-place leases, based in each case on their fair values.  We use independent appraisals to assist in the determination of the fair values of the tangible assets of an acquired property (which includes land and building).  We also perform valuatio ns and physical counts of property, plant and equipment, valuations of investments and the involuntary termination of employees, as necessary.  Costs in excess of the net fair values of assets and liabilities acquired are recorded as goodwill.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record and amortize above-market and below-market operating leases assumed in the acquisition of a business in the same way as those under real estate acquisitions.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fair values of any other intangible assets acquired are based on the expected discounted cash flows of the identified intangible assets.  Finite-lived intangible assets are amortized using the straight-line method of amortization over the expected period in which those assets are expected to contribute to our future cash flows.  We do not amortize indefinite lived intangibles and goodwill.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Fair Value of Financial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January 1, 2008, we adopted FASB ASC 820-10 – </w:t>
      </w:r>
      <w:r>
        <w:rPr>
          <w:rFonts w:ascii="Times New Roman" w:hAnsi="Times New Roman"/>
          <w:i/>
          <w:sz w:val="20"/>
        </w:rPr>
        <w:t xml:space="preserve">Fair Value Measurements and Disclosures </w:t>
      </w:r>
      <w:r>
        <w:rPr>
          <w:rFonts w:ascii="Times New Roman" w:hAnsi="Times New Roman"/>
          <w:sz w:val="20"/>
        </w:rPr>
        <w:t>(“ASC 820-10”).  ASC 820-10 defines fair value, establishes a framework for measuring fair value in GAAP and provides for expanded disclosure about fair value measurements.  ASC 820-10 applies prospectively to all other accounting pronouncements that require or permit fair value measurements.  The adoption of ASC 820-10 did not have a material impact on our consolidated financial statements since we generally do not record our financial assets and liabilities in our consolidated financial statements at fair value.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January 1, 2008, we also adopted, on a prospective basis, FASB ASC 825-10 – </w:t>
      </w:r>
      <w:r>
        <w:rPr>
          <w:rFonts w:ascii="Times New Roman" w:hAnsi="Times New Roman"/>
          <w:i/>
          <w:sz w:val="20"/>
        </w:rPr>
        <w:t xml:space="preserve">Financial Instruments </w:t>
      </w:r>
      <w:r>
        <w:rPr>
          <w:rFonts w:ascii="Times New Roman" w:hAnsi="Times New Roman"/>
          <w:sz w:val="20"/>
        </w:rPr>
        <w:t>(“ASC 825-10”).  ASC 825-10 permits entities to choose to measure many financial instruments and certain other items at fair value.  The adoption of ASC 825-10 did not have a material impact on our consolidated financial statements since we elected not to apply the fair value option for any of our eligible financial instruments or other items.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fair value of our financial assets and liabilities are disclosed in Note 16 – </w:t>
      </w:r>
      <w:r>
        <w:rPr>
          <w:rFonts w:ascii="Times New Roman" w:hAnsi="Times New Roman"/>
          <w:i/>
          <w:sz w:val="20"/>
        </w:rPr>
        <w:t>Fair Value of Financial Instruments</w:t>
      </w:r>
      <w:r>
        <w:rPr>
          <w:rFonts w:ascii="Times New Roman" w:hAnsi="Times New Roman"/>
          <w:sz w:val="20"/>
        </w:rPr>
        <w:t xml:space="preserve"> to our consolidated financial statements.  We generally determine or calculate the fair value of financial instruments using quoted market prices in active markets when such information is available or using appropriate present value or other valuation techniques, such as discounted cash flow analyses, incorporating available market discount rate information for similar types of instruments while estimating for non-performance and liquidity risk.  These techniques are significantly affected by the assumptions used, including the discount rate, credit spreads, and estimates of future cash flow.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financial assets and liabilities recorded at fair value in our consolidated financial statements are marketable securities and interest rate swaps.  The carrying amounts of our cash and cash equivalents, restricted cash and accounts payable approximate fair value due to their short-term maturities.  The remaining financial assets and liabilities that are only disclosed at fair value are comprised of notes payable, TPS, and other debt instruments.  We estimated the fair value of our secured mortgage notes payable, our unsecured notes payable, TPS and other debt instruments by performing discounted cash flow analyses using an appropriate market discount rate.  We calculated the market discount rate by obtaining period-end treasury rates for fixed-rate debt, or LIBOR rates for variable-rate deb t, for maturities that correspond to the maturities of our debt adding an appropriate credit spreads derived from information obtained from third-party financial institutions.  These credit spreads take into account factors such as our credit standing, the maturity of the debt, whether the debt is secured or unsecured, and the loan-to-value ratios of the debt.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07" w:name="PGBRK67"/>
      <w:bookmarkStart w:id="2108" w:name="PGBRK67"/>
      <w:bookmarkEnd w:id="2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9" w:name="FTR67"/>
      <w:bookmarkStart w:id="2110" w:name="FTR67"/>
      <w:bookmarkEnd w:id="2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11" w:name="GLFTR67"/>
      <w:bookmarkEnd w:id="2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112" w:name="PN67"/>
      <w:bookmarkEnd w:id="2112"/>
      <w:r>
        <w:rPr>
          <w:rFonts w:eastAsia="Times New Roman" w:cs="Times New Roman" w:ascii="Times New Roman" w:hAnsi="Times New Roman"/>
          <w:sz w:val="20"/>
          <w:szCs w:val="20"/>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113" w:name="HDR67"/>
      <w:bookmarkStart w:id="2114" w:name="HDR67"/>
      <w:bookmarkEnd w:id="2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15" w:name="GLHDR67"/>
        <w:bookmarkEnd w:id="211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adopted ASC 820-10 for our non-financial assets and non-financial liabilities on January 1, 2009.  The adoption of ASC 820-10 did not have a material impact to our consolidated financial statements.  Assets and liabilities typically recorded at fair value on a non-recurring basis to which ASC 820-10 applies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116" w:name="list220"/>
      <w:bookmarkStart w:id="2117" w:name="list220"/>
      <w:bookmarkEnd w:id="2117"/>
    </w:p>
    <w:tbl>
      <w:tblPr>
        <w:tblW w:w="5000" w:type="pct"/>
        <w:jc w:val="left"/>
        <w:tblInd w:w="0" w:type="dxa"/>
        <w:tblCellMar>
          <w:top w:w="0" w:type="dxa"/>
          <w:left w:w="0" w:type="dxa"/>
          <w:bottom w:w="0" w:type="dxa"/>
          <w:right w:w="0" w:type="dxa"/>
        </w:tblCellMar>
      </w:tblPr>
      <w:tblGrid>
        <w:gridCol w:w="451"/>
        <w:gridCol w:w="9754"/>
      </w:tblGrid>
      <w:tr>
        <w:trPr/>
        <w:tc>
          <w:tcPr>
            <w:tcW w:w="45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Non-financial assets and liabilities initially measured at fair value in an acquisition or business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18" w:name="list221"/>
      <w:bookmarkStart w:id="2119" w:name="list221"/>
      <w:bookmarkEnd w:id="2119"/>
    </w:p>
    <w:tbl>
      <w:tblPr>
        <w:tblW w:w="5000" w:type="pct"/>
        <w:jc w:val="left"/>
        <w:tblInd w:w="0" w:type="dxa"/>
        <w:tblCellMar>
          <w:top w:w="0" w:type="dxa"/>
          <w:left w:w="0" w:type="dxa"/>
          <w:bottom w:w="0" w:type="dxa"/>
          <w:right w:w="0" w:type="dxa"/>
        </w:tblCellMar>
      </w:tblPr>
      <w:tblGrid>
        <w:gridCol w:w="500"/>
        <w:gridCol w:w="9705"/>
      </w:tblGrid>
      <w:tr>
        <w:trPr/>
        <w:tc>
          <w:tcPr>
            <w:tcW w:w="50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Long-lived assets measured at fair value due to an impairment assessment under ASC 360-15;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20" w:name="list222"/>
      <w:bookmarkStart w:id="2121" w:name="list222"/>
      <w:bookmarkEnd w:id="212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Asset retirement obligations initially measured under FASB ASC 410-20 – </w:t>
            </w:r>
            <w:r>
              <w:rPr>
                <w:rFonts w:ascii="Times New Roman" w:hAnsi="Times New Roman"/>
                <w:i/>
                <w:sz w:val="20"/>
              </w:rPr>
              <w:t xml:space="preserve">Asset Retirement Obligations </w:t>
            </w:r>
            <w:r>
              <w:rPr>
                <w:rFonts w:ascii="Times New Roman" w:hAnsi="Times New Roman"/>
                <w:sz w:val="20"/>
              </w:rPr>
              <w:t>(“ASC 410-20”).</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Accounting Pronouncements Adopted During 2009</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SFAS 168 – FASB Accounting Standards Codification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June 2009, the Financial Accounting Standards Board (FASB) issued its final Statement of Financial Accounting Standards (SFAS) No. 168 – The FASB Accounting Standards Codification and the Hierarchy of Generally Accepted Accounting Principles, a replacement of FASB Statement No. 162.  SFAS No. 168 made the FASB Accounting Standards Codification (the “Codification”) the single source of U.S. GAAP used by nongovernmental entities in the preparation of financial statements, except for rules and interpretive releases of the SEC under authority of federal securities laws, which are sources of authoritative accounting guidance for SEC registrants.  The Codification is meant to simplify user access to all authoritative accounting guidance by reorganizing U.S. GAAP pronouncements.  Therefore, we have changed our former references to U.S. GAAP to be in conformity with the Codification standards.</w:t>
      </w:r>
    </w:p>
    <w:p>
      <w:pPr>
        <w:pStyle w:val="TextBody"/>
        <w:spacing w:before="0" w:after="0"/>
        <w:ind w:left="0" w:right="0" w:hanging="0"/>
        <w:jc w:val="both"/>
        <w:rPr/>
      </w:pPr>
      <w:r>
        <w:rPr/>
        <w:t> </w:t>
      </w:r>
      <w:r>
        <w:rPr>
          <w:rFonts w:ascii="Times New Roman" w:hAnsi="Times New Roman"/>
          <w:sz w:val="20"/>
        </w:rPr>
        <w:b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810-10 – Noncontrolling Interests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January 1, 2009, the Company adopted the provisions of FASB Accounting Standards Codification (“ASC”) 810-10 (“ASC 810-10”), which requires that amounts formerly reported as minority interests in the Company’s unaudited condensed consolidated financial statements be reported as noncontrolling interests.  These revisions clarify that noncontrolling interests with redemption provisions outside of the control of the issuer and noncontrolling interests with redemption provisions that permit the issuer to settle in either cash or common shares at the option of the issuer are subject to evaluation under ASC 810-10 to determine the appropriate balance sheet classification and measurement of such instruments.  This adoption resulted in modifications to the reporting of noncontrolling interests in the Consolidated Financial Statements for all periods presented.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adoption of ASC 810-10 had an impact on the presentation and disclosure of noncontrolling (minority) interests in our consolidated financial statements.  Because of the retrospective presentation and disclosure requirements of ASC 810-10, the Company reflected the change in presentation and disclosure for all periods presented in these consolidated financial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effect of the reclassification of the noncontrolling interest on our prior year’s income statement related to the adoption of ASC 810-10 is a decrease in the net income and an increase in loss before equity earnings of unconsolidated joint ventures and entities of $620,000 and $1.0 million for the years ended December 31, 2008 and 2007,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Noncontrolling interest represents ownership interests not held by Reading International, Inc. in its underlying consolidated subsidiaries.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855-10 – Subsequent Events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for the second quarter of 2009, the Company adopted the provisions of FASB ASC 855-10 – </w:t>
      </w:r>
      <w:r>
        <w:rPr>
          <w:rFonts w:ascii="Times New Roman" w:hAnsi="Times New Roman"/>
          <w:i/>
          <w:sz w:val="20"/>
        </w:rPr>
        <w:t>Subsequent Events</w:t>
      </w:r>
      <w:r>
        <w:rPr>
          <w:rFonts w:ascii="Times New Roman" w:hAnsi="Times New Roman"/>
          <w:sz w:val="20"/>
        </w:rPr>
        <w:t xml:space="preserve"> (“ASC 855-10”), as amended by Accounting Standard Update 2010-09.  ASC 855-10 establishes principles and requirements for evaluating and reporting subsequent events and distinguishes which subsequent events should be recognized in the financial statements versus which subsequent events should be disclosed in the financial statements.  The adoption of ASC 855-10 did not have a material impact on our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2" w:name="PGBRK68"/>
      <w:bookmarkStart w:id="2123" w:name="PGBRK68"/>
      <w:bookmarkEnd w:id="2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4" w:name="FTR68"/>
      <w:bookmarkStart w:id="2125" w:name="FTR68"/>
      <w:bookmarkEnd w:id="2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26" w:name="GLFTR68"/>
      <w:bookmarkEnd w:id="2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127" w:name="PN68"/>
      <w:bookmarkEnd w:id="2127"/>
      <w:r>
        <w:rPr>
          <w:rFonts w:eastAsia="Times New Roman" w:cs="Times New Roman" w:ascii="Times New Roman" w:hAnsi="Times New Roman"/>
          <w:sz w:val="20"/>
          <w:szCs w:val="20"/>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128" w:name="HDR68"/>
      <w:bookmarkStart w:id="2129" w:name="HDR68"/>
      <w:bookmarkEnd w:id="2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30" w:name="GLHDR68"/>
        <w:bookmarkEnd w:id="21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805-10-65 - Accounting for Assets Acquired and Liabilities Assumed in a Business Combination That Arise from Contingencies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2009, the FASB issued FASB ASC 805-10-65 relating to accounting for assets acquired and liabilities assumed in a business combination that arise from contingencies (“ASC 805-10-65”).  ASC 805-10-65 addresses application issues on the accounting for contingencies in a business combination.  ASC 805-10-65 is effective for assets or liabilities arising from contingencies in business combinations acquired on or after January 1, 2009.  The adoption of ASC 805-10-65 did not have any impact on the Company’s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320-10-65 – Recognition and Presentation of Other-Than-Temporary Impairments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2009, the FASB issued FASB ASC 320-10-65 relating to the recognition and presentation of other-than-temporary impairments (“ASC 320-10-65”).  ASC 320-10-65 changes the method for determining whether an other-than-temporary impairment exists for debt securities and the amount of the impairment to be recorded in earnings, as well as expands and increases the frequency of existing disclosures about other-than-temporary impairments for debt and equity securities.  ASC 320-10-65 is effective for fiscal years, and interim periods within those fiscal years, ending after June 15, 2009.  The adoption of FASB ASC 320-10-65 did not have any impact on the Company’s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New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FASB ASC 810-10-15 – Variable Interest Entities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June 2009, an update was made to FASB ASC 810-10-15 related to variable interest entities.  This update changes the calculation for determining entities that have a controlling financial interest in a variable interest entity (“VIE”) from a quantitative based risks and rewards calculation to a qualitative approach.  The qualitative approach identifies which entities have the power to direct the activities that most significantly affect the VIE’s economic performance, have the obligation to absorb losses of the VIE, or have the right to receive benefits from the VIE.  The update also requires ongoing assessments as to whether an entity is the primary beneficiary of a VIE (previously, reconsideration was only required upon the occurrence of specific events), modifies the presentation of consolidated VIE assets and liabilities, and requires additional disclosures about a company’s involvement in VIEs.  This update will be effective for our company beginning January 1, 2010.  We determined that the effect of this adoption will be immaterial to our consolidated financial position and results of operations on the January 1, 2010 effective date.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Use of Estimates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 and expenses during the reported period.  Actual results could differ from those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3 – Stock Based Compensation and Employee Stock Option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Stock Based Compensation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part of his compensation package, Mr. James J. Cotter, our Chairman of the Board and Chief Executive Officer, was granted $500,000, $500,000, and $350,000, of restricted class A non-voting common stock (“Class A Stock”) for each of the years ending December 31, 2009, 2008 and 2007.  The 2009 and 2008 stock grants of 125,945 and 66,050 shares, respectively, were granted fully vested with a stock grant prices of $3.97 and $7.57, respectively.  The 2007 stock grants had a vesting period of two years, stock grant price of $9.99, and no unrealized gain in market value at December 31, 2009.  During the year ended December 31, 2009, one-half of his 2007 stock grant vested, representing 17,518 of Class A Stock with a stock grant price of $9.99 and fair market value of $71,000.  As of Dece mber 31, 2009, these shares along with his 2009 stock grant had not yet been issued to Mr. Cotter.  During 2009, we issued to Mr. Cotter 66,050, and 17,518 shares of Class A Stock, for his 2008 and 2007, respectively, vested stock grants which had a stock grant price of $7.57 and $9.99 per share and fair values of $268,000 and $71,000,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August 21, 2008, as part of their executive compensation, 37,388 shares of fully vested restricted Class A Stock were granted to three of our executives as stock bonuses having a grant date fair value of $340,000.  During 2009, these shares were issued to these executives.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31" w:name="PGBRK69"/>
      <w:bookmarkStart w:id="2132" w:name="PGBRK69"/>
      <w:bookmarkEnd w:id="2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3" w:name="FTR69"/>
      <w:bookmarkStart w:id="2134" w:name="FTR69"/>
      <w:bookmarkEnd w:id="2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35" w:name="GLFTR69"/>
      <w:bookmarkEnd w:id="2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136" w:name="PN69"/>
      <w:bookmarkEnd w:id="2136"/>
      <w:r>
        <w:rPr>
          <w:rFonts w:eastAsia="Times New Roman" w:cs="Times New Roman" w:ascii="Times New Roman" w:hAnsi="Times New Roman"/>
          <w:sz w:val="20"/>
          <w:szCs w:val="20"/>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137" w:name="HDR69"/>
      <w:bookmarkStart w:id="2138" w:name="HDR69"/>
      <w:bookmarkEnd w:id="2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39" w:name="GLHDR69"/>
        <w:bookmarkEnd w:id="21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As part of his compensation package, Mr. John Hunter, our Chief Operating Officer, was granted $100,000 of restricted Class A Stock on February 12, 2008 and 2007 in the amounts of 10,309 and 11,587 shares, respectively.  These stock grants have vesting periods of two years and stock grant prices of $9.70 and $8.63, respectively.  On February 11, 2009, $100,000 of restricted Class A Stock vested related to Mr. Hunter’s 2008 and 2007 grant.  During 2009, we issued to Mr. Hunter 16,742 shares related to his 2008 and 2007 vested stock compensation.  In July 2008, Mr. Jay Laifman started with the Company as our Corporate General Counsel.  As part of his compensation package, Mr. Laifman was granted $100,000 of Class A Stock or 10,638 shares with stock grant price of $9.40 upon accepta nce of his employment agreement.  This stock grant had an employment-vesting period of two years.  Upon his departure from our company during 2009, Mr. Laifman forfeited the unvested portion of this grant in the amount of 5,319 shares.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years ended December 31, 2009, 2008 and 2007, we recorded compensation expense of $725,000 $896,000, and $238,000, respectively, for the vesting of all our restricted stock grants.  The following table details the grants and vesting of restricted stock to our employees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163"/>
        <w:gridCol w:w="114"/>
        <w:gridCol w:w="119"/>
        <w:gridCol w:w="1192"/>
        <w:gridCol w:w="123"/>
        <w:gridCol w:w="114"/>
        <w:gridCol w:w="155"/>
        <w:gridCol w:w="1090"/>
        <w:gridCol w:w="135"/>
      </w:tblGrid>
      <w:tr>
        <w:trPr/>
        <w:tc>
          <w:tcPr>
            <w:tcW w:w="7163" w:type="dxa"/>
            <w:tcBorders>
              <w:bottom w:val="double" w:sz="8" w:space="0" w:color="000000"/>
            </w:tcBorders>
            <w:shd w:fill="auto" w:val="clear"/>
            <w:vAlign w:val="bottom"/>
          </w:tcPr>
          <w:p>
            <w:pPr>
              <w:pStyle w:val="TableContents"/>
              <w:spacing w:before="0" w:after="283"/>
              <w:rPr/>
            </w:pPr>
            <w:r>
              <w:rPr/>
              <w:t xml:space="preserve">  </w:t>
            </w:r>
          </w:p>
        </w:tc>
        <w:tc>
          <w:tcPr>
            <w:tcW w:w="114" w:type="dxa"/>
            <w:tcBorders/>
            <w:shd w:fill="auto" w:val="clear"/>
            <w:tcMar>
              <w:bottom w:w="0" w:type="dxa"/>
            </w:tcMar>
            <w:vAlign w:val="bottom"/>
          </w:tcPr>
          <w:p>
            <w:pPr>
              <w:pStyle w:val="TableContents"/>
              <w:spacing w:before="0" w:after="283"/>
              <w:rPr/>
            </w:pPr>
            <w:r>
              <w:rPr/>
              <w:t> </w:t>
            </w:r>
          </w:p>
        </w:tc>
        <w:tc>
          <w:tcPr>
            <w:tcW w:w="131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Non-Vested Restricted Stock</w:t>
            </w:r>
          </w:p>
        </w:tc>
        <w:tc>
          <w:tcPr>
            <w:tcW w:w="123"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124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 Average Fair Value at Grant Date</w:t>
            </w:r>
          </w:p>
        </w:tc>
        <w:tc>
          <w:tcPr>
            <w:tcW w:w="135" w:type="dxa"/>
            <w:tcBorders/>
            <w:shd w:fill="auto" w:val="clear"/>
            <w:tcMar>
              <w:bottom w:w="0" w:type="dxa"/>
            </w:tcMar>
            <w:vAlign w:val="bottom"/>
          </w:tcPr>
          <w:p>
            <w:pPr>
              <w:pStyle w:val="TableContents"/>
              <w:spacing w:before="0" w:after="283"/>
              <w:jc w:val="left"/>
              <w:rPr/>
            </w:pPr>
            <w:r>
              <w:rPr/>
              <w:t> </w:t>
            </w:r>
          </w:p>
        </w:tc>
      </w:tr>
      <w:tr>
        <w:trPr/>
        <w:tc>
          <w:tcPr>
            <w:tcW w:w="7163"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Outstanding – January 1, 2007</w:t>
            </w:r>
          </w:p>
        </w:tc>
        <w:tc>
          <w:tcPr>
            <w:tcW w:w="114" w:type="dxa"/>
            <w:tcBorders/>
            <w:shd w:fill="CCEEFF" w:val="clear"/>
            <w:tcMar>
              <w:bottom w:w="0" w:type="dxa"/>
            </w:tcMar>
            <w:vAlign w:val="bottom"/>
          </w:tcPr>
          <w:p>
            <w:pPr>
              <w:pStyle w:val="TableContents"/>
              <w:spacing w:before="0" w:after="283"/>
              <w:jc w:val="lef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192" w:type="dxa"/>
            <w:tcBorders/>
            <w:shd w:fill="CCEEFF" w:val="clear"/>
            <w:tcMar>
              <w:bottom w:w="0" w:type="dxa"/>
            </w:tcMar>
            <w:vAlign w:val="bottom"/>
          </w:tcPr>
          <w:p>
            <w:pPr>
              <w:pStyle w:val="TableContents"/>
              <w:spacing w:before="0" w:after="283"/>
              <w:ind w:left="1094" w:right="0" w:hanging="0"/>
              <w:jc w:val="right"/>
              <w:rPr>
                <w:rFonts w:ascii="times new roman" w:hAnsi="times new roman"/>
                <w:sz w:val="20"/>
              </w:rPr>
            </w:pPr>
            <w:bookmarkStart w:id="2140" w:name="TAB11019"/>
            <w:bookmarkEnd w:id="2140"/>
            <w:r>
              <w:rPr>
                <w:rFonts w:ascii="times new roman" w:hAnsi="times new roman"/>
                <w:sz w:val="20"/>
              </w:rPr>
              <w:t>46,313</w:t>
            </w:r>
          </w:p>
        </w:tc>
        <w:tc>
          <w:tcPr>
            <w:tcW w:w="123"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tcMar>
              <w:bottom w:w="0" w:type="dxa"/>
            </w:tcMar>
            <w:vAlign w:val="bottom"/>
          </w:tcPr>
          <w:p>
            <w:pPr>
              <w:pStyle w:val="TableContents"/>
              <w:spacing w:before="0" w:after="283"/>
              <w:ind w:left="271" w:right="0" w:hanging="0"/>
              <w:jc w:val="right"/>
              <w:rPr>
                <w:rFonts w:ascii="times new roman" w:hAnsi="times new roman"/>
                <w:sz w:val="20"/>
              </w:rPr>
            </w:pPr>
            <w:bookmarkStart w:id="2141" w:name="TAB11020"/>
            <w:bookmarkEnd w:id="2141"/>
            <w:r>
              <w:rPr>
                <w:rFonts w:ascii="times new roman" w:hAnsi="times new roman"/>
                <w:sz w:val="20"/>
              </w:rPr>
              <w:t>312</w:t>
            </w:r>
          </w:p>
        </w:tc>
        <w:tc>
          <w:tcPr>
            <w:tcW w:w="135" w:type="dxa"/>
            <w:tcBorders/>
            <w:shd w:fill="CCEEFF" w:val="clear"/>
            <w:tcMar>
              <w:bottom w:w="0" w:type="dxa"/>
            </w:tcMar>
            <w:vAlign w:val="bottom"/>
          </w:tcPr>
          <w:p>
            <w:pPr>
              <w:pStyle w:val="TableContents"/>
              <w:spacing w:before="0" w:after="283"/>
              <w:jc w:val="left"/>
              <w:rPr/>
            </w:pPr>
            <w:r>
              <w:rPr/>
              <w:t> </w:t>
            </w:r>
          </w:p>
        </w:tc>
      </w:tr>
      <w:tr>
        <w:trPr/>
        <w:tc>
          <w:tcPr>
            <w:tcW w:w="7163" w:type="dxa"/>
            <w:tcBorders/>
            <w:shd w:fill="FFFFFF" w:val="clear"/>
            <w:tcMar>
              <w:bottom w:w="0" w:type="dxa"/>
            </w:tcMar>
            <w:vAlign w:val="bottom"/>
          </w:tcPr>
          <w:p>
            <w:pPr>
              <w:pStyle w:val="TableContents"/>
              <w:spacing w:before="0" w:after="0"/>
              <w:ind w:left="272" w:right="0" w:hanging="0"/>
              <w:jc w:val="both"/>
              <w:rPr>
                <w:rFonts w:ascii="times new roman" w:hAnsi="times new roman"/>
                <w:sz w:val="20"/>
              </w:rPr>
            </w:pPr>
            <w:bookmarkStart w:id="2142" w:name="TAB11021"/>
            <w:bookmarkEnd w:id="2142"/>
            <w:r>
              <w:rPr>
                <w:rFonts w:ascii="times new roman" w:hAnsi="times new roman"/>
                <w:sz w:val="20"/>
              </w:rPr>
              <w:t>Granted</w:t>
            </w:r>
          </w:p>
        </w:tc>
        <w:tc>
          <w:tcPr>
            <w:tcW w:w="114" w:type="dxa"/>
            <w:tcBorders/>
            <w:shd w:fill="FFFFFF" w:val="clear"/>
            <w:tcMar>
              <w:bottom w:w="0" w:type="dxa"/>
            </w:tcMar>
            <w:vAlign w:val="bottom"/>
          </w:tcPr>
          <w:p>
            <w:pPr>
              <w:pStyle w:val="TableContents"/>
              <w:spacing w:before="0" w:after="283"/>
              <w:jc w:val="lef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192" w:type="dxa"/>
            <w:tcBorders/>
            <w:shd w:fill="FFFFFF" w:val="clear"/>
            <w:tcMar>
              <w:bottom w:w="0" w:type="dxa"/>
            </w:tcMar>
            <w:vAlign w:val="bottom"/>
          </w:tcPr>
          <w:p>
            <w:pPr>
              <w:pStyle w:val="TableContents"/>
              <w:spacing w:before="0" w:after="283"/>
              <w:ind w:left="1094" w:right="0" w:hanging="0"/>
              <w:jc w:val="right"/>
              <w:rPr>
                <w:rFonts w:ascii="times new roman" w:hAnsi="times new roman"/>
                <w:sz w:val="20"/>
              </w:rPr>
            </w:pPr>
            <w:bookmarkStart w:id="2143" w:name="TAB11022"/>
            <w:bookmarkEnd w:id="2143"/>
            <w:r>
              <w:rPr>
                <w:rFonts w:ascii="times new roman" w:hAnsi="times new roman"/>
                <w:sz w:val="20"/>
              </w:rPr>
              <w:t>46,623</w:t>
            </w:r>
          </w:p>
        </w:tc>
        <w:tc>
          <w:tcPr>
            <w:tcW w:w="12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09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7163" w:type="dxa"/>
            <w:tcBorders>
              <w:bottom w:val="single" w:sz="12" w:space="0" w:color="000000"/>
            </w:tcBorders>
            <w:shd w:fill="CCEEFF" w:val="clear"/>
            <w:vAlign w:val="bottom"/>
          </w:tcPr>
          <w:p>
            <w:pPr>
              <w:pStyle w:val="TableContents"/>
              <w:spacing w:before="0" w:after="0"/>
              <w:ind w:left="272" w:right="0" w:hanging="0"/>
              <w:jc w:val="both"/>
              <w:rPr>
                <w:rFonts w:ascii="times new roman" w:hAnsi="times new roman"/>
                <w:sz w:val="20"/>
              </w:rPr>
            </w:pPr>
            <w:bookmarkStart w:id="2144" w:name="TAB11023"/>
            <w:bookmarkEnd w:id="2144"/>
            <w:r>
              <w:rPr>
                <w:rFonts w:ascii="times new roman" w:hAnsi="times new roman"/>
                <w:sz w:val="20"/>
              </w:rPr>
              <w:t>Vested</w:t>
            </w:r>
          </w:p>
        </w:tc>
        <w:tc>
          <w:tcPr>
            <w:tcW w:w="114" w:type="dxa"/>
            <w:tcBorders/>
            <w:shd w:fill="CCEEFF" w:val="clear"/>
            <w:tcMar>
              <w:bottom w:w="0" w:type="dxa"/>
            </w:tcMar>
            <w:vAlign w:val="bottom"/>
          </w:tcPr>
          <w:p>
            <w:pPr>
              <w:pStyle w:val="TableContents"/>
              <w:spacing w:before="0" w:after="283"/>
              <w:jc w:val="left"/>
              <w:rPr/>
            </w:pPr>
            <w:r>
              <w:rPr/>
              <w:t> </w:t>
            </w:r>
          </w:p>
        </w:tc>
        <w:tc>
          <w:tcPr>
            <w:tcW w:w="119" w:type="dxa"/>
            <w:tcBorders>
              <w:bottom w:val="single" w:sz="12" w:space="0" w:color="000000"/>
            </w:tcBorders>
            <w:shd w:fill="CCEEFF" w:val="clear"/>
            <w:vAlign w:val="bottom"/>
          </w:tcPr>
          <w:p>
            <w:pPr>
              <w:pStyle w:val="TableContents"/>
              <w:spacing w:before="0" w:after="283"/>
              <w:jc w:val="left"/>
              <w:rPr/>
            </w:pPr>
            <w:r>
              <w:rPr/>
              <w:t> </w:t>
            </w:r>
          </w:p>
        </w:tc>
        <w:tc>
          <w:tcPr>
            <w:tcW w:w="119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(31,180</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c>
          <w:tcPr>
            <w:tcW w:w="155" w:type="dxa"/>
            <w:tcBorders>
              <w:bottom w:val="single" w:sz="12" w:space="0" w:color="000000"/>
            </w:tcBorders>
            <w:shd w:fill="CCEEFF" w:val="clear"/>
            <w:vAlign w:val="bottom"/>
          </w:tcPr>
          <w:p>
            <w:pPr>
              <w:pStyle w:val="TableContents"/>
              <w:spacing w:before="0" w:after="283"/>
              <w:jc w:val="left"/>
              <w:rPr/>
            </w:pPr>
            <w:r>
              <w:rPr/>
              <w:t> </w:t>
            </w:r>
          </w:p>
        </w:tc>
        <w:tc>
          <w:tcPr>
            <w:tcW w:w="109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163"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Outstanding – December 31, 2007</w:t>
            </w:r>
          </w:p>
        </w:tc>
        <w:tc>
          <w:tcPr>
            <w:tcW w:w="114" w:type="dxa"/>
            <w:tcBorders/>
            <w:shd w:fill="FFFFFF" w:val="clear"/>
            <w:tcMar>
              <w:bottom w:w="0" w:type="dxa"/>
            </w:tcMar>
            <w:vAlign w:val="bottom"/>
          </w:tcPr>
          <w:p>
            <w:pPr>
              <w:pStyle w:val="TableContents"/>
              <w:spacing w:before="0" w:after="283"/>
              <w:jc w:val="lef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192" w:type="dxa"/>
            <w:tcBorders/>
            <w:shd w:fill="FFFFFF" w:val="clear"/>
            <w:tcMar>
              <w:bottom w:w="0" w:type="dxa"/>
            </w:tcMar>
            <w:vAlign w:val="bottom"/>
          </w:tcPr>
          <w:p>
            <w:pPr>
              <w:pStyle w:val="TableContents"/>
              <w:spacing w:before="0" w:after="283"/>
              <w:ind w:left="1094" w:right="0" w:hanging="0"/>
              <w:jc w:val="right"/>
              <w:rPr>
                <w:rFonts w:ascii="times new roman" w:hAnsi="times new roman"/>
                <w:sz w:val="20"/>
              </w:rPr>
            </w:pPr>
            <w:bookmarkStart w:id="2145" w:name="TAB11024"/>
            <w:bookmarkEnd w:id="2145"/>
            <w:r>
              <w:rPr>
                <w:rFonts w:ascii="times new roman" w:hAnsi="times new roman"/>
                <w:sz w:val="20"/>
              </w:rPr>
              <w:t>61,756</w:t>
            </w:r>
          </w:p>
        </w:tc>
        <w:tc>
          <w:tcPr>
            <w:tcW w:w="12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09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7163" w:type="dxa"/>
            <w:tcBorders/>
            <w:shd w:fill="CCEEFF" w:val="clear"/>
            <w:tcMar>
              <w:bottom w:w="0" w:type="dxa"/>
            </w:tcMar>
            <w:vAlign w:val="bottom"/>
          </w:tcPr>
          <w:p>
            <w:pPr>
              <w:pStyle w:val="TableContents"/>
              <w:spacing w:before="0" w:after="0"/>
              <w:ind w:left="272" w:right="0" w:hanging="0"/>
              <w:jc w:val="both"/>
              <w:rPr>
                <w:rFonts w:ascii="times new roman" w:hAnsi="times new roman"/>
                <w:sz w:val="20"/>
              </w:rPr>
            </w:pPr>
            <w:bookmarkStart w:id="2146" w:name="TAB11025"/>
            <w:bookmarkEnd w:id="2146"/>
            <w:r>
              <w:rPr>
                <w:rFonts w:ascii="times new roman" w:hAnsi="times new roman"/>
                <w:sz w:val="20"/>
              </w:rPr>
              <w:t>Granted</w:t>
            </w:r>
          </w:p>
        </w:tc>
        <w:tc>
          <w:tcPr>
            <w:tcW w:w="114" w:type="dxa"/>
            <w:tcBorders/>
            <w:shd w:fill="CCEEFF" w:val="clear"/>
            <w:tcMar>
              <w:bottom w:w="0" w:type="dxa"/>
            </w:tcMar>
            <w:vAlign w:val="bottom"/>
          </w:tcPr>
          <w:p>
            <w:pPr>
              <w:pStyle w:val="TableContents"/>
              <w:spacing w:before="0" w:after="283"/>
              <w:jc w:val="lef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1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124,385</w:t>
            </w:r>
          </w:p>
        </w:tc>
        <w:tc>
          <w:tcPr>
            <w:tcW w:w="123"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09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1040</w:t>
            </w:r>
          </w:p>
        </w:tc>
        <w:tc>
          <w:tcPr>
            <w:tcW w:w="135" w:type="dxa"/>
            <w:tcBorders/>
            <w:shd w:fill="CCEEFF" w:val="clear"/>
            <w:tcMar>
              <w:bottom w:w="0" w:type="dxa"/>
            </w:tcMar>
            <w:vAlign w:val="bottom"/>
          </w:tcPr>
          <w:p>
            <w:pPr>
              <w:pStyle w:val="TableContents"/>
              <w:spacing w:before="0" w:after="283"/>
              <w:jc w:val="left"/>
              <w:rPr/>
            </w:pPr>
            <w:r>
              <w:rPr/>
              <w:t> </w:t>
            </w:r>
          </w:p>
        </w:tc>
      </w:tr>
      <w:tr>
        <w:trPr/>
        <w:tc>
          <w:tcPr>
            <w:tcW w:w="7163" w:type="dxa"/>
            <w:tcBorders>
              <w:bottom w:val="single" w:sz="12" w:space="0" w:color="000000"/>
            </w:tcBorders>
            <w:shd w:fill="FFFFFF" w:val="clear"/>
            <w:vAlign w:val="bottom"/>
          </w:tcPr>
          <w:p>
            <w:pPr>
              <w:pStyle w:val="TableContents"/>
              <w:spacing w:before="0" w:after="0"/>
              <w:ind w:left="272" w:right="0" w:hanging="0"/>
              <w:jc w:val="both"/>
              <w:rPr>
                <w:rFonts w:ascii="times new roman" w:hAnsi="times new roman"/>
                <w:sz w:val="20"/>
              </w:rPr>
            </w:pPr>
            <w:bookmarkStart w:id="2147" w:name="TAB11026"/>
            <w:bookmarkEnd w:id="2147"/>
            <w:r>
              <w:rPr>
                <w:rFonts w:ascii="times new roman" w:hAnsi="times new roman"/>
                <w:sz w:val="20"/>
              </w:rPr>
              <w:t>Vested</w:t>
            </w:r>
          </w:p>
        </w:tc>
        <w:tc>
          <w:tcPr>
            <w:tcW w:w="114" w:type="dxa"/>
            <w:tcBorders/>
            <w:shd w:fill="FFFFFF" w:val="clear"/>
            <w:tcMar>
              <w:bottom w:w="0" w:type="dxa"/>
            </w:tcMar>
            <w:vAlign w:val="bottom"/>
          </w:tcPr>
          <w:p>
            <w:pPr>
              <w:pStyle w:val="TableContents"/>
              <w:spacing w:before="0" w:after="283"/>
              <w:jc w:val="left"/>
              <w:rPr/>
            </w:pPr>
            <w:r>
              <w:rPr/>
              <w:t> </w:t>
            </w:r>
          </w:p>
        </w:tc>
        <w:tc>
          <w:tcPr>
            <w:tcW w:w="119" w:type="dxa"/>
            <w:tcBorders>
              <w:bottom w:val="single" w:sz="12" w:space="0" w:color="000000"/>
            </w:tcBorders>
            <w:shd w:fill="FFFFFF" w:val="clear"/>
            <w:vAlign w:val="bottom"/>
          </w:tcPr>
          <w:p>
            <w:pPr>
              <w:pStyle w:val="TableContents"/>
              <w:spacing w:before="0" w:after="283"/>
              <w:jc w:val="left"/>
              <w:rPr/>
            </w:pPr>
            <w:r>
              <w:rPr/>
              <w:t> </w:t>
            </w:r>
          </w:p>
        </w:tc>
        <w:tc>
          <w:tcPr>
            <w:tcW w:w="11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(152,520</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w:t>
            </w:r>
          </w:p>
        </w:tc>
        <w:tc>
          <w:tcPr>
            <w:tcW w:w="155" w:type="dxa"/>
            <w:tcBorders>
              <w:bottom w:val="single" w:sz="12" w:space="0" w:color="000000"/>
            </w:tcBorders>
            <w:shd w:fill="FFFFFF" w:val="clear"/>
            <w:vAlign w:val="bottom"/>
          </w:tcPr>
          <w:p>
            <w:pPr>
              <w:pStyle w:val="TableContents"/>
              <w:spacing w:before="0" w:after="283"/>
              <w:jc w:val="left"/>
              <w:rPr/>
            </w:pPr>
            <w:r>
              <w:rPr/>
              <w:t> </w:t>
            </w:r>
          </w:p>
        </w:tc>
        <w:tc>
          <w:tcPr>
            <w:tcW w:w="109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(990</w:t>
            </w:r>
          </w:p>
        </w:tc>
        <w:tc>
          <w:tcPr>
            <w:tcW w:w="13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163"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Outstanding – December 31, 2008</w:t>
            </w:r>
          </w:p>
        </w:tc>
        <w:tc>
          <w:tcPr>
            <w:tcW w:w="114" w:type="dxa"/>
            <w:tcBorders/>
            <w:shd w:fill="CCEEFF" w:val="clear"/>
            <w:tcMar>
              <w:bottom w:w="0" w:type="dxa"/>
            </w:tcMar>
            <w:vAlign w:val="bottom"/>
          </w:tcPr>
          <w:p>
            <w:pPr>
              <w:pStyle w:val="TableContents"/>
              <w:spacing w:before="0" w:after="283"/>
              <w:jc w:val="lef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192" w:type="dxa"/>
            <w:tcBorders/>
            <w:shd w:fill="CCEEFF" w:val="clear"/>
            <w:tcMar>
              <w:bottom w:w="0" w:type="dxa"/>
            </w:tcMar>
            <w:vAlign w:val="bottom"/>
          </w:tcPr>
          <w:p>
            <w:pPr>
              <w:pStyle w:val="TableContents"/>
              <w:spacing w:before="0" w:after="283"/>
              <w:ind w:left="1094" w:right="0" w:hanging="0"/>
              <w:jc w:val="right"/>
              <w:rPr>
                <w:rFonts w:ascii="times new roman" w:hAnsi="times new roman"/>
                <w:sz w:val="20"/>
              </w:rPr>
            </w:pPr>
            <w:bookmarkStart w:id="2148" w:name="TAB11027"/>
            <w:bookmarkEnd w:id="2148"/>
            <w:r>
              <w:rPr>
                <w:rFonts w:ascii="times new roman" w:hAnsi="times new roman"/>
                <w:sz w:val="20"/>
              </w:rPr>
              <w:t>33,621</w:t>
            </w:r>
          </w:p>
        </w:tc>
        <w:tc>
          <w:tcPr>
            <w:tcW w:w="123"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090" w:type="dxa"/>
            <w:tcBorders/>
            <w:shd w:fill="CCEEFF" w:val="clear"/>
            <w:tcMar>
              <w:bottom w:w="0" w:type="dxa"/>
            </w:tcMar>
            <w:vAlign w:val="bottom"/>
          </w:tcPr>
          <w:p>
            <w:pPr>
              <w:pStyle w:val="TableContents"/>
              <w:spacing w:before="0" w:after="283"/>
              <w:ind w:left="1410" w:right="0" w:hanging="0"/>
              <w:jc w:val="right"/>
              <w:rPr>
                <w:rFonts w:ascii="times new roman" w:hAnsi="times new roman"/>
                <w:sz w:val="20"/>
              </w:rPr>
            </w:pPr>
            <w:bookmarkStart w:id="2149" w:name="TAB11028"/>
            <w:bookmarkEnd w:id="2149"/>
            <w:r>
              <w:rPr>
                <w:rFonts w:ascii="times new roman" w:hAnsi="times new roman"/>
                <w:sz w:val="20"/>
              </w:rPr>
              <w:t>574</w:t>
            </w:r>
          </w:p>
        </w:tc>
        <w:tc>
          <w:tcPr>
            <w:tcW w:w="135" w:type="dxa"/>
            <w:tcBorders/>
            <w:shd w:fill="CCEEFF" w:val="clear"/>
            <w:tcMar>
              <w:bottom w:w="0" w:type="dxa"/>
            </w:tcMar>
            <w:vAlign w:val="bottom"/>
          </w:tcPr>
          <w:p>
            <w:pPr>
              <w:pStyle w:val="TableContents"/>
              <w:spacing w:before="0" w:after="283"/>
              <w:jc w:val="left"/>
              <w:rPr/>
            </w:pPr>
            <w:r>
              <w:rPr/>
              <w:t> </w:t>
            </w:r>
          </w:p>
        </w:tc>
      </w:tr>
      <w:tr>
        <w:trPr/>
        <w:tc>
          <w:tcPr>
            <w:tcW w:w="7163" w:type="dxa"/>
            <w:tcBorders/>
            <w:shd w:fill="FFFFFF" w:val="clear"/>
            <w:tcMar>
              <w:bottom w:w="0" w:type="dxa"/>
            </w:tcMar>
            <w:vAlign w:val="bottom"/>
          </w:tcPr>
          <w:p>
            <w:pPr>
              <w:pStyle w:val="TableContents"/>
              <w:spacing w:before="0" w:after="0"/>
              <w:ind w:left="272" w:right="0" w:hanging="0"/>
              <w:jc w:val="both"/>
              <w:rPr>
                <w:rFonts w:ascii="times new roman" w:hAnsi="times new roman"/>
                <w:sz w:val="20"/>
              </w:rPr>
            </w:pPr>
            <w:bookmarkStart w:id="2150" w:name="TAB11029"/>
            <w:bookmarkEnd w:id="2150"/>
            <w:r>
              <w:rPr>
                <w:rFonts w:ascii="times new roman" w:hAnsi="times new roman"/>
                <w:sz w:val="20"/>
              </w:rPr>
              <w:t>Granted</w:t>
            </w:r>
          </w:p>
        </w:tc>
        <w:tc>
          <w:tcPr>
            <w:tcW w:w="114" w:type="dxa"/>
            <w:tcBorders/>
            <w:shd w:fill="FFFFFF" w:val="clear"/>
            <w:tcMar>
              <w:bottom w:w="0" w:type="dxa"/>
            </w:tcMar>
            <w:vAlign w:val="bottom"/>
          </w:tcPr>
          <w:p>
            <w:pPr>
              <w:pStyle w:val="TableContents"/>
              <w:spacing w:before="0" w:after="283"/>
              <w:jc w:val="lef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1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125,945</w:t>
            </w:r>
          </w:p>
        </w:tc>
        <w:tc>
          <w:tcPr>
            <w:tcW w:w="12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090" w:type="dxa"/>
            <w:tcBorders/>
            <w:shd w:fill="FFFFFF" w:val="clear"/>
            <w:tcMar>
              <w:bottom w:w="0" w:type="dxa"/>
            </w:tcMar>
            <w:vAlign w:val="bottom"/>
          </w:tcPr>
          <w:p>
            <w:pPr>
              <w:pStyle w:val="TableContents"/>
              <w:spacing w:before="0" w:after="283"/>
              <w:ind w:left="1410" w:right="0" w:hanging="0"/>
              <w:jc w:val="right"/>
              <w:rPr>
                <w:rFonts w:ascii="times new roman" w:hAnsi="times new roman"/>
                <w:sz w:val="20"/>
              </w:rPr>
            </w:pPr>
            <w:bookmarkStart w:id="2151" w:name="TAB11030"/>
            <w:bookmarkEnd w:id="2151"/>
            <w:r>
              <w:rPr>
                <w:rFonts w:ascii="times new roman" w:hAnsi="times new roman"/>
                <w:sz w:val="20"/>
              </w:rPr>
              <w:t>500</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7163" w:type="dxa"/>
            <w:tcBorders>
              <w:bottom w:val="single" w:sz="12" w:space="0" w:color="000000"/>
            </w:tcBorders>
            <w:shd w:fill="CCEEFF" w:val="clear"/>
            <w:vAlign w:val="bottom"/>
          </w:tcPr>
          <w:p>
            <w:pPr>
              <w:pStyle w:val="TableContents"/>
              <w:spacing w:before="0" w:after="0"/>
              <w:ind w:left="272" w:right="0" w:hanging="0"/>
              <w:jc w:val="both"/>
              <w:rPr>
                <w:rFonts w:ascii="times new roman" w:hAnsi="times new roman"/>
                <w:sz w:val="20"/>
              </w:rPr>
            </w:pPr>
            <w:bookmarkStart w:id="2152" w:name="TAB11031"/>
            <w:bookmarkEnd w:id="2152"/>
            <w:r>
              <w:rPr>
                <w:rFonts w:ascii="times new roman" w:hAnsi="times new roman"/>
                <w:sz w:val="20"/>
              </w:rPr>
              <w:t>Vested</w:t>
            </w:r>
          </w:p>
        </w:tc>
        <w:tc>
          <w:tcPr>
            <w:tcW w:w="114" w:type="dxa"/>
            <w:tcBorders/>
            <w:shd w:fill="CCEEFF" w:val="clear"/>
            <w:tcMar>
              <w:bottom w:w="0" w:type="dxa"/>
            </w:tcMar>
            <w:vAlign w:val="bottom"/>
          </w:tcPr>
          <w:p>
            <w:pPr>
              <w:pStyle w:val="TableContents"/>
              <w:spacing w:before="0" w:after="283"/>
              <w:jc w:val="left"/>
              <w:rPr/>
            </w:pPr>
            <w:r>
              <w:rPr/>
              <w:t> </w:t>
            </w:r>
          </w:p>
        </w:tc>
        <w:tc>
          <w:tcPr>
            <w:tcW w:w="119" w:type="dxa"/>
            <w:tcBorders>
              <w:bottom w:val="single" w:sz="12" w:space="0" w:color="000000"/>
            </w:tcBorders>
            <w:shd w:fill="CCEEFF" w:val="clear"/>
            <w:vAlign w:val="bottom"/>
          </w:tcPr>
          <w:p>
            <w:pPr>
              <w:pStyle w:val="TableContents"/>
              <w:spacing w:before="0" w:after="283"/>
              <w:jc w:val="left"/>
              <w:rPr/>
            </w:pPr>
            <w:r>
              <w:rPr/>
              <w:t> </w:t>
            </w:r>
          </w:p>
        </w:tc>
        <w:tc>
          <w:tcPr>
            <w:tcW w:w="119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(159,566</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c>
          <w:tcPr>
            <w:tcW w:w="155" w:type="dxa"/>
            <w:tcBorders>
              <w:bottom w:val="single" w:sz="12" w:space="0" w:color="000000"/>
            </w:tcBorders>
            <w:shd w:fill="CCEEFF" w:val="clear"/>
            <w:vAlign w:val="bottom"/>
          </w:tcPr>
          <w:p>
            <w:pPr>
              <w:pStyle w:val="TableContents"/>
              <w:spacing w:before="0" w:after="283"/>
              <w:jc w:val="left"/>
              <w:rPr/>
            </w:pPr>
            <w:r>
              <w:rPr/>
              <w:t> </w:t>
            </w:r>
          </w:p>
        </w:tc>
        <w:tc>
          <w:tcPr>
            <w:tcW w:w="1090" w:type="dxa"/>
            <w:tcBorders>
              <w:bottom w:val="single" w:sz="12" w:space="0" w:color="000000"/>
            </w:tcBorders>
            <w:shd w:fill="CCEEFF" w:val="clear"/>
            <w:vAlign w:val="bottom"/>
          </w:tcPr>
          <w:p>
            <w:pPr>
              <w:pStyle w:val="TableContents"/>
              <w:spacing w:before="0" w:after="283"/>
              <w:ind w:left="1032" w:right="0" w:hanging="0"/>
              <w:jc w:val="right"/>
              <w:rPr>
                <w:rFonts w:ascii="times new roman" w:hAnsi="times new roman"/>
                <w:sz w:val="20"/>
              </w:rPr>
            </w:pPr>
            <w:bookmarkStart w:id="2153" w:name="TAB11032"/>
            <w:bookmarkEnd w:id="2153"/>
            <w:r>
              <w:rPr>
                <w:rFonts w:ascii="times new roman" w:hAnsi="times new roman"/>
                <w:sz w:val="20"/>
              </w:rPr>
              <w:t>(1,074</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163"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Outstanding – December 31, 2009</w:t>
            </w:r>
          </w:p>
        </w:tc>
        <w:tc>
          <w:tcPr>
            <w:tcW w:w="114" w:type="dxa"/>
            <w:tcBorders/>
            <w:shd w:fill="FFFFFF" w:val="clear"/>
            <w:tcMar>
              <w:bottom w:w="0" w:type="dxa"/>
            </w:tcMar>
            <w:vAlign w:val="bottom"/>
          </w:tcPr>
          <w:p>
            <w:pPr>
              <w:pStyle w:val="TableContents"/>
              <w:spacing w:before="0" w:after="283"/>
              <w:jc w:val="left"/>
              <w:rPr/>
            </w:pPr>
            <w:r>
              <w:rPr/>
              <w:t> </w:t>
            </w:r>
          </w:p>
        </w:tc>
        <w:tc>
          <w:tcPr>
            <w:tcW w:w="119" w:type="dxa"/>
            <w:tcBorders>
              <w:bottom w:val="double" w:sz="8" w:space="0" w:color="000000"/>
            </w:tcBorders>
            <w:shd w:fill="FFFFFF" w:val="clear"/>
            <w:vAlign w:val="bottom"/>
          </w:tcPr>
          <w:p>
            <w:pPr>
              <w:pStyle w:val="TableContents"/>
              <w:spacing w:before="0" w:after="283"/>
              <w:jc w:val="left"/>
              <w:rPr/>
            </w:pPr>
            <w:r>
              <w:rPr/>
              <w:t> </w:t>
            </w:r>
          </w:p>
        </w:tc>
        <w:tc>
          <w:tcPr>
            <w:tcW w:w="119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5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FFFFFF" w:val="clear"/>
            <w:vAlign w:val="bottom"/>
          </w:tcPr>
          <w:p>
            <w:pPr>
              <w:pStyle w:val="TableContents"/>
              <w:spacing w:before="0" w:after="283"/>
              <w:ind w:left="271" w:right="0" w:hanging="0"/>
              <w:jc w:val="right"/>
              <w:rPr>
                <w:rFonts w:ascii="times new roman" w:hAnsi="times new roman"/>
                <w:sz w:val="20"/>
              </w:rPr>
            </w:pPr>
            <w:bookmarkStart w:id="2154" w:name="TAB11033"/>
            <w:bookmarkEnd w:id="2154"/>
            <w:r>
              <w:rPr>
                <w:rFonts w:ascii="times new roman" w:hAnsi="times new roman"/>
                <w:sz w:val="20"/>
              </w:rPr>
              <w:t>--</w:t>
            </w:r>
          </w:p>
        </w:tc>
        <w:tc>
          <w:tcPr>
            <w:tcW w:w="135"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2006, we formed Landplan Property Partners, Ltd (“Reading Landplan”), to identify, acquire and develop or redevelop properties on an opportunistic basis.  In connection with the formation of Reading Landplan, we entered into an agreement with Mr. Doug Osborne pursuant to which (i) Mr. Osborne will serve as the chief executive officer of Reading Landplan and (ii) Mr. Osborne’s affiliate, Landplan Property Group, Ltd (“LPG”), will perform certain property management services for Reading Landplan.  The agreement provides for Mr. Osborne to hold an equity interest in the entities formed to hold these properties; such equity interest to be (i) subordinate to our right to an 11% compounded return on investment and (ii) subject to adjustment depending upon various factors including the ter m of the investment and the amount invested.  In general, this equity interest will range from 27.5% to 15% of excess free cash flows after returns of all capital plus an 11% compounded preferred return to senior equity investors is paid.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Using our Reading Landplan investment vehicle, we acquired or entered into agreements to acquire four parcels in Taringa, Brisbane, Australia during 2008, acquired the two properties called the Lake Taupo Motel and the Manukau property during 2007 in New Zealand, and acquired one property in Indooroopilly, Brisbane, Australia during 2006.  With the purchase of these properties, based on FASB ASC 718-10 – </w:t>
      </w:r>
      <w:r>
        <w:rPr>
          <w:rFonts w:ascii="Times New Roman" w:hAnsi="Times New Roman"/>
          <w:i/>
          <w:sz w:val="20"/>
        </w:rPr>
        <w:t xml:space="preserve">Compensation—Stock Compensation </w:t>
      </w:r>
      <w:r>
        <w:rPr>
          <w:rFonts w:ascii="Times New Roman" w:hAnsi="Times New Roman"/>
          <w:sz w:val="20"/>
        </w:rPr>
        <w:t>(“ASC 718-10”), we calculated the fair value of Mr. Osborne’s equity interest in our various trusts to be $117,000 at December 31, 2008.  Due to the impact of the economic downturn in New Zealand during 2009, one of our operating properties was impaired by $3.2 million.  As a result of th is impairment, the estimated fair value of Mr. Osborne’s equity interest was determined to be zero at December 31, 2009.  During the years ended December 31, 2009, 2008, and 2007, we expensed ($157,000) ($59,000), and $214,000, respectively, associated with Mr. Osborne’s interests.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Employee Stock Option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a long-term incentive stock option plan that provides for the grant to eligible employees and non-employee directors of incentive stock options and non-qualified stock options to purchase shares of the Company’s Class A Stock.  The 1999 Stock Option Plan expired in November 2009.  We are currently involved in creating a new plan in 2010.  For the stock options exercised during the years ended December 31, 2009 and 2007, we issued for cash to an employee of the corporation under this stock based compensation plan, 3,000 and 6,250 shares of Class A Stock at exercise prices of $3.80 and $4.01, respectively.  During the year ended December 31, 2008, we did not issue any shares under this stock based compensation plan.</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55" w:name="PGBRK70"/>
      <w:bookmarkStart w:id="2156" w:name="PGBRK70"/>
      <w:bookmarkEnd w:id="2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7" w:name="FTR70"/>
      <w:bookmarkStart w:id="2158" w:name="FTR70"/>
      <w:bookmarkEnd w:id="2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59" w:name="GLFTR70"/>
      <w:bookmarkEnd w:id="21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160" w:name="PN70"/>
      <w:bookmarkEnd w:id="2160"/>
      <w:r>
        <w:rPr>
          <w:rFonts w:eastAsia="Times New Roman" w:cs="Times New Roman" w:ascii="Times New Roman" w:hAnsi="Times New Roman"/>
          <w:sz w:val="20"/>
          <w:szCs w:val="20"/>
        </w:rPr>
        <w:t>-70-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161" w:name="HDR70"/>
      <w:bookmarkStart w:id="2162" w:name="HDR70"/>
      <w:bookmarkEnd w:id="2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63" w:name="GLHDR70"/>
        <w:bookmarkEnd w:id="216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Effective January 1, 2006, we adopted ASC 718-10.  ASC 718-10 requires that all stock-based compensation be recognized as an expense in the financial statements and that such costs be measured at the fair value of the award.  This statement was adopted using the modified prospective method, which requires that we recognize compensation expense on a prospective basis for all newly granted options and any modifications or cancellations of previously granted awards.  Therefore, prior period consolidated financial statements have not been restated.  Under this method, in addition to reflecting compensation expense for new share-based payment awards, modifications to awards, and cancellations of awards, expense is also recognized to reflect the remaining vesting period of awards that had been include d in pro-forma disclosures in prior periods.  We estimate the valuation of stock based compensation using a Black-Scholes option-pricing model.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When our tax deduction from an option exercise exceeds the compensation cost resulting from the option, a tax benefit is created.  ASC 718-10 requires that excess tax benefits related to stock option exercises be reflected as financing cash inflows instead of operating cash inflows.  Had we previously adopted ASC 718-10, there would have been no impact on our presentation of the consolidated statement of cash flows because there were no recognized tax benefits relating to any of the years in the periods ended December 31, 2006.  For the years ended December 31, 2009, 2008, and 2007, there was also no impact to the consolidated statements of cash flows because there were no recognized tax benefits during these periods.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ASC 718-10 requires companies to estimate forfeitures.  Based on our historical experience, we did not estimate any forfeitures for the granted options during the years ended December 31, 2009, 2008 and 2007.</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accordance with ASC 718-10, we estimate the fair value of our options using the Black-Scholes option-pricing model, which takes into account assumptions such as the dividend yield, the risk-free interest rate, the expected stock price volatility, and the expected life of the options.  The dividend yield is excluded from the calculation, as it is our present intention to retain all earnings.  We estimated the expected stock price volatility based on our historical price volatility measured using daily share prices back to the inception of the Company in its current form beginning on December 31, 2001.  We estimate the expected option life based on our historical share option exercise experience during this same period.  We expense the estimated grant date fair values of options issued on a str aight-line basis over their vesting periods.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 options were granted during 2008.  For the 50,000 and 301,250 options granted during 2009 and 2007, respectively, we estimated the fair value of these options at the date of grant using a Black-Scholes option-pricing model with the following weighted average assumptions:</w:t>
      </w:r>
    </w:p>
    <w:p>
      <w:pPr>
        <w:pStyle w:val="TextBody"/>
        <w:spacing w:before="0" w:after="0"/>
        <w:ind w:left="0" w:right="0" w:firstLine="720"/>
        <w:jc w:val="both"/>
        <w:rPr/>
      </w:pPr>
      <w:r>
        <w:rPr/>
        <w:t> </w:t>
      </w:r>
    </w:p>
    <w:tbl>
      <w:tblPr>
        <w:tblW w:w="5000" w:type="pct"/>
        <w:jc w:val="left"/>
        <w:tblInd w:w="0" w:type="dxa"/>
        <w:tblCellMar>
          <w:top w:w="0" w:type="dxa"/>
          <w:left w:w="0" w:type="dxa"/>
          <w:bottom w:w="28" w:type="dxa"/>
          <w:right w:w="0" w:type="dxa"/>
        </w:tblCellMar>
      </w:tblPr>
      <w:tblGrid>
        <w:gridCol w:w="5810"/>
        <w:gridCol w:w="2197"/>
        <w:gridCol w:w="2198"/>
      </w:tblGrid>
      <w:tr>
        <w:trPr/>
        <w:tc>
          <w:tcPr>
            <w:tcW w:w="5810" w:type="dxa"/>
            <w:tcBorders>
              <w:bottom w:val="double" w:sz="8" w:space="0" w:color="000000"/>
            </w:tcBorders>
            <w:shd w:fill="auto" w:val="clear"/>
          </w:tcPr>
          <w:p>
            <w:pPr>
              <w:pStyle w:val="TableContents"/>
              <w:spacing w:before="0" w:after="283"/>
              <w:rPr/>
            </w:pPr>
            <w:r>
              <w:rPr/>
              <w:t xml:space="preserve">  </w:t>
            </w:r>
          </w:p>
        </w:tc>
        <w:tc>
          <w:tcPr>
            <w:tcW w:w="2197"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219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2007</w:t>
            </w:r>
          </w:p>
        </w:tc>
      </w:tr>
      <w:tr>
        <w:trPr/>
        <w:tc>
          <w:tcPr>
            <w:tcW w:w="581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Stock option exercise price</w:t>
            </w:r>
          </w:p>
        </w:tc>
        <w:tc>
          <w:tcPr>
            <w:tcW w:w="219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$4.01</w:t>
            </w:r>
          </w:p>
        </w:tc>
        <w:tc>
          <w:tcPr>
            <w:tcW w:w="2198"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$8.35 – $10.30</w:t>
            </w:r>
          </w:p>
        </w:tc>
      </w:tr>
      <w:tr>
        <w:trPr/>
        <w:tc>
          <w:tcPr>
            <w:tcW w:w="5810"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219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3.309%</w:t>
            </w:r>
          </w:p>
        </w:tc>
        <w:tc>
          <w:tcPr>
            <w:tcW w:w="219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4.636 – 4.824%</w:t>
            </w:r>
          </w:p>
        </w:tc>
      </w:tr>
      <w:tr>
        <w:trPr/>
        <w:tc>
          <w:tcPr>
            <w:tcW w:w="581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Expected dividend yield</w:t>
            </w:r>
          </w:p>
        </w:tc>
        <w:tc>
          <w:tcPr>
            <w:tcW w:w="219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2198"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5810"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Expected option life</w:t>
            </w:r>
          </w:p>
        </w:tc>
        <w:tc>
          <w:tcPr>
            <w:tcW w:w="219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9.60 yrs</w:t>
            </w:r>
          </w:p>
        </w:tc>
        <w:tc>
          <w:tcPr>
            <w:tcW w:w="219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9.60 – 9.96 yrs</w:t>
            </w:r>
          </w:p>
        </w:tc>
      </w:tr>
      <w:tr>
        <w:trPr/>
        <w:tc>
          <w:tcPr>
            <w:tcW w:w="581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Expected volatility</w:t>
            </w:r>
          </w:p>
        </w:tc>
        <w:tc>
          <w:tcPr>
            <w:tcW w:w="219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33.74%</w:t>
            </w:r>
          </w:p>
        </w:tc>
        <w:tc>
          <w:tcPr>
            <w:tcW w:w="2198"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33.64 – 45.47%</w:t>
            </w:r>
          </w:p>
        </w:tc>
      </w:tr>
      <w:tr>
        <w:trPr/>
        <w:tc>
          <w:tcPr>
            <w:tcW w:w="5810"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fair value</w:t>
            </w:r>
          </w:p>
        </w:tc>
        <w:tc>
          <w:tcPr>
            <w:tcW w:w="219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$1.98</w:t>
            </w:r>
          </w:p>
        </w:tc>
        <w:tc>
          <w:tcPr>
            <w:tcW w:w="219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$4.42 – $4.82</w:t>
            </w:r>
          </w:p>
        </w:tc>
      </w:tr>
    </w:tbl>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Using the above assumptions and in accordance with the ASC 718-10 modified prospective method, we recorded $241,000, $640,000, and $756,000 in compensation expense for the total estimated grant date fair value of stock options that vested during the years ended December 31, 2009, 2008, and 2007, respectively.  The effect on earnings per share of the compensation charge was $0.01, $0.03, and $0.03 per share for the years ended December 31, 2009, 2008, and 2007, respectively.  At December 31, 2009 and 2008, the total unrecognized estimated compensation cost related to non-vested stock options granted was $93,000 and $236,000, respectively, which is expected to be recognized over a weighted average vesting period of 1.83 and 0.52 years, respectively.  No options were exercised in 2008.  The total r ealized value of stock options exercised during the years ended December 31, 2009 and 2007 was $1,000, and $37,000, respectively.  The grant date fair value of options that vested during the years ending December 31, 2009, 2008, and 2007 was $241,000, $640,000, and $756,000, respectively.  We recorded cash received from stock options exercised of $11,000 and $25,000 during the years ended December 31, 2009 and 2007, respectively.  The intrinsic, unrealized value of all options outstanding, vested and expected to vest, at December 31, 2009 and 2008 was $205,000 and $177,000, respectively, of which 99.0% and 100.0%, respectively, were currently exercisable.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All stock options granted have a contractual life of 10 years at the grant date.  The aggregate total number of shares of Class A Stock and class B voting common stock authorized for issuance under our 1999 Stock Option Plan is 1,284,150.  At the time that options are exercised, at the discretion of management, we will either issue treasury shares or make a new issuance of shares to the employee or board member.  Dependent on the grant letter to the employee or board member, the required service period for option vesting is between zero and four years.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64" w:name="PGBRK71"/>
      <w:bookmarkStart w:id="2165" w:name="PGBRK71"/>
      <w:bookmarkEnd w:id="2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6" w:name="FTR71"/>
      <w:bookmarkStart w:id="2167" w:name="FTR71"/>
      <w:bookmarkEnd w:id="2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68" w:name="GLFTR71"/>
      <w:bookmarkEnd w:id="21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169" w:name="PN71"/>
      <w:bookmarkEnd w:id="2169"/>
      <w:r>
        <w:rPr>
          <w:rFonts w:eastAsia="Times New Roman" w:cs="Times New Roman" w:ascii="Times New Roman" w:hAnsi="Times New Roman"/>
          <w:sz w:val="20"/>
          <w:szCs w:val="20"/>
        </w:rPr>
        <w:t>-71-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170" w:name="HDR71"/>
      <w:bookmarkStart w:id="2171" w:name="HDR71"/>
      <w:bookmarkEnd w:id="2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72" w:name="GLHDR71"/>
        <w:bookmarkEnd w:id="217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44" w:firstLine="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We had the following stock options outstanding and exercisable: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177"/>
        <w:gridCol w:w="88"/>
        <w:gridCol w:w="88"/>
        <w:gridCol w:w="777"/>
        <w:gridCol w:w="100"/>
        <w:gridCol w:w="88"/>
        <w:gridCol w:w="88"/>
        <w:gridCol w:w="811"/>
        <w:gridCol w:w="100"/>
        <w:gridCol w:w="88"/>
        <w:gridCol w:w="125"/>
        <w:gridCol w:w="658"/>
        <w:gridCol w:w="88"/>
        <w:gridCol w:w="88"/>
        <w:gridCol w:w="125"/>
        <w:gridCol w:w="658"/>
        <w:gridCol w:w="88"/>
        <w:gridCol w:w="88"/>
        <w:gridCol w:w="88"/>
        <w:gridCol w:w="776"/>
        <w:gridCol w:w="88"/>
        <w:gridCol w:w="88"/>
        <w:gridCol w:w="88"/>
        <w:gridCol w:w="777"/>
        <w:gridCol w:w="88"/>
        <w:gridCol w:w="88"/>
        <w:gridCol w:w="125"/>
        <w:gridCol w:w="599"/>
        <w:gridCol w:w="88"/>
        <w:gridCol w:w="88"/>
        <w:gridCol w:w="125"/>
        <w:gridCol w:w="658"/>
        <w:gridCol w:w="118"/>
      </w:tblGrid>
      <w:tr>
        <w:trPr/>
        <w:tc>
          <w:tcPr>
            <w:tcW w:w="2177" w:type="dxa"/>
            <w:tcBorders/>
            <w:shd w:fill="auto" w:val="clear"/>
            <w:vAlign w:val="bottom"/>
          </w:tcPr>
          <w:p>
            <w:pPr>
              <w:pStyle w:val="TableContents"/>
              <w:spacing w:before="0" w:after="283"/>
              <w:rPr/>
            </w:pPr>
            <w:r>
              <w:rPr/>
              <w:t xml:space="preserve">  </w:t>
            </w:r>
          </w:p>
        </w:tc>
        <w:tc>
          <w:tcPr>
            <w:tcW w:w="88" w:type="dxa"/>
            <w:tcBorders/>
            <w:shd w:fill="auto" w:val="clear"/>
            <w:vAlign w:val="bottom"/>
          </w:tcPr>
          <w:p>
            <w:pPr>
              <w:pStyle w:val="TableContents"/>
              <w:spacing w:before="0" w:after="283"/>
              <w:rPr/>
            </w:pPr>
            <w:r>
              <w:rPr/>
              <w:t> </w:t>
            </w:r>
          </w:p>
        </w:tc>
        <w:tc>
          <w:tcPr>
            <w:tcW w:w="195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 Options Outstanding</w:t>
            </w:r>
          </w:p>
        </w:tc>
        <w:tc>
          <w:tcPr>
            <w:tcW w:w="100"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174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 Average Exercise</w:t>
            </w:r>
          </w:p>
          <w:p>
            <w:pPr>
              <w:pStyle w:val="TableContents"/>
              <w:spacing w:before="0" w:after="0"/>
              <w:ind w:left="0" w:right="0" w:hanging="0"/>
              <w:jc w:val="center"/>
              <w:rPr>
                <w:rFonts w:ascii="times new roman" w:hAnsi="times new roman"/>
                <w:b/>
                <w:sz w:val="20"/>
              </w:rPr>
            </w:pPr>
            <w:r>
              <w:rPr>
                <w:rFonts w:ascii="times new roman" w:hAnsi="times new roman"/>
                <w:b/>
                <w:sz w:val="20"/>
              </w:rPr>
              <w:t>Price of Options Outstanding</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190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 Exercisable</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168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 Average</w:t>
            </w:r>
          </w:p>
          <w:p>
            <w:pPr>
              <w:pStyle w:val="TableContents"/>
              <w:spacing w:before="0" w:after="0"/>
              <w:ind w:left="0" w:right="0" w:hanging="0"/>
              <w:jc w:val="center"/>
              <w:rPr>
                <w:rFonts w:ascii="times new roman" w:hAnsi="times new roman"/>
                <w:b/>
                <w:sz w:val="20"/>
              </w:rPr>
            </w:pPr>
            <w:r>
              <w:rPr>
                <w:rFonts w:ascii="times new roman" w:hAnsi="times new roman"/>
                <w:b/>
                <w:sz w:val="20"/>
              </w:rPr>
              <w:t>Price of Exercisable</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tc>
        <w:tc>
          <w:tcPr>
            <w:tcW w:w="118" w:type="dxa"/>
            <w:tcBorders/>
            <w:shd w:fill="auto" w:val="clear"/>
            <w:vAlign w:val="bottom"/>
          </w:tcPr>
          <w:p>
            <w:pPr>
              <w:pStyle w:val="TableContents"/>
              <w:spacing w:before="0" w:after="283"/>
              <w:jc w:val="left"/>
              <w:rPr/>
            </w:pPr>
            <w:r>
              <w:rPr/>
              <w:t> </w:t>
            </w:r>
          </w:p>
        </w:tc>
      </w:tr>
      <w:tr>
        <w:trPr/>
        <w:tc>
          <w:tcPr>
            <w:tcW w:w="2177"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88" w:type="dxa"/>
            <w:tcBorders/>
            <w:shd w:fill="auto" w:val="clear"/>
            <w:vAlign w:val="bottom"/>
          </w:tcPr>
          <w:p>
            <w:pPr>
              <w:pStyle w:val="TableContents"/>
              <w:spacing w:before="0" w:after="283"/>
              <w:rPr/>
            </w:pPr>
            <w:r>
              <w:rPr/>
              <w:t> </w:t>
            </w:r>
          </w:p>
        </w:tc>
        <w:tc>
          <w:tcPr>
            <w:tcW w:w="86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w:t>
            </w:r>
          </w:p>
        </w:tc>
        <w:tc>
          <w:tcPr>
            <w:tcW w:w="100"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89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tc>
        <w:tc>
          <w:tcPr>
            <w:tcW w:w="100"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783" w:type="dxa"/>
            <w:gridSpan w:val="2"/>
            <w:tcBorders>
              <w:bottom w:val="double" w:sz="8"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Class A</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783" w:type="dxa"/>
            <w:gridSpan w:val="2"/>
            <w:tcBorders>
              <w:bottom w:val="double" w:sz="8"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Class B</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86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86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724" w:type="dxa"/>
            <w:gridSpan w:val="2"/>
            <w:tcBorders>
              <w:bottom w:val="double" w:sz="8"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Class A</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78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tc>
        <w:tc>
          <w:tcPr>
            <w:tcW w:w="118" w:type="dxa"/>
            <w:tcBorders/>
            <w:shd w:fill="auto" w:val="clear"/>
            <w:vAlign w:val="bottom"/>
          </w:tcPr>
          <w:p>
            <w:pPr>
              <w:pStyle w:val="TableContents"/>
              <w:spacing w:before="0" w:after="283"/>
              <w:jc w:val="left"/>
              <w:rPr/>
            </w:pPr>
            <w:r>
              <w:rPr/>
              <w:t> </w:t>
            </w:r>
          </w:p>
        </w:tc>
      </w:tr>
      <w:tr>
        <w:trPr/>
        <w:tc>
          <w:tcPr>
            <w:tcW w:w="2177"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January 1, 2007</w:t>
            </w:r>
          </w:p>
        </w:tc>
        <w:tc>
          <w:tcPr>
            <w:tcW w:w="88" w:type="dxa"/>
            <w:tcBorders/>
            <w:shd w:fill="CCEEFF" w:val="clear"/>
            <w:vAlign w:val="bottom"/>
          </w:tcPr>
          <w:p>
            <w:pPr>
              <w:pStyle w:val="TableContents"/>
              <w:spacing w:before="0" w:after="283"/>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514,100</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CCEEFF" w:val="clear"/>
            <w:tcMar>
              <w:bottom w:w="28" w:type="dxa"/>
            </w:tcMar>
            <w:vAlign w:val="bottom"/>
          </w:tcPr>
          <w:p>
            <w:pPr>
              <w:pStyle w:val="TableContents"/>
              <w:spacing w:before="0" w:after="283"/>
              <w:ind w:left="108" w:right="0" w:hanging="0"/>
              <w:jc w:val="right"/>
              <w:rPr>
                <w:rFonts w:ascii="times new roman" w:hAnsi="times new roman"/>
                <w:sz w:val="20"/>
              </w:rPr>
            </w:pPr>
            <w:bookmarkStart w:id="2173" w:name="TAB11034"/>
            <w:bookmarkEnd w:id="2173"/>
            <w:r>
              <w:rPr>
                <w:rFonts w:ascii="times new roman" w:hAnsi="times new roman"/>
                <w:sz w:val="20"/>
              </w:rPr>
              <w:t>5.21</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CCEEFF" w:val="clear"/>
            <w:tcMar>
              <w:bottom w:w="28" w:type="dxa"/>
            </w:tcMar>
            <w:vAlign w:val="bottom"/>
          </w:tcPr>
          <w:p>
            <w:pPr>
              <w:pStyle w:val="TableContents"/>
              <w:spacing w:before="0" w:after="283"/>
              <w:ind w:left="90" w:right="0" w:hanging="0"/>
              <w:jc w:val="right"/>
              <w:rPr>
                <w:rFonts w:ascii="times new roman" w:hAnsi="times new roman"/>
                <w:sz w:val="20"/>
              </w:rPr>
            </w:pPr>
            <w:bookmarkStart w:id="2174" w:name="TAB11035"/>
            <w:bookmarkEnd w:id="2174"/>
            <w:r>
              <w:rPr>
                <w:rFonts w:ascii="times new roman" w:hAnsi="times new roman"/>
                <w:sz w:val="20"/>
              </w:rPr>
              <w:t>9.90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488,475</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single" w:sz="12" w:space="0" w:color="000000"/>
            </w:tcBorders>
            <w:shd w:fill="CCEEFF" w:val="clear"/>
            <w:tcMar>
              <w:bottom w:w="28" w:type="dxa"/>
            </w:tcMar>
            <w:vAlign w:val="bottom"/>
          </w:tcPr>
          <w:p>
            <w:pPr>
              <w:pStyle w:val="TableContents"/>
              <w:spacing w:before="0" w:after="283"/>
              <w:ind w:left="72" w:right="0" w:hanging="0"/>
              <w:jc w:val="right"/>
              <w:rPr>
                <w:rFonts w:ascii="times new roman" w:hAnsi="times new roman"/>
                <w:sz w:val="20"/>
              </w:rPr>
            </w:pPr>
            <w:bookmarkStart w:id="2175" w:name="TAB11036"/>
            <w:bookmarkEnd w:id="2175"/>
            <w:r>
              <w:rPr>
                <w:rFonts w:ascii="times new roman" w:hAnsi="times new roman"/>
                <w:sz w:val="20"/>
              </w:rPr>
              <w:t>5.06</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CCEEFF" w:val="clear"/>
            <w:tcMar>
              <w:bottom w:w="28" w:type="dxa"/>
            </w:tcMar>
            <w:vAlign w:val="bottom"/>
          </w:tcPr>
          <w:p>
            <w:pPr>
              <w:pStyle w:val="TableContents"/>
              <w:spacing w:before="0" w:after="283"/>
              <w:ind w:left="108" w:right="0" w:hanging="0"/>
              <w:jc w:val="right"/>
              <w:rPr>
                <w:rFonts w:ascii="times new roman" w:hAnsi="times new roman"/>
                <w:sz w:val="20"/>
              </w:rPr>
            </w:pPr>
            <w:bookmarkStart w:id="2176" w:name="TAB11037"/>
            <w:bookmarkEnd w:id="2176"/>
            <w:r>
              <w:rPr>
                <w:rFonts w:ascii="times new roman" w:hAnsi="times new roman"/>
                <w:sz w:val="20"/>
              </w:rPr>
              <w:t>9.90</w:t>
            </w:r>
          </w:p>
        </w:tc>
        <w:tc>
          <w:tcPr>
            <w:tcW w:w="118" w:type="dxa"/>
            <w:tcBorders/>
            <w:shd w:fill="CCEEFF" w:val="clear"/>
            <w:vAlign w:val="bottom"/>
          </w:tcPr>
          <w:p>
            <w:pPr>
              <w:pStyle w:val="TableContents"/>
              <w:spacing w:before="0" w:after="283"/>
              <w:jc w:val="left"/>
              <w:rPr/>
            </w:pPr>
            <w:r>
              <w:rPr/>
              <w:t> </w:t>
            </w:r>
          </w:p>
        </w:tc>
      </w:tr>
      <w:tr>
        <w:trPr/>
        <w:tc>
          <w:tcPr>
            <w:tcW w:w="2177" w:type="dxa"/>
            <w:tcBorders/>
            <w:shd w:fill="FFFFFF" w:val="clear"/>
            <w:vAlign w:val="bottom"/>
          </w:tcPr>
          <w:p>
            <w:pPr>
              <w:pStyle w:val="TableContents"/>
              <w:spacing w:before="0" w:after="0"/>
              <w:ind w:left="177" w:right="0" w:hanging="0"/>
              <w:jc w:val="left"/>
              <w:rPr>
                <w:rFonts w:ascii="times new roman" w:hAnsi="times new roman"/>
                <w:sz w:val="20"/>
              </w:rPr>
            </w:pPr>
            <w:bookmarkStart w:id="2177" w:name="TAB11038"/>
            <w:bookmarkEnd w:id="2177"/>
            <w:r>
              <w:rPr>
                <w:rFonts w:ascii="times new roman" w:hAnsi="times new roman"/>
                <w:sz w:val="20"/>
              </w:rPr>
              <w:t>Granted</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7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151,250</w:t>
            </w:r>
          </w:p>
        </w:tc>
        <w:tc>
          <w:tcPr>
            <w:tcW w:w="100"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8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00"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shd w:fill="FFFFFF" w:val="clear"/>
            <w:vAlign w:val="bottom"/>
          </w:tcPr>
          <w:p>
            <w:pPr>
              <w:pStyle w:val="TableContents"/>
              <w:spacing w:before="0" w:after="283"/>
              <w:ind w:left="108" w:right="0" w:hanging="0"/>
              <w:jc w:val="right"/>
              <w:rPr>
                <w:rFonts w:ascii="times new roman" w:hAnsi="times new roman"/>
                <w:sz w:val="20"/>
              </w:rPr>
            </w:pPr>
            <w:bookmarkStart w:id="2178" w:name="TAB11039"/>
            <w:bookmarkEnd w:id="2178"/>
            <w:r>
              <w:rPr>
                <w:rFonts w:ascii="times new roman" w:hAnsi="times new roman"/>
                <w:sz w:val="20"/>
              </w:rPr>
              <w:t>9.37</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shd w:fill="FFFFFF" w:val="clear"/>
            <w:vAlign w:val="bottom"/>
          </w:tcPr>
          <w:p>
            <w:pPr>
              <w:pStyle w:val="TableContents"/>
              <w:spacing w:before="0" w:after="283"/>
              <w:ind w:left="90" w:right="0" w:hanging="0"/>
              <w:jc w:val="right"/>
              <w:rPr>
                <w:rFonts w:ascii="times new roman" w:hAnsi="times new roman"/>
                <w:sz w:val="20"/>
              </w:rPr>
            </w:pPr>
            <w:bookmarkStart w:id="2179" w:name="TAB11040"/>
            <w:bookmarkEnd w:id="2179"/>
            <w:r>
              <w:rPr>
                <w:rFonts w:ascii="times new roman" w:hAnsi="times new roman"/>
                <w:sz w:val="20"/>
              </w:rPr>
              <w:t>10.24</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776"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777"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658"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2177" w:type="dxa"/>
            <w:tcBorders/>
            <w:shd w:fill="CCEEFF" w:val="clear"/>
            <w:vAlign w:val="bottom"/>
          </w:tcPr>
          <w:p>
            <w:pPr>
              <w:pStyle w:val="TableContents"/>
              <w:spacing w:before="0" w:after="0"/>
              <w:ind w:left="177" w:right="0" w:hanging="0"/>
              <w:jc w:val="left"/>
              <w:rPr>
                <w:rFonts w:ascii="times new roman" w:hAnsi="times new roman"/>
                <w:sz w:val="20"/>
              </w:rPr>
            </w:pPr>
            <w:bookmarkStart w:id="2180" w:name="TAB11041"/>
            <w:bookmarkEnd w:id="2180"/>
            <w:r>
              <w:rPr>
                <w:rFonts w:ascii="times new roman" w:hAnsi="times new roman"/>
                <w:sz w:val="20"/>
              </w:rPr>
              <w:t>Exercised</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7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shd w:fill="CCEEFF" w:val="clear"/>
            <w:vAlign w:val="bottom"/>
          </w:tcPr>
          <w:p>
            <w:pPr>
              <w:pStyle w:val="TableContents"/>
              <w:spacing w:before="0" w:after="283"/>
              <w:ind w:left="108" w:right="0" w:hanging="0"/>
              <w:jc w:val="right"/>
              <w:rPr>
                <w:rFonts w:ascii="times new roman" w:hAnsi="times new roman"/>
                <w:sz w:val="20"/>
              </w:rPr>
            </w:pPr>
            <w:bookmarkStart w:id="2181" w:name="TAB11042"/>
            <w:bookmarkEnd w:id="2181"/>
            <w:r>
              <w:rPr>
                <w:rFonts w:ascii="times new roman" w:hAnsi="times new roman"/>
                <w:sz w:val="20"/>
              </w:rPr>
              <w:t>4.01</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shd w:fill="CCEEFF" w:val="clear"/>
            <w:vAlign w:val="bottom"/>
          </w:tcPr>
          <w:p>
            <w:pPr>
              <w:pStyle w:val="TableContents"/>
              <w:spacing w:before="0" w:after="283"/>
              <w:ind w:left="90" w:right="0" w:hanging="0"/>
              <w:jc w:val="right"/>
              <w:rPr>
                <w:rFonts w:ascii="times new roman" w:hAnsi="times new roman"/>
                <w:sz w:val="20"/>
              </w:rPr>
            </w:pPr>
            <w:bookmarkStart w:id="2182" w:name="TAB11043"/>
            <w:bookmarkEnd w:id="2182"/>
            <w:r>
              <w:rPr>
                <w:rFonts w:ascii="times new roman" w:hAnsi="times new roman"/>
                <w:sz w:val="20"/>
              </w:rPr>
              <w:t>--</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776"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77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58" w:type="dxa"/>
            <w:tcBorders/>
            <w:shd w:fill="CCEEFF" w:val="cle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2177" w:type="dxa"/>
            <w:tcBorders>
              <w:bottom w:val="single" w:sz="12" w:space="0" w:color="000000"/>
            </w:tcBorders>
            <w:shd w:fill="FFFFFF" w:val="clear"/>
            <w:tcMar>
              <w:bottom w:w="28" w:type="dxa"/>
            </w:tcMar>
            <w:vAlign w:val="bottom"/>
          </w:tcPr>
          <w:p>
            <w:pPr>
              <w:pStyle w:val="TableContents"/>
              <w:spacing w:before="0" w:after="0"/>
              <w:ind w:left="177" w:right="0" w:hanging="0"/>
              <w:jc w:val="left"/>
              <w:rPr>
                <w:rFonts w:ascii="times new roman" w:hAnsi="times new roman"/>
                <w:sz w:val="20"/>
              </w:rPr>
            </w:pPr>
            <w:bookmarkStart w:id="2183" w:name="TAB11044"/>
            <w:bookmarkEnd w:id="2183"/>
            <w:r>
              <w:rPr>
                <w:rFonts w:ascii="times new roman" w:hAnsi="times new roman"/>
                <w:sz w:val="20"/>
              </w:rPr>
              <w:t>Expired</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(81,250</w:t>
            </w:r>
          </w:p>
        </w:tc>
        <w:tc>
          <w:tcPr>
            <w:tcW w:w="10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0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FFFFFF" w:val="clear"/>
            <w:tcMar>
              <w:bottom w:w="28" w:type="dxa"/>
            </w:tcMar>
            <w:vAlign w:val="bottom"/>
          </w:tcPr>
          <w:p>
            <w:pPr>
              <w:pStyle w:val="TableContents"/>
              <w:spacing w:before="0" w:after="283"/>
              <w:ind w:left="108" w:right="0" w:hanging="0"/>
              <w:jc w:val="right"/>
              <w:rPr>
                <w:rFonts w:ascii="times new roman" w:hAnsi="times new roman"/>
                <w:sz w:val="20"/>
              </w:rPr>
            </w:pPr>
            <w:bookmarkStart w:id="2184" w:name="TAB11045"/>
            <w:bookmarkEnd w:id="2184"/>
            <w:r>
              <w:rPr>
                <w:rFonts w:ascii="times new roman" w:hAnsi="times new roman"/>
                <w:sz w:val="20"/>
              </w:rPr>
              <w:t>10.25</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FFFFFF" w:val="clear"/>
            <w:tcMar>
              <w:bottom w:w="28" w:type="dxa"/>
            </w:tcMar>
            <w:vAlign w:val="bottom"/>
          </w:tcPr>
          <w:p>
            <w:pPr>
              <w:pStyle w:val="TableContents"/>
              <w:spacing w:before="0" w:after="283"/>
              <w:ind w:left="90" w:right="0" w:hanging="0"/>
              <w:jc w:val="right"/>
              <w:rPr>
                <w:rFonts w:ascii="times new roman" w:hAnsi="times new roman"/>
                <w:sz w:val="20"/>
              </w:rPr>
            </w:pPr>
            <w:bookmarkStart w:id="2185" w:name="TAB11046"/>
            <w:bookmarkEnd w:id="2185"/>
            <w:r>
              <w:rPr>
                <w:rFonts w:ascii="times new roman" w:hAnsi="times new roman"/>
                <w:sz w:val="20"/>
              </w:rPr>
              <w:t>10.24</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58"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2177"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Outstanding-December 31, 2007</w:t>
            </w:r>
          </w:p>
        </w:tc>
        <w:tc>
          <w:tcPr>
            <w:tcW w:w="88" w:type="dxa"/>
            <w:tcBorders/>
            <w:shd w:fill="CCEEFF" w:val="clear"/>
            <w:vAlign w:val="bottom"/>
          </w:tcPr>
          <w:p>
            <w:pPr>
              <w:pStyle w:val="TableContents"/>
              <w:spacing w:before="0" w:after="283"/>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577,850</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CCEEFF" w:val="clear"/>
            <w:tcMar>
              <w:bottom w:w="28" w:type="dxa"/>
            </w:tcMar>
            <w:vAlign w:val="bottom"/>
          </w:tcPr>
          <w:p>
            <w:pPr>
              <w:pStyle w:val="TableContents"/>
              <w:spacing w:before="0" w:after="283"/>
              <w:ind w:left="108" w:right="0" w:hanging="0"/>
              <w:jc w:val="right"/>
              <w:rPr>
                <w:rFonts w:ascii="times new roman" w:hAnsi="times new roman"/>
                <w:sz w:val="20"/>
              </w:rPr>
            </w:pPr>
            <w:bookmarkStart w:id="2186" w:name="TAB11047"/>
            <w:bookmarkEnd w:id="2186"/>
            <w:r>
              <w:rPr>
                <w:rFonts w:ascii="times new roman" w:hAnsi="times new roman"/>
                <w:sz w:val="20"/>
              </w:rPr>
              <w:t>5.60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CCEEFF" w:val="clear"/>
            <w:tcMar>
              <w:bottom w:w="28" w:type="dxa"/>
            </w:tcMar>
            <w:vAlign w:val="bottom"/>
          </w:tcPr>
          <w:p>
            <w:pPr>
              <w:pStyle w:val="TableContents"/>
              <w:spacing w:before="0" w:after="283"/>
              <w:ind w:left="90" w:right="0" w:hanging="0"/>
              <w:jc w:val="right"/>
              <w:rPr>
                <w:rFonts w:ascii="times new roman" w:hAnsi="times new roman"/>
                <w:sz w:val="20"/>
              </w:rPr>
            </w:pPr>
            <w:bookmarkStart w:id="2187" w:name="TAB11048"/>
            <w:bookmarkEnd w:id="2187"/>
            <w:r>
              <w:rPr>
                <w:rFonts w:ascii="times new roman" w:hAnsi="times new roman"/>
                <w:sz w:val="20"/>
              </w:rPr>
              <w:t>9.90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477,850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35,100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single" w:sz="12" w:space="0" w:color="000000"/>
            </w:tcBorders>
            <w:shd w:fill="CCEEFF" w:val="clear"/>
            <w:tcMar>
              <w:bottom w:w="28" w:type="dxa"/>
            </w:tcMar>
            <w:vAlign w:val="bottom"/>
          </w:tcPr>
          <w:p>
            <w:pPr>
              <w:pStyle w:val="TableContents"/>
              <w:spacing w:before="0" w:after="283"/>
              <w:ind w:left="72" w:right="0" w:hanging="0"/>
              <w:jc w:val="right"/>
              <w:rPr>
                <w:rFonts w:ascii="times new roman" w:hAnsi="times new roman"/>
                <w:sz w:val="20"/>
              </w:rPr>
            </w:pPr>
            <w:bookmarkStart w:id="2188" w:name="TAB11049"/>
            <w:bookmarkEnd w:id="2188"/>
            <w:r>
              <w:rPr>
                <w:rFonts w:ascii="times new roman" w:hAnsi="times new roman"/>
                <w:sz w:val="20"/>
              </w:rPr>
              <w:t>4.72</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CCEEFF" w:val="clear"/>
            <w:tcMar>
              <w:bottom w:w="28" w:type="dxa"/>
            </w:tcMar>
            <w:vAlign w:val="bottom"/>
          </w:tcPr>
          <w:p>
            <w:pPr>
              <w:pStyle w:val="TableContents"/>
              <w:spacing w:before="0" w:after="283"/>
              <w:ind w:left="108" w:right="0" w:hanging="0"/>
              <w:jc w:val="right"/>
              <w:rPr>
                <w:rFonts w:ascii="times new roman" w:hAnsi="times new roman"/>
                <w:sz w:val="20"/>
              </w:rPr>
            </w:pPr>
            <w:bookmarkStart w:id="2189" w:name="TAB11050"/>
            <w:bookmarkEnd w:id="2189"/>
            <w:r>
              <w:rPr>
                <w:rFonts w:ascii="times new roman" w:hAnsi="times new roman"/>
                <w:sz w:val="20"/>
              </w:rPr>
              <w:t>8.47</w:t>
            </w:r>
          </w:p>
        </w:tc>
        <w:tc>
          <w:tcPr>
            <w:tcW w:w="118" w:type="dxa"/>
            <w:tcBorders/>
            <w:shd w:fill="CCEEFF" w:val="clear"/>
            <w:vAlign w:val="bottom"/>
          </w:tcPr>
          <w:p>
            <w:pPr>
              <w:pStyle w:val="TableContents"/>
              <w:spacing w:before="0" w:after="283"/>
              <w:jc w:val="left"/>
              <w:rPr/>
            </w:pPr>
            <w:r>
              <w:rPr/>
              <w:t> </w:t>
            </w:r>
          </w:p>
        </w:tc>
      </w:tr>
      <w:tr>
        <w:trPr/>
        <w:tc>
          <w:tcPr>
            <w:tcW w:w="2177" w:type="dxa"/>
            <w:tcBorders>
              <w:bottom w:val="single" w:sz="12" w:space="0" w:color="000000"/>
            </w:tcBorders>
            <w:shd w:fill="FFFFFF" w:val="clear"/>
            <w:tcMar>
              <w:bottom w:w="28" w:type="dxa"/>
            </w:tcMar>
            <w:vAlign w:val="bottom"/>
          </w:tcPr>
          <w:p>
            <w:pPr>
              <w:pStyle w:val="TableContents"/>
              <w:spacing w:before="0" w:after="0"/>
              <w:ind w:left="177" w:right="0" w:hanging="0"/>
              <w:jc w:val="left"/>
              <w:rPr>
                <w:rFonts w:ascii="times new roman" w:hAnsi="times new roman"/>
                <w:sz w:val="20"/>
              </w:rPr>
            </w:pPr>
            <w:bookmarkStart w:id="2190" w:name="TAB11051"/>
            <w:bookmarkEnd w:id="2190"/>
            <w:r>
              <w:rPr>
                <w:rFonts w:ascii="times new roman" w:hAnsi="times new roman"/>
                <w:sz w:val="20"/>
              </w:rPr>
              <w:t>No activity during the period</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FFFFFF" w:val="clear"/>
            <w:tcMar>
              <w:bottom w:w="28" w:type="dxa"/>
            </w:tcMar>
            <w:vAlign w:val="bottom"/>
          </w:tcPr>
          <w:p>
            <w:pPr>
              <w:pStyle w:val="TableContents"/>
              <w:spacing w:before="0" w:after="283"/>
              <w:ind w:left="63" w:right="0" w:hanging="0"/>
              <w:jc w:val="right"/>
              <w:rPr>
                <w:rFonts w:ascii="times new roman" w:hAnsi="times new roman"/>
                <w:sz w:val="20"/>
              </w:rPr>
            </w:pPr>
            <w:bookmarkStart w:id="2191" w:name="TAB11052"/>
            <w:bookmarkEnd w:id="2191"/>
            <w:r>
              <w:rPr>
                <w:rFonts w:ascii="times new roman" w:hAnsi="times new roman"/>
                <w:sz w:val="20"/>
              </w:rPr>
              <w:t>--</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FFFFFF" w:val="clear"/>
            <w:tcMar>
              <w:bottom w:w="28" w:type="dxa"/>
            </w:tcMar>
            <w:vAlign w:val="bottom"/>
          </w:tcPr>
          <w:p>
            <w:pPr>
              <w:pStyle w:val="TableContents"/>
              <w:spacing w:before="0" w:after="283"/>
              <w:ind w:left="90" w:right="0" w:hanging="0"/>
              <w:jc w:val="right"/>
              <w:rPr>
                <w:rFonts w:ascii="times new roman" w:hAnsi="times new roman"/>
                <w:sz w:val="20"/>
              </w:rPr>
            </w:pPr>
            <w:bookmarkStart w:id="2192" w:name="TAB11053"/>
            <w:bookmarkEnd w:id="2192"/>
            <w:r>
              <w:rPr>
                <w:rFonts w:ascii="times new roman" w:hAnsi="times new roman"/>
                <w:sz w:val="20"/>
              </w:rPr>
              <w:t>--</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58"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2177"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Outstanding-December 31, 2008</w:t>
            </w:r>
          </w:p>
        </w:tc>
        <w:tc>
          <w:tcPr>
            <w:tcW w:w="88" w:type="dxa"/>
            <w:tcBorders/>
            <w:shd w:fill="CCEEFF" w:val="clear"/>
            <w:vAlign w:val="bottom"/>
          </w:tcPr>
          <w:p>
            <w:pPr>
              <w:pStyle w:val="TableContents"/>
              <w:spacing w:before="0" w:after="283"/>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577,850</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CCEEFF" w:val="clear"/>
            <w:tcMar>
              <w:bottom w:w="28" w:type="dxa"/>
            </w:tcMar>
            <w:vAlign w:val="bottom"/>
          </w:tcPr>
          <w:p>
            <w:pPr>
              <w:pStyle w:val="TableContents"/>
              <w:spacing w:before="0" w:after="283"/>
              <w:ind w:left="108" w:right="0" w:hanging="0"/>
              <w:jc w:val="right"/>
              <w:rPr>
                <w:rFonts w:ascii="times new roman" w:hAnsi="times new roman"/>
                <w:sz w:val="20"/>
              </w:rPr>
            </w:pPr>
            <w:bookmarkStart w:id="2193" w:name="TAB11054"/>
            <w:bookmarkEnd w:id="2193"/>
            <w:r>
              <w:rPr>
                <w:rFonts w:ascii="times new roman" w:hAnsi="times new roman"/>
                <w:sz w:val="20"/>
              </w:rPr>
              <w:t>5.60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CCEEFF" w:val="clear"/>
            <w:tcMar>
              <w:bottom w:w="28" w:type="dxa"/>
            </w:tcMar>
            <w:vAlign w:val="bottom"/>
          </w:tcPr>
          <w:p>
            <w:pPr>
              <w:pStyle w:val="TableContents"/>
              <w:spacing w:before="0" w:after="283"/>
              <w:ind w:left="90" w:right="0" w:hanging="0"/>
              <w:jc w:val="right"/>
              <w:rPr>
                <w:rFonts w:ascii="times new roman" w:hAnsi="times new roman"/>
                <w:sz w:val="20"/>
              </w:rPr>
            </w:pPr>
            <w:bookmarkStart w:id="2194" w:name="TAB11055"/>
            <w:bookmarkEnd w:id="2194"/>
            <w:r>
              <w:rPr>
                <w:rFonts w:ascii="times new roman" w:hAnsi="times new roman"/>
                <w:sz w:val="20"/>
              </w:rPr>
              <w:t>9.90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525,350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110,100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single" w:sz="12" w:space="0" w:color="000000"/>
            </w:tcBorders>
            <w:shd w:fill="CCEEFF" w:val="clear"/>
            <w:tcMar>
              <w:bottom w:w="28" w:type="dxa"/>
            </w:tcMar>
            <w:vAlign w:val="bottom"/>
          </w:tcPr>
          <w:p>
            <w:pPr>
              <w:pStyle w:val="TableContents"/>
              <w:spacing w:before="0" w:after="283"/>
              <w:ind w:left="72" w:right="0" w:hanging="0"/>
              <w:jc w:val="right"/>
              <w:rPr>
                <w:rFonts w:ascii="times new roman" w:hAnsi="times new roman"/>
                <w:sz w:val="20"/>
              </w:rPr>
            </w:pPr>
            <w:bookmarkStart w:id="2195" w:name="TAB11056"/>
            <w:bookmarkEnd w:id="2195"/>
            <w:r>
              <w:rPr>
                <w:rFonts w:ascii="times new roman" w:hAnsi="times new roman"/>
                <w:sz w:val="20"/>
              </w:rPr>
              <w:t>5.19</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CCEEFF" w:val="clear"/>
            <w:tcMar>
              <w:bottom w:w="28" w:type="dxa"/>
            </w:tcMar>
            <w:vAlign w:val="bottom"/>
          </w:tcPr>
          <w:p>
            <w:pPr>
              <w:pStyle w:val="TableContents"/>
              <w:spacing w:before="0" w:after="283"/>
              <w:ind w:left="108" w:right="0" w:hanging="0"/>
              <w:jc w:val="right"/>
              <w:rPr>
                <w:rFonts w:ascii="times new roman" w:hAnsi="times new roman"/>
                <w:sz w:val="20"/>
              </w:rPr>
            </w:pPr>
            <w:bookmarkStart w:id="2196" w:name="TAB11057"/>
            <w:bookmarkEnd w:id="2196"/>
            <w:r>
              <w:rPr>
                <w:rFonts w:ascii="times new roman" w:hAnsi="times new roman"/>
                <w:sz w:val="20"/>
              </w:rPr>
              <w:t>9.67</w:t>
            </w:r>
          </w:p>
        </w:tc>
        <w:tc>
          <w:tcPr>
            <w:tcW w:w="118" w:type="dxa"/>
            <w:tcBorders/>
            <w:shd w:fill="CCEEFF" w:val="clear"/>
            <w:vAlign w:val="bottom"/>
          </w:tcPr>
          <w:p>
            <w:pPr>
              <w:pStyle w:val="TableContents"/>
              <w:spacing w:before="0" w:after="283"/>
              <w:jc w:val="left"/>
              <w:rPr/>
            </w:pPr>
            <w:r>
              <w:rPr/>
              <w:t> </w:t>
            </w:r>
          </w:p>
        </w:tc>
      </w:tr>
      <w:tr>
        <w:trPr/>
        <w:tc>
          <w:tcPr>
            <w:tcW w:w="2177" w:type="dxa"/>
            <w:tcBorders/>
            <w:shd w:fill="FFFFFF" w:val="clear"/>
            <w:vAlign w:val="bottom"/>
          </w:tcPr>
          <w:p>
            <w:pPr>
              <w:pStyle w:val="TableContents"/>
              <w:spacing w:before="0" w:after="0"/>
              <w:ind w:left="177" w:right="0" w:hanging="0"/>
              <w:jc w:val="left"/>
              <w:rPr>
                <w:rFonts w:ascii="times new roman" w:hAnsi="times new roman"/>
                <w:sz w:val="20"/>
              </w:rPr>
            </w:pPr>
            <w:bookmarkStart w:id="2197" w:name="TAB11058"/>
            <w:bookmarkEnd w:id="2197"/>
            <w:r>
              <w:rPr>
                <w:rFonts w:ascii="times new roman" w:hAnsi="times new roman"/>
                <w:sz w:val="20"/>
              </w:rPr>
              <w:t>Granted</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7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0"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8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shd w:fill="FFFFFF" w:val="clear"/>
            <w:vAlign w:val="bottom"/>
          </w:tcPr>
          <w:p>
            <w:pPr>
              <w:pStyle w:val="TableContents"/>
              <w:spacing w:before="0" w:after="283"/>
              <w:ind w:left="63" w:right="0" w:hanging="0"/>
              <w:jc w:val="right"/>
              <w:rPr>
                <w:rFonts w:ascii="times new roman" w:hAnsi="times new roman"/>
                <w:sz w:val="20"/>
              </w:rPr>
            </w:pPr>
            <w:bookmarkStart w:id="2198" w:name="TAB11059"/>
            <w:bookmarkEnd w:id="2198"/>
            <w:r>
              <w:rPr>
                <w:rFonts w:ascii="times new roman" w:hAnsi="times new roman"/>
                <w:sz w:val="20"/>
              </w:rPr>
              <w:t>4.01</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shd w:fill="FFFFFF" w:val="clear"/>
            <w:vAlign w:val="bottom"/>
          </w:tcPr>
          <w:p>
            <w:pPr>
              <w:pStyle w:val="TableContents"/>
              <w:spacing w:before="0" w:after="283"/>
              <w:ind w:left="90" w:right="0" w:hanging="0"/>
              <w:jc w:val="right"/>
              <w:rPr>
                <w:rFonts w:ascii="times new roman" w:hAnsi="times new roman"/>
                <w:sz w:val="20"/>
              </w:rPr>
            </w:pPr>
            <w:bookmarkStart w:id="2199" w:name="TAB11060"/>
            <w:bookmarkEnd w:id="2199"/>
            <w:r>
              <w:rPr>
                <w:rFonts w:ascii="times new roman" w:hAnsi="times new roman"/>
                <w:sz w:val="20"/>
              </w:rPr>
              <w:t>--</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776"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777"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599"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658"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2177" w:type="dxa"/>
            <w:tcBorders/>
            <w:shd w:fill="CCEEFF" w:val="clear"/>
            <w:vAlign w:val="bottom"/>
          </w:tcPr>
          <w:p>
            <w:pPr>
              <w:pStyle w:val="TableContents"/>
              <w:spacing w:before="0" w:after="0"/>
              <w:ind w:left="177" w:right="0" w:hanging="0"/>
              <w:jc w:val="left"/>
              <w:rPr>
                <w:rFonts w:ascii="times new roman" w:hAnsi="times new roman"/>
                <w:sz w:val="20"/>
              </w:rPr>
            </w:pPr>
            <w:bookmarkStart w:id="2200" w:name="TAB11061"/>
            <w:bookmarkEnd w:id="2200"/>
            <w:r>
              <w:rPr>
                <w:rFonts w:ascii="times new roman" w:hAnsi="times new roman"/>
                <w:sz w:val="20"/>
              </w:rPr>
              <w:t>Exercised</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7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shd w:fill="CCEEFF" w:val="clear"/>
            <w:vAlign w:val="bottom"/>
          </w:tcPr>
          <w:p>
            <w:pPr>
              <w:pStyle w:val="TableContents"/>
              <w:spacing w:before="0" w:after="283"/>
              <w:ind w:left="63" w:right="0" w:hanging="0"/>
              <w:jc w:val="right"/>
              <w:rPr>
                <w:rFonts w:ascii="times new roman" w:hAnsi="times new roman"/>
                <w:sz w:val="20"/>
              </w:rPr>
            </w:pPr>
            <w:bookmarkStart w:id="2201" w:name="TAB11062"/>
            <w:bookmarkEnd w:id="2201"/>
            <w:r>
              <w:rPr>
                <w:rFonts w:ascii="times new roman" w:hAnsi="times new roman"/>
                <w:sz w:val="20"/>
              </w:rPr>
              <w:t>3.80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shd w:fill="CCEEFF" w:val="clear"/>
            <w:vAlign w:val="bottom"/>
          </w:tcPr>
          <w:p>
            <w:pPr>
              <w:pStyle w:val="TableContents"/>
              <w:spacing w:before="0" w:after="283"/>
              <w:ind w:left="90" w:right="0" w:hanging="0"/>
              <w:jc w:val="right"/>
              <w:rPr>
                <w:rFonts w:ascii="times new roman" w:hAnsi="times new roman"/>
                <w:sz w:val="20"/>
              </w:rPr>
            </w:pPr>
            <w:bookmarkStart w:id="2202" w:name="TAB11063"/>
            <w:bookmarkEnd w:id="2202"/>
            <w:r>
              <w:rPr>
                <w:rFonts w:ascii="times new roman" w:hAnsi="times new roman"/>
                <w:sz w:val="20"/>
              </w:rPr>
              <w:t>--</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776"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77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9"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58" w:type="dxa"/>
            <w:tcBorders/>
            <w:shd w:fill="CCEEFF" w:val="cle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2177" w:type="dxa"/>
            <w:tcBorders>
              <w:bottom w:val="single" w:sz="12" w:space="0" w:color="000000"/>
            </w:tcBorders>
            <w:shd w:fill="FFFFFF" w:val="clear"/>
            <w:tcMar>
              <w:bottom w:w="28" w:type="dxa"/>
            </w:tcMar>
            <w:vAlign w:val="bottom"/>
          </w:tcPr>
          <w:p>
            <w:pPr>
              <w:pStyle w:val="TableContents"/>
              <w:spacing w:before="0" w:after="0"/>
              <w:ind w:left="177" w:right="0" w:hanging="0"/>
              <w:jc w:val="left"/>
              <w:rPr>
                <w:rFonts w:ascii="times new roman" w:hAnsi="times new roman"/>
                <w:sz w:val="20"/>
              </w:rPr>
            </w:pPr>
            <w:bookmarkStart w:id="2203" w:name="TAB11064"/>
            <w:bookmarkEnd w:id="2203"/>
            <w:r>
              <w:rPr>
                <w:rFonts w:ascii="times new roman" w:hAnsi="times new roman"/>
                <w:sz w:val="20"/>
              </w:rPr>
              <w:t>Expired</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(35,100</w:t>
            </w:r>
          </w:p>
        </w:tc>
        <w:tc>
          <w:tcPr>
            <w:tcW w:w="10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(35,100</w:t>
            </w:r>
          </w:p>
        </w:tc>
        <w:tc>
          <w:tcPr>
            <w:tcW w:w="10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FFFFFF" w:val="clear"/>
            <w:tcMar>
              <w:bottom w:w="28" w:type="dxa"/>
            </w:tcMar>
            <w:vAlign w:val="bottom"/>
          </w:tcPr>
          <w:p>
            <w:pPr>
              <w:pStyle w:val="TableContents"/>
              <w:spacing w:before="0" w:after="283"/>
              <w:ind w:left="63" w:right="0" w:hanging="0"/>
              <w:jc w:val="right"/>
              <w:rPr>
                <w:rFonts w:ascii="times new roman" w:hAnsi="times new roman"/>
                <w:sz w:val="20"/>
              </w:rPr>
            </w:pPr>
            <w:bookmarkStart w:id="2204" w:name="TAB11065"/>
            <w:bookmarkEnd w:id="2204"/>
            <w:r>
              <w:rPr>
                <w:rFonts w:ascii="times new roman" w:hAnsi="times new roman"/>
                <w:sz w:val="20"/>
              </w:rPr>
              <w:t>5.13</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single" w:sz="12" w:space="0" w:color="000000"/>
            </w:tcBorders>
            <w:shd w:fill="FFFFFF" w:val="clear"/>
            <w:tcMar>
              <w:bottom w:w="28" w:type="dxa"/>
            </w:tcMar>
            <w:vAlign w:val="bottom"/>
          </w:tcPr>
          <w:p>
            <w:pPr>
              <w:pStyle w:val="TableContents"/>
              <w:spacing w:before="0" w:after="283"/>
              <w:ind w:left="90" w:right="0" w:hanging="0"/>
              <w:jc w:val="right"/>
              <w:rPr>
                <w:rFonts w:ascii="times new roman" w:hAnsi="times new roman"/>
                <w:sz w:val="20"/>
              </w:rPr>
            </w:pPr>
            <w:bookmarkStart w:id="2205" w:name="TAB11066"/>
            <w:bookmarkEnd w:id="2205"/>
            <w:r>
              <w:rPr>
                <w:rFonts w:ascii="times new roman" w:hAnsi="times new roman"/>
                <w:sz w:val="20"/>
              </w:rPr>
              <w:t>8.47</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8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7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9"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58"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2177"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Outstanding-December 31, 2009</w:t>
            </w:r>
          </w:p>
        </w:tc>
        <w:tc>
          <w:tcPr>
            <w:tcW w:w="88" w:type="dxa"/>
            <w:tcBorders/>
            <w:shd w:fill="CCEEFF" w:val="clear"/>
            <w:vAlign w:val="bottom"/>
          </w:tcPr>
          <w:p>
            <w:pPr>
              <w:pStyle w:val="TableContents"/>
              <w:spacing w:before="0" w:after="283"/>
              <w:rPr/>
            </w:pPr>
            <w:r>
              <w:rPr/>
              <w:t> </w:t>
            </w:r>
          </w:p>
        </w:tc>
        <w:tc>
          <w:tcPr>
            <w:tcW w:w="8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7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589,750</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81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00"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double" w:sz="8" w:space="0" w:color="000000"/>
            </w:tcBorders>
            <w:shd w:fill="CCEEFF" w:val="clear"/>
            <w:tcMar>
              <w:bottom w:w="28" w:type="dxa"/>
            </w:tcMar>
            <w:vAlign w:val="bottom"/>
          </w:tcPr>
          <w:p>
            <w:pPr>
              <w:pStyle w:val="TableContents"/>
              <w:spacing w:before="0" w:after="283"/>
              <w:ind w:left="108" w:right="0" w:hanging="0"/>
              <w:jc w:val="right"/>
              <w:rPr>
                <w:rFonts w:ascii="times new roman" w:hAnsi="times new roman"/>
                <w:sz w:val="20"/>
              </w:rPr>
            </w:pPr>
            <w:bookmarkStart w:id="2206" w:name="TAB11067"/>
            <w:bookmarkEnd w:id="2206"/>
            <w:r>
              <w:rPr>
                <w:rFonts w:ascii="times new roman" w:hAnsi="times new roman"/>
                <w:sz w:val="20"/>
              </w:rPr>
              <w:t>5.51</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double" w:sz="8" w:space="0" w:color="000000"/>
            </w:tcBorders>
            <w:shd w:fill="CCEEFF" w:val="clear"/>
            <w:tcMar>
              <w:bottom w:w="28" w:type="dxa"/>
            </w:tcMar>
            <w:vAlign w:val="bottom"/>
          </w:tcPr>
          <w:p>
            <w:pPr>
              <w:pStyle w:val="TableContents"/>
              <w:spacing w:before="0" w:after="283"/>
              <w:ind w:left="90" w:right="0" w:hanging="0"/>
              <w:jc w:val="right"/>
              <w:rPr>
                <w:rFonts w:ascii="times new roman" w:hAnsi="times new roman"/>
                <w:sz w:val="20"/>
              </w:rPr>
            </w:pPr>
            <w:bookmarkStart w:id="2207" w:name="TAB11068"/>
            <w:bookmarkEnd w:id="2207"/>
            <w:r>
              <w:rPr>
                <w:rFonts w:ascii="times new roman" w:hAnsi="times new roman"/>
                <w:sz w:val="20"/>
              </w:rPr>
              <w:t>10.24</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8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7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534,750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8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7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CCEEFF" w:val="clear"/>
            <w:tcMar>
              <w:bottom w:w="28" w:type="dxa"/>
            </w:tcMar>
            <w:vAlign w:val="bottom"/>
          </w:tcPr>
          <w:p>
            <w:pPr>
              <w:pStyle w:val="TableContents"/>
              <w:spacing w:before="0" w:after="283"/>
              <w:ind w:left="72" w:right="0" w:hanging="0"/>
              <w:jc w:val="right"/>
              <w:rPr>
                <w:rFonts w:ascii="times new roman" w:hAnsi="times new roman"/>
                <w:sz w:val="20"/>
              </w:rPr>
            </w:pPr>
            <w:bookmarkStart w:id="2208" w:name="TAB11069"/>
            <w:bookmarkEnd w:id="2208"/>
            <w:r>
              <w:rPr>
                <w:rFonts w:ascii="times new roman" w:hAnsi="times new roman"/>
                <w:sz w:val="20"/>
              </w:rPr>
              <w:t>5.62</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8" w:type="dxa"/>
            <w:tcBorders>
              <w:bottom w:val="double" w:sz="8" w:space="0" w:color="000000"/>
            </w:tcBorders>
            <w:shd w:fill="CCEEFF" w:val="clear"/>
            <w:tcMar>
              <w:bottom w:w="28" w:type="dxa"/>
            </w:tcMar>
            <w:vAlign w:val="bottom"/>
          </w:tcPr>
          <w:p>
            <w:pPr>
              <w:pStyle w:val="TableContents"/>
              <w:spacing w:before="0" w:after="283"/>
              <w:ind w:left="108" w:right="0" w:hanging="0"/>
              <w:jc w:val="right"/>
              <w:rPr>
                <w:rFonts w:ascii="times new roman" w:hAnsi="times new roman"/>
                <w:sz w:val="20"/>
              </w:rPr>
            </w:pPr>
            <w:bookmarkStart w:id="2209" w:name="TAB11070"/>
            <w:bookmarkEnd w:id="2209"/>
            <w:r>
              <w:rPr>
                <w:rFonts w:ascii="times new roman" w:hAnsi="times new roman"/>
                <w:sz w:val="20"/>
              </w:rPr>
              <w:t>10.24</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weighted average remaining contractual life of all options outstanding, vested and expected to vest, at December 31, 2009 and 2008 were approximately 5.05 and 5.22 years, respectively.  The weighted average remaining contractual life of the exercisable options outstanding at December 31, 2009 and 2008 was approximately 4.70 and 4.61,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4 – Earnings (Loss) Per Share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210" w:name="TAB11071"/>
      <w:bookmarkEnd w:id="2210"/>
      <w:r>
        <w:rPr>
          <w:rFonts w:ascii="Times New Roman" w:hAnsi="Times New Roman"/>
          <w:sz w:val="20"/>
        </w:rPr>
        <w:t>For the three years ended December 31, 2009, we calculated the following earnings (loss) per share (dollars in thousands, except per share amounts):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954"/>
        <w:gridCol w:w="105"/>
        <w:gridCol w:w="125"/>
        <w:gridCol w:w="1075"/>
        <w:gridCol w:w="105"/>
        <w:gridCol w:w="105"/>
        <w:gridCol w:w="125"/>
        <w:gridCol w:w="1075"/>
        <w:gridCol w:w="111"/>
        <w:gridCol w:w="105"/>
        <w:gridCol w:w="125"/>
        <w:gridCol w:w="1075"/>
        <w:gridCol w:w="120"/>
      </w:tblGrid>
      <w:tr>
        <w:trPr/>
        <w:tc>
          <w:tcPr>
            <w:tcW w:w="5954" w:type="dxa"/>
            <w:tcBorders>
              <w:bottom w:val="double" w:sz="8" w:space="0" w:color="000000"/>
            </w:tcBorders>
            <w:shd w:fill="auto" w:val="cle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0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0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0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0" w:type="dxa"/>
            <w:tcBorders/>
            <w:shd w:fill="auto" w:val="clear"/>
            <w:tcMar>
              <w:bottom w:w="0" w:type="dxa"/>
            </w:tcMar>
            <w:vAlign w:val="bottom"/>
          </w:tcPr>
          <w:p>
            <w:pPr>
              <w:pStyle w:val="TableContents"/>
              <w:spacing w:before="0" w:after="283"/>
              <w:jc w:val="left"/>
              <w:rPr/>
            </w:pPr>
            <w:r>
              <w:rPr/>
              <w:t> </w:t>
            </w:r>
          </w:p>
        </w:tc>
      </w:tr>
      <w:tr>
        <w:trPr/>
        <w:tc>
          <w:tcPr>
            <w:tcW w:w="5954"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Income (loss) from continuing operations</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bottom"/>
          </w:tcPr>
          <w:p>
            <w:pPr>
              <w:pStyle w:val="TableContents"/>
              <w:spacing w:before="0" w:after="283"/>
              <w:ind w:left="18" w:right="0" w:hanging="0"/>
              <w:jc w:val="right"/>
              <w:rPr>
                <w:rFonts w:ascii="times new roman" w:hAnsi="times new roman"/>
                <w:sz w:val="20"/>
              </w:rPr>
            </w:pPr>
            <w:bookmarkStart w:id="2211" w:name="TAB11072"/>
            <w:bookmarkEnd w:id="2211"/>
            <w:r>
              <w:rPr>
                <w:rFonts w:ascii="times new roman" w:hAnsi="times new roman"/>
                <w:sz w:val="20"/>
              </w:rPr>
              <w:t>6,094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bottom"/>
          </w:tcPr>
          <w:p>
            <w:pPr>
              <w:pStyle w:val="TableContents"/>
              <w:spacing w:before="0" w:after="283"/>
              <w:ind w:left="18" w:right="0" w:hanging="0"/>
              <w:jc w:val="right"/>
              <w:rPr>
                <w:rFonts w:ascii="times new roman" w:hAnsi="times new roman"/>
                <w:sz w:val="20"/>
              </w:rPr>
            </w:pPr>
            <w:bookmarkStart w:id="2212" w:name="TAB11073"/>
            <w:bookmarkEnd w:id="2212"/>
            <w:r>
              <w:rPr>
                <w:rFonts w:ascii="times new roman" w:hAnsi="times new roman"/>
                <w:sz w:val="20"/>
              </w:rPr>
              <w:t>(16,809</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bottom"/>
          </w:tcPr>
          <w:p>
            <w:pPr>
              <w:pStyle w:val="TableContents"/>
              <w:spacing w:before="0" w:after="283"/>
              <w:ind w:left="18" w:right="0" w:hanging="0"/>
              <w:jc w:val="right"/>
              <w:rPr>
                <w:rFonts w:ascii="times new roman" w:hAnsi="times new roman"/>
                <w:sz w:val="20"/>
              </w:rPr>
            </w:pPr>
            <w:bookmarkStart w:id="2213" w:name="TAB11074"/>
            <w:bookmarkEnd w:id="2213"/>
            <w:r>
              <w:rPr>
                <w:rFonts w:ascii="times new roman" w:hAnsi="times new roman"/>
                <w:sz w:val="20"/>
              </w:rPr>
              <w:t>(4,015</w:t>
            </w:r>
          </w:p>
        </w:tc>
        <w:tc>
          <w:tcPr>
            <w:tcW w:w="12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54"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Income from discontinued operations</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5" w:type="dxa"/>
            <w:tcBorders>
              <w:bottom w:val="single" w:sz="12" w:space="0" w:color="000000"/>
            </w:tcBorders>
            <w:shd w:fill="FFFFFF" w:val="clear"/>
            <w:vAlign w:val="bottom"/>
          </w:tcPr>
          <w:p>
            <w:pPr>
              <w:pStyle w:val="TableContents"/>
              <w:spacing w:before="0" w:after="283"/>
              <w:ind w:left="813" w:right="0" w:hanging="0"/>
              <w:jc w:val="right"/>
              <w:rPr>
                <w:rFonts w:ascii="times new roman" w:hAnsi="times new roman"/>
                <w:sz w:val="20"/>
              </w:rPr>
            </w:pPr>
            <w:bookmarkStart w:id="2214" w:name="TAB11075"/>
            <w:bookmarkEnd w:id="2214"/>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5" w:type="dxa"/>
            <w:tcBorders>
              <w:bottom w:val="single" w:sz="12" w:space="0" w:color="000000"/>
            </w:tcBorders>
            <w:shd w:fill="FFFFFF" w:val="clear"/>
            <w:vAlign w:val="bottom"/>
          </w:tcPr>
          <w:p>
            <w:pPr>
              <w:pStyle w:val="TableContents"/>
              <w:spacing w:before="0" w:after="283"/>
              <w:ind w:left="813" w:right="0" w:hanging="0"/>
              <w:jc w:val="right"/>
              <w:rPr>
                <w:rFonts w:ascii="times new roman" w:hAnsi="times new roman"/>
                <w:sz w:val="20"/>
              </w:rPr>
            </w:pPr>
            <w:bookmarkStart w:id="2215" w:name="TAB11076"/>
            <w:bookmarkEnd w:id="2215"/>
            <w:r>
              <w:rPr>
                <w:rFonts w:ascii="times new roman" w:hAnsi="times new roman"/>
                <w:sz w:val="20"/>
              </w:rPr>
              <w:t>--</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5" w:type="dxa"/>
            <w:tcBorders>
              <w:bottom w:val="single" w:sz="12" w:space="0" w:color="000000"/>
            </w:tcBorders>
            <w:shd w:fill="FFFFFF" w:val="clear"/>
            <w:vAlign w:val="bottom"/>
          </w:tcPr>
          <w:p>
            <w:pPr>
              <w:pStyle w:val="TableContents"/>
              <w:spacing w:before="0" w:after="283"/>
              <w:ind w:left="391" w:right="0" w:hanging="0"/>
              <w:jc w:val="right"/>
              <w:rPr>
                <w:rFonts w:ascii="times new roman" w:hAnsi="times new roman"/>
                <w:sz w:val="20"/>
              </w:rPr>
            </w:pPr>
            <w:bookmarkStart w:id="2216" w:name="TAB11077"/>
            <w:bookmarkEnd w:id="2216"/>
            <w:r>
              <w:rPr>
                <w:rFonts w:ascii="times new roman" w:hAnsi="times new roman"/>
                <w:sz w:val="20"/>
              </w:rPr>
              <w:t>1,912</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595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 attributable to Reading International, Inc. common shareholders</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5" w:type="dxa"/>
            <w:tcBorders/>
            <w:shd w:fill="CCEEFF" w:val="clear"/>
            <w:tcMar>
              <w:bottom w:w="0" w:type="dxa"/>
            </w:tcMar>
            <w:vAlign w:val="bottom"/>
          </w:tcPr>
          <w:p>
            <w:pPr>
              <w:pStyle w:val="TableContents"/>
              <w:spacing w:before="0" w:after="283"/>
              <w:ind w:left="391" w:right="0" w:hanging="0"/>
              <w:jc w:val="right"/>
              <w:rPr>
                <w:rFonts w:ascii="times new roman" w:hAnsi="times new roman"/>
                <w:sz w:val="20"/>
              </w:rPr>
            </w:pPr>
            <w:bookmarkStart w:id="2217" w:name="TAB11078"/>
            <w:bookmarkEnd w:id="2217"/>
            <w:r>
              <w:rPr>
                <w:rFonts w:ascii="times new roman" w:hAnsi="times new roman"/>
                <w:sz w:val="20"/>
              </w:rPr>
              <w:t>6,094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5" w:type="dxa"/>
            <w:tcBorders/>
            <w:shd w:fill="CCEEFF" w:val="clear"/>
            <w:tcMar>
              <w:bottom w:w="0" w:type="dxa"/>
            </w:tcMar>
            <w:vAlign w:val="bottom"/>
          </w:tcPr>
          <w:p>
            <w:pPr>
              <w:pStyle w:val="TableContents"/>
              <w:spacing w:before="0" w:after="283"/>
              <w:ind w:left="80" w:right="0" w:hanging="0"/>
              <w:jc w:val="right"/>
              <w:rPr>
                <w:rFonts w:ascii="times new roman" w:hAnsi="times new roman"/>
                <w:sz w:val="20"/>
              </w:rPr>
            </w:pPr>
            <w:bookmarkStart w:id="2218" w:name="TAB11079"/>
            <w:bookmarkEnd w:id="2218"/>
            <w:r>
              <w:rPr>
                <w:rFonts w:ascii="times new roman" w:hAnsi="times new roman"/>
                <w:sz w:val="20"/>
              </w:rPr>
              <w:t>(16,809</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5" w:type="dxa"/>
            <w:tcBorders/>
            <w:shd w:fill="CCEEFF" w:val="clear"/>
            <w:tcMar>
              <w:bottom w:w="0" w:type="dxa"/>
            </w:tcMar>
            <w:vAlign w:val="bottom"/>
          </w:tcPr>
          <w:p>
            <w:pPr>
              <w:pStyle w:val="TableContents"/>
              <w:spacing w:before="0" w:after="283"/>
              <w:ind w:left="213" w:right="0" w:hanging="0"/>
              <w:jc w:val="right"/>
              <w:rPr>
                <w:rFonts w:ascii="times new roman" w:hAnsi="times new roman"/>
                <w:sz w:val="20"/>
              </w:rPr>
            </w:pPr>
            <w:bookmarkStart w:id="2219" w:name="TAB11080"/>
            <w:bookmarkEnd w:id="2219"/>
            <w:r>
              <w:rPr>
                <w:rFonts w:ascii="times new roman" w:hAnsi="times new roman"/>
                <w:sz w:val="20"/>
              </w:rPr>
              <w:t>(2,103</w:t>
            </w:r>
          </w:p>
        </w:tc>
        <w:tc>
          <w:tcPr>
            <w:tcW w:w="12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54"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Weighted average shares of common stock – basic</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22,580,942</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5954"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Weighted average shares of common stock – diluted</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7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22,767,735</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7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11"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7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5954" w:type="dxa"/>
            <w:tcBorders/>
            <w:shd w:fill="FFFFFF" w:val="clear"/>
            <w:tcMar>
              <w:bottom w:w="0" w:type="dxa"/>
            </w:tcMar>
            <w:vAlign w:val="bottom"/>
          </w:tcPr>
          <w:p>
            <w:pPr>
              <w:pStyle w:val="TableContents"/>
              <w:spacing w:before="0" w:after="283"/>
              <w:rPr/>
            </w:pPr>
            <w:r>
              <w:rPr/>
              <w:t xml:space="preserve">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5"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5" w:type="dxa"/>
            <w:tcBorders/>
            <w:shd w:fill="FFFFFF" w:val="clear"/>
            <w:tcMar>
              <w:bottom w:w="0" w:type="dxa"/>
            </w:tcMar>
            <w:vAlign w:val="bottom"/>
          </w:tcPr>
          <w:p>
            <w:pPr>
              <w:pStyle w:val="TableContents"/>
              <w:spacing w:before="0" w:after="283"/>
              <w:jc w:val="righ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5"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5954"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Earnings (loss) per share:</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5"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5" w:type="dxa"/>
            <w:tcBorders/>
            <w:shd w:fill="FFFFFF" w:val="clear"/>
            <w:tcMar>
              <w:bottom w:w="0" w:type="dxa"/>
            </w:tcMar>
            <w:vAlign w:val="bottom"/>
          </w:tcPr>
          <w:p>
            <w:pPr>
              <w:pStyle w:val="TableContents"/>
              <w:spacing w:before="0" w:after="283"/>
              <w:jc w:val="righ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5"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5954" w:type="dxa"/>
            <w:tcBorders/>
            <w:shd w:fill="CCEEFF" w:val="clear"/>
            <w:tcMar>
              <w:bottom w:w="0" w:type="dxa"/>
            </w:tcMar>
            <w:vAlign w:val="bottom"/>
          </w:tcPr>
          <w:p>
            <w:pPr>
              <w:pStyle w:val="TableContents"/>
              <w:spacing w:before="0" w:after="0"/>
              <w:ind w:left="147" w:right="0" w:hanging="0"/>
              <w:jc w:val="both"/>
              <w:rPr>
                <w:rFonts w:ascii="times new roman" w:hAnsi="times new roman"/>
                <w:sz w:val="20"/>
              </w:rPr>
            </w:pPr>
            <w:bookmarkStart w:id="2220" w:name="TAB11081"/>
            <w:bookmarkEnd w:id="2220"/>
            <w:r>
              <w:rPr>
                <w:rFonts w:ascii="times new roman" w:hAnsi="times new roman"/>
                <w:sz w:val="20"/>
              </w:rPr>
              <w:t>Earnings (loss) from continuing operations – basic and diluted</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bottom"/>
          </w:tcPr>
          <w:p>
            <w:pPr>
              <w:pStyle w:val="TableContents"/>
              <w:spacing w:before="0" w:after="283"/>
              <w:ind w:left="198" w:right="0" w:hanging="0"/>
              <w:jc w:val="right"/>
              <w:rPr>
                <w:rFonts w:ascii="times new roman" w:hAnsi="times new roman"/>
                <w:sz w:val="20"/>
              </w:rPr>
            </w:pPr>
            <w:bookmarkStart w:id="2221" w:name="TAB11082"/>
            <w:bookmarkEnd w:id="2221"/>
            <w:r>
              <w:rPr>
                <w:rFonts w:ascii="times new roman" w:hAnsi="times new roman"/>
                <w:sz w:val="20"/>
              </w:rPr>
              <w:t>0.27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bottom"/>
          </w:tcPr>
          <w:p>
            <w:pPr>
              <w:pStyle w:val="TableContents"/>
              <w:spacing w:before="0" w:after="283"/>
              <w:ind w:left="198" w:right="0" w:hanging="0"/>
              <w:jc w:val="right"/>
              <w:rPr>
                <w:rFonts w:ascii="times new roman" w:hAnsi="times new roman"/>
                <w:sz w:val="20"/>
              </w:rPr>
            </w:pPr>
            <w:bookmarkStart w:id="2222" w:name="TAB11083"/>
            <w:bookmarkEnd w:id="2222"/>
            <w:r>
              <w:rPr>
                <w:rFonts w:ascii="times new roman" w:hAnsi="times new roman"/>
                <w:sz w:val="20"/>
              </w:rPr>
              <w:t>(0.75</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bottom"/>
          </w:tcPr>
          <w:p>
            <w:pPr>
              <w:pStyle w:val="TableContents"/>
              <w:spacing w:before="0" w:after="283"/>
              <w:ind w:left="198" w:right="0" w:hanging="0"/>
              <w:jc w:val="right"/>
              <w:rPr>
                <w:rFonts w:ascii="times new roman" w:hAnsi="times new roman"/>
                <w:sz w:val="20"/>
              </w:rPr>
            </w:pPr>
            <w:bookmarkStart w:id="2223" w:name="TAB11084"/>
            <w:bookmarkEnd w:id="2223"/>
            <w:r>
              <w:rPr>
                <w:rFonts w:ascii="times new roman" w:hAnsi="times new roman"/>
                <w:sz w:val="20"/>
              </w:rPr>
              <w:t>(0.18</w:t>
            </w:r>
          </w:p>
        </w:tc>
        <w:tc>
          <w:tcPr>
            <w:tcW w:w="12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54" w:type="dxa"/>
            <w:tcBorders>
              <w:bottom w:val="single" w:sz="12" w:space="0" w:color="000000"/>
            </w:tcBorders>
            <w:shd w:fill="FFFFFF" w:val="clear"/>
            <w:vAlign w:val="bottom"/>
          </w:tcPr>
          <w:p>
            <w:pPr>
              <w:pStyle w:val="TableContents"/>
              <w:spacing w:before="0" w:after="0"/>
              <w:ind w:left="147" w:right="0" w:hanging="0"/>
              <w:jc w:val="both"/>
              <w:rPr>
                <w:rFonts w:ascii="times new roman" w:hAnsi="times new roman"/>
                <w:sz w:val="20"/>
              </w:rPr>
            </w:pPr>
            <w:bookmarkStart w:id="2224" w:name="TAB11085"/>
            <w:bookmarkEnd w:id="2224"/>
            <w:r>
              <w:rPr>
                <w:rFonts w:ascii="times new roman" w:hAnsi="times new roman"/>
                <w:sz w:val="20"/>
              </w:rPr>
              <w:t>Earnings from discontinued operations – basic and diluted</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single" w:sz="12" w:space="0" w:color="000000"/>
            </w:tcBorders>
            <w:shd w:fill="FFFFFF" w:val="clear"/>
            <w:vAlign w:val="bottom"/>
          </w:tcPr>
          <w:p>
            <w:pPr>
              <w:pStyle w:val="TableContents"/>
              <w:spacing w:before="0" w:after="283"/>
              <w:ind w:left="198" w:right="0" w:hanging="0"/>
              <w:jc w:val="right"/>
              <w:rPr>
                <w:rFonts w:ascii="times new roman" w:hAnsi="times new roman"/>
                <w:sz w:val="20"/>
              </w:rPr>
            </w:pPr>
            <w:bookmarkStart w:id="2225" w:name="TAB11086"/>
            <w:bookmarkEnd w:id="2225"/>
            <w:r>
              <w:rPr>
                <w:rFonts w:ascii="times new roman" w:hAnsi="times new roman"/>
                <w:sz w:val="20"/>
              </w:rPr>
              <w:t>0.00</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single" w:sz="12" w:space="0" w:color="000000"/>
            </w:tcBorders>
            <w:shd w:fill="FFFFFF" w:val="clear"/>
            <w:vAlign w:val="bottom"/>
          </w:tcPr>
          <w:p>
            <w:pPr>
              <w:pStyle w:val="TableContents"/>
              <w:spacing w:before="0" w:after="283"/>
              <w:ind w:left="198" w:right="0" w:hanging="0"/>
              <w:jc w:val="right"/>
              <w:rPr>
                <w:rFonts w:ascii="times new roman" w:hAnsi="times new roman"/>
                <w:sz w:val="20"/>
              </w:rPr>
            </w:pPr>
            <w:bookmarkStart w:id="2226" w:name="TAB11087"/>
            <w:bookmarkEnd w:id="2226"/>
            <w:r>
              <w:rPr>
                <w:rFonts w:ascii="times new roman" w:hAnsi="times new roman"/>
                <w:sz w:val="20"/>
              </w:rPr>
              <w:t>0.00</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single" w:sz="12" w:space="0" w:color="000000"/>
            </w:tcBorders>
            <w:shd w:fill="FFFFFF" w:val="clear"/>
            <w:vAlign w:val="bottom"/>
          </w:tcPr>
          <w:p>
            <w:pPr>
              <w:pStyle w:val="TableContents"/>
              <w:spacing w:before="0" w:after="283"/>
              <w:ind w:left="198" w:right="0" w:hanging="0"/>
              <w:jc w:val="right"/>
              <w:rPr>
                <w:rFonts w:ascii="times new roman" w:hAnsi="times new roman"/>
                <w:sz w:val="20"/>
              </w:rPr>
            </w:pPr>
            <w:bookmarkStart w:id="2227" w:name="TAB11088"/>
            <w:bookmarkEnd w:id="2227"/>
            <w:r>
              <w:rPr>
                <w:rFonts w:ascii="times new roman" w:hAnsi="times new roman"/>
                <w:sz w:val="20"/>
              </w:rPr>
              <w:t>0.09</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5954" w:type="dxa"/>
            <w:tcBorders>
              <w:bottom w:val="double" w:sz="8" w:space="0" w:color="000000"/>
            </w:tcBorders>
            <w:shd w:fill="CCEEFF" w:val="clear"/>
            <w:vAlign w:val="bottom"/>
          </w:tcPr>
          <w:p>
            <w:pPr>
              <w:pStyle w:val="TableContents"/>
              <w:spacing w:before="0" w:after="0"/>
              <w:ind w:left="741" w:right="0" w:hanging="0"/>
              <w:jc w:val="both"/>
              <w:rPr>
                <w:rFonts w:ascii="times new roman" w:hAnsi="times new roman"/>
                <w:sz w:val="20"/>
              </w:rPr>
            </w:pPr>
            <w:bookmarkStart w:id="2228" w:name="TAB11089"/>
            <w:bookmarkEnd w:id="2228"/>
            <w:r>
              <w:rPr>
                <w:rFonts w:ascii="times new roman" w:hAnsi="times new roman"/>
                <w:sz w:val="20"/>
              </w:rPr>
              <w:t>Earnings (loss) per share – basic and diluted</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CCEEFF" w:val="clear"/>
            <w:vAlign w:val="bottom"/>
          </w:tcPr>
          <w:p>
            <w:pPr>
              <w:pStyle w:val="TableContents"/>
              <w:spacing w:before="0" w:after="283"/>
              <w:ind w:left="198" w:right="0" w:hanging="0"/>
              <w:jc w:val="right"/>
              <w:rPr>
                <w:rFonts w:ascii="times new roman" w:hAnsi="times new roman"/>
                <w:sz w:val="20"/>
              </w:rPr>
            </w:pPr>
            <w:bookmarkStart w:id="2229" w:name="TAB11090"/>
            <w:bookmarkEnd w:id="2229"/>
            <w:r>
              <w:rPr>
                <w:rFonts w:ascii="times new roman" w:hAnsi="times new roman"/>
                <w:sz w:val="20"/>
              </w:rPr>
              <w:t>0.27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CCEEFF" w:val="clear"/>
            <w:vAlign w:val="bottom"/>
          </w:tcPr>
          <w:p>
            <w:pPr>
              <w:pStyle w:val="TableContents"/>
              <w:spacing w:before="0" w:after="283"/>
              <w:ind w:left="198" w:right="0" w:hanging="0"/>
              <w:jc w:val="right"/>
              <w:rPr>
                <w:rFonts w:ascii="times new roman" w:hAnsi="times new roman"/>
                <w:sz w:val="20"/>
              </w:rPr>
            </w:pPr>
            <w:bookmarkStart w:id="2230" w:name="TAB11091"/>
            <w:bookmarkEnd w:id="2230"/>
            <w:r>
              <w:rPr>
                <w:rFonts w:ascii="times new roman" w:hAnsi="times new roman"/>
                <w:sz w:val="20"/>
              </w:rPr>
              <w:t>(0.75</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CCEEFF" w:val="clear"/>
            <w:vAlign w:val="bottom"/>
          </w:tcPr>
          <w:p>
            <w:pPr>
              <w:pStyle w:val="TableContents"/>
              <w:spacing w:before="0" w:after="283"/>
              <w:ind w:left="198" w:right="0" w:hanging="0"/>
              <w:jc w:val="right"/>
              <w:rPr>
                <w:rFonts w:ascii="times new roman" w:hAnsi="times new roman"/>
                <w:sz w:val="20"/>
              </w:rPr>
            </w:pPr>
            <w:bookmarkStart w:id="2231" w:name="TAB11092"/>
            <w:bookmarkEnd w:id="2231"/>
            <w:r>
              <w:rPr>
                <w:rFonts w:ascii="times new roman" w:hAnsi="times new roman"/>
                <w:sz w:val="20"/>
              </w:rPr>
              <w:t>(0.09</w:t>
            </w:r>
          </w:p>
        </w:tc>
        <w:tc>
          <w:tcPr>
            <w:tcW w:w="12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the year ended December 31, 2009, the weighted average common stock – dilutive only included 186,793 incremental shares of exercisable in-the-money stock options and unissued restricted Class A Stock.  For the years ended December 31, 2008 and 2007, we recorded losses from continuing operations.  As such, the incremental shares of 152,520 shares of restricted Class A Stock and 233,760 of exercisable in-the-money stock options in 2008 and the 278,376 of exercisable in-the-money stock options in 2007 were excluded from the computation of diluted loss per share because they were anti-dilutive in those periods.  In addition, 696,419, 529,190, and 484,574 of out-of-the-money stock options were excluded from the computation of diluted earnings (loss) per share for the years ended December 31, 2009, 20 08, and 2007, respectively.  The total number of in-the-money stock options, out-of-the-money stock options, and unissued restricted Class A Stock that could potentially dilute basic earnings per share is 883,212, 915,470, and 762,950, for the years ended December 31, 2009, 2008, and 2007, respectively.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32" w:name="PGBRK72"/>
      <w:bookmarkStart w:id="2233" w:name="PGBRK72"/>
      <w:bookmarkEnd w:id="2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4" w:name="FTR72"/>
      <w:bookmarkStart w:id="2235" w:name="FTR72"/>
      <w:bookmarkEnd w:id="2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36" w:name="GLFTR72"/>
      <w:bookmarkEnd w:id="2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237" w:name="PN72"/>
      <w:bookmarkEnd w:id="2237"/>
      <w:r>
        <w:rPr>
          <w:rFonts w:eastAsia="Times New Roman" w:cs="Times New Roman" w:ascii="Times New Roman" w:hAnsi="Times New Roman"/>
          <w:sz w:val="20"/>
          <w:szCs w:val="20"/>
        </w:rPr>
        <w:t>-72-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238" w:name="HDR72"/>
      <w:bookmarkStart w:id="2239" w:name="HDR72"/>
      <w:bookmarkEnd w:id="2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240" w:name="GLHDR72"/>
        <w:bookmarkEnd w:id="224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5 – Prepaid and Other Assets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Prepaid and other assets are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33"/>
        <w:gridCol w:w="109"/>
        <w:gridCol w:w="125"/>
        <w:gridCol w:w="1001"/>
        <w:gridCol w:w="109"/>
        <w:gridCol w:w="109"/>
        <w:gridCol w:w="125"/>
        <w:gridCol w:w="976"/>
        <w:gridCol w:w="118"/>
      </w:tblGrid>
      <w:tr>
        <w:trPr/>
        <w:tc>
          <w:tcPr>
            <w:tcW w:w="7533"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4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8" w:type="dxa"/>
            <w:tcBorders/>
            <w:shd w:fill="auto" w:val="clear"/>
            <w:vAlign w:val="bottom"/>
          </w:tcPr>
          <w:p>
            <w:pPr>
              <w:pStyle w:val="TableContents"/>
              <w:spacing w:before="0" w:after="283"/>
              <w:jc w:val="left"/>
              <w:rPr/>
            </w:pPr>
            <w:r>
              <w:rPr/>
              <w:t> </w:t>
            </w:r>
          </w:p>
        </w:tc>
      </w:tr>
      <w:tr>
        <w:trPr/>
        <w:tc>
          <w:tcPr>
            <w:tcW w:w="7533"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2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0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8" w:type="dxa"/>
            <w:tcBorders/>
            <w:shd w:fill="auto" w:val="clear"/>
            <w:vAlign w:val="bottom"/>
          </w:tcPr>
          <w:p>
            <w:pPr>
              <w:pStyle w:val="TableContents"/>
              <w:spacing w:before="0" w:after="283"/>
              <w:jc w:val="left"/>
              <w:rPr/>
            </w:pPr>
            <w:r>
              <w:rPr/>
              <w:t> </w:t>
            </w:r>
          </w:p>
        </w:tc>
      </w:tr>
      <w:tr>
        <w:trPr/>
        <w:tc>
          <w:tcPr>
            <w:tcW w:w="7533"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Prepaid and other current assets</w:t>
            </w:r>
          </w:p>
        </w:tc>
        <w:tc>
          <w:tcPr>
            <w:tcW w:w="109" w:type="dxa"/>
            <w:tcBorders/>
            <w:shd w:fill="auto" w:val="clear"/>
            <w:vAlign w:val="bottom"/>
          </w:tcPr>
          <w:p>
            <w:pPr>
              <w:pStyle w:val="TableContents"/>
              <w:spacing w:before="0" w:after="283"/>
              <w:rPr/>
            </w:pPr>
            <w:r>
              <w:rPr/>
              <w:t> </w:t>
            </w:r>
          </w:p>
        </w:tc>
        <w:tc>
          <w:tcPr>
            <w:tcW w:w="112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01"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7533" w:type="dxa"/>
            <w:tcBorders/>
            <w:shd w:fill="CCEEFF" w:val="clear"/>
            <w:vAlign w:val="bottom"/>
          </w:tcPr>
          <w:p>
            <w:pPr>
              <w:pStyle w:val="TableContents"/>
              <w:spacing w:before="0" w:after="0"/>
              <w:ind w:left="107" w:right="0" w:hanging="0"/>
              <w:jc w:val="both"/>
              <w:rPr>
                <w:rFonts w:ascii="times new roman" w:hAnsi="times new roman"/>
                <w:sz w:val="20"/>
              </w:rPr>
            </w:pPr>
            <w:bookmarkStart w:id="2241" w:name="TAB11093"/>
            <w:bookmarkEnd w:id="2241"/>
            <w:r>
              <w:rPr>
                <w:rFonts w:ascii="times new roman" w:hAnsi="times new roman"/>
                <w:sz w:val="20"/>
              </w:rPr>
              <w:t>Prepaid expenses</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ind w:left="162" w:right="0" w:hanging="0"/>
              <w:jc w:val="right"/>
              <w:rPr>
                <w:rFonts w:ascii="times new roman" w:hAnsi="times new roman"/>
                <w:sz w:val="20"/>
              </w:rPr>
            </w:pPr>
            <w:bookmarkStart w:id="2242" w:name="TAB11094"/>
            <w:bookmarkEnd w:id="2242"/>
            <w:r>
              <w:rPr>
                <w:rFonts w:ascii="times new roman" w:hAnsi="times new roman"/>
                <w:sz w:val="20"/>
              </w:rPr>
              <w:t>1,333</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ind w:left="162" w:right="0" w:hanging="0"/>
              <w:jc w:val="right"/>
              <w:rPr>
                <w:rFonts w:ascii="times new roman" w:hAnsi="times new roman"/>
                <w:sz w:val="20"/>
              </w:rPr>
            </w:pPr>
            <w:bookmarkStart w:id="2243" w:name="TAB11095"/>
            <w:bookmarkEnd w:id="2243"/>
            <w:r>
              <w:rPr>
                <w:rFonts w:ascii="times new roman" w:hAnsi="times new roman"/>
                <w:sz w:val="20"/>
              </w:rPr>
              <w:t>518</w:t>
            </w:r>
          </w:p>
        </w:tc>
        <w:tc>
          <w:tcPr>
            <w:tcW w:w="118" w:type="dxa"/>
            <w:tcBorders/>
            <w:shd w:fill="CCEEFF" w:val="clear"/>
            <w:vAlign w:val="bottom"/>
          </w:tcPr>
          <w:p>
            <w:pPr>
              <w:pStyle w:val="TableContents"/>
              <w:spacing w:before="0" w:after="283"/>
              <w:jc w:val="left"/>
              <w:rPr/>
            </w:pPr>
            <w:r>
              <w:rPr/>
              <w:t> </w:t>
            </w:r>
          </w:p>
        </w:tc>
      </w:tr>
      <w:tr>
        <w:trPr/>
        <w:tc>
          <w:tcPr>
            <w:tcW w:w="7533" w:type="dxa"/>
            <w:tcBorders/>
            <w:shd w:fill="FFFFFF" w:val="clear"/>
            <w:vAlign w:val="bottom"/>
          </w:tcPr>
          <w:p>
            <w:pPr>
              <w:pStyle w:val="TableContents"/>
              <w:spacing w:before="0" w:after="0"/>
              <w:ind w:left="107" w:right="0" w:hanging="0"/>
              <w:jc w:val="both"/>
              <w:rPr>
                <w:rFonts w:ascii="times new roman" w:hAnsi="times new roman"/>
                <w:sz w:val="20"/>
              </w:rPr>
            </w:pPr>
            <w:bookmarkStart w:id="2244" w:name="TAB11096"/>
            <w:bookmarkEnd w:id="2244"/>
            <w:r>
              <w:rPr>
                <w:rFonts w:ascii="times new roman" w:hAnsi="times new roman"/>
                <w:sz w:val="20"/>
              </w:rPr>
              <w:t>Prepaid taxes</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686</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546</w:t>
            </w:r>
          </w:p>
        </w:tc>
        <w:tc>
          <w:tcPr>
            <w:tcW w:w="118" w:type="dxa"/>
            <w:tcBorders/>
            <w:shd w:fill="FFFFFF" w:val="clear"/>
            <w:vAlign w:val="bottom"/>
          </w:tcPr>
          <w:p>
            <w:pPr>
              <w:pStyle w:val="TableContents"/>
              <w:spacing w:before="0" w:after="283"/>
              <w:jc w:val="left"/>
              <w:rPr/>
            </w:pPr>
            <w:r>
              <w:rPr/>
              <w:t> </w:t>
            </w:r>
          </w:p>
        </w:tc>
      </w:tr>
      <w:tr>
        <w:trPr/>
        <w:tc>
          <w:tcPr>
            <w:tcW w:w="7533" w:type="dxa"/>
            <w:tcBorders/>
            <w:shd w:fill="CCEEFF" w:val="clear"/>
            <w:vAlign w:val="bottom"/>
          </w:tcPr>
          <w:p>
            <w:pPr>
              <w:pStyle w:val="TableContents"/>
              <w:spacing w:before="0" w:after="0"/>
              <w:ind w:left="107" w:right="0" w:hanging="0"/>
              <w:jc w:val="both"/>
              <w:rPr>
                <w:rFonts w:ascii="times new roman" w:hAnsi="times new roman"/>
                <w:sz w:val="20"/>
              </w:rPr>
            </w:pPr>
            <w:bookmarkStart w:id="2245" w:name="TAB11097"/>
            <w:bookmarkEnd w:id="2245"/>
            <w:r>
              <w:rPr>
                <w:rFonts w:ascii="times new roman" w:hAnsi="times new roman"/>
                <w:sz w:val="20"/>
              </w:rPr>
              <w:t>Deposits</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118" w:type="dxa"/>
            <w:tcBorders/>
            <w:shd w:fill="CCEEFF" w:val="clear"/>
            <w:vAlign w:val="bottom"/>
          </w:tcPr>
          <w:p>
            <w:pPr>
              <w:pStyle w:val="TableContents"/>
              <w:spacing w:before="0" w:after="283"/>
              <w:jc w:val="left"/>
              <w:rPr/>
            </w:pPr>
            <w:r>
              <w:rPr/>
              <w:t> </w:t>
            </w:r>
          </w:p>
        </w:tc>
      </w:tr>
      <w:tr>
        <w:trPr/>
        <w:tc>
          <w:tcPr>
            <w:tcW w:w="7533" w:type="dxa"/>
            <w:tcBorders>
              <w:bottom w:val="single" w:sz="12" w:space="0" w:color="000000"/>
            </w:tcBorders>
            <w:shd w:fill="FFFFFF" w:val="clear"/>
            <w:tcMar>
              <w:bottom w:w="28" w:type="dxa"/>
            </w:tcMar>
            <w:vAlign w:val="bottom"/>
          </w:tcPr>
          <w:p>
            <w:pPr>
              <w:pStyle w:val="TableContents"/>
              <w:spacing w:before="0" w:after="0"/>
              <w:ind w:left="107" w:right="0" w:hanging="0"/>
              <w:jc w:val="both"/>
              <w:rPr>
                <w:rFonts w:ascii="times new roman" w:hAnsi="times new roman"/>
                <w:sz w:val="20"/>
              </w:rPr>
            </w:pPr>
            <w:bookmarkStart w:id="2246" w:name="TAB11098"/>
            <w:bookmarkEnd w:id="2246"/>
            <w:r>
              <w:rPr>
                <w:rFonts w:ascii="times new roman" w:hAnsi="times new roman"/>
                <w:sz w:val="20"/>
              </w:rPr>
              <w:t>Other</w:t>
            </w:r>
          </w:p>
        </w:tc>
        <w:tc>
          <w:tcPr>
            <w:tcW w:w="109"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913</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953</w:t>
            </w:r>
          </w:p>
        </w:tc>
        <w:tc>
          <w:tcPr>
            <w:tcW w:w="118" w:type="dxa"/>
            <w:tcBorders/>
            <w:shd w:fill="FFFFFF" w:val="clear"/>
            <w:vAlign w:val="bottom"/>
          </w:tcPr>
          <w:p>
            <w:pPr>
              <w:pStyle w:val="TableContents"/>
              <w:spacing w:before="0" w:after="283"/>
              <w:jc w:val="left"/>
              <w:rPr/>
            </w:pPr>
            <w:r>
              <w:rPr/>
              <w:t> </w:t>
            </w:r>
          </w:p>
        </w:tc>
      </w:tr>
      <w:tr>
        <w:trPr/>
        <w:tc>
          <w:tcPr>
            <w:tcW w:w="7533" w:type="dxa"/>
            <w:tcBorders>
              <w:bottom w:val="double" w:sz="8" w:space="0" w:color="000000"/>
            </w:tcBorders>
            <w:shd w:fill="CCEEFF" w:val="clear"/>
            <w:tcMar>
              <w:bottom w:w="28" w:type="dxa"/>
            </w:tcMar>
            <w:vAlign w:val="bottom"/>
          </w:tcPr>
          <w:p>
            <w:pPr>
              <w:pStyle w:val="TableContents"/>
              <w:spacing w:before="0" w:after="0"/>
              <w:ind w:left="720" w:right="0" w:hanging="0"/>
              <w:jc w:val="both"/>
              <w:rPr>
                <w:rFonts w:ascii="times new roman" w:hAnsi="times new roman"/>
                <w:sz w:val="20"/>
              </w:rPr>
            </w:pPr>
            <w:bookmarkStart w:id="2247" w:name="TAB11099"/>
            <w:bookmarkEnd w:id="2247"/>
            <w:r>
              <w:rPr>
                <w:rFonts w:ascii="times new roman" w:hAnsi="times new roman"/>
                <w:sz w:val="20"/>
              </w:rPr>
              <w:t>Total prepaid and other current assets</w:t>
            </w:r>
          </w:p>
        </w:tc>
        <w:tc>
          <w:tcPr>
            <w:tcW w:w="109"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2248" w:name="TAB11100"/>
            <w:bookmarkEnd w:id="2248"/>
            <w:r>
              <w:rPr>
                <w:rFonts w:ascii="times new roman" w:hAnsi="times new roman"/>
                <w:sz w:val="20"/>
              </w:rPr>
              <w:t>3,078</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2249" w:name="TAB11101"/>
            <w:bookmarkEnd w:id="2249"/>
            <w:r>
              <w:rPr>
                <w:rFonts w:ascii="times new roman" w:hAnsi="times new roman"/>
                <w:sz w:val="20"/>
              </w:rPr>
              <w:t>2,324</w:t>
            </w:r>
          </w:p>
        </w:tc>
        <w:tc>
          <w:tcPr>
            <w:tcW w:w="118" w:type="dxa"/>
            <w:tcBorders/>
            <w:shd w:fill="CCEEFF" w:val="clear"/>
            <w:vAlign w:val="bottom"/>
          </w:tcPr>
          <w:p>
            <w:pPr>
              <w:pStyle w:val="TableContents"/>
              <w:spacing w:before="0" w:after="283"/>
              <w:jc w:val="left"/>
              <w:rPr/>
            </w:pPr>
            <w:r>
              <w:rPr/>
              <w:t> </w:t>
            </w:r>
          </w:p>
        </w:tc>
      </w:tr>
      <w:tr>
        <w:trPr/>
        <w:tc>
          <w:tcPr>
            <w:tcW w:w="7533"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7533"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Other non-current assets</w:t>
            </w:r>
          </w:p>
        </w:tc>
        <w:tc>
          <w:tcPr>
            <w:tcW w:w="109"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7533" w:type="dxa"/>
            <w:tcBorders/>
            <w:shd w:fill="CCEEFF" w:val="clear"/>
            <w:vAlign w:val="bottom"/>
          </w:tcPr>
          <w:p>
            <w:pPr>
              <w:pStyle w:val="TableContents"/>
              <w:spacing w:before="0" w:after="0"/>
              <w:ind w:left="107" w:right="0" w:hanging="0"/>
              <w:jc w:val="both"/>
              <w:rPr>
                <w:rFonts w:ascii="times new roman" w:hAnsi="times new roman"/>
                <w:sz w:val="20"/>
              </w:rPr>
            </w:pPr>
            <w:bookmarkStart w:id="2250" w:name="TAB11102"/>
            <w:bookmarkEnd w:id="2250"/>
            <w:r>
              <w:rPr>
                <w:rFonts w:ascii="times new roman" w:hAnsi="times new roman"/>
                <w:sz w:val="20"/>
              </w:rPr>
              <w:t>Other non-cinema and non-rental real estate assets</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ind w:left="162" w:right="0" w:hanging="0"/>
              <w:jc w:val="right"/>
              <w:rPr>
                <w:rFonts w:ascii="times new roman" w:hAnsi="times new roman"/>
                <w:sz w:val="20"/>
              </w:rPr>
            </w:pPr>
            <w:bookmarkStart w:id="2251" w:name="TAB11103"/>
            <w:bookmarkEnd w:id="2251"/>
            <w:r>
              <w:rPr>
                <w:rFonts w:ascii="times new roman" w:hAnsi="times new roman"/>
                <w:sz w:val="20"/>
              </w:rPr>
              <w:t>1,134</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ind w:left="162" w:right="0" w:hanging="0"/>
              <w:jc w:val="right"/>
              <w:rPr>
                <w:rFonts w:ascii="times new roman" w:hAnsi="times new roman"/>
                <w:sz w:val="20"/>
              </w:rPr>
            </w:pPr>
            <w:bookmarkStart w:id="2252" w:name="TAB11104"/>
            <w:bookmarkEnd w:id="2252"/>
            <w:r>
              <w:rPr>
                <w:rFonts w:ascii="times new roman" w:hAnsi="times new roman"/>
                <w:sz w:val="20"/>
              </w:rPr>
              <w:t>1,140</w:t>
            </w:r>
          </w:p>
        </w:tc>
        <w:tc>
          <w:tcPr>
            <w:tcW w:w="118" w:type="dxa"/>
            <w:tcBorders/>
            <w:shd w:fill="CCEEFF" w:val="clear"/>
            <w:vAlign w:val="bottom"/>
          </w:tcPr>
          <w:p>
            <w:pPr>
              <w:pStyle w:val="TableContents"/>
              <w:spacing w:before="0" w:after="283"/>
              <w:jc w:val="left"/>
              <w:rPr/>
            </w:pPr>
            <w:r>
              <w:rPr/>
              <w:t> </w:t>
            </w:r>
          </w:p>
        </w:tc>
      </w:tr>
      <w:tr>
        <w:trPr/>
        <w:tc>
          <w:tcPr>
            <w:tcW w:w="7533" w:type="dxa"/>
            <w:tcBorders/>
            <w:shd w:fill="FFFFFF" w:val="clear"/>
            <w:vAlign w:val="bottom"/>
          </w:tcPr>
          <w:p>
            <w:pPr>
              <w:pStyle w:val="TableContents"/>
              <w:spacing w:before="0" w:after="0"/>
              <w:ind w:left="107" w:right="0" w:hanging="0"/>
              <w:jc w:val="both"/>
              <w:rPr>
                <w:rFonts w:ascii="times new roman" w:hAnsi="times new roman"/>
                <w:sz w:val="20"/>
              </w:rPr>
            </w:pPr>
            <w:bookmarkStart w:id="2253" w:name="TAB11105"/>
            <w:bookmarkEnd w:id="2253"/>
            <w:r>
              <w:rPr>
                <w:rFonts w:ascii="times new roman" w:hAnsi="times new roman"/>
                <w:sz w:val="20"/>
              </w:rPr>
              <w:t>Long-term deposits</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269</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18" w:type="dxa"/>
            <w:tcBorders/>
            <w:shd w:fill="FFFFFF" w:val="clear"/>
            <w:vAlign w:val="bottom"/>
          </w:tcPr>
          <w:p>
            <w:pPr>
              <w:pStyle w:val="TableContents"/>
              <w:spacing w:before="0" w:after="283"/>
              <w:jc w:val="left"/>
              <w:rPr/>
            </w:pPr>
            <w:r>
              <w:rPr/>
              <w:t> </w:t>
            </w:r>
          </w:p>
        </w:tc>
      </w:tr>
      <w:tr>
        <w:trPr/>
        <w:tc>
          <w:tcPr>
            <w:tcW w:w="7533" w:type="dxa"/>
            <w:tcBorders/>
            <w:shd w:fill="CCEEFF" w:val="clear"/>
            <w:vAlign w:val="bottom"/>
          </w:tcPr>
          <w:p>
            <w:pPr>
              <w:pStyle w:val="TableContents"/>
              <w:spacing w:before="0" w:after="0"/>
              <w:ind w:left="107" w:right="0" w:hanging="0"/>
              <w:jc w:val="both"/>
              <w:rPr>
                <w:rFonts w:ascii="times new roman" w:hAnsi="times new roman"/>
                <w:sz w:val="20"/>
              </w:rPr>
            </w:pPr>
            <w:bookmarkStart w:id="2254" w:name="TAB11106"/>
            <w:bookmarkEnd w:id="2254"/>
            <w:r>
              <w:rPr>
                <w:rFonts w:ascii="times new roman" w:hAnsi="times new roman"/>
                <w:sz w:val="20"/>
              </w:rPr>
              <w:t>Deferred financing costs, net</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3,661</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5,773</w:t>
            </w:r>
          </w:p>
        </w:tc>
        <w:tc>
          <w:tcPr>
            <w:tcW w:w="118" w:type="dxa"/>
            <w:tcBorders/>
            <w:shd w:fill="CCEEFF" w:val="clear"/>
            <w:vAlign w:val="bottom"/>
          </w:tcPr>
          <w:p>
            <w:pPr>
              <w:pStyle w:val="TableContents"/>
              <w:spacing w:before="0" w:after="283"/>
              <w:jc w:val="left"/>
              <w:rPr/>
            </w:pPr>
            <w:r>
              <w:rPr/>
              <w:t> </w:t>
            </w:r>
          </w:p>
        </w:tc>
      </w:tr>
      <w:tr>
        <w:trPr/>
        <w:tc>
          <w:tcPr>
            <w:tcW w:w="7533" w:type="dxa"/>
            <w:tcBorders/>
            <w:shd w:fill="FFFFFF" w:val="clear"/>
            <w:vAlign w:val="bottom"/>
          </w:tcPr>
          <w:p>
            <w:pPr>
              <w:pStyle w:val="TableContents"/>
              <w:spacing w:before="0" w:after="0"/>
              <w:ind w:left="107" w:right="0" w:hanging="0"/>
              <w:jc w:val="both"/>
              <w:rPr>
                <w:rFonts w:ascii="times new roman" w:hAnsi="times new roman"/>
                <w:sz w:val="20"/>
              </w:rPr>
            </w:pPr>
            <w:bookmarkStart w:id="2255" w:name="TAB11107"/>
            <w:bookmarkEnd w:id="2255"/>
            <w:r>
              <w:rPr>
                <w:rFonts w:ascii="times new roman" w:hAnsi="times new roman"/>
                <w:sz w:val="20"/>
              </w:rPr>
              <w:t>Interest rate swap at fair value</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766</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r>
      <w:tr>
        <w:trPr/>
        <w:tc>
          <w:tcPr>
            <w:tcW w:w="7533" w:type="dxa"/>
            <w:tcBorders/>
            <w:shd w:fill="CCEEFF" w:val="clear"/>
            <w:vAlign w:val="bottom"/>
          </w:tcPr>
          <w:p>
            <w:pPr>
              <w:pStyle w:val="TableContents"/>
              <w:spacing w:before="0" w:after="0"/>
              <w:ind w:left="107" w:right="0" w:hanging="0"/>
              <w:jc w:val="both"/>
              <w:rPr>
                <w:rFonts w:ascii="times new roman" w:hAnsi="times new roman"/>
                <w:sz w:val="20"/>
              </w:rPr>
            </w:pPr>
            <w:bookmarkStart w:id="2256" w:name="TAB11108"/>
            <w:bookmarkEnd w:id="2256"/>
            <w:r>
              <w:rPr>
                <w:rFonts w:ascii="times new roman" w:hAnsi="times new roman"/>
                <w:sz w:val="20"/>
              </w:rPr>
              <w:t>Other receivables</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1,586</w:t>
            </w:r>
          </w:p>
        </w:tc>
        <w:tc>
          <w:tcPr>
            <w:tcW w:w="118" w:type="dxa"/>
            <w:tcBorders/>
            <w:shd w:fill="CCEEFF" w:val="clear"/>
            <w:vAlign w:val="bottom"/>
          </w:tcPr>
          <w:p>
            <w:pPr>
              <w:pStyle w:val="TableContents"/>
              <w:spacing w:before="0" w:after="283"/>
              <w:jc w:val="left"/>
              <w:rPr/>
            </w:pPr>
            <w:r>
              <w:rPr/>
              <w:t> </w:t>
            </w:r>
          </w:p>
        </w:tc>
      </w:tr>
      <w:tr>
        <w:trPr/>
        <w:tc>
          <w:tcPr>
            <w:tcW w:w="7533" w:type="dxa"/>
            <w:tcBorders/>
            <w:shd w:fill="FFFFFF" w:val="clear"/>
            <w:vAlign w:val="bottom"/>
          </w:tcPr>
          <w:p>
            <w:pPr>
              <w:pStyle w:val="TableContents"/>
              <w:spacing w:before="0" w:after="0"/>
              <w:ind w:left="107" w:right="0" w:hanging="0"/>
              <w:jc w:val="both"/>
              <w:rPr>
                <w:rFonts w:ascii="times new roman" w:hAnsi="times new roman"/>
                <w:sz w:val="20"/>
              </w:rPr>
            </w:pPr>
            <w:bookmarkStart w:id="2257" w:name="TAB11109"/>
            <w:bookmarkEnd w:id="2257"/>
            <w:r>
              <w:rPr>
                <w:rFonts w:ascii="times new roman" w:hAnsi="times new roman"/>
                <w:sz w:val="20"/>
              </w:rPr>
              <w:t>Tenant inducement asset</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1,135</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18" w:type="dxa"/>
            <w:tcBorders/>
            <w:shd w:fill="FFFFFF" w:val="clear"/>
            <w:vAlign w:val="bottom"/>
          </w:tcPr>
          <w:p>
            <w:pPr>
              <w:pStyle w:val="TableContents"/>
              <w:spacing w:before="0" w:after="283"/>
              <w:jc w:val="left"/>
              <w:rPr/>
            </w:pPr>
            <w:r>
              <w:rPr/>
              <w:t> </w:t>
            </w:r>
          </w:p>
        </w:tc>
      </w:tr>
      <w:tr>
        <w:trPr/>
        <w:tc>
          <w:tcPr>
            <w:tcW w:w="7533" w:type="dxa"/>
            <w:tcBorders/>
            <w:shd w:fill="CCEEFF" w:val="clear"/>
            <w:vAlign w:val="bottom"/>
          </w:tcPr>
          <w:p>
            <w:pPr>
              <w:pStyle w:val="TableContents"/>
              <w:spacing w:before="0" w:after="0"/>
              <w:ind w:left="107" w:right="0" w:hanging="0"/>
              <w:jc w:val="both"/>
              <w:rPr>
                <w:rFonts w:ascii="times new roman" w:hAnsi="times new roman"/>
                <w:sz w:val="20"/>
              </w:rPr>
            </w:pPr>
            <w:bookmarkStart w:id="2258" w:name="TAB11110"/>
            <w:bookmarkEnd w:id="2258"/>
            <w:r>
              <w:rPr>
                <w:rFonts w:ascii="times new roman" w:hAnsi="times new roman"/>
                <w:sz w:val="20"/>
              </w:rPr>
              <w:t>Straight-line rent asset</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1,074</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w:t>
            </w:r>
          </w:p>
        </w:tc>
        <w:tc>
          <w:tcPr>
            <w:tcW w:w="118" w:type="dxa"/>
            <w:tcBorders/>
            <w:shd w:fill="CCEEFF" w:val="clear"/>
            <w:vAlign w:val="bottom"/>
          </w:tcPr>
          <w:p>
            <w:pPr>
              <w:pStyle w:val="TableContents"/>
              <w:spacing w:before="0" w:after="283"/>
              <w:jc w:val="left"/>
              <w:rPr/>
            </w:pPr>
            <w:r>
              <w:rPr/>
              <w:t> </w:t>
            </w:r>
          </w:p>
        </w:tc>
      </w:tr>
      <w:tr>
        <w:trPr/>
        <w:tc>
          <w:tcPr>
            <w:tcW w:w="7533" w:type="dxa"/>
            <w:tcBorders>
              <w:bottom w:val="single" w:sz="12" w:space="0" w:color="000000"/>
            </w:tcBorders>
            <w:shd w:fill="FFFFFF" w:val="clear"/>
            <w:tcMar>
              <w:bottom w:w="28" w:type="dxa"/>
            </w:tcMar>
            <w:vAlign w:val="bottom"/>
          </w:tcPr>
          <w:p>
            <w:pPr>
              <w:pStyle w:val="TableContents"/>
              <w:spacing w:before="0" w:after="0"/>
              <w:ind w:left="107" w:right="0" w:hanging="0"/>
              <w:jc w:val="both"/>
              <w:rPr>
                <w:rFonts w:ascii="times new roman" w:hAnsi="times new roman"/>
                <w:sz w:val="20"/>
              </w:rPr>
            </w:pPr>
            <w:bookmarkStart w:id="2259" w:name="TAB11111"/>
            <w:bookmarkEnd w:id="2259"/>
            <w:r>
              <w:rPr>
                <w:rFonts w:ascii="times new roman" w:hAnsi="times new roman"/>
                <w:sz w:val="20"/>
              </w:rPr>
              <w:t>Other</w:t>
            </w:r>
          </w:p>
        </w:tc>
        <w:tc>
          <w:tcPr>
            <w:tcW w:w="109"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18" w:type="dxa"/>
            <w:tcBorders/>
            <w:shd w:fill="FFFFFF" w:val="clear"/>
            <w:vAlign w:val="bottom"/>
          </w:tcPr>
          <w:p>
            <w:pPr>
              <w:pStyle w:val="TableContents"/>
              <w:spacing w:before="0" w:after="283"/>
              <w:jc w:val="left"/>
              <w:rPr/>
            </w:pPr>
            <w:r>
              <w:rPr/>
              <w:t> </w:t>
            </w:r>
          </w:p>
        </w:tc>
      </w:tr>
      <w:tr>
        <w:trPr/>
        <w:tc>
          <w:tcPr>
            <w:tcW w:w="7533" w:type="dxa"/>
            <w:tcBorders>
              <w:bottom w:val="double" w:sz="8" w:space="0" w:color="000000"/>
            </w:tcBorders>
            <w:shd w:fill="CCEEFF" w:val="clear"/>
            <w:tcMar>
              <w:bottom w:w="28" w:type="dxa"/>
            </w:tcMar>
            <w:vAlign w:val="bottom"/>
          </w:tcPr>
          <w:p>
            <w:pPr>
              <w:pStyle w:val="TableContents"/>
              <w:spacing w:before="0" w:after="0"/>
              <w:ind w:left="720" w:right="0" w:hanging="0"/>
              <w:jc w:val="both"/>
              <w:rPr>
                <w:rFonts w:ascii="times new roman" w:hAnsi="times new roman"/>
                <w:sz w:val="20"/>
              </w:rPr>
            </w:pPr>
            <w:bookmarkStart w:id="2260" w:name="TAB11112"/>
            <w:bookmarkEnd w:id="2260"/>
            <w:r>
              <w:rPr>
                <w:rFonts w:ascii="times new roman" w:hAnsi="times new roman"/>
                <w:sz w:val="20"/>
              </w:rPr>
              <w:t>Total non-current assets</w:t>
            </w:r>
          </w:p>
        </w:tc>
        <w:tc>
          <w:tcPr>
            <w:tcW w:w="109"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2261" w:name="TAB11113"/>
            <w:bookmarkEnd w:id="2261"/>
            <w:r>
              <w:rPr>
                <w:rFonts w:ascii="times new roman" w:hAnsi="times new roman"/>
                <w:sz w:val="20"/>
              </w:rPr>
              <w:t>14,907</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2262" w:name="TAB11114"/>
            <w:bookmarkEnd w:id="2262"/>
            <w:r>
              <w:rPr>
                <w:rFonts w:ascii="times new roman" w:hAnsi="times new roman"/>
                <w:sz w:val="20"/>
              </w:rPr>
              <w:t>9,301</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6 – Property Held For and Under Development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Property held for and under development is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23"/>
        <w:gridCol w:w="108"/>
        <w:gridCol w:w="127"/>
        <w:gridCol w:w="993"/>
        <w:gridCol w:w="108"/>
        <w:gridCol w:w="108"/>
        <w:gridCol w:w="127"/>
        <w:gridCol w:w="993"/>
        <w:gridCol w:w="118"/>
      </w:tblGrid>
      <w:tr>
        <w:trPr/>
        <w:tc>
          <w:tcPr>
            <w:tcW w:w="7523"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45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8" w:type="dxa"/>
            <w:tcBorders/>
            <w:shd w:fill="auto" w:val="clear"/>
            <w:vAlign w:val="bottom"/>
          </w:tcPr>
          <w:p>
            <w:pPr>
              <w:pStyle w:val="TableContents"/>
              <w:spacing w:before="0" w:after="283"/>
              <w:jc w:val="left"/>
              <w:rPr/>
            </w:pPr>
            <w:r>
              <w:rPr/>
              <w:t> </w:t>
            </w:r>
          </w:p>
        </w:tc>
      </w:tr>
      <w:tr>
        <w:trPr/>
        <w:tc>
          <w:tcPr>
            <w:tcW w:w="7523"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2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2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8" w:type="dxa"/>
            <w:tcBorders/>
            <w:shd w:fill="auto" w:val="clear"/>
            <w:vAlign w:val="bottom"/>
          </w:tcPr>
          <w:p>
            <w:pPr>
              <w:pStyle w:val="TableContents"/>
              <w:spacing w:before="0" w:after="283"/>
              <w:jc w:val="left"/>
              <w:rPr/>
            </w:pPr>
            <w:r>
              <w:rPr/>
              <w:t> </w:t>
            </w:r>
          </w:p>
        </w:tc>
      </w:tr>
      <w:tr>
        <w:trPr/>
        <w:tc>
          <w:tcPr>
            <w:tcW w:w="7523"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Land</w:t>
            </w:r>
          </w:p>
        </w:tc>
        <w:tc>
          <w:tcPr>
            <w:tcW w:w="108"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ind w:left="162" w:right="0" w:hanging="0"/>
              <w:jc w:val="right"/>
              <w:rPr>
                <w:rFonts w:ascii="times new roman" w:hAnsi="times new roman"/>
                <w:sz w:val="20"/>
              </w:rPr>
            </w:pPr>
            <w:bookmarkStart w:id="2263" w:name="TAB11115"/>
            <w:bookmarkEnd w:id="2263"/>
            <w:r>
              <w:rPr>
                <w:rFonts w:ascii="times new roman" w:hAnsi="times new roman"/>
                <w:sz w:val="20"/>
              </w:rPr>
              <w:t>45,629</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ind w:left="162" w:right="0" w:hanging="0"/>
              <w:jc w:val="right"/>
              <w:rPr>
                <w:rFonts w:ascii="times new roman" w:hAnsi="times new roman"/>
                <w:sz w:val="20"/>
              </w:rPr>
            </w:pPr>
            <w:bookmarkStart w:id="2264" w:name="TAB11116"/>
            <w:bookmarkEnd w:id="2264"/>
            <w:r>
              <w:rPr>
                <w:rFonts w:ascii="times new roman" w:hAnsi="times new roman"/>
                <w:sz w:val="20"/>
              </w:rPr>
              <w:t>37,383</w:t>
            </w:r>
          </w:p>
        </w:tc>
        <w:tc>
          <w:tcPr>
            <w:tcW w:w="118" w:type="dxa"/>
            <w:tcBorders/>
            <w:shd w:fill="CCEEFF" w:val="clear"/>
            <w:vAlign w:val="bottom"/>
          </w:tcPr>
          <w:p>
            <w:pPr>
              <w:pStyle w:val="TableContents"/>
              <w:spacing w:before="0" w:after="283"/>
              <w:jc w:val="left"/>
              <w:rPr/>
            </w:pPr>
            <w:r>
              <w:rPr/>
              <w:t> </w:t>
            </w:r>
          </w:p>
        </w:tc>
      </w:tr>
      <w:tr>
        <w:trPr/>
        <w:tc>
          <w:tcPr>
            <w:tcW w:w="7523" w:type="dxa"/>
            <w:tcBorders>
              <w:bottom w:val="single" w:sz="12" w:space="0" w:color="000000"/>
            </w:tcBorders>
            <w:shd w:fill="FFFFFF" w:val="clear"/>
            <w:tcMar>
              <w:bottom w:w="28"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Construction-in-progress (including capitalized interest)</w:t>
            </w:r>
          </w:p>
        </w:tc>
        <w:tc>
          <w:tcPr>
            <w:tcW w:w="108"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33,047</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31,633</w:t>
            </w:r>
          </w:p>
        </w:tc>
        <w:tc>
          <w:tcPr>
            <w:tcW w:w="118" w:type="dxa"/>
            <w:tcBorders/>
            <w:shd w:fill="FFFFFF" w:val="clear"/>
            <w:vAlign w:val="bottom"/>
          </w:tcPr>
          <w:p>
            <w:pPr>
              <w:pStyle w:val="TableContents"/>
              <w:spacing w:before="0" w:after="283"/>
              <w:jc w:val="left"/>
              <w:rPr/>
            </w:pPr>
            <w:r>
              <w:rPr/>
              <w:t> </w:t>
            </w:r>
          </w:p>
        </w:tc>
      </w:tr>
      <w:tr>
        <w:trPr/>
        <w:tc>
          <w:tcPr>
            <w:tcW w:w="7523"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Held For and Under Development</w:t>
            </w:r>
          </w:p>
        </w:tc>
        <w:tc>
          <w:tcPr>
            <w:tcW w:w="108" w:type="dxa"/>
            <w:tcBorders/>
            <w:shd w:fill="CCEEFF" w:val="clear"/>
            <w:vAlign w:val="bottom"/>
          </w:tcPr>
          <w:p>
            <w:pPr>
              <w:pStyle w:val="TableContents"/>
              <w:spacing w:before="0" w:after="283"/>
              <w:jc w:val="lef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2265" w:name="TAB11117"/>
            <w:bookmarkEnd w:id="2265"/>
            <w:r>
              <w:rPr>
                <w:rFonts w:ascii="times new roman" w:hAnsi="times new roman"/>
                <w:sz w:val="20"/>
              </w:rPr>
              <w:t>78,676</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2266" w:name="TAB11118"/>
            <w:bookmarkEnd w:id="2266"/>
            <w:r>
              <w:rPr>
                <w:rFonts w:ascii="times new roman" w:hAnsi="times new roman"/>
                <w:sz w:val="20"/>
              </w:rPr>
              <w:t>69,016</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267" w:name="TAB11119"/>
      <w:bookmarkEnd w:id="2267"/>
      <w:r>
        <w:rPr>
          <w:rFonts w:ascii="Times New Roman" w:hAnsi="Times New Roman"/>
          <w:sz w:val="20"/>
        </w:rPr>
        <w:t>The amount of capitalized interest for our properties under development was $136,000, $5.7 million, and $4.4 million for the three years ending December 31, 2009, 2008, and 2007, respectively.  Subsequent to the year-ended December 31, 2008, we decided to curtail our current development progress on certain Australian and New Zealand land development projects.  As a result, we did not capitalize interest on these projects during 2009 and we will not capitalize interest for these projects until the development work recommences.  In addition, during 2008, we recorded an impairment expense relating to these projects totaling $4.0 million as reported in our real estate segment operating income.  During 2009, we recorded a contractual commitment loss of $1.1 million associated with a property for which we are under contract to purchase in 2010.  The impairments and contractual commitment loss are primarily related to the impact of the economic downturn in the Australian and New Zealand economies and the timing of our purchases of those assets.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268" w:name="TAB11120"/>
      <w:bookmarkEnd w:id="2268"/>
      <w:r>
        <w:rPr>
          <w:rFonts w:ascii="Times New Roman" w:hAnsi="Times New Roman"/>
          <w:sz w:val="20"/>
        </w:rPr>
        <w:t>Included in the fourth quarter 2009 the contractual commitment loss of $1.1 million is an out-of-period adjustment in connection with the recording of this loss.  The adjustment decreased other assets by approximately $771,000, increased other liabilities by approximately $321,000, and increased other operating expense by approximately $1.1 million in the fourth quarter of 2009, which decreased net income by $1.1 million in the fourth quarter of 2009.  Had the amount been reflected during the third quarter of 2009, in the period in which it arose, other operating expense would have increased by $1.1 million and net income would have decreased by the same amount during that period.  Based upon an evaluation of all relevant quantitative and qualitative factors , and after considering the provisions of ASC 250-10, Accounting Changes and Error Corrections, and SAB Nos. 99 and 108, we believe this correcting adjustment was not material to our full year results for 2009 or the trend of earnings.  In addition, we do not believe the correcting adjustment is material to the amounts reported in the previous quarter.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9" w:name="PGBRK73"/>
      <w:bookmarkStart w:id="2270" w:name="PGBRK73"/>
      <w:bookmarkEnd w:id="2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1" w:name="FTR73"/>
      <w:bookmarkStart w:id="2272" w:name="FTR73"/>
      <w:bookmarkEnd w:id="2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73" w:name="GLFTR73"/>
      <w:bookmarkEnd w:id="22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274" w:name="PN73"/>
      <w:bookmarkEnd w:id="2274"/>
      <w:r>
        <w:rPr>
          <w:rFonts w:eastAsia="Times New Roman" w:cs="Times New Roman" w:ascii="Times New Roman" w:hAnsi="Times New Roman"/>
          <w:sz w:val="20"/>
          <w:szCs w:val="20"/>
        </w:rPr>
        <w:t>-73-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275" w:name="HDR73"/>
      <w:bookmarkStart w:id="2276" w:name="HDR73"/>
      <w:bookmarkEnd w:id="2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277" w:name="GLHDR73"/>
        <w:bookmarkEnd w:id="22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7 – Property and Equipment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Property and equipment is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65"/>
        <w:gridCol w:w="107"/>
        <w:gridCol w:w="125"/>
        <w:gridCol w:w="1029"/>
        <w:gridCol w:w="112"/>
        <w:gridCol w:w="107"/>
        <w:gridCol w:w="125"/>
        <w:gridCol w:w="1012"/>
        <w:gridCol w:w="123"/>
      </w:tblGrid>
      <w:tr>
        <w:trPr/>
        <w:tc>
          <w:tcPr>
            <w:tcW w:w="7465"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251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3" w:type="dxa"/>
            <w:tcBorders/>
            <w:shd w:fill="auto" w:val="clear"/>
            <w:vAlign w:val="bottom"/>
          </w:tcPr>
          <w:p>
            <w:pPr>
              <w:pStyle w:val="TableContents"/>
              <w:spacing w:before="0" w:after="283"/>
              <w:jc w:val="left"/>
              <w:rPr/>
            </w:pPr>
            <w:r>
              <w:rPr/>
              <w:t> </w:t>
            </w:r>
          </w:p>
        </w:tc>
      </w:tr>
      <w:tr>
        <w:trPr/>
        <w:tc>
          <w:tcPr>
            <w:tcW w:w="746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Property and Equipment</w:t>
            </w:r>
          </w:p>
        </w:tc>
        <w:tc>
          <w:tcPr>
            <w:tcW w:w="107" w:type="dxa"/>
            <w:tcBorders/>
            <w:shd w:fill="auto" w:val="clear"/>
            <w:vAlign w:val="bottom"/>
          </w:tcPr>
          <w:p>
            <w:pPr>
              <w:pStyle w:val="TableContents"/>
              <w:spacing w:before="0" w:after="283"/>
              <w:rPr/>
            </w:pPr>
            <w:r>
              <w:rPr/>
              <w:t> </w:t>
            </w:r>
          </w:p>
        </w:tc>
        <w:tc>
          <w:tcPr>
            <w:tcW w:w="115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2"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3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3" w:type="dxa"/>
            <w:tcBorders/>
            <w:shd w:fill="auto" w:val="clear"/>
            <w:vAlign w:val="bottom"/>
          </w:tcPr>
          <w:p>
            <w:pPr>
              <w:pStyle w:val="TableContents"/>
              <w:spacing w:before="0" w:after="283"/>
              <w:jc w:val="left"/>
              <w:rPr/>
            </w:pPr>
            <w:r>
              <w:rPr/>
              <w:t> </w:t>
            </w:r>
          </w:p>
        </w:tc>
      </w:tr>
      <w:tr>
        <w:trPr/>
        <w:tc>
          <w:tcPr>
            <w:tcW w:w="7465"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Land</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vAlign w:val="bottom"/>
          </w:tcPr>
          <w:p>
            <w:pPr>
              <w:pStyle w:val="TableContents"/>
              <w:spacing w:before="0" w:after="283"/>
              <w:ind w:left="162" w:right="0" w:hanging="0"/>
              <w:jc w:val="right"/>
              <w:rPr>
                <w:rFonts w:ascii="times new roman" w:hAnsi="times new roman"/>
                <w:sz w:val="20"/>
              </w:rPr>
            </w:pPr>
            <w:bookmarkStart w:id="2278" w:name="TAB11121"/>
            <w:bookmarkEnd w:id="2278"/>
            <w:r>
              <w:rPr>
                <w:rFonts w:ascii="times new roman" w:hAnsi="times new roman"/>
                <w:sz w:val="20"/>
              </w:rPr>
              <w:t>61,110</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CEEFF" w:val="clear"/>
            <w:vAlign w:val="bottom"/>
          </w:tcPr>
          <w:p>
            <w:pPr>
              <w:pStyle w:val="TableContents"/>
              <w:spacing w:before="0" w:after="283"/>
              <w:ind w:left="162" w:right="0" w:hanging="0"/>
              <w:jc w:val="right"/>
              <w:rPr>
                <w:rFonts w:ascii="times new roman" w:hAnsi="times new roman"/>
                <w:sz w:val="20"/>
              </w:rPr>
            </w:pPr>
            <w:bookmarkStart w:id="2279" w:name="TAB11122"/>
            <w:bookmarkEnd w:id="2279"/>
            <w:r>
              <w:rPr>
                <w:rFonts w:ascii="times new roman" w:hAnsi="times new roman"/>
                <w:sz w:val="20"/>
              </w:rPr>
              <w:t>55,865</w:t>
            </w:r>
          </w:p>
        </w:tc>
        <w:tc>
          <w:tcPr>
            <w:tcW w:w="123" w:type="dxa"/>
            <w:tcBorders/>
            <w:shd w:fill="CCEEFF" w:val="clear"/>
            <w:vAlign w:val="bottom"/>
          </w:tcPr>
          <w:p>
            <w:pPr>
              <w:pStyle w:val="TableContents"/>
              <w:spacing w:before="0" w:after="283"/>
              <w:jc w:val="left"/>
              <w:rPr/>
            </w:pPr>
            <w:r>
              <w:rPr/>
              <w:t> </w:t>
            </w:r>
          </w:p>
        </w:tc>
      </w:tr>
      <w:tr>
        <w:trPr/>
        <w:tc>
          <w:tcPr>
            <w:tcW w:w="7465"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Building and improvements</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122,784</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90,791</w:t>
            </w:r>
          </w:p>
        </w:tc>
        <w:tc>
          <w:tcPr>
            <w:tcW w:w="123" w:type="dxa"/>
            <w:tcBorders/>
            <w:shd w:fill="FFFFFF" w:val="clear"/>
            <w:vAlign w:val="bottom"/>
          </w:tcPr>
          <w:p>
            <w:pPr>
              <w:pStyle w:val="TableContents"/>
              <w:spacing w:before="0" w:after="283"/>
              <w:jc w:val="left"/>
              <w:rPr/>
            </w:pPr>
            <w:r>
              <w:rPr/>
              <w:t> </w:t>
            </w:r>
          </w:p>
        </w:tc>
      </w:tr>
      <w:tr>
        <w:trPr/>
        <w:tc>
          <w:tcPr>
            <w:tcW w:w="7465"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Leasehold interests</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33,716</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32,198</w:t>
            </w:r>
          </w:p>
        </w:tc>
        <w:tc>
          <w:tcPr>
            <w:tcW w:w="123" w:type="dxa"/>
            <w:tcBorders/>
            <w:shd w:fill="CCEEFF" w:val="clear"/>
            <w:vAlign w:val="bottom"/>
          </w:tcPr>
          <w:p>
            <w:pPr>
              <w:pStyle w:val="TableContents"/>
              <w:spacing w:before="0" w:after="283"/>
              <w:jc w:val="left"/>
              <w:rPr/>
            </w:pPr>
            <w:r>
              <w:rPr/>
              <w:t> </w:t>
            </w:r>
          </w:p>
        </w:tc>
      </w:tr>
      <w:tr>
        <w:trPr/>
        <w:tc>
          <w:tcPr>
            <w:tcW w:w="7465"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Construction-in-progress</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1,807</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487</w:t>
            </w:r>
          </w:p>
        </w:tc>
        <w:tc>
          <w:tcPr>
            <w:tcW w:w="123" w:type="dxa"/>
            <w:tcBorders/>
            <w:shd w:fill="FFFFFF" w:val="clear"/>
            <w:vAlign w:val="bottom"/>
          </w:tcPr>
          <w:p>
            <w:pPr>
              <w:pStyle w:val="TableContents"/>
              <w:spacing w:before="0" w:after="283"/>
              <w:jc w:val="left"/>
              <w:rPr/>
            </w:pPr>
            <w:r>
              <w:rPr/>
              <w:t> </w:t>
            </w:r>
          </w:p>
        </w:tc>
      </w:tr>
      <w:tr>
        <w:trPr/>
        <w:tc>
          <w:tcPr>
            <w:tcW w:w="7465" w:type="dxa"/>
            <w:tcBorders>
              <w:bottom w:val="single" w:sz="12" w:space="0" w:color="000000"/>
            </w:tcBorders>
            <w:shd w:fill="CCEEFF" w:val="clear"/>
            <w:tcMar>
              <w:bottom w:w="28"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Fixtures and equipment</w:t>
            </w:r>
          </w:p>
        </w:tc>
        <w:tc>
          <w:tcPr>
            <w:tcW w:w="107"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85,235</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67,965</w:t>
            </w:r>
          </w:p>
        </w:tc>
        <w:tc>
          <w:tcPr>
            <w:tcW w:w="123" w:type="dxa"/>
            <w:tcBorders/>
            <w:shd w:fill="CCEEFF" w:val="clear"/>
            <w:vAlign w:val="bottom"/>
          </w:tcPr>
          <w:p>
            <w:pPr>
              <w:pStyle w:val="TableContents"/>
              <w:spacing w:before="0" w:after="283"/>
              <w:jc w:val="left"/>
              <w:rPr/>
            </w:pPr>
            <w:r>
              <w:rPr/>
              <w:t> </w:t>
            </w:r>
          </w:p>
        </w:tc>
      </w:tr>
      <w:tr>
        <w:trPr/>
        <w:tc>
          <w:tcPr>
            <w:tcW w:w="7465" w:type="dxa"/>
            <w:tcBorders/>
            <w:shd w:fill="FFFFFF" w:val="clear"/>
            <w:vAlign w:val="bottom"/>
          </w:tcPr>
          <w:p>
            <w:pPr>
              <w:pStyle w:val="TableContents"/>
              <w:spacing w:before="0" w:after="0"/>
              <w:ind w:left="702" w:right="0" w:hanging="0"/>
              <w:jc w:val="left"/>
              <w:rPr>
                <w:rFonts w:ascii="times new roman" w:hAnsi="times new roman"/>
                <w:sz w:val="20"/>
              </w:rPr>
            </w:pPr>
            <w:bookmarkStart w:id="2280" w:name="TAB11123"/>
            <w:bookmarkEnd w:id="2280"/>
            <w:r>
              <w:rPr>
                <w:rFonts w:ascii="times new roman" w:hAnsi="times new roman"/>
                <w:sz w:val="20"/>
              </w:rPr>
              <w:t>Total cost</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304,652</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247,306</w:t>
            </w:r>
          </w:p>
        </w:tc>
        <w:tc>
          <w:tcPr>
            <w:tcW w:w="123" w:type="dxa"/>
            <w:tcBorders/>
            <w:shd w:fill="FFFFFF" w:val="clear"/>
            <w:vAlign w:val="bottom"/>
          </w:tcPr>
          <w:p>
            <w:pPr>
              <w:pStyle w:val="TableContents"/>
              <w:spacing w:before="0" w:after="283"/>
              <w:jc w:val="left"/>
              <w:rPr/>
            </w:pPr>
            <w:r>
              <w:rPr/>
              <w:t> </w:t>
            </w:r>
          </w:p>
        </w:tc>
      </w:tr>
      <w:tr>
        <w:trPr/>
        <w:tc>
          <w:tcPr>
            <w:tcW w:w="7465" w:type="dxa"/>
            <w:tcBorders>
              <w:bottom w:val="single" w:sz="12" w:space="0" w:color="000000"/>
            </w:tcBorders>
            <w:shd w:fill="CCEEFF" w:val="clear"/>
            <w:tcMar>
              <w:bottom w:w="28"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Less accumulated depreciation</w:t>
            </w:r>
          </w:p>
        </w:tc>
        <w:tc>
          <w:tcPr>
            <w:tcW w:w="107"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(103,903</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(73,644</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65"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107"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FFFFFF" w:val="clear"/>
            <w:tcMar>
              <w:bottom w:w="28" w:type="dxa"/>
            </w:tcMar>
            <w:vAlign w:val="bottom"/>
          </w:tcPr>
          <w:p>
            <w:pPr>
              <w:pStyle w:val="TableContents"/>
              <w:spacing w:before="0" w:after="283"/>
              <w:ind w:left="162" w:right="0" w:hanging="0"/>
              <w:jc w:val="right"/>
              <w:rPr>
                <w:rFonts w:ascii="times new roman" w:hAnsi="times new roman"/>
                <w:sz w:val="20"/>
              </w:rPr>
            </w:pPr>
            <w:bookmarkStart w:id="2281" w:name="TAB11124"/>
            <w:bookmarkEnd w:id="2281"/>
            <w:r>
              <w:rPr>
                <w:rFonts w:ascii="times new roman" w:hAnsi="times new roman"/>
                <w:sz w:val="20"/>
              </w:rPr>
              <w:t>200,749</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ind w:left="162" w:right="0" w:hanging="0"/>
              <w:jc w:val="right"/>
              <w:rPr>
                <w:rFonts w:ascii="times new roman" w:hAnsi="times new roman"/>
                <w:sz w:val="20"/>
              </w:rPr>
            </w:pPr>
            <w:bookmarkStart w:id="2282" w:name="TAB11125"/>
            <w:bookmarkEnd w:id="2282"/>
            <w:r>
              <w:rPr>
                <w:rFonts w:ascii="times new roman" w:hAnsi="times new roman"/>
                <w:sz w:val="20"/>
              </w:rPr>
              <w:t>173,662</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283" w:name="TAB11126"/>
      <w:bookmarkEnd w:id="2283"/>
      <w:r>
        <w:rPr>
          <w:rFonts w:ascii="Times New Roman" w:hAnsi="Times New Roman"/>
          <w:sz w:val="20"/>
        </w:rPr>
        <w:t>Depreciation expense for property and equipment was $12.4 million, $16.3 million, and $11.1 million, for the three years ending December 31, 2009, 2008, and 2007, respectively.</w:t>
      </w:r>
    </w:p>
    <w:p>
      <w:pPr>
        <w:pStyle w:val="TextBody"/>
        <w:spacing w:before="0" w:after="0"/>
        <w:ind w:left="0" w:right="0" w:hanging="0"/>
        <w:rPr/>
      </w:pPr>
      <w:r>
        <w:rPr/>
        <w:t> </w:t>
      </w:r>
    </w:p>
    <w:p>
      <w:pPr>
        <w:pStyle w:val="TextBody"/>
        <w:spacing w:before="0" w:after="0"/>
        <w:ind w:left="720" w:right="144" w:hanging="0"/>
        <w:jc w:val="both"/>
        <w:rPr>
          <w:rFonts w:ascii="Times New Roman" w:hAnsi="Times New Roman"/>
          <w:sz w:val="20"/>
        </w:rPr>
      </w:pPr>
      <w:bookmarkStart w:id="2284" w:name="TAB11127"/>
      <w:bookmarkEnd w:id="2284"/>
      <w:r>
        <w:rPr>
          <w:rFonts w:ascii="Times New Roman" w:hAnsi="Times New Roman"/>
          <w:sz w:val="20"/>
        </w:rPr>
        <w:t>During 2008, the downturn in the Australia and New Zealand economies resulted in an impairment charge of $351,000.  In 2009, the slower recovery in New Zealand led to a further impairment charge to one of our operating properties of $3.2 million as reported in our segment operating income.</w:t>
      </w:r>
    </w:p>
    <w:p>
      <w:pPr>
        <w:pStyle w:val="TextBody"/>
        <w:spacing w:before="0" w:after="0"/>
        <w:ind w:left="0" w:right="0" w:hanging="0"/>
        <w:rPr/>
      </w:pPr>
      <w:r>
        <w:rPr/>
      </w:r>
    </w:p>
    <w:p>
      <w:pPr>
        <w:pStyle w:val="TextBody"/>
        <w:spacing w:before="0" w:after="0"/>
        <w:ind w:left="0" w:right="144" w:hanging="0"/>
        <w:jc w:val="both"/>
        <w:rPr>
          <w:rFonts w:ascii="Times New Roman" w:hAnsi="Times New Roman"/>
          <w:b/>
          <w:sz w:val="20"/>
          <w:u w:val="single"/>
        </w:rPr>
      </w:pPr>
      <w:r>
        <w:rPr>
          <w:rFonts w:ascii="Times New Roman" w:hAnsi="Times New Roman"/>
          <w:b/>
          <w:sz w:val="20"/>
          <w:u w:val="single"/>
        </w:rPr>
        <w:t>Note 8 – Acquisitions and Property Development</w:t>
      </w:r>
    </w:p>
    <w:p>
      <w:pPr>
        <w:pStyle w:val="TextBody"/>
        <w:spacing w:before="0" w:after="0"/>
        <w:ind w:left="0" w:right="0" w:hanging="0"/>
        <w:rPr/>
      </w:pPr>
      <w:r>
        <w:rPr/>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2009 Acquisition and Property Development</w:t>
      </w:r>
    </w:p>
    <w:p>
      <w:pPr>
        <w:pStyle w:val="TextBody"/>
        <w:spacing w:before="0" w:after="0"/>
        <w:ind w:left="0" w:right="0" w:hanging="0"/>
        <w:rPr/>
      </w:pPr>
      <w:r>
        <w:rPr/>
      </w:r>
    </w:p>
    <w:p>
      <w:pPr>
        <w:pStyle w:val="TextBody"/>
        <w:spacing w:before="0" w:after="0"/>
        <w:ind w:left="0" w:right="144" w:hanging="0"/>
        <w:jc w:val="both"/>
        <w:rPr>
          <w:rFonts w:ascii="Times New Roman" w:hAnsi="Times New Roman"/>
          <w:i/>
          <w:sz w:val="20"/>
          <w:u w:val="single"/>
        </w:rPr>
      </w:pPr>
      <w:r>
        <w:rPr>
          <w:rFonts w:ascii="Times New Roman" w:hAnsi="Times New Roman"/>
          <w:i/>
          <w:sz w:val="20"/>
          <w:u w:val="single"/>
        </w:rPr>
        <w:t>Manukau Land Purchase</w:t>
      </w:r>
    </w:p>
    <w:p>
      <w:pPr>
        <w:pStyle w:val="TextBody"/>
        <w:spacing w:before="0" w:after="0"/>
        <w:ind w:left="0" w:right="0" w:hanging="0"/>
        <w:rPr/>
      </w:pPr>
      <w:r>
        <w:rPr/>
      </w:r>
    </w:p>
    <w:p>
      <w:pPr>
        <w:pStyle w:val="TextBody"/>
        <w:spacing w:before="0" w:after="0"/>
        <w:ind w:left="0" w:right="144" w:firstLine="720"/>
        <w:jc w:val="both"/>
        <w:rPr>
          <w:rFonts w:ascii="Times New Roman" w:hAnsi="Times New Roman"/>
          <w:sz w:val="20"/>
        </w:rPr>
      </w:pPr>
      <w:r>
        <w:rPr>
          <w:rFonts w:ascii="Times New Roman" w:hAnsi="Times New Roman"/>
          <w:sz w:val="20"/>
        </w:rPr>
        <w:t>On April 30, 2009, we entered into an agreement to purchase for $3.8 million (NZ$5.2 million) a property adjacent to our Manukau property.  An initial deposit of $26,000 (NZ$50,000) was paid upon signing of the agreement, a second deposit of $175,000 (NZ$258,000) was paid in the second quarter of 2009 and a third deposit of $531,000 (NZ$773,000) was paid in August 2009.  The remaining balance is due on the settlement date of March 31, 2010.  As a result of a decrease in the value of this property, we recorded a $1.1 million (NZ$1.5 million) expense as a write off of our purchase deposits of $771,000 and as an other liability of $321,000 at December 31, 2009.</w:t>
      </w:r>
    </w:p>
    <w:p>
      <w:pPr>
        <w:pStyle w:val="TextBody"/>
        <w:spacing w:before="0" w:after="0"/>
        <w:ind w:left="0" w:right="0" w:hanging="0"/>
        <w:rPr/>
      </w:pPr>
      <w:r>
        <w:rPr/>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2008 Acquisitions and Property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Consolidated Entertainment Cinemas Acquisitions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285" w:name="TAB11128"/>
      <w:bookmarkEnd w:id="2285"/>
      <w:r>
        <w:rPr>
          <w:rFonts w:ascii="Times New Roman" w:hAnsi="Times New Roman"/>
          <w:sz w:val="20"/>
        </w:rPr>
        <w:t xml:space="preserve">In keeping with our business plan of being opportunistic in adding to our existing cinema portfolio, on February 22, 2008, we acquired 15 cinemas with 181 screens in Hawaii and California (the “Consolidated Entertainment” acquisition) from Pacific Theatres Exhibition Corp. and its affiliates (collectively, the “Sellers”) for $70.2 million.  The purchase price was subsequently adjusted to $63.7 million as described below under post closing adjustments, which were applied to reduce the principal amount owed under financing provided by an affiliate of the Sellers (the “Nationwide Note 1”).  The financing of the transaction included $48.4 million of debt from GE Capital, net of deferred financing costs of $1.6 million, a loan of $21.0 m illion as evidenced by the Nationwide Note 1, and $800,000 of cash from Reading (see Note 12 – </w:t>
      </w:r>
      <w:r>
        <w:rPr>
          <w:rFonts w:ascii="Times New Roman" w:hAnsi="Times New Roman"/>
          <w:i/>
          <w:sz w:val="20"/>
        </w:rPr>
        <w:t>Notes Payable</w:t>
      </w:r>
      <w:r>
        <w:rPr>
          <w:rFonts w:ascii="Times New Roman" w:hAnsi="Times New Roman"/>
          <w:sz w:val="20"/>
        </w:rPr>
        <w:t xml:space="preserve"> for a more complete explanation of the GE debt and the Nationwide Note 1).</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286" w:name="TAB11129"/>
      <w:bookmarkEnd w:id="2286"/>
      <w:r>
        <w:rPr>
          <w:rFonts w:ascii="Times New Roman" w:hAnsi="Times New Roman"/>
          <w:sz w:val="20"/>
        </w:rPr>
        <w:t>The theaters and assets are located in California and Hawaii.  We acquired the theaters and other assets through certain special purpose entities formed by us for this purpose.  The acquired assets consist primarily of the buildings and leasehold interests in fourteen of the theaters; a management agreement with the Sellers under which we will manage one other theater (but pursuant to which we effectively bear the risk and are entitled to the benefits associated with the ownership of that theater), and furniture, fixtures, equipment and miscellaneous inventory at the theaters.  The theaters contain a total of 181 screens, which compares to 286 total screens owned or operated by us immediately prior to the acquisition. The leasehold interests have current terms ranging from approximately 2 to 12 years, subject in some cases to favorable renewal options.  The management agreement relating to the managed theater is for a term of approximately 4 years and entitles us to a management fee equal to the cash flow of the theater.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87" w:name="PGBRK74"/>
      <w:bookmarkStart w:id="2288" w:name="PGBRK74"/>
      <w:bookmarkEnd w:id="2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9" w:name="FTR74"/>
      <w:bookmarkStart w:id="2290" w:name="FTR74"/>
      <w:bookmarkEnd w:id="2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91" w:name="GLFTR74"/>
      <w:bookmarkEnd w:id="22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292" w:name="PN74"/>
      <w:bookmarkEnd w:id="2292"/>
      <w:r>
        <w:rPr>
          <w:rFonts w:eastAsia="Times New Roman" w:cs="Times New Roman" w:ascii="Times New Roman" w:hAnsi="Times New Roman"/>
          <w:sz w:val="20"/>
          <w:szCs w:val="20"/>
        </w:rPr>
        <w:t>-74-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293" w:name="HDR74"/>
      <w:bookmarkStart w:id="2294" w:name="HDR74"/>
      <w:bookmarkEnd w:id="2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295" w:name="GLHDR74"/>
        <w:bookmarkEnd w:id="229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810" w:right="0" w:hanging="0"/>
        <w:jc w:val="both"/>
        <w:rPr>
          <w:rFonts w:ascii="Times New Roman" w:hAnsi="Times New Roman"/>
          <w:sz w:val="20"/>
        </w:rPr>
      </w:pPr>
      <w:bookmarkStart w:id="2296" w:name="TAB11130"/>
      <w:bookmarkEnd w:id="2296"/>
      <w:r>
        <w:rPr>
          <w:rFonts w:ascii="Times New Roman" w:hAnsi="Times New Roman"/>
          <w:sz w:val="20"/>
        </w:rPr>
        <w:t xml:space="preserve">During the fourth quarter of 2008, we finalized our estimates of the value of the assets and liabilities acquired from this acquisition in accordance with FASB ASC 805-10 – </w:t>
      </w:r>
      <w:r>
        <w:rPr>
          <w:rFonts w:ascii="Times New Roman" w:hAnsi="Times New Roman"/>
          <w:i/>
          <w:sz w:val="20"/>
        </w:rPr>
        <w:t>Business Combinations</w:t>
      </w:r>
      <w:r>
        <w:rPr>
          <w:rFonts w:ascii="Times New Roman" w:hAnsi="Times New Roman"/>
          <w:sz w:val="20"/>
        </w:rPr>
        <w:t xml:space="preserve"> (“ASC 805-10”).  These fair value estimates of the cinema assets acquired have been allocated to the acquired tangible assets, identified intangible assets and liabilities, consisting of the value of above and below-market leases, if any, based in each case on their respective fair values at the date of acquisition.  Goodwill was recorded to the extent the purchase price including certain acquisition and close costs exceeded the fair value estimates of the net acquired assets.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297" w:name="TAB11131"/>
      <w:bookmarkEnd w:id="2297"/>
      <w:r>
        <w:rPr>
          <w:rFonts w:ascii="Times New Roman" w:hAnsi="Times New Roman"/>
          <w:sz w:val="20"/>
        </w:rPr>
        <w:t xml:space="preserve">As of December 31, 2008, the initial aggregate purchase price was adjusted down by $6.3 million.  A further purchase price reduction of $226,000 was recorded during 2009 which aggregates to a net purchase price of $63.7 million.  This purchase price is subject to further additional adjustments based upon post-closing matters relating to the possible opening of competing theater projects in the vicinity of certain acquired theaters.  These additional acquisition price reductions can range from $0 to as much as the full amount of the Nationwide Note 1 as adjusted to date, if all contingencies were met.  Pursuant to the $6.5 million reductions in purchase price, the Nationwide Note 1 was correspondingly reduced by $6.3 million during the second quarte r of 2008 and decreased further by $226,000 during the first quarter of 2009.  This loan was increased in July 2008 by $3.0 million in accordance with the Sales and Purchase Agreement of Consolidated Entertainment (see Note 12 – </w:t>
      </w:r>
      <w:r>
        <w:rPr>
          <w:rFonts w:ascii="Times New Roman" w:hAnsi="Times New Roman"/>
          <w:i/>
          <w:sz w:val="20"/>
        </w:rPr>
        <w:t>Notes Payable</w:t>
      </w:r>
      <w:r>
        <w:rPr>
          <w:rFonts w:ascii="Times New Roman" w:hAnsi="Times New Roman"/>
          <w:sz w:val="20"/>
        </w:rPr>
        <w:t xml:space="preserve">).  Therefore, the reduction in purchase price results in a permanent reduction in the aggregate $24.0 million debt obligation to $17.5 million at December 31, 2009.  On February 12, 2010, the purchase price was further adjusted by $4.2 million resulting in a corresponding reduction in the note payable (see Note 27 – </w:t>
      </w:r>
      <w:r>
        <w:rPr>
          <w:rFonts w:ascii="Times New Roman" w:hAnsi="Times New Roman"/>
          <w:i/>
          <w:sz w:val="20"/>
        </w:rPr>
        <w:t>Subsequent Events</w:t>
      </w:r>
      <w:r>
        <w:rPr>
          <w:rFonts w:ascii="Times New Roman" w:hAnsi="Times New Roman"/>
          <w:sz w:val="20"/>
        </w:rPr>
        <w: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298" w:name="TAB11132"/>
      <w:bookmarkEnd w:id="2298"/>
      <w:r>
        <w:rPr>
          <w:rFonts w:ascii="Times New Roman" w:hAnsi="Times New Roman"/>
          <w:sz w:val="20"/>
        </w:rPr>
        <w:t>Our finalized purchase price allocation and 2009 purchase price reductions are presented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33"/>
        <w:gridCol w:w="113"/>
        <w:gridCol w:w="182"/>
        <w:gridCol w:w="1169"/>
        <w:gridCol w:w="127"/>
        <w:gridCol w:w="113"/>
        <w:gridCol w:w="236"/>
        <w:gridCol w:w="1168"/>
        <w:gridCol w:w="127"/>
        <w:gridCol w:w="113"/>
        <w:gridCol w:w="169"/>
        <w:gridCol w:w="1108"/>
        <w:gridCol w:w="147"/>
      </w:tblGrid>
      <w:tr>
        <w:trPr/>
        <w:tc>
          <w:tcPr>
            <w:tcW w:w="5433"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135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Final Allocation</w:t>
            </w:r>
          </w:p>
        </w:tc>
        <w:tc>
          <w:tcPr>
            <w:tcW w:w="127"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4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 Purchase Price Adjustment</w:t>
            </w:r>
          </w:p>
        </w:tc>
        <w:tc>
          <w:tcPr>
            <w:tcW w:w="127"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2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Adjusted Purchase Price</w:t>
            </w:r>
          </w:p>
        </w:tc>
        <w:tc>
          <w:tcPr>
            <w:tcW w:w="147" w:type="dxa"/>
            <w:tcBorders/>
            <w:shd w:fill="auto" w:val="clear"/>
            <w:vAlign w:val="bottom"/>
          </w:tcPr>
          <w:p>
            <w:pPr>
              <w:pStyle w:val="TableContents"/>
              <w:spacing w:before="0" w:after="283"/>
              <w:jc w:val="left"/>
              <w:rPr/>
            </w:pPr>
            <w:r>
              <w:rPr/>
              <w:t> </w:t>
            </w:r>
          </w:p>
        </w:tc>
      </w:tr>
      <w:tr>
        <w:trPr/>
        <w:tc>
          <w:tcPr>
            <w:tcW w:w="54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Inventory</w:t>
            </w:r>
          </w:p>
        </w:tc>
        <w:tc>
          <w:tcPr>
            <w:tcW w:w="113"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shd w:fill="CCEEFF" w:val="clear"/>
            <w:vAlign w:val="bottom"/>
          </w:tcPr>
          <w:p>
            <w:pPr>
              <w:pStyle w:val="TableContents"/>
              <w:spacing w:before="0" w:after="283"/>
              <w:ind w:left="72" w:right="0" w:hanging="0"/>
              <w:jc w:val="right"/>
              <w:rPr>
                <w:rFonts w:ascii="times new roman" w:hAnsi="times new roman"/>
                <w:sz w:val="20"/>
              </w:rPr>
            </w:pPr>
            <w:bookmarkStart w:id="2299" w:name="TAB11133"/>
            <w:bookmarkEnd w:id="2299"/>
            <w:r>
              <w:rPr>
                <w:rFonts w:ascii="times new roman" w:hAnsi="times new roman"/>
                <w:sz w:val="20"/>
              </w:rPr>
              <w:t>271</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3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shd w:fill="CCEEFF" w:val="clear"/>
            <w:vAlign w:val="bottom"/>
          </w:tcPr>
          <w:p>
            <w:pPr>
              <w:pStyle w:val="TableContents"/>
              <w:spacing w:before="0" w:after="283"/>
              <w:ind w:left="72" w:right="0" w:hanging="0"/>
              <w:jc w:val="right"/>
              <w:rPr>
                <w:rFonts w:ascii="times new roman" w:hAnsi="times new roman"/>
                <w:sz w:val="20"/>
              </w:rPr>
            </w:pPr>
            <w:bookmarkStart w:id="2300" w:name="TAB11134"/>
            <w:bookmarkEnd w:id="2300"/>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6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8" w:type="dxa"/>
            <w:tcBorders/>
            <w:shd w:fill="CCEEFF" w:val="clear"/>
            <w:vAlign w:val="bottom"/>
          </w:tcPr>
          <w:p>
            <w:pPr>
              <w:pStyle w:val="TableContents"/>
              <w:spacing w:before="0" w:after="283"/>
              <w:ind w:left="72" w:right="0" w:hanging="0"/>
              <w:jc w:val="right"/>
              <w:rPr>
                <w:rFonts w:ascii="times new roman" w:hAnsi="times new roman"/>
                <w:sz w:val="20"/>
              </w:rPr>
            </w:pPr>
            <w:bookmarkStart w:id="2301" w:name="TAB11135"/>
            <w:bookmarkEnd w:id="2301"/>
            <w:r>
              <w:rPr>
                <w:rFonts w:ascii="times new roman" w:hAnsi="times new roman"/>
                <w:sz w:val="20"/>
              </w:rPr>
              <w:t>271</w:t>
            </w:r>
          </w:p>
        </w:tc>
        <w:tc>
          <w:tcPr>
            <w:tcW w:w="147" w:type="dxa"/>
            <w:tcBorders/>
            <w:shd w:fill="CCEEFF" w:val="clear"/>
            <w:vAlign w:val="bottom"/>
          </w:tcPr>
          <w:p>
            <w:pPr>
              <w:pStyle w:val="TableContents"/>
              <w:spacing w:before="0" w:after="283"/>
              <w:jc w:val="left"/>
              <w:rPr/>
            </w:pPr>
            <w:r>
              <w:rPr/>
              <w:t> </w:t>
            </w:r>
          </w:p>
        </w:tc>
      </w:tr>
      <w:tr>
        <w:trPr/>
        <w:tc>
          <w:tcPr>
            <w:tcW w:w="54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assets</w:t>
            </w:r>
          </w:p>
        </w:tc>
        <w:tc>
          <w:tcPr>
            <w:tcW w:w="113"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543</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36"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9"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543</w:t>
            </w:r>
          </w:p>
        </w:tc>
        <w:tc>
          <w:tcPr>
            <w:tcW w:w="147" w:type="dxa"/>
            <w:tcBorders/>
            <w:shd w:fill="FFFFFF" w:val="clear"/>
            <w:vAlign w:val="bottom"/>
          </w:tcPr>
          <w:p>
            <w:pPr>
              <w:pStyle w:val="TableContents"/>
              <w:spacing w:before="0" w:after="283"/>
              <w:jc w:val="left"/>
              <w:rPr/>
            </w:pPr>
            <w:r>
              <w:rPr/>
              <w:t> </w:t>
            </w:r>
          </w:p>
        </w:tc>
      </w:tr>
      <w:tr>
        <w:trPr/>
        <w:tc>
          <w:tcPr>
            <w:tcW w:w="54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&amp; Equipment:</w:t>
            </w:r>
          </w:p>
        </w:tc>
        <w:tc>
          <w:tcPr>
            <w:tcW w:w="113"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r>
      <w:tr>
        <w:trPr/>
        <w:tc>
          <w:tcPr>
            <w:tcW w:w="5433" w:type="dxa"/>
            <w:tcBorders/>
            <w:shd w:fill="FFFFFF" w:val="clear"/>
            <w:vAlign w:val="bottom"/>
          </w:tcPr>
          <w:p>
            <w:pPr>
              <w:pStyle w:val="TableContents"/>
              <w:spacing w:before="0" w:after="0"/>
              <w:ind w:left="342" w:right="0" w:hanging="0"/>
              <w:jc w:val="left"/>
              <w:rPr>
                <w:rFonts w:ascii="times new roman" w:hAnsi="times new roman"/>
                <w:sz w:val="20"/>
              </w:rPr>
            </w:pPr>
            <w:bookmarkStart w:id="2302" w:name="TAB11136"/>
            <w:bookmarkEnd w:id="2302"/>
            <w:r>
              <w:rPr>
                <w:rFonts w:ascii="times new roman" w:hAnsi="times new roman"/>
                <w:sz w:val="20"/>
              </w:rPr>
              <w:t>Leasehold improvements</w:t>
            </w:r>
          </w:p>
        </w:tc>
        <w:tc>
          <w:tcPr>
            <w:tcW w:w="113"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19,940</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36"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9"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19,940</w:t>
            </w:r>
          </w:p>
        </w:tc>
        <w:tc>
          <w:tcPr>
            <w:tcW w:w="147" w:type="dxa"/>
            <w:tcBorders/>
            <w:shd w:fill="FFFFFF" w:val="clear"/>
            <w:vAlign w:val="bottom"/>
          </w:tcPr>
          <w:p>
            <w:pPr>
              <w:pStyle w:val="TableContents"/>
              <w:spacing w:before="0" w:after="283"/>
              <w:jc w:val="left"/>
              <w:rPr/>
            </w:pPr>
            <w:r>
              <w:rPr/>
              <w:t> </w:t>
            </w:r>
          </w:p>
        </w:tc>
      </w:tr>
      <w:tr>
        <w:trPr/>
        <w:tc>
          <w:tcPr>
            <w:tcW w:w="5433" w:type="dxa"/>
            <w:tcBorders/>
            <w:shd w:fill="CCEEFF" w:val="clear"/>
            <w:vAlign w:val="bottom"/>
          </w:tcPr>
          <w:p>
            <w:pPr>
              <w:pStyle w:val="TableContents"/>
              <w:spacing w:before="0" w:after="0"/>
              <w:ind w:left="342" w:right="0" w:hanging="0"/>
              <w:jc w:val="left"/>
              <w:rPr>
                <w:rFonts w:ascii="times new roman" w:hAnsi="times new roman"/>
                <w:sz w:val="20"/>
              </w:rPr>
            </w:pPr>
            <w:bookmarkStart w:id="2303" w:name="TAB11137"/>
            <w:bookmarkEnd w:id="2303"/>
            <w:r>
              <w:rPr>
                <w:rFonts w:ascii="times new roman" w:hAnsi="times new roman"/>
                <w:sz w:val="20"/>
              </w:rPr>
              <w:t>Furniture and equipment</w:t>
            </w:r>
          </w:p>
        </w:tc>
        <w:tc>
          <w:tcPr>
            <w:tcW w:w="113"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9,167</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36"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69"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9,167</w:t>
            </w:r>
          </w:p>
        </w:tc>
        <w:tc>
          <w:tcPr>
            <w:tcW w:w="147" w:type="dxa"/>
            <w:tcBorders/>
            <w:shd w:fill="CCEEFF" w:val="clear"/>
            <w:vAlign w:val="bottom"/>
          </w:tcPr>
          <w:p>
            <w:pPr>
              <w:pStyle w:val="TableContents"/>
              <w:spacing w:before="0" w:after="283"/>
              <w:jc w:val="left"/>
              <w:rPr/>
            </w:pPr>
            <w:r>
              <w:rPr/>
              <w:t> </w:t>
            </w:r>
          </w:p>
        </w:tc>
      </w:tr>
      <w:tr>
        <w:trPr/>
        <w:tc>
          <w:tcPr>
            <w:tcW w:w="54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Intangibles:</w:t>
            </w:r>
          </w:p>
        </w:tc>
        <w:tc>
          <w:tcPr>
            <w:tcW w:w="113"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36"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pPr>
            <w:r>
              <w:rPr/>
              <w:t> </w:t>
            </w:r>
          </w:p>
        </w:tc>
      </w:tr>
      <w:tr>
        <w:trPr/>
        <w:tc>
          <w:tcPr>
            <w:tcW w:w="5433" w:type="dxa"/>
            <w:tcBorders/>
            <w:shd w:fill="CCEEFF" w:val="clear"/>
            <w:vAlign w:val="bottom"/>
          </w:tcPr>
          <w:p>
            <w:pPr>
              <w:pStyle w:val="TableContents"/>
              <w:spacing w:before="0" w:after="0"/>
              <w:ind w:left="342" w:right="0" w:hanging="0"/>
              <w:jc w:val="left"/>
              <w:rPr>
                <w:rFonts w:ascii="times new roman" w:hAnsi="times new roman"/>
                <w:sz w:val="20"/>
              </w:rPr>
            </w:pPr>
            <w:bookmarkStart w:id="2304" w:name="TAB11138"/>
            <w:bookmarkEnd w:id="2304"/>
            <w:r>
              <w:rPr>
                <w:rFonts w:ascii="times new roman" w:hAnsi="times new roman"/>
                <w:sz w:val="20"/>
              </w:rPr>
              <w:t>Trade name</w:t>
            </w:r>
          </w:p>
        </w:tc>
        <w:tc>
          <w:tcPr>
            <w:tcW w:w="113"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7,220</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36"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69"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7,220</w:t>
            </w:r>
          </w:p>
        </w:tc>
        <w:tc>
          <w:tcPr>
            <w:tcW w:w="147" w:type="dxa"/>
            <w:tcBorders/>
            <w:shd w:fill="CCEEFF" w:val="clear"/>
            <w:vAlign w:val="bottom"/>
          </w:tcPr>
          <w:p>
            <w:pPr>
              <w:pStyle w:val="TableContents"/>
              <w:spacing w:before="0" w:after="283"/>
              <w:jc w:val="left"/>
              <w:rPr/>
            </w:pPr>
            <w:r>
              <w:rPr/>
              <w:t> </w:t>
            </w:r>
          </w:p>
        </w:tc>
      </w:tr>
      <w:tr>
        <w:trPr/>
        <w:tc>
          <w:tcPr>
            <w:tcW w:w="5433" w:type="dxa"/>
            <w:tcBorders/>
            <w:shd w:fill="FFFFFF" w:val="clear"/>
            <w:vAlign w:val="bottom"/>
          </w:tcPr>
          <w:p>
            <w:pPr>
              <w:pStyle w:val="TableContents"/>
              <w:spacing w:before="0" w:after="0"/>
              <w:ind w:left="342" w:right="0" w:hanging="0"/>
              <w:jc w:val="left"/>
              <w:rPr>
                <w:rFonts w:ascii="times new roman" w:hAnsi="times new roman"/>
                <w:sz w:val="20"/>
              </w:rPr>
            </w:pPr>
            <w:bookmarkStart w:id="2305" w:name="TAB11139"/>
            <w:bookmarkEnd w:id="2305"/>
            <w:r>
              <w:rPr>
                <w:rFonts w:ascii="times new roman" w:hAnsi="times new roman"/>
                <w:sz w:val="20"/>
              </w:rPr>
              <w:t>Non-compete agreement</w:t>
            </w:r>
          </w:p>
        </w:tc>
        <w:tc>
          <w:tcPr>
            <w:tcW w:w="113"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36"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9"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47" w:type="dxa"/>
            <w:tcBorders/>
            <w:shd w:fill="FFFFFF" w:val="clear"/>
            <w:vAlign w:val="bottom"/>
          </w:tcPr>
          <w:p>
            <w:pPr>
              <w:pStyle w:val="TableContents"/>
              <w:spacing w:before="0" w:after="283"/>
              <w:jc w:val="left"/>
              <w:rPr/>
            </w:pPr>
            <w:r>
              <w:rPr/>
              <w:t> </w:t>
            </w:r>
          </w:p>
        </w:tc>
      </w:tr>
      <w:tr>
        <w:trPr/>
        <w:tc>
          <w:tcPr>
            <w:tcW w:w="5433" w:type="dxa"/>
            <w:tcBorders/>
            <w:shd w:fill="CCEEFF" w:val="clear"/>
            <w:vAlign w:val="bottom"/>
          </w:tcPr>
          <w:p>
            <w:pPr>
              <w:pStyle w:val="TableContents"/>
              <w:spacing w:before="0" w:after="0"/>
              <w:ind w:left="342" w:right="0" w:hanging="0"/>
              <w:jc w:val="left"/>
              <w:rPr>
                <w:rFonts w:ascii="times new roman" w:hAnsi="times new roman"/>
                <w:sz w:val="20"/>
              </w:rPr>
            </w:pPr>
            <w:bookmarkStart w:id="2306" w:name="TAB11140"/>
            <w:bookmarkEnd w:id="2306"/>
            <w:r>
              <w:rPr>
                <w:rFonts w:ascii="times new roman" w:hAnsi="times new roman"/>
                <w:sz w:val="20"/>
              </w:rPr>
              <w:t>Below market leases</w:t>
            </w:r>
          </w:p>
        </w:tc>
        <w:tc>
          <w:tcPr>
            <w:tcW w:w="113"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11,831</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36"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69"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11,831</w:t>
            </w:r>
          </w:p>
        </w:tc>
        <w:tc>
          <w:tcPr>
            <w:tcW w:w="147" w:type="dxa"/>
            <w:tcBorders/>
            <w:shd w:fill="CCEEFF" w:val="clear"/>
            <w:vAlign w:val="bottom"/>
          </w:tcPr>
          <w:p>
            <w:pPr>
              <w:pStyle w:val="TableContents"/>
              <w:spacing w:before="0" w:after="283"/>
              <w:jc w:val="left"/>
              <w:rPr/>
            </w:pPr>
            <w:r>
              <w:rPr/>
              <w:t> </w:t>
            </w:r>
          </w:p>
        </w:tc>
      </w:tr>
      <w:tr>
        <w:trPr/>
        <w:tc>
          <w:tcPr>
            <w:tcW w:w="54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Goodwill</w:t>
            </w:r>
          </w:p>
        </w:tc>
        <w:tc>
          <w:tcPr>
            <w:tcW w:w="113"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18,864</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36"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69"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18,638</w:t>
            </w:r>
          </w:p>
        </w:tc>
        <w:tc>
          <w:tcPr>
            <w:tcW w:w="147" w:type="dxa"/>
            <w:tcBorders/>
            <w:shd w:fill="FFFFFF" w:val="clear"/>
            <w:vAlign w:val="bottom"/>
          </w:tcPr>
          <w:p>
            <w:pPr>
              <w:pStyle w:val="TableContents"/>
              <w:spacing w:before="0" w:after="283"/>
              <w:jc w:val="left"/>
              <w:rPr/>
            </w:pPr>
            <w:r>
              <w:rPr/>
              <w:t> </w:t>
            </w:r>
          </w:p>
        </w:tc>
      </w:tr>
      <w:tr>
        <w:trPr/>
        <w:tc>
          <w:tcPr>
            <w:tcW w:w="54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payables</w:t>
            </w:r>
          </w:p>
        </w:tc>
        <w:tc>
          <w:tcPr>
            <w:tcW w:w="113" w:type="dxa"/>
            <w:tcBorders/>
            <w:shd w:fill="CCEEFF" w:val="clear"/>
            <w:vAlign w:val="bottom"/>
          </w:tcPr>
          <w:p>
            <w:pPr>
              <w:pStyle w:val="TableContents"/>
              <w:spacing w:before="0" w:after="283"/>
              <w:jc w:val="left"/>
              <w:rPr/>
            </w:pPr>
            <w:r>
              <w:rPr/>
              <w:t> </w:t>
            </w:r>
          </w:p>
        </w:tc>
        <w:tc>
          <w:tcPr>
            <w:tcW w:w="182"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236"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69"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3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Above market leases</w:t>
            </w:r>
          </w:p>
        </w:tc>
        <w:tc>
          <w:tcPr>
            <w:tcW w:w="113" w:type="dxa"/>
            <w:tcBorders/>
            <w:shd w:fill="FFFFFF" w:val="clear"/>
            <w:vAlign w:val="bottom"/>
          </w:tcPr>
          <w:p>
            <w:pPr>
              <w:pStyle w:val="TableContents"/>
              <w:spacing w:before="0" w:after="283"/>
              <w:jc w:val="lef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(4,164</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2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6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(4,164</w:t>
            </w:r>
          </w:p>
        </w:tc>
        <w:tc>
          <w:tcPr>
            <w:tcW w:w="14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33"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Purchase Price</w:t>
            </w:r>
          </w:p>
        </w:tc>
        <w:tc>
          <w:tcPr>
            <w:tcW w:w="113" w:type="dxa"/>
            <w:tcBorders/>
            <w:shd w:fill="CCEEFF" w:val="clear"/>
            <w:vAlign w:val="bottom"/>
          </w:tcPr>
          <w:p>
            <w:pPr>
              <w:pStyle w:val="TableContents"/>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bottom w:val="double" w:sz="8" w:space="0" w:color="000000"/>
            </w:tcBorders>
            <w:shd w:fill="CCEEFF" w:val="clear"/>
            <w:tcMar>
              <w:bottom w:w="28" w:type="dxa"/>
            </w:tcMar>
            <w:vAlign w:val="bottom"/>
          </w:tcPr>
          <w:p>
            <w:pPr>
              <w:pStyle w:val="TableContents"/>
              <w:spacing w:before="0" w:after="283"/>
              <w:ind w:left="72" w:right="0" w:hanging="0"/>
              <w:jc w:val="right"/>
              <w:rPr>
                <w:rFonts w:ascii="times new roman" w:hAnsi="times new roman"/>
                <w:sz w:val="20"/>
              </w:rPr>
            </w:pPr>
            <w:bookmarkStart w:id="2307" w:name="TAB11141"/>
            <w:bookmarkEnd w:id="2307"/>
            <w:r>
              <w:rPr>
                <w:rFonts w:ascii="times new roman" w:hAnsi="times new roman"/>
                <w:sz w:val="20"/>
              </w:rPr>
              <w:t>63,949</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3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bottom w:val="double" w:sz="8" w:space="0" w:color="000000"/>
            </w:tcBorders>
            <w:shd w:fill="CCEEFF" w:val="clear"/>
            <w:tcMar>
              <w:bottom w:w="28" w:type="dxa"/>
            </w:tcMar>
            <w:vAlign w:val="bottom"/>
          </w:tcPr>
          <w:p>
            <w:pPr>
              <w:pStyle w:val="TableContents"/>
              <w:spacing w:before="0" w:after="283"/>
              <w:ind w:left="72" w:right="0" w:hanging="0"/>
              <w:jc w:val="right"/>
              <w:rPr>
                <w:rFonts w:ascii="times new roman" w:hAnsi="times new roman"/>
                <w:sz w:val="20"/>
              </w:rPr>
            </w:pPr>
            <w:bookmarkStart w:id="2308" w:name="TAB11142"/>
            <w:bookmarkEnd w:id="2308"/>
            <w:r>
              <w:rPr>
                <w:rFonts w:ascii="times new roman" w:hAnsi="times new roman"/>
                <w:sz w:val="20"/>
              </w:rPr>
              <w:t>(226</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8" w:type="dxa"/>
            <w:tcBorders>
              <w:bottom w:val="double" w:sz="8" w:space="0" w:color="000000"/>
            </w:tcBorders>
            <w:shd w:fill="CCEEFF" w:val="clear"/>
            <w:tcMar>
              <w:bottom w:w="28" w:type="dxa"/>
            </w:tcMar>
            <w:vAlign w:val="bottom"/>
          </w:tcPr>
          <w:p>
            <w:pPr>
              <w:pStyle w:val="TableContents"/>
              <w:spacing w:before="0" w:after="283"/>
              <w:ind w:left="72" w:right="0" w:hanging="0"/>
              <w:jc w:val="right"/>
              <w:rPr>
                <w:rFonts w:ascii="times new roman" w:hAnsi="times new roman"/>
                <w:sz w:val="20"/>
              </w:rPr>
            </w:pPr>
            <w:bookmarkStart w:id="2309" w:name="TAB11143"/>
            <w:bookmarkEnd w:id="2309"/>
            <w:r>
              <w:rPr>
                <w:rFonts w:ascii="times new roman" w:hAnsi="times new roman"/>
                <w:sz w:val="20"/>
              </w:rPr>
              <w:t>63,723</w:t>
            </w:r>
          </w:p>
        </w:tc>
        <w:tc>
          <w:tcPr>
            <w:tcW w:w="14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unaudited pro forma results, assuming the above noted acquisition had occurred as of January 1 for purposes of the 2008 and 2007 pro forma disclosures, are presented below.  These unaudited pro forma results have been prepared for comparative purposes only and include certain adjustments, such as increased depreciation and amortization expenses as a result of tangible and intangible assets acquired in the acquisition, as well as higher interest expense as a result of the debt incurred to finance the acquisition.  These unaudited pro forma results do not purport to be indicative of what operating results would have been had the acquisition occurred on January 1, 2008 and January 1, 2007, respectively, and may not be indicative of future operating results (dollars in thousands, except share data):</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10" w:name="PGBRK75"/>
      <w:bookmarkStart w:id="2311" w:name="PGBRK75"/>
      <w:bookmarkEnd w:id="2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12" w:name="FTR75"/>
      <w:bookmarkStart w:id="2313" w:name="FTR75"/>
      <w:bookmarkEnd w:id="2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14" w:name="GLFTR75"/>
      <w:bookmarkEnd w:id="23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315" w:name="PN75"/>
      <w:bookmarkEnd w:id="2315"/>
      <w:r>
        <w:rPr>
          <w:rFonts w:eastAsia="Times New Roman" w:cs="Times New Roman" w:ascii="Times New Roman" w:hAnsi="Times New Roman"/>
          <w:sz w:val="20"/>
          <w:szCs w:val="20"/>
        </w:rPr>
        <w:t>-75-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316" w:name="HDR75"/>
      <w:bookmarkStart w:id="2317" w:name="HDR75"/>
      <w:bookmarkEnd w:id="2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318" w:name="GLHDR75"/>
        <w:bookmarkEnd w:id="231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5000" w:type="pct"/>
        <w:jc w:val="left"/>
        <w:tblInd w:w="0" w:type="dxa"/>
        <w:tblCellMar>
          <w:top w:w="0" w:type="dxa"/>
          <w:left w:w="0" w:type="dxa"/>
          <w:bottom w:w="28" w:type="dxa"/>
          <w:right w:w="0" w:type="dxa"/>
        </w:tblCellMar>
      </w:tblPr>
      <w:tblGrid>
        <w:gridCol w:w="7311"/>
        <w:gridCol w:w="108"/>
        <w:gridCol w:w="126"/>
        <w:gridCol w:w="1095"/>
        <w:gridCol w:w="113"/>
        <w:gridCol w:w="108"/>
        <w:gridCol w:w="126"/>
        <w:gridCol w:w="1095"/>
        <w:gridCol w:w="123"/>
      </w:tblGrid>
      <w:tr>
        <w:trPr/>
        <w:tc>
          <w:tcPr>
            <w:tcW w:w="7311" w:type="dxa"/>
            <w:tcBorders>
              <w:bottom w:val="double" w:sz="8" w:space="0" w:color="000000"/>
            </w:tcBorders>
            <w:shd w:fill="auto" w:val="clear"/>
            <w:vAlign w:val="bottom"/>
          </w:tcPr>
          <w:p>
            <w:pPr>
              <w:pStyle w:val="TableContents"/>
              <w:spacing w:before="0" w:after="283"/>
              <w:rPr/>
            </w:pPr>
            <w:r>
              <w:rPr/>
              <w:t xml:space="preserve">  </w:t>
            </w:r>
          </w:p>
        </w:tc>
        <w:tc>
          <w:tcPr>
            <w:tcW w:w="108" w:type="dxa"/>
            <w:tcBorders/>
            <w:shd w:fill="auto" w:val="clear"/>
            <w:tcMar>
              <w:bottom w:w="0" w:type="dxa"/>
            </w:tcMar>
            <w:vAlign w:val="bottom"/>
          </w:tcPr>
          <w:p>
            <w:pPr>
              <w:pStyle w:val="TableContents"/>
              <w:spacing w:before="0" w:after="283"/>
              <w:rPr/>
            </w:pPr>
            <w:r>
              <w:rPr/>
              <w:t> </w:t>
            </w:r>
          </w:p>
        </w:tc>
        <w:tc>
          <w:tcPr>
            <w:tcW w:w="12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3"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3" w:type="dxa"/>
            <w:tcBorders/>
            <w:shd w:fill="auto" w:val="clear"/>
            <w:tcMar>
              <w:bottom w:w="0" w:type="dxa"/>
            </w:tcMar>
            <w:vAlign w:val="bottom"/>
          </w:tcPr>
          <w:p>
            <w:pPr>
              <w:pStyle w:val="TableContents"/>
              <w:spacing w:before="0" w:after="283"/>
              <w:jc w:val="left"/>
              <w:rPr/>
            </w:pPr>
            <w:r>
              <w:rPr/>
              <w:t> </w:t>
            </w:r>
          </w:p>
        </w:tc>
      </w:tr>
      <w:tr>
        <w:trPr/>
        <w:tc>
          <w:tcPr>
            <w:tcW w:w="731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ind w:left="30" w:right="0" w:hanging="0"/>
              <w:jc w:val="right"/>
              <w:rPr>
                <w:rFonts w:ascii="times new roman" w:hAnsi="times new roman"/>
                <w:sz w:val="20"/>
              </w:rPr>
            </w:pPr>
            <w:bookmarkStart w:id="2319" w:name="TAB11144"/>
            <w:bookmarkEnd w:id="2319"/>
            <w:r>
              <w:rPr>
                <w:rFonts w:ascii="times new roman" w:hAnsi="times new roman"/>
                <w:sz w:val="20"/>
              </w:rPr>
              <w:t>201,399</w:t>
            </w:r>
          </w:p>
        </w:tc>
        <w:tc>
          <w:tcPr>
            <w:tcW w:w="113"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tcMar>
              <w:bottom w:w="0" w:type="dxa"/>
            </w:tcMar>
            <w:vAlign w:val="bottom"/>
          </w:tcPr>
          <w:p>
            <w:pPr>
              <w:pStyle w:val="TableContents"/>
              <w:spacing w:before="0" w:after="283"/>
              <w:ind w:left="83" w:right="0" w:hanging="0"/>
              <w:jc w:val="right"/>
              <w:rPr>
                <w:rFonts w:ascii="times new roman" w:hAnsi="times new roman"/>
                <w:sz w:val="20"/>
              </w:rPr>
            </w:pPr>
            <w:bookmarkStart w:id="2320" w:name="TAB11145"/>
            <w:bookmarkEnd w:id="2320"/>
            <w:r>
              <w:rPr>
                <w:rFonts w:ascii="times new roman" w:hAnsi="times new roman"/>
                <w:sz w:val="20"/>
              </w:rPr>
              <w:t>203,102</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7311"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income</w:t>
            </w:r>
          </w:p>
        </w:tc>
        <w:tc>
          <w:tcPr>
            <w:tcW w:w="108" w:type="dxa"/>
            <w:tcBorders/>
            <w:shd w:fill="FFFFFF" w:val="clear"/>
            <w:tcMar>
              <w:bottom w:w="0" w:type="dxa"/>
            </w:tcMar>
            <w:vAlign w:val="bottom"/>
          </w:tcPr>
          <w:p>
            <w:pPr>
              <w:pStyle w:val="TableContents"/>
              <w:spacing w:before="0" w:after="283"/>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109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1,750</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109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908</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731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from continuing operations</w:t>
            </w:r>
          </w:p>
        </w:tc>
        <w:tc>
          <w:tcPr>
            <w:tcW w:w="10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(13,610</w:t>
            </w:r>
          </w:p>
        </w:tc>
        <w:tc>
          <w:tcPr>
            <w:tcW w:w="11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(14,128</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1" w:type="dxa"/>
            <w:tcBorders>
              <w:bottom w:val="single" w:sz="12" w:space="0" w:color="000000"/>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Basic and diluted loss per share from continuing operations</w:t>
            </w:r>
          </w:p>
        </w:tc>
        <w:tc>
          <w:tcPr>
            <w:tcW w:w="108" w:type="dxa"/>
            <w:tcBorders/>
            <w:shd w:fill="FFFF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109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(0.61</w:t>
            </w:r>
          </w:p>
        </w:tc>
        <w:tc>
          <w:tcPr>
            <w:tcW w:w="11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109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(0.63</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 shares outstanding – basic</w:t>
            </w:r>
          </w:p>
        </w:tc>
        <w:tc>
          <w:tcPr>
            <w:tcW w:w="10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13"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7311"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 shares outstanding – dilutive</w:t>
            </w:r>
          </w:p>
        </w:tc>
        <w:tc>
          <w:tcPr>
            <w:tcW w:w="108"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pPr>
            <w:r>
              <w:rPr/>
              <w:t> </w:t>
            </w:r>
          </w:p>
        </w:tc>
        <w:tc>
          <w:tcPr>
            <w:tcW w:w="1095"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pPr>
            <w:r>
              <w:rPr/>
              <w:t> </w:t>
            </w:r>
          </w:p>
        </w:tc>
        <w:tc>
          <w:tcPr>
            <w:tcW w:w="1095"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23"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Taringa Land</w:t>
      </w:r>
    </w:p>
    <w:p>
      <w:pPr>
        <w:pStyle w:val="TextBody"/>
        <w:spacing w:before="0" w:after="0"/>
        <w:ind w:left="0" w:right="0" w:hanging="0"/>
        <w:rPr/>
      </w:pPr>
      <w:r>
        <w:rPr/>
      </w:r>
    </w:p>
    <w:p>
      <w:pPr>
        <w:pStyle w:val="TextBody"/>
        <w:spacing w:before="0" w:after="0"/>
        <w:ind w:left="0" w:right="144" w:firstLine="720"/>
        <w:jc w:val="both"/>
        <w:rPr>
          <w:rFonts w:ascii="Times New Roman" w:hAnsi="Times New Roman"/>
          <w:sz w:val="20"/>
        </w:rPr>
      </w:pPr>
      <w:r>
        <w:rPr>
          <w:rFonts w:ascii="Times New Roman" w:hAnsi="Times New Roman"/>
          <w:sz w:val="20"/>
        </w:rPr>
        <w:t>During the first quarter of 2008, we acquired or entered into agreements to acquire four contiguous properties of approximately 50,000 square feet, which we intend to develop.  The aggregate purchase price of these properties is $12.3 million (AUS$13.7 million), of which $2.5 million (AUS$2.8 million) relates to the three properties that have been acquired and $9.8 million (AUS$10.9 million) relates to the one property that is under contract to be acquired.  As part of the agreement to purchase the one property under contact, we paid a refundable deposit of $209,000 (AUS$300,000) associated with the purchase of the fourth property.  Our obligation to close on this fourth property is subject to certain conditions (which we may waive) including a rezoning.</w:t>
      </w:r>
    </w:p>
    <w:p>
      <w:pPr>
        <w:pStyle w:val="TextBody"/>
        <w:spacing w:before="0" w:after="0"/>
        <w:ind w:left="0" w:right="0" w:hanging="0"/>
        <w:rPr/>
      </w:pPr>
      <w:r>
        <w:rPr/>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2007 Acquisitions and Property Development</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New Zealand Property Acquisitions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July 27, 2007, we purchased a 64.0 acre parcel of undeveloped agricultural real estate for approximately $9.3 million (NZ$12.1 million).  We intend to rezone the property from its current agricultural use to commercial use, and thereafter to redevelop the property in accordance with its new zoning.  No assurances can be given that such rezoning will be achieved, or if achieved, that it will occur in the near term.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29, 2007, we acquired a commercial property for $5.9 million (NZ$7.6 million), rented to an unrelated third party, to be held for current income and long-term appreciation.  We have completed our purchase price allocation for this property and the related acquired operating lease in accordance with ASC 805-10.  The purchase price allocation was based on the assets acquired from the seller.  The purchase price allocation for this acquisition is $1.2 million (NZ$1.6 million) allocated to land and $4.7 million (NZ$6.1 million) allocated to building.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14, 2007, we acquired a 1.0 acre parcel of commercial real estate for approximately $4.9 million (NZ$6.9 million).  A portion of this property includes unimproved land that we do not intend to develop.  This land was determined to have a fair value of $1.8 million (NZ$2.6 million) at the time of purchase and was previously included on our balance sheet as land held for sale.  The remaining property and its cost basis of $3.1 million (NZ$4.3 million) was included in property under development.  During 2008, the land was transferred from held for sale to held for future development and a write-down of $1.0 million (NZ$1.6 million) to fair value was recognized at the date of transfer.  We have completed our purchase price allocation for this property in accordance with ASC 805 - -10.</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Cinemas 1, 2 &amp; 3 Building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28, 2007, we purchased the building associated with our Cinemas 1, 2 &amp; 3 for $100,000 from Sutton Hill Capital (“SHC”).  Our option to purchase that building has been previously disclosed, and was granted to us by SHC at the time that we acquired the underlying ground lease from SHC on June 1, 2005.  As SHC is a related party to our corporation, our Board’s Audit and Conflicts Committee, comprised entirely of outside independent directors, and subsequently our entire Board of Directors, unanimously approved the purchase of the property.  The Cinemas 1, 2 &amp; 3 is located on 3rd Avenue between 59th and 60th Streets in New York City.</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Tower Ground Lease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321" w:name="TAB11146"/>
      <w:bookmarkEnd w:id="2321"/>
      <w:r>
        <w:rPr>
          <w:rFonts w:ascii="Times New Roman" w:hAnsi="Times New Roman"/>
          <w:sz w:val="20"/>
        </w:rPr>
        <w:t>On February 8, 2007, we purchased the tenant’s interest in the ground lease underlying the building lease for one of our domestic cinemas.  The purchase price of $493,000 was paid in two installments; $243,000 was paid on February 8, 2007 and $250,000 was paid on June 28, 2007.  The purchase price for the ground lease is being amortized to rent expense over the remaining ground lease term.</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22" w:name="PGBRK76"/>
      <w:bookmarkStart w:id="2323" w:name="PGBRK76"/>
      <w:bookmarkEnd w:id="2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4" w:name="FTR76"/>
      <w:bookmarkStart w:id="2325" w:name="FTR76"/>
      <w:bookmarkEnd w:id="2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26" w:name="GLFTR76"/>
      <w:bookmarkEnd w:id="23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327" w:name="PN76"/>
      <w:bookmarkEnd w:id="2327"/>
      <w:r>
        <w:rPr>
          <w:rFonts w:eastAsia="Times New Roman" w:cs="Times New Roman" w:ascii="Times New Roman" w:hAnsi="Times New Roman"/>
          <w:sz w:val="20"/>
          <w:szCs w:val="20"/>
        </w:rPr>
        <w:t>-76-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328" w:name="HDR76"/>
      <w:bookmarkStart w:id="2329" w:name="HDR76"/>
      <w:bookmarkEnd w:id="2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330" w:name="GLHDR76"/>
        <w:bookmarkEnd w:id="23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144" w:hanging="0"/>
        <w:jc w:val="both"/>
        <w:rPr>
          <w:rFonts w:ascii="Times New Roman" w:hAnsi="Times New Roman"/>
          <w:b/>
          <w:sz w:val="20"/>
          <w:u w:val="single"/>
        </w:rPr>
      </w:pPr>
      <w:r>
        <w:rPr>
          <w:rFonts w:ascii="Times New Roman" w:hAnsi="Times New Roman"/>
          <w:b/>
          <w:sz w:val="20"/>
          <w:u w:val="single"/>
        </w:rPr>
        <w:t>Note 9 – Transfer of Held for Sale Real Estate to Continuing Operations and Related Items</w:t>
      </w:r>
    </w:p>
    <w:p>
      <w:pPr>
        <w:pStyle w:val="TextBody"/>
        <w:spacing w:before="0" w:after="0"/>
        <w:ind w:left="0" w:right="0" w:hanging="0"/>
        <w:rPr/>
      </w:pPr>
      <w:r>
        <w:rPr/>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2009 Transactions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September 16, 2008, we entered into a sale option agreement to sell our Auburn property for $28.5 million (AUS$36.0 million).  During 2009, we received notice from the buyer that they intended to withdraw from the option agreement.  Because of the termination of the option agreement, we recorded a gain on option termination of $1.5 million (AUS$2.0 million).  As of December 31, 2008, we classified our Auburn property as held for sale, and, because of the buyer’s withdrawal from the option agreement, we transferred this property to continuing operations during June 2009.  As a result of the transfer of the asset from held for sale to continuing operations, we recorded a loss for 2009 of $549,000 (AUS$685,000) to measure the property at the lower of its carrying amount, adjusted for depre ciation and amortization expense that would have been recognized had the asset been continuously classified as a continuing operational asset, or its fair value at the date of the decision not to sell.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real estate held for sale assets were reclassified from assets held for sale to real estate assets and then adjusted for the loss on transfer during 2009 as follows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362"/>
        <w:gridCol w:w="114"/>
        <w:gridCol w:w="179"/>
        <w:gridCol w:w="1161"/>
        <w:gridCol w:w="128"/>
        <w:gridCol w:w="114"/>
        <w:gridCol w:w="238"/>
        <w:gridCol w:w="1177"/>
        <w:gridCol w:w="128"/>
        <w:gridCol w:w="114"/>
        <w:gridCol w:w="179"/>
        <w:gridCol w:w="1161"/>
        <w:gridCol w:w="150"/>
      </w:tblGrid>
      <w:tr>
        <w:trPr/>
        <w:tc>
          <w:tcPr>
            <w:tcW w:w="5362" w:type="dxa"/>
            <w:tcBorders>
              <w:bottom w:val="double" w:sz="8" w:space="0" w:color="000000"/>
            </w:tcBorders>
            <w:shd w:fill="auto" w:val="clear"/>
            <w:vAlign w:val="bottom"/>
          </w:tcPr>
          <w:p>
            <w:pPr>
              <w:pStyle w:val="TableContents"/>
              <w:spacing w:before="0" w:after="283"/>
              <w:rPr/>
            </w:pPr>
            <w:r>
              <w:rPr/>
              <w:t xml:space="preserve">  </w:t>
            </w:r>
          </w:p>
        </w:tc>
        <w:tc>
          <w:tcPr>
            <w:tcW w:w="114" w:type="dxa"/>
            <w:tcBorders/>
            <w:shd w:fill="auto" w:val="clear"/>
            <w:tcMar>
              <w:bottom w:w="0" w:type="dxa"/>
            </w:tcMar>
            <w:vAlign w:val="bottom"/>
          </w:tcPr>
          <w:p>
            <w:pPr>
              <w:pStyle w:val="TableContents"/>
              <w:spacing w:before="0" w:after="283"/>
              <w:rPr/>
            </w:pPr>
            <w:r>
              <w:rPr/>
              <w:t> </w:t>
            </w:r>
          </w:p>
        </w:tc>
        <w:tc>
          <w:tcPr>
            <w:tcW w:w="134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8"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141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Loss Adjustment</w:t>
            </w:r>
          </w:p>
        </w:tc>
        <w:tc>
          <w:tcPr>
            <w:tcW w:w="128"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134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50" w:type="dxa"/>
            <w:tcBorders/>
            <w:shd w:fill="auto" w:val="clear"/>
            <w:tcMar>
              <w:bottom w:w="0" w:type="dxa"/>
            </w:tcMar>
            <w:vAlign w:val="bottom"/>
          </w:tcPr>
          <w:p>
            <w:pPr>
              <w:pStyle w:val="TableContents"/>
              <w:spacing w:before="0" w:after="283"/>
              <w:jc w:val="left"/>
              <w:rPr/>
            </w:pPr>
            <w:r>
              <w:rPr/>
              <w:t> </w:t>
            </w:r>
          </w:p>
        </w:tc>
      </w:tr>
      <w:tr>
        <w:trPr/>
        <w:tc>
          <w:tcPr>
            <w:tcW w:w="5362"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Assets</w:t>
            </w:r>
          </w:p>
        </w:tc>
        <w:tc>
          <w:tcPr>
            <w:tcW w:w="114" w:type="dxa"/>
            <w:tcBorders/>
            <w:shd w:fill="auto" w:val="clear"/>
            <w:tcMar>
              <w:bottom w:w="0" w:type="dxa"/>
            </w:tcMar>
            <w:vAlign w:val="bottom"/>
          </w:tcPr>
          <w:p>
            <w:pPr>
              <w:pStyle w:val="TableContents"/>
              <w:spacing w:before="0" w:after="283"/>
              <w:rPr/>
            </w:pPr>
            <w:r>
              <w:rPr/>
              <w:t> </w:t>
            </w:r>
          </w:p>
        </w:tc>
        <w:tc>
          <w:tcPr>
            <w:tcW w:w="1340" w:type="dxa"/>
            <w:gridSpan w:val="2"/>
            <w:tcBorders/>
            <w:shd w:fill="auto" w:val="clear"/>
            <w:tcMar>
              <w:bottom w:w="0" w:type="dxa"/>
            </w:tcMar>
            <w:vAlign w:val="bottom"/>
          </w:tcPr>
          <w:p>
            <w:pPr>
              <w:pStyle w:val="TableContents"/>
              <w:spacing w:before="0" w:after="283"/>
              <w:rPr/>
            </w:pPr>
            <w:r>
              <w:rPr/>
              <w:t> </w:t>
            </w:r>
          </w:p>
        </w:tc>
        <w:tc>
          <w:tcPr>
            <w:tcW w:w="128"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1415" w:type="dxa"/>
            <w:gridSpan w:val="2"/>
            <w:tcBorders/>
            <w:shd w:fill="auto" w:val="clear"/>
            <w:tcMar>
              <w:bottom w:w="0" w:type="dxa"/>
            </w:tcMar>
            <w:vAlign w:val="bottom"/>
          </w:tcPr>
          <w:p>
            <w:pPr>
              <w:pStyle w:val="TableContents"/>
              <w:spacing w:before="0" w:after="283"/>
              <w:rPr/>
            </w:pPr>
            <w:r>
              <w:rPr/>
              <w:t> </w:t>
            </w:r>
          </w:p>
        </w:tc>
        <w:tc>
          <w:tcPr>
            <w:tcW w:w="128"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1340" w:type="dxa"/>
            <w:gridSpan w:val="2"/>
            <w:tcBorders/>
            <w:shd w:fill="auto" w:val="clear"/>
            <w:tcMar>
              <w:bottom w:w="0" w:type="dxa"/>
            </w:tcMar>
            <w:vAlign w:val="bottom"/>
          </w:tcPr>
          <w:p>
            <w:pPr>
              <w:pStyle w:val="TableContents"/>
              <w:spacing w:before="0" w:after="283"/>
              <w:rPr/>
            </w:pPr>
            <w:r>
              <w:rPr/>
              <w:t> </w:t>
            </w:r>
          </w:p>
        </w:tc>
        <w:tc>
          <w:tcPr>
            <w:tcW w:w="150" w:type="dxa"/>
            <w:tcBorders/>
            <w:shd w:fill="auto" w:val="clear"/>
            <w:tcMar>
              <w:bottom w:w="0" w:type="dxa"/>
            </w:tcMar>
            <w:vAlign w:val="bottom"/>
          </w:tcPr>
          <w:p>
            <w:pPr>
              <w:pStyle w:val="TableContents"/>
              <w:spacing w:before="0" w:after="283"/>
              <w:jc w:val="left"/>
              <w:rPr/>
            </w:pPr>
            <w:r>
              <w:rPr/>
              <w:t> </w:t>
            </w:r>
          </w:p>
        </w:tc>
      </w:tr>
      <w:tr>
        <w:trPr/>
        <w:tc>
          <w:tcPr>
            <w:tcW w:w="5362" w:type="dxa"/>
            <w:tcBorders/>
            <w:shd w:fill="CCEEFF"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Land</w:t>
            </w:r>
          </w:p>
        </w:tc>
        <w:tc>
          <w:tcPr>
            <w:tcW w:w="114"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7,395</w:t>
            </w:r>
          </w:p>
        </w:tc>
        <w:tc>
          <w:tcPr>
            <w:tcW w:w="128"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23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7,395</w:t>
            </w:r>
          </w:p>
        </w:tc>
        <w:tc>
          <w:tcPr>
            <w:tcW w:w="150" w:type="dxa"/>
            <w:tcBorders/>
            <w:shd w:fill="CCEEFF" w:val="clear"/>
            <w:tcMar>
              <w:bottom w:w="0" w:type="dxa"/>
            </w:tcMar>
            <w:vAlign w:val="bottom"/>
          </w:tcPr>
          <w:p>
            <w:pPr>
              <w:pStyle w:val="TableContents"/>
              <w:spacing w:before="0" w:after="283"/>
              <w:jc w:val="left"/>
              <w:rPr/>
            </w:pPr>
            <w:r>
              <w:rPr/>
              <w:t> </w:t>
            </w:r>
          </w:p>
        </w:tc>
      </w:tr>
      <w:tr>
        <w:trPr/>
        <w:tc>
          <w:tcPr>
            <w:tcW w:w="5362" w:type="dxa"/>
            <w:tcBorders/>
            <w:shd w:fill="FFFFFF"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Building</w:t>
            </w:r>
          </w:p>
        </w:tc>
        <w:tc>
          <w:tcPr>
            <w:tcW w:w="114" w:type="dxa"/>
            <w:tcBorders/>
            <w:shd w:fill="FFFFFF" w:val="clear"/>
            <w:tcMar>
              <w:bottom w:w="0" w:type="dxa"/>
            </w:tcMar>
            <w:vAlign w:val="bottom"/>
          </w:tcPr>
          <w:p>
            <w:pPr>
              <w:pStyle w:val="TableContents"/>
              <w:spacing w:before="0" w:after="283"/>
              <w:jc w:val="left"/>
              <w:rPr/>
            </w:pPr>
            <w:r>
              <w:rPr/>
              <w:t> </w:t>
            </w:r>
          </w:p>
        </w:tc>
        <w:tc>
          <w:tcPr>
            <w:tcW w:w="179" w:type="dxa"/>
            <w:tcBorders/>
            <w:shd w:fill="FFFFFF" w:val="clear"/>
            <w:tcMar>
              <w:bottom w:w="0" w:type="dxa"/>
            </w:tcMar>
            <w:vAlign w:val="bottom"/>
          </w:tcPr>
          <w:p>
            <w:pPr>
              <w:pStyle w:val="TableContents"/>
              <w:spacing w:before="0" w:after="283"/>
              <w:jc w:val="left"/>
              <w:rPr/>
            </w:pPr>
            <w:r>
              <w:rPr/>
              <w:t> </w:t>
            </w:r>
          </w:p>
        </w:tc>
        <w:tc>
          <w:tcPr>
            <w:tcW w:w="116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13,131</w:t>
            </w:r>
          </w:p>
        </w:tc>
        <w:tc>
          <w:tcPr>
            <w:tcW w:w="128"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238" w:type="dxa"/>
            <w:tcBorders/>
            <w:shd w:fill="FFFFFF" w:val="clear"/>
            <w:tcMar>
              <w:bottom w:w="0" w:type="dxa"/>
            </w:tcMar>
            <w:vAlign w:val="bottom"/>
          </w:tcPr>
          <w:p>
            <w:pPr>
              <w:pStyle w:val="TableContents"/>
              <w:spacing w:before="0" w:after="283"/>
              <w:jc w:val="left"/>
              <w:rPr/>
            </w:pPr>
            <w:r>
              <w:rPr/>
              <w:t> </w:t>
            </w:r>
          </w:p>
        </w:tc>
        <w:tc>
          <w:tcPr>
            <w:tcW w:w="11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12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w:t>
            </w:r>
          </w:p>
        </w:tc>
        <w:tc>
          <w:tcPr>
            <w:tcW w:w="179" w:type="dxa"/>
            <w:tcBorders/>
            <w:shd w:fill="FFFFFF" w:val="clear"/>
            <w:tcMar>
              <w:bottom w:w="0" w:type="dxa"/>
            </w:tcMar>
            <w:vAlign w:val="bottom"/>
          </w:tcPr>
          <w:p>
            <w:pPr>
              <w:pStyle w:val="TableContents"/>
              <w:spacing w:before="0" w:after="283"/>
              <w:jc w:val="left"/>
              <w:rPr/>
            </w:pPr>
            <w:r>
              <w:rPr/>
              <w:t> </w:t>
            </w:r>
          </w:p>
        </w:tc>
        <w:tc>
          <w:tcPr>
            <w:tcW w:w="116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12,845</w:t>
            </w:r>
          </w:p>
        </w:tc>
        <w:tc>
          <w:tcPr>
            <w:tcW w:w="150" w:type="dxa"/>
            <w:tcBorders/>
            <w:shd w:fill="FFFFFF" w:val="clear"/>
            <w:tcMar>
              <w:bottom w:w="0" w:type="dxa"/>
            </w:tcMar>
            <w:vAlign w:val="bottom"/>
          </w:tcPr>
          <w:p>
            <w:pPr>
              <w:pStyle w:val="TableContents"/>
              <w:spacing w:before="0" w:after="283"/>
              <w:jc w:val="left"/>
              <w:rPr/>
            </w:pPr>
            <w:r>
              <w:rPr/>
              <w:t> </w:t>
            </w:r>
          </w:p>
        </w:tc>
      </w:tr>
      <w:tr>
        <w:trPr/>
        <w:tc>
          <w:tcPr>
            <w:tcW w:w="5362" w:type="dxa"/>
            <w:tcBorders/>
            <w:shd w:fill="CCEEFF"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Equipment and fixtures</w:t>
            </w:r>
          </w:p>
        </w:tc>
        <w:tc>
          <w:tcPr>
            <w:tcW w:w="114"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before="0" w:after="283"/>
              <w:jc w:val="left"/>
              <w:rPr/>
            </w:pPr>
            <w:r>
              <w:rPr/>
              <w:t> </w:t>
            </w:r>
          </w:p>
        </w:tc>
        <w:tc>
          <w:tcPr>
            <w:tcW w:w="116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7,364</w:t>
            </w:r>
          </w:p>
        </w:tc>
        <w:tc>
          <w:tcPr>
            <w:tcW w:w="128"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238" w:type="dxa"/>
            <w:tcBorders/>
            <w:shd w:fill="CCEEFF" w:val="clear"/>
            <w:tcMar>
              <w:bottom w:w="0" w:type="dxa"/>
            </w:tcMar>
            <w:vAlign w:val="bottom"/>
          </w:tcPr>
          <w:p>
            <w:pPr>
              <w:pStyle w:val="TableContents"/>
              <w:spacing w:before="0" w:after="283"/>
              <w:jc w:val="left"/>
              <w:rPr/>
            </w:pPr>
            <w:r>
              <w:rPr/>
              <w:t> </w:t>
            </w:r>
          </w:p>
        </w:tc>
        <w:tc>
          <w:tcPr>
            <w:tcW w:w="117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w:t>
            </w:r>
          </w:p>
        </w:tc>
        <w:tc>
          <w:tcPr>
            <w:tcW w:w="12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before="0" w:after="283"/>
              <w:jc w:val="left"/>
              <w:rPr/>
            </w:pPr>
            <w:r>
              <w:rPr/>
              <w:t> </w:t>
            </w:r>
          </w:p>
        </w:tc>
        <w:tc>
          <w:tcPr>
            <w:tcW w:w="116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7,101</w:t>
            </w:r>
          </w:p>
        </w:tc>
        <w:tc>
          <w:tcPr>
            <w:tcW w:w="150" w:type="dxa"/>
            <w:tcBorders/>
            <w:shd w:fill="CCEEFF" w:val="clear"/>
            <w:tcMar>
              <w:bottom w:w="0" w:type="dxa"/>
            </w:tcMar>
            <w:vAlign w:val="bottom"/>
          </w:tcPr>
          <w:p>
            <w:pPr>
              <w:pStyle w:val="TableContents"/>
              <w:spacing w:before="0" w:after="283"/>
              <w:jc w:val="left"/>
              <w:rPr/>
            </w:pPr>
            <w:r>
              <w:rPr/>
              <w:t> </w:t>
            </w:r>
          </w:p>
        </w:tc>
      </w:tr>
      <w:tr>
        <w:trPr/>
        <w:tc>
          <w:tcPr>
            <w:tcW w:w="5362" w:type="dxa"/>
            <w:tcBorders>
              <w:bottom w:val="single" w:sz="12" w:space="0" w:color="000000"/>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Less: Accumulated depreciation</w:t>
            </w:r>
          </w:p>
        </w:tc>
        <w:tc>
          <w:tcPr>
            <w:tcW w:w="114" w:type="dxa"/>
            <w:tcBorders/>
            <w:shd w:fill="FFFFFF" w:val="clear"/>
            <w:tcMar>
              <w:bottom w:w="0" w:type="dxa"/>
            </w:tcMar>
            <w:vAlign w:val="bottom"/>
          </w:tcPr>
          <w:p>
            <w:pPr>
              <w:pStyle w:val="TableContents"/>
              <w:spacing w:before="0" w:after="283"/>
              <w:jc w:val="left"/>
              <w:rPr/>
            </w:pPr>
            <w:r>
              <w:rPr/>
              <w:t> </w:t>
            </w:r>
          </w:p>
        </w:tc>
        <w:tc>
          <w:tcPr>
            <w:tcW w:w="179" w:type="dxa"/>
            <w:tcBorders>
              <w:bottom w:val="single" w:sz="12" w:space="0" w:color="000000"/>
            </w:tcBorders>
            <w:shd w:fill="FFFFFF" w:val="clear"/>
            <w:vAlign w:val="bottom"/>
          </w:tcPr>
          <w:p>
            <w:pPr>
              <w:pStyle w:val="TableContents"/>
              <w:spacing w:before="0" w:after="283"/>
              <w:jc w:val="left"/>
              <w:rPr/>
            </w:pPr>
            <w:r>
              <w:rPr/>
              <w:t> </w:t>
            </w:r>
          </w:p>
        </w:tc>
        <w:tc>
          <w:tcPr>
            <w:tcW w:w="116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(7,771</w:t>
            </w:r>
          </w:p>
        </w:tc>
        <w:tc>
          <w:tcPr>
            <w:tcW w:w="12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w:t>
            </w:r>
          </w:p>
        </w:tc>
        <w:tc>
          <w:tcPr>
            <w:tcW w:w="238" w:type="dxa"/>
            <w:tcBorders>
              <w:bottom w:val="single" w:sz="12" w:space="0" w:color="000000"/>
            </w:tcBorders>
            <w:shd w:fill="FFFFFF" w:val="clear"/>
            <w:vAlign w:val="bottom"/>
          </w:tcPr>
          <w:p>
            <w:pPr>
              <w:pStyle w:val="TableContents"/>
              <w:spacing w:before="0" w:after="283"/>
              <w:jc w:val="left"/>
              <w:rPr/>
            </w:pPr>
            <w:r>
              <w:rPr/>
              <w:t> </w:t>
            </w:r>
          </w:p>
        </w:tc>
        <w:tc>
          <w:tcPr>
            <w:tcW w:w="117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79" w:type="dxa"/>
            <w:tcBorders>
              <w:bottom w:val="single" w:sz="12" w:space="0" w:color="000000"/>
            </w:tcBorders>
            <w:shd w:fill="FFFFFF" w:val="clear"/>
            <w:vAlign w:val="bottom"/>
          </w:tcPr>
          <w:p>
            <w:pPr>
              <w:pStyle w:val="TableContents"/>
              <w:spacing w:before="0" w:after="283"/>
              <w:jc w:val="left"/>
              <w:rPr/>
            </w:pPr>
            <w:r>
              <w:rPr/>
              <w:t> </w:t>
            </w:r>
          </w:p>
        </w:tc>
        <w:tc>
          <w:tcPr>
            <w:tcW w:w="116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(7,771</w:t>
            </w:r>
          </w:p>
        </w:tc>
        <w:tc>
          <w:tcPr>
            <w:tcW w:w="15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62" w:type="dxa"/>
            <w:tcBorders>
              <w:bottom w:val="double" w:sz="8" w:space="0" w:color="000000"/>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Total assets held for sale transferred to continuing operations</w:t>
            </w:r>
          </w:p>
        </w:tc>
        <w:tc>
          <w:tcPr>
            <w:tcW w:w="114" w:type="dxa"/>
            <w:tcBorders/>
            <w:shd w:fill="CCEEFF" w:val="clear"/>
            <w:tcMar>
              <w:bottom w:w="0" w:type="dxa"/>
            </w:tcMar>
            <w:vAlign w:val="bottom"/>
          </w:tcPr>
          <w:p>
            <w:pPr>
              <w:pStyle w:val="TableContents"/>
              <w:spacing w:before="0" w:after="283"/>
              <w:jc w:val="left"/>
              <w:rPr/>
            </w:pPr>
            <w:r>
              <w:rPr/>
              <w:t> </w:t>
            </w:r>
          </w:p>
        </w:tc>
        <w:tc>
          <w:tcPr>
            <w:tcW w:w="179"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1" w:type="dxa"/>
            <w:tcBorders>
              <w:bottom w:val="double" w:sz="8" w:space="0" w:color="000000"/>
            </w:tcBorders>
            <w:shd w:fill="CCEEFF" w:val="clear"/>
            <w:vAlign w:val="bottom"/>
          </w:tcPr>
          <w:p>
            <w:pPr>
              <w:pStyle w:val="TableContents"/>
              <w:spacing w:before="0" w:after="283"/>
              <w:ind w:left="78" w:right="0" w:hanging="0"/>
              <w:jc w:val="right"/>
              <w:rPr>
                <w:rFonts w:ascii="times new roman" w:hAnsi="times new roman"/>
                <w:sz w:val="20"/>
              </w:rPr>
            </w:pPr>
            <w:bookmarkStart w:id="2331" w:name="TAB11147"/>
            <w:bookmarkEnd w:id="2331"/>
            <w:r>
              <w:rPr>
                <w:rFonts w:ascii="times new roman" w:hAnsi="times new roman"/>
                <w:sz w:val="20"/>
              </w:rPr>
              <w:t>20,119</w:t>
            </w:r>
          </w:p>
        </w:tc>
        <w:tc>
          <w:tcPr>
            <w:tcW w:w="128"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238"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bottom w:val="double" w:sz="8" w:space="0" w:color="000000"/>
            </w:tcBorders>
            <w:shd w:fill="CCEEFF" w:val="clear"/>
            <w:vAlign w:val="bottom"/>
          </w:tcPr>
          <w:p>
            <w:pPr>
              <w:pStyle w:val="TableContents"/>
              <w:spacing w:before="0" w:after="283"/>
              <w:ind w:left="78" w:right="0" w:hanging="0"/>
              <w:jc w:val="right"/>
              <w:rPr>
                <w:rFonts w:ascii="times new roman" w:hAnsi="times new roman"/>
                <w:sz w:val="20"/>
              </w:rPr>
            </w:pPr>
            <w:bookmarkStart w:id="2332" w:name="TAB11148"/>
            <w:bookmarkEnd w:id="2332"/>
            <w:r>
              <w:rPr>
                <w:rFonts w:ascii="times new roman" w:hAnsi="times new roman"/>
                <w:sz w:val="20"/>
              </w:rPr>
              <w:t>(549</w:t>
            </w:r>
          </w:p>
        </w:tc>
        <w:tc>
          <w:tcPr>
            <w:tcW w:w="12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c>
          <w:tcPr>
            <w:tcW w:w="179"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1" w:type="dxa"/>
            <w:tcBorders>
              <w:bottom w:val="double" w:sz="8" w:space="0" w:color="000000"/>
            </w:tcBorders>
            <w:shd w:fill="CCEEFF" w:val="clear"/>
            <w:vAlign w:val="bottom"/>
          </w:tcPr>
          <w:p>
            <w:pPr>
              <w:pStyle w:val="TableContents"/>
              <w:spacing w:before="0" w:after="283"/>
              <w:ind w:left="78" w:right="0" w:hanging="0"/>
              <w:jc w:val="right"/>
              <w:rPr>
                <w:rFonts w:ascii="times new roman" w:hAnsi="times new roman"/>
                <w:sz w:val="20"/>
              </w:rPr>
            </w:pPr>
            <w:bookmarkStart w:id="2333" w:name="TAB11149"/>
            <w:bookmarkEnd w:id="2333"/>
            <w:r>
              <w:rPr>
                <w:rFonts w:ascii="times new roman" w:hAnsi="times new roman"/>
                <w:sz w:val="20"/>
              </w:rPr>
              <w:t>19,570</w:t>
            </w:r>
          </w:p>
        </w:tc>
        <w:tc>
          <w:tcPr>
            <w:tcW w:w="15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2008 Transactions</w:t>
      </w:r>
    </w:p>
    <w:p>
      <w:pPr>
        <w:pStyle w:val="TextBody"/>
        <w:spacing w:before="0" w:after="0"/>
        <w:ind w:left="0" w:right="0" w:hanging="0"/>
        <w:rPr/>
      </w:pPr>
      <w:r>
        <w:rPr/>
      </w:r>
    </w:p>
    <w:p>
      <w:pPr>
        <w:pStyle w:val="TextBody"/>
        <w:spacing w:before="0" w:after="0"/>
        <w:ind w:left="0" w:right="144" w:firstLine="720"/>
        <w:jc w:val="both"/>
        <w:rPr>
          <w:rFonts w:ascii="Times New Roman" w:hAnsi="Times New Roman"/>
          <w:sz w:val="20"/>
        </w:rPr>
      </w:pPr>
      <w:r>
        <w:rPr>
          <w:rFonts w:ascii="Times New Roman" w:hAnsi="Times New Roman"/>
          <w:sz w:val="20"/>
        </w:rPr>
        <w:t>On June 6, 2008, we sold the Botany Downs Cinema to our joint venture partner for $3.3 million (NZ$4.3 million) resulting in a net gain on sale of an unconsolidated entity of $2.5 million (NZ$3.2 million).  With the sale of the cinema, our unconsolidated joint venture debt decreased by $3.2 million (NZ$4.2 million).  We continue to have certain outstanding, contingent claims related to interest and working capital, which may or may not increase the total sales price of the cinema.</w:t>
      </w:r>
    </w:p>
    <w:p>
      <w:pPr>
        <w:pStyle w:val="TextBody"/>
        <w:spacing w:before="0" w:after="0"/>
        <w:ind w:left="0" w:right="0" w:hanging="0"/>
        <w:rPr/>
      </w:pPr>
      <w:r>
        <w:rPr/>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2007 Transactions</w:t>
      </w:r>
    </w:p>
    <w:p>
      <w:pPr>
        <w:pStyle w:val="TextBody"/>
        <w:spacing w:before="0" w:after="0"/>
        <w:ind w:left="0" w:right="0" w:hanging="0"/>
        <w:rPr/>
      </w:pPr>
      <w:r>
        <w:rPr/>
      </w:r>
    </w:p>
    <w:p>
      <w:pPr>
        <w:pStyle w:val="TextBody"/>
        <w:spacing w:before="0" w:after="0"/>
        <w:ind w:left="0" w:right="144" w:firstLine="720"/>
        <w:jc w:val="both"/>
        <w:rPr>
          <w:rFonts w:ascii="Times New Roman" w:hAnsi="Times New Roman"/>
          <w:sz w:val="20"/>
        </w:rPr>
      </w:pPr>
      <w:r>
        <w:rPr>
          <w:rFonts w:ascii="Times New Roman" w:hAnsi="Times New Roman"/>
          <w:sz w:val="20"/>
        </w:rPr>
        <w:t>In June 2007, upon the fulfillment of our commitment, we recorded the release of a deferred gain on the sale of a discontinued operation of $1.9 million associated with a previously sold property.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10 – Goodwill and Intangible Assets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334" w:name="TAB11150"/>
      <w:bookmarkEnd w:id="2334"/>
      <w:r>
        <w:rPr>
          <w:rFonts w:ascii="Times New Roman" w:hAnsi="Times New Roman"/>
          <w:sz w:val="20"/>
        </w:rPr>
        <w:t xml:space="preserve">Goodwill associated with our asset acquisitions is tested for impairment at the beginning of the fourth quarter with continued evaluation through the end of the fourth quarter of every year.  Based on the projected profits and cash flows of the related assets, it was determined that there is no impairment to our goodwill as of December 31, 2009 or 2008.  Goodwill increased during 2008 primarily due to the acquisitions discussed in Note 8 – </w:t>
      </w:r>
      <w:r>
        <w:rPr>
          <w:rFonts w:ascii="Times New Roman" w:hAnsi="Times New Roman"/>
          <w:i/>
          <w:sz w:val="20"/>
        </w:rPr>
        <w:t>Acquisitions and Property Development</w:t>
      </w:r>
      <w:r>
        <w:rPr>
          <w:rFonts w:ascii="Times New Roman" w:hAnsi="Times New Roman"/>
          <w:sz w:val="20"/>
        </w:rPr>
        <w:t>.  At December 31, 2009 and 2008, our goodwill consisted of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216"/>
        <w:gridCol w:w="108"/>
        <w:gridCol w:w="125"/>
        <w:gridCol w:w="991"/>
        <w:gridCol w:w="113"/>
        <w:gridCol w:w="108"/>
        <w:gridCol w:w="125"/>
        <w:gridCol w:w="964"/>
        <w:gridCol w:w="108"/>
        <w:gridCol w:w="108"/>
        <w:gridCol w:w="124"/>
        <w:gridCol w:w="991"/>
        <w:gridCol w:w="124"/>
      </w:tblGrid>
      <w:tr>
        <w:trPr/>
        <w:tc>
          <w:tcPr>
            <w:tcW w:w="6216" w:type="dxa"/>
            <w:tcBorders>
              <w:bottom w:val="double" w:sz="8"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2009</w:t>
            </w:r>
          </w:p>
        </w:tc>
        <w:tc>
          <w:tcPr>
            <w:tcW w:w="108" w:type="dxa"/>
            <w:tcBorders/>
            <w:shd w:fill="auto" w:val="clear"/>
            <w:tcMar>
              <w:bottom w:w="0" w:type="dxa"/>
            </w:tcMar>
            <w:vAlign w:val="bottom"/>
          </w:tcPr>
          <w:p>
            <w:pPr>
              <w:pStyle w:val="TableContents"/>
              <w:spacing w:before="0" w:after="283"/>
              <w:rPr/>
            </w:pPr>
            <w:r>
              <w:rPr/>
              <w:t> </w:t>
            </w:r>
          </w:p>
        </w:tc>
        <w:tc>
          <w:tcPr>
            <w:tcW w:w="111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13"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08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1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4" w:type="dxa"/>
            <w:tcBorders/>
            <w:shd w:fill="auto" w:val="clear"/>
            <w:tcMar>
              <w:bottom w:w="0" w:type="dxa"/>
            </w:tcMar>
            <w:vAlign w:val="bottom"/>
          </w:tcPr>
          <w:p>
            <w:pPr>
              <w:pStyle w:val="TableContents"/>
              <w:spacing w:before="0" w:after="283"/>
              <w:jc w:val="left"/>
              <w:rPr/>
            </w:pPr>
            <w:r>
              <w:rPr/>
              <w:t> </w:t>
            </w:r>
          </w:p>
        </w:tc>
      </w:tr>
      <w:tr>
        <w:trPr/>
        <w:tc>
          <w:tcPr>
            <w:tcW w:w="621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as of January 1, 2009</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tcMar>
              <w:bottom w:w="0" w:type="dxa"/>
            </w:tcMar>
            <w:vAlign w:val="bottom"/>
          </w:tcPr>
          <w:p>
            <w:pPr>
              <w:pStyle w:val="TableContents"/>
              <w:spacing w:before="0" w:after="283"/>
              <w:ind w:left="180" w:right="0" w:hanging="0"/>
              <w:jc w:val="right"/>
              <w:rPr>
                <w:rFonts w:ascii="times new roman" w:hAnsi="times new roman"/>
                <w:sz w:val="20"/>
              </w:rPr>
            </w:pPr>
            <w:bookmarkStart w:id="2335" w:name="TAB11151"/>
            <w:bookmarkEnd w:id="2335"/>
            <w:r>
              <w:rPr>
                <w:rFonts w:ascii="times new roman" w:hAnsi="times new roman"/>
                <w:sz w:val="20"/>
              </w:rPr>
              <w:t>29,740</w:t>
            </w:r>
          </w:p>
        </w:tc>
        <w:tc>
          <w:tcPr>
            <w:tcW w:w="113"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shd w:fill="CCEEFF" w:val="clear"/>
            <w:tcMar>
              <w:bottom w:w="0" w:type="dxa"/>
            </w:tcMar>
            <w:vAlign w:val="bottom"/>
          </w:tcPr>
          <w:p>
            <w:pPr>
              <w:pStyle w:val="TableContents"/>
              <w:spacing w:before="0" w:after="283"/>
              <w:ind w:left="236" w:right="0" w:hanging="0"/>
              <w:jc w:val="right"/>
              <w:rPr>
                <w:rFonts w:ascii="times new roman" w:hAnsi="times new roman"/>
                <w:sz w:val="20"/>
              </w:rPr>
            </w:pPr>
            <w:bookmarkStart w:id="2336" w:name="TAB11152"/>
            <w:bookmarkEnd w:id="2336"/>
            <w:r>
              <w:rPr>
                <w:rFonts w:ascii="times new roman" w:hAnsi="times new roman"/>
                <w:sz w:val="20"/>
              </w:rPr>
              <w:t>5,224</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tcMar>
              <w:bottom w:w="0" w:type="dxa"/>
            </w:tcMar>
            <w:vAlign w:val="bottom"/>
          </w:tcPr>
          <w:p>
            <w:pPr>
              <w:pStyle w:val="TableContents"/>
              <w:spacing w:before="0" w:after="283"/>
              <w:ind w:left="172" w:right="0" w:hanging="0"/>
              <w:jc w:val="right"/>
              <w:rPr>
                <w:rFonts w:ascii="times new roman" w:hAnsi="times new roman"/>
                <w:sz w:val="20"/>
              </w:rPr>
            </w:pPr>
            <w:bookmarkStart w:id="2337" w:name="TAB11153"/>
            <w:bookmarkEnd w:id="2337"/>
            <w:r>
              <w:rPr>
                <w:rFonts w:ascii="times new roman" w:hAnsi="times new roman"/>
                <w:sz w:val="20"/>
              </w:rPr>
              <w:t>34,964</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621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Change in goodwill due to a purchase price adjustment</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1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99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16"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Foreign currency translation adjustment</w:t>
            </w:r>
          </w:p>
        </w:tc>
        <w:tc>
          <w:tcPr>
            <w:tcW w:w="108"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2,673</w:t>
            </w:r>
          </w:p>
        </w:tc>
        <w:tc>
          <w:tcPr>
            <w:tcW w:w="113"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64" w:type="dxa"/>
            <w:tcBorders>
              <w:bottom w:val="single" w:sz="12" w:space="0" w:color="000000"/>
            </w:tcBorders>
            <w:shd w:fill="CCEEFF" w:val="clear"/>
            <w:vAlign w:val="bottom"/>
          </w:tcPr>
          <w:p>
            <w:pPr>
              <w:pStyle w:val="TableContents"/>
              <w:spacing w:before="0" w:after="283"/>
              <w:ind w:left="755" w:right="0" w:hanging="0"/>
              <w:jc w:val="right"/>
              <w:rPr>
                <w:rFonts w:ascii="times new roman" w:hAnsi="times new roman"/>
                <w:sz w:val="20"/>
              </w:rPr>
            </w:pPr>
            <w:bookmarkStart w:id="2338" w:name="TAB11154"/>
            <w:bookmarkEnd w:id="2338"/>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4" w:type="dxa"/>
            <w:tcBorders>
              <w:bottom w:val="single" w:sz="12" w:space="0" w:color="000000"/>
            </w:tcBorders>
            <w:shd w:fill="CCEEFF" w:val="clear"/>
            <w:vAlign w:val="bottom"/>
          </w:tcPr>
          <w:p>
            <w:pPr>
              <w:pStyle w:val="TableContents"/>
              <w:spacing w:before="0" w:after="283"/>
              <w:jc w:val="left"/>
              <w:rPr/>
            </w:pPr>
            <w:r>
              <w:rPr/>
              <w:t> </w:t>
            </w:r>
          </w:p>
        </w:tc>
        <w:tc>
          <w:tcPr>
            <w:tcW w:w="99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2,673</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6216"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December 31, 2009</w:t>
            </w:r>
          </w:p>
        </w:tc>
        <w:tc>
          <w:tcPr>
            <w:tcW w:w="108" w:type="dxa"/>
            <w:tcBorders/>
            <w:shd w:fill="FFFFFF" w:val="clear"/>
            <w:tcMar>
              <w:bottom w:w="0" w:type="dxa"/>
            </w:tcMar>
            <w:vAlign w:val="bottom"/>
          </w:tcPr>
          <w:p>
            <w:pPr>
              <w:pStyle w:val="TableContents"/>
              <w:spacing w:before="0" w:after="283"/>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FFFFFF" w:val="clear"/>
            <w:vAlign w:val="bottom"/>
          </w:tcPr>
          <w:p>
            <w:pPr>
              <w:pStyle w:val="TableContents"/>
              <w:spacing w:before="0" w:after="283"/>
              <w:ind w:left="180" w:right="0" w:hanging="0"/>
              <w:jc w:val="right"/>
              <w:rPr>
                <w:rFonts w:ascii="times new roman" w:hAnsi="times new roman"/>
                <w:sz w:val="20"/>
              </w:rPr>
            </w:pPr>
            <w:bookmarkStart w:id="2339" w:name="TAB11155"/>
            <w:bookmarkEnd w:id="2339"/>
            <w:r>
              <w:rPr>
                <w:rFonts w:ascii="times new roman" w:hAnsi="times new roman"/>
                <w:sz w:val="20"/>
              </w:rPr>
              <w:t>32,187</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bottom w:val="double" w:sz="8" w:space="0" w:color="000000"/>
            </w:tcBorders>
            <w:shd w:fill="FFFFFF" w:val="clear"/>
            <w:vAlign w:val="bottom"/>
          </w:tcPr>
          <w:p>
            <w:pPr>
              <w:pStyle w:val="TableContents"/>
              <w:spacing w:before="0" w:after="283"/>
              <w:ind w:left="236" w:right="0" w:hanging="0"/>
              <w:jc w:val="right"/>
              <w:rPr>
                <w:rFonts w:ascii="times new roman" w:hAnsi="times new roman"/>
                <w:sz w:val="20"/>
              </w:rPr>
            </w:pPr>
            <w:bookmarkStart w:id="2340" w:name="TAB11156"/>
            <w:bookmarkEnd w:id="2340"/>
            <w:r>
              <w:rPr>
                <w:rFonts w:ascii="times new roman" w:hAnsi="times new roman"/>
                <w:sz w:val="20"/>
              </w:rPr>
              <w:t>5,224</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FFFFFF" w:val="clear"/>
            <w:vAlign w:val="bottom"/>
          </w:tcPr>
          <w:p>
            <w:pPr>
              <w:pStyle w:val="TableContents"/>
              <w:spacing w:before="0" w:after="283"/>
              <w:ind w:left="172" w:right="0" w:hanging="0"/>
              <w:jc w:val="right"/>
              <w:rPr>
                <w:rFonts w:ascii="times new roman" w:hAnsi="times new roman"/>
                <w:sz w:val="20"/>
              </w:rPr>
            </w:pPr>
            <w:bookmarkStart w:id="2341" w:name="TAB11157"/>
            <w:bookmarkEnd w:id="2341"/>
            <w:r>
              <w:rPr>
                <w:rFonts w:ascii="times new roman" w:hAnsi="times new roman"/>
                <w:sz w:val="20"/>
              </w:rPr>
              <w:t>37,411</w:t>
            </w:r>
          </w:p>
        </w:tc>
        <w:tc>
          <w:tcPr>
            <w:tcW w:w="124"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42" w:name="PGBRK77"/>
      <w:bookmarkStart w:id="2343" w:name="PGBRK77"/>
      <w:bookmarkEnd w:id="2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4" w:name="FTR77"/>
      <w:bookmarkStart w:id="2345" w:name="FTR77"/>
      <w:bookmarkEnd w:id="2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46" w:name="GLFTR77"/>
      <w:bookmarkEnd w:id="23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347" w:name="PN77"/>
      <w:bookmarkEnd w:id="2347"/>
      <w:r>
        <w:rPr>
          <w:rFonts w:eastAsia="Times New Roman" w:cs="Times New Roman" w:ascii="Times New Roman" w:hAnsi="Times New Roman"/>
          <w:sz w:val="20"/>
          <w:szCs w:val="20"/>
        </w:rPr>
        <w:t>-77-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348" w:name="HDR77"/>
      <w:bookmarkStart w:id="2349" w:name="HDR77"/>
      <w:bookmarkEnd w:id="2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350" w:name="GLHDR77"/>
        <w:bookmarkEnd w:id="235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5000" w:type="pct"/>
        <w:jc w:val="left"/>
        <w:tblInd w:w="0" w:type="dxa"/>
        <w:tblCellMar>
          <w:top w:w="0" w:type="dxa"/>
          <w:left w:w="0" w:type="dxa"/>
          <w:bottom w:w="28" w:type="dxa"/>
          <w:right w:w="0" w:type="dxa"/>
        </w:tblCellMar>
      </w:tblPr>
      <w:tblGrid>
        <w:gridCol w:w="6216"/>
        <w:gridCol w:w="108"/>
        <w:gridCol w:w="125"/>
        <w:gridCol w:w="991"/>
        <w:gridCol w:w="113"/>
        <w:gridCol w:w="108"/>
        <w:gridCol w:w="125"/>
        <w:gridCol w:w="964"/>
        <w:gridCol w:w="108"/>
        <w:gridCol w:w="108"/>
        <w:gridCol w:w="124"/>
        <w:gridCol w:w="991"/>
        <w:gridCol w:w="124"/>
      </w:tblGrid>
      <w:tr>
        <w:trPr/>
        <w:tc>
          <w:tcPr>
            <w:tcW w:w="6216" w:type="dxa"/>
            <w:tcBorders>
              <w:bottom w:val="double" w:sz="8"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2008</w:t>
            </w:r>
          </w:p>
        </w:tc>
        <w:tc>
          <w:tcPr>
            <w:tcW w:w="108" w:type="dxa"/>
            <w:tcBorders/>
            <w:shd w:fill="auto" w:val="clear"/>
            <w:tcMar>
              <w:bottom w:w="0" w:type="dxa"/>
            </w:tcMar>
            <w:vAlign w:val="bottom"/>
          </w:tcPr>
          <w:p>
            <w:pPr>
              <w:pStyle w:val="TableContents"/>
              <w:spacing w:before="0" w:after="283"/>
              <w:rPr/>
            </w:pPr>
            <w:r>
              <w:rPr/>
              <w:t> </w:t>
            </w:r>
          </w:p>
        </w:tc>
        <w:tc>
          <w:tcPr>
            <w:tcW w:w="111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13"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08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1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4" w:type="dxa"/>
            <w:tcBorders/>
            <w:shd w:fill="auto" w:val="clear"/>
            <w:tcMar>
              <w:bottom w:w="0" w:type="dxa"/>
            </w:tcMar>
            <w:vAlign w:val="bottom"/>
          </w:tcPr>
          <w:p>
            <w:pPr>
              <w:pStyle w:val="TableContents"/>
              <w:spacing w:before="0" w:after="283"/>
              <w:jc w:val="left"/>
              <w:rPr/>
            </w:pPr>
            <w:r>
              <w:rPr/>
              <w:t> </w:t>
            </w:r>
          </w:p>
        </w:tc>
      </w:tr>
      <w:tr>
        <w:trPr/>
        <w:tc>
          <w:tcPr>
            <w:tcW w:w="621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as of January 1, 2008</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tcMar>
              <w:bottom w:w="0" w:type="dxa"/>
            </w:tcMar>
            <w:vAlign w:val="bottom"/>
          </w:tcPr>
          <w:p>
            <w:pPr>
              <w:pStyle w:val="TableContents"/>
              <w:spacing w:before="0" w:after="283"/>
              <w:ind w:left="180" w:right="0" w:hanging="0"/>
              <w:jc w:val="right"/>
              <w:rPr>
                <w:rFonts w:ascii="times new roman" w:hAnsi="times new roman"/>
                <w:sz w:val="20"/>
              </w:rPr>
            </w:pPr>
            <w:bookmarkStart w:id="2351" w:name="TAB11158"/>
            <w:bookmarkEnd w:id="2351"/>
            <w:r>
              <w:rPr>
                <w:rFonts w:ascii="times new roman" w:hAnsi="times new roman"/>
                <w:sz w:val="20"/>
              </w:rPr>
              <w:t>13,876</w:t>
            </w:r>
          </w:p>
        </w:tc>
        <w:tc>
          <w:tcPr>
            <w:tcW w:w="113"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shd w:fill="CCEEFF" w:val="clear"/>
            <w:tcMar>
              <w:bottom w:w="0" w:type="dxa"/>
            </w:tcMar>
            <w:vAlign w:val="bottom"/>
          </w:tcPr>
          <w:p>
            <w:pPr>
              <w:pStyle w:val="TableContents"/>
              <w:spacing w:before="0" w:after="283"/>
              <w:ind w:left="236" w:right="0" w:hanging="0"/>
              <w:jc w:val="right"/>
              <w:rPr>
                <w:rFonts w:ascii="times new roman" w:hAnsi="times new roman"/>
                <w:sz w:val="20"/>
              </w:rPr>
            </w:pPr>
            <w:bookmarkStart w:id="2352" w:name="TAB11159"/>
            <w:bookmarkEnd w:id="2352"/>
            <w:r>
              <w:rPr>
                <w:rFonts w:ascii="times new roman" w:hAnsi="times new roman"/>
                <w:sz w:val="20"/>
              </w:rPr>
              <w:t>5,224</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tcMar>
              <w:bottom w:w="0" w:type="dxa"/>
            </w:tcMar>
            <w:vAlign w:val="bottom"/>
          </w:tcPr>
          <w:p>
            <w:pPr>
              <w:pStyle w:val="TableContents"/>
              <w:spacing w:before="0" w:after="283"/>
              <w:ind w:left="172" w:right="0" w:hanging="0"/>
              <w:jc w:val="right"/>
              <w:rPr>
                <w:rFonts w:ascii="times new roman" w:hAnsi="times new roman"/>
                <w:sz w:val="20"/>
              </w:rPr>
            </w:pPr>
            <w:bookmarkStart w:id="2353" w:name="TAB11160"/>
            <w:bookmarkEnd w:id="2353"/>
            <w:r>
              <w:rPr>
                <w:rFonts w:ascii="times new roman" w:hAnsi="times new roman"/>
                <w:sz w:val="20"/>
              </w:rPr>
              <w:t>19,100</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621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Goodwill acquired during 2008</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1" w:type="dxa"/>
            <w:tcBorders/>
            <w:shd w:fill="FFFFFF" w:val="clear"/>
            <w:tcMar>
              <w:bottom w:w="0" w:type="dxa"/>
            </w:tcMar>
            <w:vAlign w:val="bottom"/>
          </w:tcPr>
          <w:p>
            <w:pPr>
              <w:pStyle w:val="TableContents"/>
              <w:spacing w:before="0" w:after="283"/>
              <w:ind w:left="108" w:right="0" w:hanging="0"/>
              <w:jc w:val="right"/>
              <w:rPr>
                <w:rFonts w:ascii="times new roman" w:hAnsi="times new roman"/>
                <w:sz w:val="20"/>
              </w:rPr>
            </w:pPr>
            <w:bookmarkStart w:id="2354" w:name="TAB11161"/>
            <w:bookmarkEnd w:id="2354"/>
            <w:r>
              <w:rPr>
                <w:rFonts w:ascii="times new roman" w:hAnsi="times new roman"/>
                <w:sz w:val="20"/>
              </w:rPr>
              <w:t>18,949</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64" w:type="dxa"/>
            <w:tcBorders/>
            <w:shd w:fill="FFFFFF" w:val="clear"/>
            <w:tcMar>
              <w:bottom w:w="0" w:type="dxa"/>
            </w:tcMar>
            <w:vAlign w:val="bottom"/>
          </w:tcPr>
          <w:p>
            <w:pPr>
              <w:pStyle w:val="TableContents"/>
              <w:spacing w:before="0" w:after="283"/>
              <w:ind w:left="719" w:right="0" w:hanging="0"/>
              <w:jc w:val="right"/>
              <w:rPr>
                <w:rFonts w:ascii="times new roman" w:hAnsi="times new roman"/>
                <w:sz w:val="20"/>
              </w:rPr>
            </w:pPr>
            <w:bookmarkStart w:id="2355" w:name="TAB11162"/>
            <w:bookmarkEnd w:id="2355"/>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991" w:type="dxa"/>
            <w:tcBorders/>
            <w:shd w:fill="FFFFFF" w:val="clear"/>
            <w:tcMar>
              <w:bottom w:w="0" w:type="dxa"/>
            </w:tcMar>
            <w:vAlign w:val="bottom"/>
          </w:tcPr>
          <w:p>
            <w:pPr>
              <w:pStyle w:val="TableContents"/>
              <w:spacing w:before="0" w:after="283"/>
              <w:ind w:left="191" w:right="0" w:hanging="0"/>
              <w:jc w:val="right"/>
              <w:rPr>
                <w:rFonts w:ascii="times new roman" w:hAnsi="times new roman"/>
                <w:sz w:val="20"/>
              </w:rPr>
            </w:pPr>
            <w:bookmarkStart w:id="2356" w:name="TAB11163"/>
            <w:bookmarkEnd w:id="2356"/>
            <w:r>
              <w:rPr>
                <w:rFonts w:ascii="times new roman" w:hAnsi="times new roman"/>
                <w:sz w:val="20"/>
              </w:rPr>
              <w:t>18,949</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216"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Foreign currency translation adjustment</w:t>
            </w:r>
          </w:p>
        </w:tc>
        <w:tc>
          <w:tcPr>
            <w:tcW w:w="108"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(3,085</w:t>
            </w:r>
          </w:p>
        </w:tc>
        <w:tc>
          <w:tcPr>
            <w:tcW w:w="11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6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CCEEFF" w:val="clear"/>
            <w:vAlign w:val="bottom"/>
          </w:tcPr>
          <w:p>
            <w:pPr>
              <w:pStyle w:val="TableContents"/>
              <w:spacing w:before="0" w:after="283"/>
              <w:jc w:val="left"/>
              <w:rPr/>
            </w:pPr>
            <w:r>
              <w:rPr/>
              <w:t> </w:t>
            </w:r>
          </w:p>
        </w:tc>
        <w:tc>
          <w:tcPr>
            <w:tcW w:w="99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(3,085</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16"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December 31, 2008</w:t>
            </w:r>
          </w:p>
        </w:tc>
        <w:tc>
          <w:tcPr>
            <w:tcW w:w="108" w:type="dxa"/>
            <w:tcBorders/>
            <w:shd w:fill="FFFFFF" w:val="clear"/>
            <w:tcMar>
              <w:bottom w:w="0" w:type="dxa"/>
            </w:tcMar>
            <w:vAlign w:val="bottom"/>
          </w:tcPr>
          <w:p>
            <w:pPr>
              <w:pStyle w:val="TableContents"/>
              <w:spacing w:before="0" w:after="283"/>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FFFFFF" w:val="clear"/>
            <w:vAlign w:val="bottom"/>
          </w:tcPr>
          <w:p>
            <w:pPr>
              <w:pStyle w:val="TableContents"/>
              <w:spacing w:before="0" w:after="283"/>
              <w:ind w:left="180" w:right="0" w:hanging="0"/>
              <w:jc w:val="right"/>
              <w:rPr>
                <w:rFonts w:ascii="times new roman" w:hAnsi="times new roman"/>
                <w:sz w:val="20"/>
              </w:rPr>
            </w:pPr>
            <w:bookmarkStart w:id="2357" w:name="TAB11164"/>
            <w:bookmarkEnd w:id="2357"/>
            <w:r>
              <w:rPr>
                <w:rFonts w:ascii="times new roman" w:hAnsi="times new roman"/>
                <w:sz w:val="20"/>
              </w:rPr>
              <w:t>29,740</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bottom w:val="double" w:sz="8" w:space="0" w:color="000000"/>
            </w:tcBorders>
            <w:shd w:fill="FFFFFF" w:val="clear"/>
            <w:vAlign w:val="bottom"/>
          </w:tcPr>
          <w:p>
            <w:pPr>
              <w:pStyle w:val="TableContents"/>
              <w:spacing w:before="0" w:after="283"/>
              <w:ind w:left="236" w:right="0" w:hanging="0"/>
              <w:jc w:val="right"/>
              <w:rPr>
                <w:rFonts w:ascii="times new roman" w:hAnsi="times new roman"/>
                <w:sz w:val="20"/>
              </w:rPr>
            </w:pPr>
            <w:bookmarkStart w:id="2358" w:name="TAB11165"/>
            <w:bookmarkEnd w:id="2358"/>
            <w:r>
              <w:rPr>
                <w:rFonts w:ascii="times new roman" w:hAnsi="times new roman"/>
                <w:sz w:val="20"/>
              </w:rPr>
              <w:t>5,224</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FFFFFF" w:val="clear"/>
            <w:vAlign w:val="bottom"/>
          </w:tcPr>
          <w:p>
            <w:pPr>
              <w:pStyle w:val="TableContents"/>
              <w:spacing w:before="0" w:after="283"/>
              <w:ind w:left="172" w:right="0" w:hanging="0"/>
              <w:jc w:val="right"/>
              <w:rPr>
                <w:rFonts w:ascii="times new roman" w:hAnsi="times new roman"/>
                <w:sz w:val="20"/>
              </w:rPr>
            </w:pPr>
            <w:bookmarkStart w:id="2359" w:name="TAB11166"/>
            <w:bookmarkEnd w:id="2359"/>
            <w:r>
              <w:rPr>
                <w:rFonts w:ascii="times new roman" w:hAnsi="times new roman"/>
                <w:sz w:val="20"/>
              </w:rPr>
              <w:t>34,964</w:t>
            </w:r>
          </w:p>
        </w:tc>
        <w:tc>
          <w:tcPr>
            <w:tcW w:w="124"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360" w:name="TAB11167"/>
      <w:bookmarkEnd w:id="2360"/>
      <w:r>
        <w:rPr>
          <w:rFonts w:ascii="Times New Roman" w:hAnsi="Times New Roman"/>
          <w:sz w:val="20"/>
        </w:rPr>
        <w:t>Goodwill is tested for impairment annually or more frequently whenever events occur or circumstances change that would more likely than not reduce the fair value of a reporting unit below its carrying amount.  Historically, we have performed our annual goodwill impairment test at the beginning of the fourth quarter for all of our reporting units except for the US Cinemas reporting unit.  The goodwill included in the US Cinemas reporting unit, which was created in the first quarter of 2008 as part of the Pacific Theater cinemas acquisition, was tested as of the anniversary date of such acquisition, February 22, 2009, and no impairment was indicated.  During the fourth quarter of 2009, we changed the date on which we perform our annual goodwill impairment test for the US Cinemas reporting unit from February 22 to the first day of the fourth quarter to better align the annual goodwill impairment tests for our US Cinemas reporting unit with our other reporting units and our budgeting and forecasting process.  We believe this change in accounting principle is to an alternative accounting principle that is preferable under the circumstances.  The change in our annual goodwill impairment test date for the US Cinemas reporting unit is not intended to nor does it delay, accelerate or avoid an impairment charge nor does the change have any impact on our financial position, results of operations, or cash flows for any prior periods when applied retrospectively.  During the testing of our Live Theater (Real Estate) segment, we noted that its estimated fair value was not substantially in excess of its $5.2 million carrying value at October 1, 2009.  This did not affect our conclusion that goodwill was not impaired at December 31, 2009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intangible assets subject to amortization consisting of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272"/>
        <w:gridCol w:w="106"/>
        <w:gridCol w:w="175"/>
        <w:gridCol w:w="1096"/>
        <w:gridCol w:w="106"/>
        <w:gridCol w:w="106"/>
        <w:gridCol w:w="155"/>
        <w:gridCol w:w="918"/>
        <w:gridCol w:w="106"/>
        <w:gridCol w:w="106"/>
        <w:gridCol w:w="154"/>
        <w:gridCol w:w="918"/>
        <w:gridCol w:w="106"/>
        <w:gridCol w:w="106"/>
        <w:gridCol w:w="241"/>
        <w:gridCol w:w="1041"/>
        <w:gridCol w:w="106"/>
        <w:gridCol w:w="106"/>
        <w:gridCol w:w="155"/>
        <w:gridCol w:w="997"/>
        <w:gridCol w:w="129"/>
      </w:tblGrid>
      <w:tr>
        <w:trPr/>
        <w:tc>
          <w:tcPr>
            <w:tcW w:w="3272"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As of December 31, 2009</w:t>
            </w:r>
          </w:p>
        </w:tc>
        <w:tc>
          <w:tcPr>
            <w:tcW w:w="106" w:type="dxa"/>
            <w:tcBorders/>
            <w:shd w:fill="auto" w:val="clear"/>
            <w:tcMar>
              <w:bottom w:w="0" w:type="dxa"/>
            </w:tcMar>
            <w:vAlign w:val="bottom"/>
          </w:tcPr>
          <w:p>
            <w:pPr>
              <w:pStyle w:val="TableContents"/>
              <w:spacing w:before="0" w:after="283"/>
              <w:rPr/>
            </w:pPr>
            <w:r>
              <w:rPr/>
              <w:t> </w:t>
            </w:r>
          </w:p>
        </w:tc>
        <w:tc>
          <w:tcPr>
            <w:tcW w:w="127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Beneficial Leases</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07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Trade name</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07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Fee</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8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 Intangible Assets</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5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9" w:type="dxa"/>
            <w:tcBorders/>
            <w:shd w:fill="auto" w:val="clear"/>
            <w:tcMar>
              <w:bottom w:w="0" w:type="dxa"/>
            </w:tcMar>
            <w:vAlign w:val="bottom"/>
          </w:tcPr>
          <w:p>
            <w:pPr>
              <w:pStyle w:val="TableContents"/>
              <w:spacing w:before="0" w:after="283"/>
              <w:jc w:val="left"/>
              <w:rPr/>
            </w:pPr>
            <w:r>
              <w:rPr/>
              <w:t> </w:t>
            </w:r>
          </w:p>
        </w:tc>
      </w:tr>
      <w:tr>
        <w:trPr/>
        <w:tc>
          <w:tcPr>
            <w:tcW w:w="327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Gross carrying amount</w:t>
            </w:r>
          </w:p>
        </w:tc>
        <w:tc>
          <w:tcPr>
            <w:tcW w:w="106" w:type="dxa"/>
            <w:tcBorders/>
            <w:shd w:fill="CCEEFF" w:val="clear"/>
            <w:tcMar>
              <w:bottom w:w="0" w:type="dxa"/>
            </w:tcMar>
            <w:vAlign w:val="bottom"/>
          </w:tcPr>
          <w:p>
            <w:pPr>
              <w:pStyle w:val="TableContents"/>
              <w:spacing w:before="0" w:after="283"/>
              <w:rPr/>
            </w:pPr>
            <w:r>
              <w:rPr/>
              <w:t> </w:t>
            </w:r>
          </w:p>
        </w:tc>
        <w:tc>
          <w:tcPr>
            <w:tcW w:w="17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tcMar>
              <w:bottom w:w="0" w:type="dxa"/>
            </w:tcMar>
            <w:vAlign w:val="bottom"/>
          </w:tcPr>
          <w:p>
            <w:pPr>
              <w:pStyle w:val="TableContents"/>
              <w:spacing w:before="0" w:after="283"/>
              <w:ind w:left="97" w:right="0" w:hanging="0"/>
              <w:jc w:val="right"/>
              <w:rPr>
                <w:rFonts w:ascii="times new roman" w:hAnsi="times new roman"/>
                <w:sz w:val="20"/>
              </w:rPr>
            </w:pPr>
            <w:bookmarkStart w:id="2361" w:name="TAB11168"/>
            <w:bookmarkEnd w:id="2361"/>
            <w:r>
              <w:rPr>
                <w:rFonts w:ascii="times new roman" w:hAnsi="times new roman"/>
                <w:sz w:val="20"/>
              </w:rPr>
              <w:t>24,079</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8" w:type="dxa"/>
            <w:tcBorders/>
            <w:shd w:fill="CCEEFF" w:val="clear"/>
            <w:tcMar>
              <w:bottom w:w="0" w:type="dxa"/>
            </w:tcMar>
            <w:vAlign w:val="bottom"/>
          </w:tcPr>
          <w:p>
            <w:pPr>
              <w:pStyle w:val="TableContents"/>
              <w:spacing w:before="0" w:after="283"/>
              <w:ind w:left="97" w:right="0" w:hanging="0"/>
              <w:jc w:val="right"/>
              <w:rPr>
                <w:rFonts w:ascii="times new roman" w:hAnsi="times new roman"/>
                <w:sz w:val="20"/>
              </w:rPr>
            </w:pPr>
            <w:bookmarkStart w:id="2362" w:name="TAB11169"/>
            <w:bookmarkEnd w:id="2362"/>
            <w:r>
              <w:rPr>
                <w:rFonts w:ascii="times new roman" w:hAnsi="times new roman"/>
                <w:sz w:val="20"/>
              </w:rPr>
              <w:t>7,220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8" w:type="dxa"/>
            <w:tcBorders/>
            <w:shd w:fill="CCEEFF" w:val="clear"/>
            <w:tcMar>
              <w:bottom w:w="0" w:type="dxa"/>
            </w:tcMar>
            <w:vAlign w:val="bottom"/>
          </w:tcPr>
          <w:p>
            <w:pPr>
              <w:pStyle w:val="TableContents"/>
              <w:spacing w:before="0" w:after="283"/>
              <w:ind w:left="97" w:right="0" w:hanging="0"/>
              <w:jc w:val="right"/>
              <w:rPr>
                <w:rFonts w:ascii="times new roman" w:hAnsi="times new roman"/>
                <w:sz w:val="20"/>
              </w:rPr>
            </w:pPr>
            <w:bookmarkStart w:id="2363" w:name="TAB11170"/>
            <w:bookmarkEnd w:id="2363"/>
            <w:r>
              <w:rPr>
                <w:rFonts w:ascii="times new roman" w:hAnsi="times new roman"/>
                <w:sz w:val="20"/>
              </w:rPr>
              <w:t>2,773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shd w:fill="CCEEFF" w:val="clear"/>
            <w:tcMar>
              <w:bottom w:w="0" w:type="dxa"/>
            </w:tcMar>
            <w:vAlign w:val="bottom"/>
          </w:tcPr>
          <w:p>
            <w:pPr>
              <w:pStyle w:val="TableContents"/>
              <w:spacing w:before="0" w:after="283"/>
              <w:ind w:left="97" w:right="0" w:hanging="0"/>
              <w:jc w:val="right"/>
              <w:rPr>
                <w:rFonts w:ascii="times new roman" w:hAnsi="times new roman"/>
                <w:sz w:val="20"/>
              </w:rPr>
            </w:pPr>
            <w:bookmarkStart w:id="2364" w:name="TAB11171"/>
            <w:bookmarkEnd w:id="2364"/>
            <w:r>
              <w:rPr>
                <w:rFonts w:ascii="times new roman" w:hAnsi="times new roman"/>
                <w:sz w:val="20"/>
              </w:rPr>
              <w:t>451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shd w:fill="CCEEFF" w:val="clear"/>
            <w:tcMar>
              <w:bottom w:w="0" w:type="dxa"/>
            </w:tcMar>
            <w:vAlign w:val="bottom"/>
          </w:tcPr>
          <w:p>
            <w:pPr>
              <w:pStyle w:val="TableContents"/>
              <w:spacing w:before="0" w:after="283"/>
              <w:ind w:left="97" w:right="0" w:hanging="0"/>
              <w:jc w:val="right"/>
              <w:rPr>
                <w:rFonts w:ascii="times new roman" w:hAnsi="times new roman"/>
                <w:sz w:val="20"/>
              </w:rPr>
            </w:pPr>
            <w:bookmarkStart w:id="2365" w:name="TAB11172"/>
            <w:bookmarkEnd w:id="2365"/>
            <w:r>
              <w:rPr>
                <w:rFonts w:ascii="times new roman" w:hAnsi="times new roman"/>
                <w:sz w:val="20"/>
              </w:rPr>
              <w:t>34,523</w:t>
            </w:r>
          </w:p>
        </w:tc>
        <w:tc>
          <w:tcPr>
            <w:tcW w:w="129" w:type="dxa"/>
            <w:tcBorders/>
            <w:shd w:fill="CCEEFF" w:val="clear"/>
            <w:tcMar>
              <w:bottom w:w="0" w:type="dxa"/>
            </w:tcMar>
            <w:vAlign w:val="bottom"/>
          </w:tcPr>
          <w:p>
            <w:pPr>
              <w:pStyle w:val="TableContents"/>
              <w:spacing w:before="0" w:after="283"/>
              <w:jc w:val="left"/>
              <w:rPr/>
            </w:pPr>
            <w:r>
              <w:rPr/>
              <w:t> </w:t>
            </w:r>
          </w:p>
        </w:tc>
      </w:tr>
      <w:tr>
        <w:trPr/>
        <w:tc>
          <w:tcPr>
            <w:tcW w:w="3272"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Less: Accumulated amortization</w:t>
            </w:r>
          </w:p>
        </w:tc>
        <w:tc>
          <w:tcPr>
            <w:tcW w:w="106" w:type="dxa"/>
            <w:tcBorders/>
            <w:shd w:fill="FFFFFF" w:val="clear"/>
            <w:tcMar>
              <w:bottom w:w="0" w:type="dxa"/>
            </w:tcMar>
            <w:vAlign w:val="bottom"/>
          </w:tcPr>
          <w:p>
            <w:pPr>
              <w:pStyle w:val="TableContents"/>
              <w:spacing w:before="0" w:after="283"/>
              <w:rPr/>
            </w:pPr>
            <w:r>
              <w:rPr/>
              <w:t> </w:t>
            </w:r>
          </w:p>
        </w:tc>
        <w:tc>
          <w:tcPr>
            <w:tcW w:w="175" w:type="dxa"/>
            <w:tcBorders>
              <w:bottom w:val="single" w:sz="12" w:space="0" w:color="000000"/>
            </w:tcBorders>
            <w:shd w:fill="FFFFFF" w:val="clear"/>
            <w:vAlign w:val="bottom"/>
          </w:tcPr>
          <w:p>
            <w:pPr>
              <w:pStyle w:val="TableContents"/>
              <w:spacing w:before="0" w:after="283"/>
              <w:jc w:val="left"/>
              <w:rPr/>
            </w:pPr>
            <w:r>
              <w:rPr/>
              <w:t> </w:t>
            </w:r>
          </w:p>
        </w:tc>
        <w:tc>
          <w:tcPr>
            <w:tcW w:w="10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6,924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55" w:type="dxa"/>
            <w:tcBorders>
              <w:bottom w:val="single" w:sz="12" w:space="0" w:color="000000"/>
            </w:tcBorders>
            <w:shd w:fill="FFFFFF" w:val="clear"/>
            <w:vAlign w:val="bottom"/>
          </w:tcPr>
          <w:p>
            <w:pPr>
              <w:pStyle w:val="TableContents"/>
              <w:spacing w:before="0" w:after="283"/>
              <w:jc w:val="left"/>
              <w:rPr/>
            </w:pPr>
            <w:r>
              <w:rPr/>
              <w:t> </w:t>
            </w:r>
          </w:p>
        </w:tc>
        <w:tc>
          <w:tcPr>
            <w:tcW w:w="91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2,051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54" w:type="dxa"/>
            <w:tcBorders>
              <w:bottom w:val="single" w:sz="12" w:space="0" w:color="000000"/>
            </w:tcBorders>
            <w:shd w:fill="FFFFFF" w:val="clear"/>
            <w:vAlign w:val="bottom"/>
          </w:tcPr>
          <w:p>
            <w:pPr>
              <w:pStyle w:val="TableContents"/>
              <w:spacing w:before="0" w:after="283"/>
              <w:jc w:val="left"/>
              <w:rPr/>
            </w:pPr>
            <w:r>
              <w:rPr/>
              <w:t> </w:t>
            </w:r>
          </w:p>
        </w:tc>
        <w:tc>
          <w:tcPr>
            <w:tcW w:w="91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2,710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241" w:type="dxa"/>
            <w:tcBorders>
              <w:bottom w:val="single" w:sz="12" w:space="0" w:color="000000"/>
            </w:tcBorders>
            <w:shd w:fill="FFFFFF" w:val="clear"/>
            <w:vAlign w:val="bottom"/>
          </w:tcPr>
          <w:p>
            <w:pPr>
              <w:pStyle w:val="TableContents"/>
              <w:spacing w:before="0" w:after="283"/>
              <w:jc w:val="left"/>
              <w:rPr/>
            </w:pPr>
            <w:r>
              <w:rPr/>
              <w:t> </w:t>
            </w:r>
          </w:p>
        </w:tc>
        <w:tc>
          <w:tcPr>
            <w:tcW w:w="104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55" w:type="dxa"/>
            <w:tcBorders>
              <w:bottom w:val="single" w:sz="12" w:space="0" w:color="000000"/>
            </w:tcBorders>
            <w:shd w:fill="FFFFFF" w:val="clear"/>
            <w:vAlign w:val="bottom"/>
          </w:tcPr>
          <w:p>
            <w:pPr>
              <w:pStyle w:val="TableContents"/>
              <w:spacing w:before="0" w:after="283"/>
              <w:jc w:val="left"/>
              <w:rPr/>
            </w:pPr>
            <w:r>
              <w:rPr/>
              <w:t> </w:t>
            </w:r>
          </w:p>
        </w:tc>
        <w:tc>
          <w:tcPr>
            <w:tcW w:w="99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11,868</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3272" w:type="dxa"/>
            <w:tcBorders>
              <w:bottom w:val="double" w:sz="8" w:space="0" w:color="000000"/>
            </w:tcBorders>
            <w:shd w:fill="CCEEFF" w:val="clear"/>
            <w:vAlign w:val="bottom"/>
          </w:tcPr>
          <w:p>
            <w:pPr>
              <w:pStyle w:val="TableContents"/>
              <w:spacing w:before="0" w:after="0"/>
              <w:ind w:left="0" w:right="0" w:hanging="0"/>
              <w:jc w:val="both"/>
              <w:rPr/>
            </w:pPr>
            <w:r>
              <w:rPr/>
              <w:t>   </w:t>
            </w:r>
            <w:r>
              <w:rPr>
                <w:rFonts w:ascii="times new roman" w:hAnsi="times new roman"/>
                <w:sz w:val="20"/>
              </w:rPr>
              <w:t>Total, net</w:t>
            </w:r>
          </w:p>
        </w:tc>
        <w:tc>
          <w:tcPr>
            <w:tcW w:w="106" w:type="dxa"/>
            <w:tcBorders/>
            <w:shd w:fill="CCEEFF" w:val="clear"/>
            <w:tcMar>
              <w:bottom w:w="0" w:type="dxa"/>
            </w:tcMar>
            <w:vAlign w:val="bottom"/>
          </w:tcPr>
          <w:p>
            <w:pPr>
              <w:pStyle w:val="TableContents"/>
              <w:spacing w:before="0" w:after="283"/>
              <w:rPr/>
            </w:pPr>
            <w:r>
              <w:rPr/>
              <w:t> </w:t>
            </w:r>
          </w:p>
        </w:tc>
        <w:tc>
          <w:tcPr>
            <w:tcW w:w="17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366" w:name="TAB11173"/>
            <w:bookmarkEnd w:id="2366"/>
            <w:r>
              <w:rPr>
                <w:rFonts w:ascii="times new roman" w:hAnsi="times new roman"/>
                <w:sz w:val="20"/>
              </w:rPr>
              <w:t>17,155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8" w:type="dxa"/>
            <w:tcBorders>
              <w:bottom w:val="double" w:sz="8"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367" w:name="TAB11174"/>
            <w:bookmarkEnd w:id="2367"/>
            <w:r>
              <w:rPr>
                <w:rFonts w:ascii="times new roman" w:hAnsi="times new roman"/>
                <w:sz w:val="20"/>
              </w:rPr>
              <w:t>5,169</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8" w:type="dxa"/>
            <w:tcBorders>
              <w:bottom w:val="double" w:sz="8"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368" w:name="TAB11175"/>
            <w:bookmarkEnd w:id="2368"/>
            <w:r>
              <w:rPr>
                <w:rFonts w:ascii="times new roman" w:hAnsi="times new roman"/>
                <w:sz w:val="20"/>
              </w:rPr>
              <w:t>63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bottom w:val="double" w:sz="8"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369" w:name="TAB11176"/>
            <w:bookmarkEnd w:id="2369"/>
            <w:r>
              <w:rPr>
                <w:rFonts w:ascii="times new roman" w:hAnsi="times new roman"/>
                <w:sz w:val="20"/>
              </w:rPr>
              <w:t>268</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bottom w:val="double" w:sz="8"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370" w:name="TAB11177"/>
            <w:bookmarkEnd w:id="2370"/>
            <w:r>
              <w:rPr>
                <w:rFonts w:ascii="times new roman" w:hAnsi="times new roman"/>
                <w:sz w:val="20"/>
              </w:rPr>
              <w:t>22,655</w:t>
            </w:r>
          </w:p>
        </w:tc>
        <w:tc>
          <w:tcPr>
            <w:tcW w:w="12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272"/>
        <w:gridCol w:w="106"/>
        <w:gridCol w:w="175"/>
        <w:gridCol w:w="1096"/>
        <w:gridCol w:w="106"/>
        <w:gridCol w:w="106"/>
        <w:gridCol w:w="155"/>
        <w:gridCol w:w="918"/>
        <w:gridCol w:w="106"/>
        <w:gridCol w:w="106"/>
        <w:gridCol w:w="154"/>
        <w:gridCol w:w="918"/>
        <w:gridCol w:w="106"/>
        <w:gridCol w:w="106"/>
        <w:gridCol w:w="241"/>
        <w:gridCol w:w="1041"/>
        <w:gridCol w:w="106"/>
        <w:gridCol w:w="106"/>
        <w:gridCol w:w="155"/>
        <w:gridCol w:w="997"/>
        <w:gridCol w:w="129"/>
      </w:tblGrid>
      <w:tr>
        <w:trPr/>
        <w:tc>
          <w:tcPr>
            <w:tcW w:w="3272"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As of December 31, 2008</w:t>
            </w:r>
          </w:p>
        </w:tc>
        <w:tc>
          <w:tcPr>
            <w:tcW w:w="106" w:type="dxa"/>
            <w:tcBorders/>
            <w:shd w:fill="auto" w:val="clear"/>
            <w:tcMar>
              <w:bottom w:w="0" w:type="dxa"/>
            </w:tcMar>
            <w:vAlign w:val="bottom"/>
          </w:tcPr>
          <w:p>
            <w:pPr>
              <w:pStyle w:val="TableContents"/>
              <w:spacing w:before="0" w:after="283"/>
              <w:rPr/>
            </w:pPr>
            <w:r>
              <w:rPr/>
              <w:t> </w:t>
            </w:r>
          </w:p>
        </w:tc>
        <w:tc>
          <w:tcPr>
            <w:tcW w:w="127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Beneficial Leases</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07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Trade name</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07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 Fee</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8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 Intangible Assets</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5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9" w:type="dxa"/>
            <w:tcBorders/>
            <w:shd w:fill="auto" w:val="clear"/>
            <w:tcMar>
              <w:bottom w:w="0" w:type="dxa"/>
            </w:tcMar>
            <w:vAlign w:val="bottom"/>
          </w:tcPr>
          <w:p>
            <w:pPr>
              <w:pStyle w:val="TableContents"/>
              <w:spacing w:before="0" w:after="283"/>
              <w:jc w:val="left"/>
              <w:rPr/>
            </w:pPr>
            <w:r>
              <w:rPr/>
              <w:t> </w:t>
            </w:r>
          </w:p>
        </w:tc>
      </w:tr>
      <w:tr>
        <w:trPr/>
        <w:tc>
          <w:tcPr>
            <w:tcW w:w="327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Gross carrying amount</w:t>
            </w:r>
          </w:p>
        </w:tc>
        <w:tc>
          <w:tcPr>
            <w:tcW w:w="106" w:type="dxa"/>
            <w:tcBorders/>
            <w:shd w:fill="CCEEFF" w:val="clear"/>
            <w:tcMar>
              <w:bottom w:w="0" w:type="dxa"/>
            </w:tcMar>
            <w:vAlign w:val="bottom"/>
          </w:tcPr>
          <w:p>
            <w:pPr>
              <w:pStyle w:val="TableContents"/>
              <w:spacing w:before="0" w:after="283"/>
              <w:rPr/>
            </w:pPr>
            <w:r>
              <w:rPr/>
              <w:t> </w:t>
            </w:r>
          </w:p>
        </w:tc>
        <w:tc>
          <w:tcPr>
            <w:tcW w:w="17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tcMar>
              <w:bottom w:w="0" w:type="dxa"/>
            </w:tcMar>
            <w:vAlign w:val="bottom"/>
          </w:tcPr>
          <w:p>
            <w:pPr>
              <w:pStyle w:val="TableContents"/>
              <w:spacing w:before="0" w:after="283"/>
              <w:ind w:left="97" w:right="0" w:hanging="0"/>
              <w:jc w:val="right"/>
              <w:rPr>
                <w:rFonts w:ascii="times new roman" w:hAnsi="times new roman"/>
                <w:sz w:val="20"/>
              </w:rPr>
            </w:pPr>
            <w:bookmarkStart w:id="2371" w:name="TAB11178"/>
            <w:bookmarkEnd w:id="2371"/>
            <w:r>
              <w:rPr>
                <w:rFonts w:ascii="times new roman" w:hAnsi="times new roman"/>
                <w:sz w:val="20"/>
              </w:rPr>
              <w:t>23,815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8" w:type="dxa"/>
            <w:tcBorders/>
            <w:shd w:fill="CCEEFF" w:val="clear"/>
            <w:tcMar>
              <w:bottom w:w="0" w:type="dxa"/>
            </w:tcMar>
            <w:vAlign w:val="bottom"/>
          </w:tcPr>
          <w:p>
            <w:pPr>
              <w:pStyle w:val="TableContents"/>
              <w:spacing w:before="0" w:after="283"/>
              <w:ind w:left="115" w:right="0" w:hanging="0"/>
              <w:jc w:val="right"/>
              <w:rPr>
                <w:rFonts w:ascii="times new roman" w:hAnsi="times new roman"/>
                <w:sz w:val="20"/>
              </w:rPr>
            </w:pPr>
            <w:bookmarkStart w:id="2372" w:name="TAB11179"/>
            <w:bookmarkEnd w:id="2372"/>
            <w:r>
              <w:rPr>
                <w:rFonts w:ascii="times new roman" w:hAnsi="times new roman"/>
                <w:sz w:val="20"/>
              </w:rPr>
              <w:t>7,220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8" w:type="dxa"/>
            <w:tcBorders/>
            <w:shd w:fill="CCEEFF" w:val="clear"/>
            <w:tcMar>
              <w:bottom w:w="0" w:type="dxa"/>
            </w:tcMar>
            <w:vAlign w:val="bottom"/>
          </w:tcPr>
          <w:p>
            <w:pPr>
              <w:pStyle w:val="TableContents"/>
              <w:spacing w:before="0" w:after="283"/>
              <w:ind w:left="115" w:right="0" w:hanging="0"/>
              <w:jc w:val="right"/>
              <w:rPr>
                <w:rFonts w:ascii="times new roman" w:hAnsi="times new roman"/>
                <w:sz w:val="20"/>
              </w:rPr>
            </w:pPr>
            <w:bookmarkStart w:id="2373" w:name="TAB11180"/>
            <w:bookmarkEnd w:id="2373"/>
            <w:r>
              <w:rPr>
                <w:rFonts w:ascii="times new roman" w:hAnsi="times new roman"/>
                <w:sz w:val="20"/>
              </w:rPr>
              <w:t>2,773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shd w:fill="CCEEFF" w:val="clear"/>
            <w:tcMar>
              <w:bottom w:w="0" w:type="dxa"/>
            </w:tcMar>
            <w:vAlign w:val="bottom"/>
          </w:tcPr>
          <w:p>
            <w:pPr>
              <w:pStyle w:val="TableContents"/>
              <w:spacing w:before="0" w:after="283"/>
              <w:ind w:left="133" w:right="0" w:hanging="0"/>
              <w:jc w:val="right"/>
              <w:rPr>
                <w:rFonts w:ascii="times new roman" w:hAnsi="times new roman"/>
                <w:sz w:val="20"/>
              </w:rPr>
            </w:pPr>
            <w:bookmarkStart w:id="2374" w:name="TAB11181"/>
            <w:bookmarkEnd w:id="2374"/>
            <w:r>
              <w:rPr>
                <w:rFonts w:ascii="times new roman" w:hAnsi="times new roman"/>
                <w:sz w:val="20"/>
              </w:rPr>
              <w:t>440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shd w:fill="CCEEFF" w:val="clear"/>
            <w:tcMar>
              <w:bottom w:w="0" w:type="dxa"/>
            </w:tcMar>
            <w:vAlign w:val="bottom"/>
          </w:tcPr>
          <w:p>
            <w:pPr>
              <w:pStyle w:val="TableContents"/>
              <w:spacing w:before="0" w:after="283"/>
              <w:ind w:left="61" w:right="0" w:hanging="0"/>
              <w:jc w:val="right"/>
              <w:rPr>
                <w:rFonts w:ascii="times new roman" w:hAnsi="times new roman"/>
                <w:sz w:val="20"/>
              </w:rPr>
            </w:pPr>
            <w:bookmarkStart w:id="2375" w:name="TAB11182"/>
            <w:bookmarkEnd w:id="2375"/>
            <w:r>
              <w:rPr>
                <w:rFonts w:ascii="times new roman" w:hAnsi="times new roman"/>
                <w:sz w:val="20"/>
              </w:rPr>
              <w:t>34,248</w:t>
            </w:r>
          </w:p>
        </w:tc>
        <w:tc>
          <w:tcPr>
            <w:tcW w:w="129" w:type="dxa"/>
            <w:tcBorders/>
            <w:shd w:fill="CCEEFF" w:val="clear"/>
            <w:tcMar>
              <w:bottom w:w="0" w:type="dxa"/>
            </w:tcMar>
            <w:vAlign w:val="bottom"/>
          </w:tcPr>
          <w:p>
            <w:pPr>
              <w:pStyle w:val="TableContents"/>
              <w:spacing w:before="0" w:after="283"/>
              <w:jc w:val="left"/>
              <w:rPr/>
            </w:pPr>
            <w:r>
              <w:rPr/>
              <w:t> </w:t>
            </w:r>
          </w:p>
        </w:tc>
      </w:tr>
      <w:tr>
        <w:trPr/>
        <w:tc>
          <w:tcPr>
            <w:tcW w:w="3272"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Less: Accumulated amortization</w:t>
            </w:r>
          </w:p>
        </w:tc>
        <w:tc>
          <w:tcPr>
            <w:tcW w:w="106" w:type="dxa"/>
            <w:tcBorders/>
            <w:shd w:fill="FFFFFF" w:val="clear"/>
            <w:tcMar>
              <w:bottom w:w="0" w:type="dxa"/>
            </w:tcMar>
            <w:vAlign w:val="bottom"/>
          </w:tcPr>
          <w:p>
            <w:pPr>
              <w:pStyle w:val="TableContents"/>
              <w:spacing w:before="0" w:after="283"/>
              <w:rPr/>
            </w:pPr>
            <w:r>
              <w:rPr/>
              <w:t> </w:t>
            </w:r>
          </w:p>
        </w:tc>
        <w:tc>
          <w:tcPr>
            <w:tcW w:w="175" w:type="dxa"/>
            <w:tcBorders>
              <w:bottom w:val="single" w:sz="12" w:space="0" w:color="000000"/>
            </w:tcBorders>
            <w:shd w:fill="FFFFFF" w:val="clear"/>
            <w:vAlign w:val="bottom"/>
          </w:tcPr>
          <w:p>
            <w:pPr>
              <w:pStyle w:val="TableContents"/>
              <w:spacing w:before="0" w:after="283"/>
              <w:jc w:val="left"/>
              <w:rPr/>
            </w:pPr>
            <w:r>
              <w:rPr/>
              <w:t> </w:t>
            </w:r>
          </w:p>
        </w:tc>
        <w:tc>
          <w:tcPr>
            <w:tcW w:w="10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5,743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55" w:type="dxa"/>
            <w:tcBorders>
              <w:bottom w:val="single" w:sz="12" w:space="0" w:color="000000"/>
            </w:tcBorders>
            <w:shd w:fill="FFFFFF" w:val="clear"/>
            <w:vAlign w:val="bottom"/>
          </w:tcPr>
          <w:p>
            <w:pPr>
              <w:pStyle w:val="TableContents"/>
              <w:spacing w:before="0" w:after="283"/>
              <w:jc w:val="left"/>
              <w:rPr/>
            </w:pPr>
            <w:r>
              <w:rPr/>
              <w:t> </w:t>
            </w:r>
          </w:p>
        </w:tc>
        <w:tc>
          <w:tcPr>
            <w:tcW w:w="91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54" w:type="dxa"/>
            <w:tcBorders>
              <w:bottom w:val="single" w:sz="12" w:space="0" w:color="000000"/>
            </w:tcBorders>
            <w:shd w:fill="FFFFFF" w:val="clear"/>
            <w:vAlign w:val="bottom"/>
          </w:tcPr>
          <w:p>
            <w:pPr>
              <w:pStyle w:val="TableContents"/>
              <w:spacing w:before="0" w:after="283"/>
              <w:jc w:val="left"/>
              <w:rPr/>
            </w:pPr>
            <w:r>
              <w:rPr/>
              <w:t> </w:t>
            </w:r>
          </w:p>
        </w:tc>
        <w:tc>
          <w:tcPr>
            <w:tcW w:w="91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2,616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241" w:type="dxa"/>
            <w:tcBorders>
              <w:bottom w:val="single" w:sz="12" w:space="0" w:color="000000"/>
            </w:tcBorders>
            <w:shd w:fill="FFFFFF" w:val="clear"/>
            <w:vAlign w:val="bottom"/>
          </w:tcPr>
          <w:p>
            <w:pPr>
              <w:pStyle w:val="TableContents"/>
              <w:spacing w:before="0" w:after="283"/>
              <w:jc w:val="left"/>
              <w:rPr/>
            </w:pPr>
            <w:r>
              <w:rPr/>
              <w:t> </w:t>
            </w:r>
          </w:p>
        </w:tc>
        <w:tc>
          <w:tcPr>
            <w:tcW w:w="104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55" w:type="dxa"/>
            <w:tcBorders>
              <w:bottom w:val="single" w:sz="12" w:space="0" w:color="000000"/>
            </w:tcBorders>
            <w:shd w:fill="FFFFFF" w:val="clear"/>
            <w:vAlign w:val="bottom"/>
          </w:tcPr>
          <w:p>
            <w:pPr>
              <w:pStyle w:val="TableContents"/>
              <w:spacing w:before="0" w:after="283"/>
              <w:jc w:val="left"/>
              <w:rPr/>
            </w:pPr>
            <w:r>
              <w:rPr/>
              <w:t> </w:t>
            </w:r>
          </w:p>
        </w:tc>
        <w:tc>
          <w:tcPr>
            <w:tcW w:w="99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9,130</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3272" w:type="dxa"/>
            <w:tcBorders>
              <w:bottom w:val="double" w:sz="8" w:space="0" w:color="000000"/>
            </w:tcBorders>
            <w:shd w:fill="CCEEFF" w:val="clear"/>
            <w:vAlign w:val="bottom"/>
          </w:tcPr>
          <w:p>
            <w:pPr>
              <w:pStyle w:val="TableContents"/>
              <w:spacing w:before="0" w:after="0"/>
              <w:ind w:left="0" w:right="0" w:hanging="0"/>
              <w:jc w:val="both"/>
              <w:rPr/>
            </w:pPr>
            <w:r>
              <w:rPr/>
              <w:t>   </w:t>
            </w:r>
            <w:r>
              <w:rPr>
                <w:rFonts w:ascii="times new roman" w:hAnsi="times new roman"/>
                <w:sz w:val="20"/>
              </w:rPr>
              <w:t>Total, net</w:t>
            </w:r>
          </w:p>
        </w:tc>
        <w:tc>
          <w:tcPr>
            <w:tcW w:w="106" w:type="dxa"/>
            <w:tcBorders/>
            <w:shd w:fill="CCEEFF" w:val="clear"/>
            <w:tcMar>
              <w:bottom w:w="0" w:type="dxa"/>
            </w:tcMar>
            <w:vAlign w:val="bottom"/>
          </w:tcPr>
          <w:p>
            <w:pPr>
              <w:pStyle w:val="TableContents"/>
              <w:spacing w:before="0" w:after="283"/>
              <w:rPr/>
            </w:pPr>
            <w:r>
              <w:rPr/>
              <w:t> </w:t>
            </w:r>
          </w:p>
        </w:tc>
        <w:tc>
          <w:tcPr>
            <w:tcW w:w="17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376" w:name="TAB11183"/>
            <w:bookmarkEnd w:id="2376"/>
            <w:r>
              <w:rPr>
                <w:rFonts w:ascii="times new roman" w:hAnsi="times new roman"/>
                <w:sz w:val="20"/>
              </w:rPr>
              <w:t>18,072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8" w:type="dxa"/>
            <w:tcBorders>
              <w:bottom w:val="double" w:sz="8" w:space="0" w:color="000000"/>
            </w:tcBorders>
            <w:shd w:fill="CCEEFF" w:val="clear"/>
            <w:vAlign w:val="bottom"/>
          </w:tcPr>
          <w:p>
            <w:pPr>
              <w:pStyle w:val="TableContents"/>
              <w:spacing w:before="0" w:after="283"/>
              <w:ind w:left="115" w:right="0" w:hanging="0"/>
              <w:jc w:val="right"/>
              <w:rPr>
                <w:rFonts w:ascii="times new roman" w:hAnsi="times new roman"/>
                <w:sz w:val="20"/>
              </w:rPr>
            </w:pPr>
            <w:bookmarkStart w:id="2377" w:name="TAB11184"/>
            <w:bookmarkEnd w:id="2377"/>
            <w:r>
              <w:rPr>
                <w:rFonts w:ascii="times new roman" w:hAnsi="times new roman"/>
                <w:sz w:val="20"/>
              </w:rPr>
              <w:t>6,542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8" w:type="dxa"/>
            <w:tcBorders>
              <w:bottom w:val="double" w:sz="8" w:space="0" w:color="000000"/>
            </w:tcBorders>
            <w:shd w:fill="CCEEFF" w:val="clear"/>
            <w:vAlign w:val="bottom"/>
          </w:tcPr>
          <w:p>
            <w:pPr>
              <w:pStyle w:val="TableContents"/>
              <w:spacing w:before="0" w:after="283"/>
              <w:ind w:left="115" w:right="0" w:hanging="0"/>
              <w:jc w:val="right"/>
              <w:rPr>
                <w:rFonts w:ascii="times new roman" w:hAnsi="times new roman"/>
                <w:sz w:val="20"/>
              </w:rPr>
            </w:pPr>
            <w:bookmarkStart w:id="2378" w:name="TAB11185"/>
            <w:bookmarkEnd w:id="2378"/>
            <w:r>
              <w:rPr>
                <w:rFonts w:ascii="times new roman" w:hAnsi="times new roman"/>
                <w:sz w:val="20"/>
              </w:rPr>
              <w:t>157</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bottom w:val="double" w:sz="8" w:space="0" w:color="000000"/>
            </w:tcBorders>
            <w:shd w:fill="CCEEFF" w:val="clear"/>
            <w:vAlign w:val="bottom"/>
          </w:tcPr>
          <w:p>
            <w:pPr>
              <w:pStyle w:val="TableContents"/>
              <w:spacing w:before="0" w:after="283"/>
              <w:ind w:left="133" w:right="0" w:hanging="0"/>
              <w:jc w:val="right"/>
              <w:rPr>
                <w:rFonts w:ascii="times new roman" w:hAnsi="times new roman"/>
                <w:sz w:val="20"/>
              </w:rPr>
            </w:pPr>
            <w:bookmarkStart w:id="2379" w:name="TAB11186"/>
            <w:bookmarkEnd w:id="2379"/>
            <w:r>
              <w:rPr>
                <w:rFonts w:ascii="times new roman" w:hAnsi="times new roman"/>
                <w:sz w:val="20"/>
              </w:rPr>
              <w:t>347</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5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bottom w:val="double" w:sz="8" w:space="0" w:color="000000"/>
            </w:tcBorders>
            <w:shd w:fill="CCEEFF" w:val="clear"/>
            <w:vAlign w:val="bottom"/>
          </w:tcPr>
          <w:p>
            <w:pPr>
              <w:pStyle w:val="TableContents"/>
              <w:spacing w:before="0" w:after="283"/>
              <w:ind w:left="61" w:right="0" w:hanging="0"/>
              <w:jc w:val="right"/>
              <w:rPr>
                <w:rFonts w:ascii="times new roman" w:hAnsi="times new roman"/>
                <w:sz w:val="20"/>
              </w:rPr>
            </w:pPr>
            <w:bookmarkStart w:id="2380" w:name="TAB11187"/>
            <w:bookmarkEnd w:id="2380"/>
            <w:r>
              <w:rPr>
                <w:rFonts w:ascii="times new roman" w:hAnsi="times new roman"/>
                <w:sz w:val="20"/>
              </w:rPr>
              <w:t>25,118</w:t>
            </w:r>
          </w:p>
        </w:tc>
        <w:tc>
          <w:tcPr>
            <w:tcW w:w="12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intangible assets other than goodwill that are subject to amortization which are being amortized over various periods.  We amortize our beneficial leases over the lease period, the longest of which is approximately 30 years; our trade name using an accelerated amortization method over its estimated useful life of 45 years; and our option fee and other intangible assets over 10 years.  For the years ended December 31, 2009, 2008 and 2007, our amortization expense totaled $2.7 million, $2.3 million, and $836,000, per year, respectively.  The estimated amortization expense in the five succeeding years and thereafter is as follows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831"/>
        <w:gridCol w:w="111"/>
        <w:gridCol w:w="127"/>
        <w:gridCol w:w="1017"/>
        <w:gridCol w:w="119"/>
      </w:tblGrid>
      <w:tr>
        <w:trPr/>
        <w:tc>
          <w:tcPr>
            <w:tcW w:w="8831" w:type="dxa"/>
            <w:tcBorders>
              <w:bottom w:val="double" w:sz="8" w:space="0" w:color="000000"/>
            </w:tcBorders>
            <w:shd w:fill="auto" w:val="clear"/>
            <w:vAlign w:val="bottom"/>
          </w:tcPr>
          <w:p>
            <w:pPr>
              <w:pStyle w:val="TableContents"/>
              <w:spacing w:before="0" w:after="0"/>
              <w:ind w:left="0" w:right="0" w:hanging="0"/>
              <w:jc w:val="left"/>
              <w:rPr/>
            </w:pPr>
            <w:r>
              <w:rPr/>
              <w:t>  </w:t>
            </w:r>
            <w:r>
              <w:rPr>
                <w:rFonts w:ascii="times new roman" w:hAnsi="times new roman"/>
                <w:b/>
                <w:sz w:val="20"/>
              </w:rPr>
              <w:t>Year Ending December 31,</w:t>
            </w:r>
          </w:p>
        </w:tc>
        <w:tc>
          <w:tcPr>
            <w:tcW w:w="111" w:type="dxa"/>
            <w:tcBorders/>
            <w:shd w:fill="auto" w:val="clear"/>
            <w:tcMar>
              <w:bottom w:w="0" w:type="dxa"/>
            </w:tcMar>
            <w:vAlign w:val="bottom"/>
          </w:tcPr>
          <w:p>
            <w:pPr>
              <w:pStyle w:val="TableContents"/>
              <w:spacing w:before="0" w:after="283"/>
              <w:rPr/>
            </w:pPr>
            <w:r>
              <w:rPr/>
              <w:t> </w:t>
            </w:r>
          </w:p>
        </w:tc>
        <w:tc>
          <w:tcPr>
            <w:tcW w:w="1144" w:type="dxa"/>
            <w:gridSpan w:val="2"/>
            <w:tcBorders>
              <w:bottom w:val="double" w:sz="8" w:space="0" w:color="000000"/>
            </w:tcBorders>
            <w:shd w:fill="auto" w:val="clear"/>
            <w:vAlign w:val="bottom"/>
          </w:tcPr>
          <w:p>
            <w:pPr>
              <w:pStyle w:val="TableContents"/>
              <w:spacing w:before="0" w:after="283"/>
              <w:rPr/>
            </w:pPr>
            <w:r>
              <w:rPr/>
              <w:t> </w:t>
            </w:r>
          </w:p>
        </w:tc>
        <w:tc>
          <w:tcPr>
            <w:tcW w:w="119" w:type="dxa"/>
            <w:tcBorders/>
            <w:shd w:fill="auto" w:val="clear"/>
            <w:tcMar>
              <w:bottom w:w="0" w:type="dxa"/>
            </w:tcMar>
            <w:vAlign w:val="bottom"/>
          </w:tcPr>
          <w:p>
            <w:pPr>
              <w:pStyle w:val="TableContents"/>
              <w:spacing w:before="0" w:after="283"/>
              <w:jc w:val="left"/>
              <w:rPr/>
            </w:pPr>
            <w:r>
              <w:rPr/>
              <w:t> </w:t>
            </w:r>
          </w:p>
        </w:tc>
      </w:tr>
      <w:tr>
        <w:trPr/>
        <w:tc>
          <w:tcPr>
            <w:tcW w:w="8831" w:type="dxa"/>
            <w:tcBorders/>
            <w:shd w:fill="CCEE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2010</w:t>
            </w:r>
          </w:p>
        </w:tc>
        <w:tc>
          <w:tcPr>
            <w:tcW w:w="111" w:type="dxa"/>
            <w:tcBorders/>
            <w:shd w:fill="CCEEFF" w:val="clear"/>
            <w:tcMar>
              <w:bottom w:w="0" w:type="dxa"/>
            </w:tcMar>
            <w:vAlign w:val="bottom"/>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shd w:fill="CCEEFF" w:val="clear"/>
            <w:tcMar>
              <w:bottom w:w="0" w:type="dxa"/>
            </w:tcMar>
            <w:vAlign w:val="bottom"/>
          </w:tcPr>
          <w:p>
            <w:pPr>
              <w:pStyle w:val="TableContents"/>
              <w:spacing w:before="0" w:after="283"/>
              <w:ind w:left="227" w:right="0" w:hanging="0"/>
              <w:jc w:val="right"/>
              <w:rPr>
                <w:rFonts w:ascii="times new roman" w:hAnsi="times new roman"/>
                <w:sz w:val="20"/>
              </w:rPr>
            </w:pPr>
            <w:bookmarkStart w:id="2381" w:name="TAB11188"/>
            <w:bookmarkEnd w:id="2381"/>
            <w:r>
              <w:rPr>
                <w:rFonts w:ascii="times new roman" w:hAnsi="times new roman"/>
                <w:sz w:val="20"/>
              </w:rPr>
              <w:t>2,541</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31" w:type="dxa"/>
            <w:tcBorders/>
            <w:shd w:fill="FFFF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2011</w:t>
            </w:r>
          </w:p>
        </w:tc>
        <w:tc>
          <w:tcPr>
            <w:tcW w:w="111" w:type="dxa"/>
            <w:tcBorders/>
            <w:shd w:fill="FFFFFF" w:val="clear"/>
            <w:tcMar>
              <w:bottom w:w="0" w:type="dxa"/>
            </w:tcMar>
            <w:vAlign w:val="bottom"/>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0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831" w:type="dxa"/>
            <w:tcBorders/>
            <w:shd w:fill="CCEE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2012</w:t>
            </w:r>
          </w:p>
        </w:tc>
        <w:tc>
          <w:tcPr>
            <w:tcW w:w="111" w:type="dxa"/>
            <w:tcBorders/>
            <w:shd w:fill="CCEEFF" w:val="clear"/>
            <w:tcMar>
              <w:bottom w:w="0" w:type="dxa"/>
            </w:tcMar>
            <w:vAlign w:val="bottom"/>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0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2,345</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31" w:type="dxa"/>
            <w:tcBorders/>
            <w:shd w:fill="FFFF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2013</w:t>
            </w:r>
          </w:p>
        </w:tc>
        <w:tc>
          <w:tcPr>
            <w:tcW w:w="111" w:type="dxa"/>
            <w:tcBorders/>
            <w:shd w:fill="FFFFFF" w:val="clear"/>
            <w:tcMar>
              <w:bottom w:w="0" w:type="dxa"/>
            </w:tcMar>
            <w:vAlign w:val="bottom"/>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0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831" w:type="dxa"/>
            <w:tcBorders/>
            <w:shd w:fill="CCEE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2014</w:t>
            </w:r>
          </w:p>
        </w:tc>
        <w:tc>
          <w:tcPr>
            <w:tcW w:w="111" w:type="dxa"/>
            <w:tcBorders/>
            <w:shd w:fill="CCEEFF" w:val="clear"/>
            <w:tcMar>
              <w:bottom w:w="0" w:type="dxa"/>
            </w:tcMar>
            <w:vAlign w:val="bottom"/>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0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1,934</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31" w:type="dxa"/>
            <w:tcBorders>
              <w:bottom w:val="single" w:sz="12" w:space="0" w:color="000000"/>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Thereafter</w:t>
            </w:r>
          </w:p>
        </w:tc>
        <w:tc>
          <w:tcPr>
            <w:tcW w:w="111" w:type="dxa"/>
            <w:tcBorders/>
            <w:shd w:fill="FFFFFF" w:val="clear"/>
            <w:tcMar>
              <w:bottom w:w="0" w:type="dxa"/>
            </w:tcMar>
            <w:vAlign w:val="bottom"/>
          </w:tcPr>
          <w:p>
            <w:pPr>
              <w:pStyle w:val="TableContents"/>
              <w:spacing w:before="0" w:after="283"/>
              <w:rPr/>
            </w:pPr>
            <w:r>
              <w:rPr/>
              <w:t> </w:t>
            </w:r>
          </w:p>
        </w:tc>
        <w:tc>
          <w:tcPr>
            <w:tcW w:w="127" w:type="dxa"/>
            <w:tcBorders>
              <w:bottom w:val="single" w:sz="12" w:space="0" w:color="000000"/>
            </w:tcBorders>
            <w:shd w:fill="FFFFFF" w:val="clear"/>
            <w:vAlign w:val="bottom"/>
          </w:tcPr>
          <w:p>
            <w:pPr>
              <w:pStyle w:val="TableContents"/>
              <w:spacing w:before="0" w:after="283"/>
              <w:jc w:val="left"/>
              <w:rPr/>
            </w:pPr>
            <w:r>
              <w:rPr/>
              <w:t> </w:t>
            </w:r>
          </w:p>
        </w:tc>
        <w:tc>
          <w:tcPr>
            <w:tcW w:w="101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11,240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831" w:type="dxa"/>
            <w:tcBorders>
              <w:bottom w:val="double" w:sz="8" w:space="0" w:color="000000"/>
            </w:tcBorders>
            <w:shd w:fill="CCEEFF" w:val="clear"/>
            <w:vAlign w:val="bottom"/>
          </w:tcPr>
          <w:p>
            <w:pPr>
              <w:pStyle w:val="TableContents"/>
              <w:spacing w:before="0" w:after="0"/>
              <w:ind w:left="211" w:right="0" w:hanging="0"/>
              <w:jc w:val="left"/>
              <w:rPr>
                <w:rFonts w:ascii="times new roman" w:hAnsi="times new roman"/>
                <w:sz w:val="20"/>
              </w:rPr>
            </w:pPr>
            <w:bookmarkStart w:id="2382" w:name="TAB11189"/>
            <w:bookmarkEnd w:id="2382"/>
            <w:r>
              <w:rPr>
                <w:rFonts w:ascii="times new roman" w:hAnsi="times new roman"/>
                <w:sz w:val="20"/>
              </w:rPr>
              <w:t>Total future amortization expense</w:t>
            </w:r>
          </w:p>
        </w:tc>
        <w:tc>
          <w:tcPr>
            <w:tcW w:w="111" w:type="dxa"/>
            <w:tcBorders/>
            <w:shd w:fill="CCEEFF" w:val="clear"/>
            <w:tcMar>
              <w:bottom w:w="0" w:type="dxa"/>
            </w:tcMar>
            <w:vAlign w:val="bottom"/>
          </w:tcPr>
          <w:p>
            <w:pPr>
              <w:pStyle w:val="TableContents"/>
              <w:spacing w:before="0" w:after="283"/>
              <w:rPr/>
            </w:pPr>
            <w:r>
              <w:rPr/>
              <w:t> </w:t>
            </w:r>
          </w:p>
        </w:tc>
        <w:tc>
          <w:tcPr>
            <w:tcW w:w="127"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bottom w:val="double" w:sz="8" w:space="0" w:color="000000"/>
            </w:tcBorders>
            <w:shd w:fill="CCEEFF" w:val="clear"/>
            <w:vAlign w:val="bottom"/>
          </w:tcPr>
          <w:p>
            <w:pPr>
              <w:pStyle w:val="TableContents"/>
              <w:spacing w:before="0" w:after="283"/>
              <w:ind w:left="227" w:right="0" w:hanging="0"/>
              <w:jc w:val="right"/>
              <w:rPr>
                <w:rFonts w:ascii="times new roman" w:hAnsi="times new roman"/>
                <w:sz w:val="20"/>
              </w:rPr>
            </w:pPr>
            <w:bookmarkStart w:id="2383" w:name="TAB11190"/>
            <w:bookmarkEnd w:id="2383"/>
            <w:r>
              <w:rPr>
                <w:rFonts w:ascii="times new roman" w:hAnsi="times new roman"/>
                <w:sz w:val="20"/>
              </w:rPr>
              <w:t>22,655</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84" w:name="PGBRK78"/>
      <w:bookmarkStart w:id="2385" w:name="PGBRK78"/>
      <w:bookmarkEnd w:id="2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86" w:name="FTR78"/>
      <w:bookmarkStart w:id="2387" w:name="FTR78"/>
      <w:bookmarkEnd w:id="2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88" w:name="GLFTR78"/>
      <w:bookmarkEnd w:id="23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389" w:name="PN78"/>
      <w:bookmarkEnd w:id="2389"/>
      <w:r>
        <w:rPr>
          <w:rFonts w:eastAsia="Times New Roman" w:cs="Times New Roman" w:ascii="Times New Roman" w:hAnsi="Times New Roman"/>
          <w:sz w:val="20"/>
          <w:szCs w:val="20"/>
        </w:rPr>
        <w:t>-78-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390" w:name="HDR78"/>
      <w:bookmarkStart w:id="2391" w:name="HDR78"/>
      <w:bookmarkEnd w:id="2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392" w:name="GLHDR78"/>
        <w:bookmarkEnd w:id="239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11 – Investments in and Advances to Unconsolidated Joint Ventures and Entities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Investments in and advances to unconsolidated joint ventures and entities are accounted for under the equity method of accounting except for Malulani Investments, Limited as described below.  As of December 31, 2009 and 2008, these investments in and advances to unconsolidated joint ventures and entities include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852"/>
        <w:gridCol w:w="115"/>
        <w:gridCol w:w="132"/>
        <w:gridCol w:w="1061"/>
        <w:gridCol w:w="185"/>
        <w:gridCol w:w="115"/>
        <w:gridCol w:w="151"/>
        <w:gridCol w:w="1011"/>
        <w:gridCol w:w="115"/>
        <w:gridCol w:w="115"/>
        <w:gridCol w:w="151"/>
        <w:gridCol w:w="1069"/>
        <w:gridCol w:w="133"/>
      </w:tblGrid>
      <w:tr>
        <w:trPr/>
        <w:tc>
          <w:tcPr>
            <w:tcW w:w="5852"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w:t>
            </w:r>
          </w:p>
        </w:tc>
        <w:tc>
          <w:tcPr>
            <w:tcW w:w="1193"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115" w:type="dxa"/>
            <w:tcBorders/>
            <w:shd w:fill="auto" w:val="clear"/>
            <w:vAlign w:val="bottom"/>
          </w:tcPr>
          <w:p>
            <w:pPr>
              <w:pStyle w:val="TableContents"/>
              <w:spacing w:before="0" w:after="283"/>
              <w:rPr/>
            </w:pPr>
            <w:r>
              <w:rPr/>
              <w:t> </w:t>
            </w:r>
          </w:p>
        </w:tc>
        <w:tc>
          <w:tcPr>
            <w:tcW w:w="261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33" w:type="dxa"/>
            <w:tcBorders/>
            <w:shd w:fill="auto" w:val="clear"/>
            <w:vAlign w:val="bottom"/>
          </w:tcPr>
          <w:p>
            <w:pPr>
              <w:pStyle w:val="TableContents"/>
              <w:spacing w:before="0" w:after="283"/>
              <w:jc w:val="left"/>
              <w:rPr/>
            </w:pPr>
            <w:r>
              <w:rPr/>
              <w:t> </w:t>
            </w:r>
          </w:p>
        </w:tc>
      </w:tr>
      <w:tr>
        <w:trPr/>
        <w:tc>
          <w:tcPr>
            <w:tcW w:w="5852"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w:t>
            </w:r>
          </w:p>
        </w:tc>
        <w:tc>
          <w:tcPr>
            <w:tcW w:w="119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Interest</w:t>
            </w:r>
          </w:p>
        </w:tc>
        <w:tc>
          <w:tcPr>
            <w:tcW w:w="185" w:type="dxa"/>
            <w:tcBorders/>
            <w:shd w:fill="auto" w:val="clear"/>
            <w:vAlign w:val="bottom"/>
          </w:tcPr>
          <w:p>
            <w:pPr>
              <w:pStyle w:val="TableContents"/>
              <w:spacing w:before="0" w:after="283"/>
              <w:jc w:val="left"/>
              <w:rPr/>
            </w:pPr>
            <w:r>
              <w:rPr/>
              <w:t> </w:t>
            </w:r>
          </w:p>
        </w:tc>
        <w:tc>
          <w:tcPr>
            <w:tcW w:w="115" w:type="dxa"/>
            <w:tcBorders/>
            <w:shd w:fill="auto" w:val="clear"/>
            <w:vAlign w:val="bottom"/>
          </w:tcPr>
          <w:p>
            <w:pPr>
              <w:pStyle w:val="TableContents"/>
              <w:spacing w:before="0" w:after="283"/>
              <w:rPr/>
            </w:pPr>
            <w:r>
              <w:rPr/>
              <w:t> </w:t>
            </w:r>
          </w:p>
        </w:tc>
        <w:tc>
          <w:tcPr>
            <w:tcW w:w="116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5" w:type="dxa"/>
            <w:tcBorders/>
            <w:shd w:fill="auto" w:val="clear"/>
            <w:vAlign w:val="bottom"/>
          </w:tcPr>
          <w:p>
            <w:pPr>
              <w:pStyle w:val="TableContents"/>
              <w:spacing w:before="0" w:after="283"/>
              <w:jc w:val="left"/>
              <w:rPr/>
            </w:pPr>
            <w:r>
              <w:rPr/>
              <w:t> </w:t>
            </w:r>
          </w:p>
        </w:tc>
        <w:tc>
          <w:tcPr>
            <w:tcW w:w="115" w:type="dxa"/>
            <w:tcBorders/>
            <w:shd w:fill="auto" w:val="clear"/>
            <w:vAlign w:val="bottom"/>
          </w:tcPr>
          <w:p>
            <w:pPr>
              <w:pStyle w:val="TableContents"/>
              <w:spacing w:before="0" w:after="283"/>
              <w:rPr/>
            </w:pPr>
            <w:r>
              <w:rPr/>
              <w:t> </w:t>
            </w:r>
          </w:p>
        </w:tc>
        <w:tc>
          <w:tcPr>
            <w:tcW w:w="122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33" w:type="dxa"/>
            <w:tcBorders/>
            <w:shd w:fill="auto" w:val="clear"/>
            <w:vAlign w:val="bottom"/>
          </w:tcPr>
          <w:p>
            <w:pPr>
              <w:pStyle w:val="TableContents"/>
              <w:spacing w:before="0" w:after="283"/>
              <w:jc w:val="left"/>
              <w:rPr/>
            </w:pPr>
            <w:r>
              <w:rPr/>
              <w:t> </w:t>
            </w:r>
          </w:p>
        </w:tc>
      </w:tr>
      <w:tr>
        <w:trPr/>
        <w:tc>
          <w:tcPr>
            <w:tcW w:w="585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Malulani Investments</w:t>
            </w:r>
          </w:p>
        </w:tc>
        <w:tc>
          <w:tcPr>
            <w:tcW w:w="11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shd w:fill="CCEEFF" w:val="clear"/>
            <w:vAlign w:val="bottom"/>
          </w:tcPr>
          <w:p>
            <w:pPr>
              <w:pStyle w:val="TableContents"/>
              <w:spacing w:before="0" w:after="283"/>
              <w:ind w:left="282" w:right="0" w:hanging="0"/>
              <w:jc w:val="right"/>
              <w:rPr>
                <w:rFonts w:ascii="times new roman" w:hAnsi="times new roman"/>
                <w:sz w:val="20"/>
              </w:rPr>
            </w:pPr>
            <w:bookmarkStart w:id="2393" w:name="TAB11191"/>
            <w:bookmarkEnd w:id="2393"/>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9" w:type="dxa"/>
            <w:tcBorders/>
            <w:shd w:fill="CCEEFF" w:val="clear"/>
            <w:vAlign w:val="bottom"/>
          </w:tcPr>
          <w:p>
            <w:pPr>
              <w:pStyle w:val="TableContents"/>
              <w:spacing w:before="0" w:after="283"/>
              <w:ind w:left="162" w:right="0" w:hanging="0"/>
              <w:jc w:val="right"/>
              <w:rPr>
                <w:rFonts w:ascii="times new roman" w:hAnsi="times new roman"/>
                <w:sz w:val="20"/>
              </w:rPr>
            </w:pPr>
            <w:bookmarkStart w:id="2394" w:name="TAB11192"/>
            <w:bookmarkEnd w:id="2394"/>
            <w:r>
              <w:rPr>
                <w:rFonts w:ascii="times new roman" w:hAnsi="times new roman"/>
                <w:sz w:val="20"/>
              </w:rPr>
              <w:t>1,800</w:t>
            </w:r>
          </w:p>
        </w:tc>
        <w:tc>
          <w:tcPr>
            <w:tcW w:w="133" w:type="dxa"/>
            <w:tcBorders/>
            <w:shd w:fill="CCEEFF" w:val="clear"/>
            <w:vAlign w:val="bottom"/>
          </w:tcPr>
          <w:p>
            <w:pPr>
              <w:pStyle w:val="TableContents"/>
              <w:spacing w:before="0" w:after="283"/>
              <w:jc w:val="left"/>
              <w:rPr/>
            </w:pPr>
            <w:r>
              <w:rPr/>
              <w:t> </w:t>
            </w:r>
          </w:p>
        </w:tc>
      </w:tr>
      <w:tr>
        <w:trPr/>
        <w:tc>
          <w:tcPr>
            <w:tcW w:w="585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Rialto Distribution</w:t>
            </w:r>
          </w:p>
        </w:tc>
        <w:tc>
          <w:tcPr>
            <w:tcW w:w="115"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0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33.3</w:t>
            </w:r>
          </w:p>
        </w:tc>
        <w:tc>
          <w:tcPr>
            <w:tcW w:w="18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ind w:left="573" w:right="0" w:hanging="0"/>
              <w:jc w:val="right"/>
              <w:rPr>
                <w:rFonts w:ascii="times new roman" w:hAnsi="times new roman"/>
                <w:sz w:val="20"/>
              </w:rPr>
            </w:pPr>
            <w:bookmarkStart w:id="2395" w:name="TAB11193"/>
            <w:bookmarkEnd w:id="2395"/>
            <w:r>
              <w:rPr>
                <w:rFonts w:ascii="times new roman" w:hAnsi="times new roman"/>
                <w:sz w:val="20"/>
              </w:rPr>
              <w:t>896</w:t>
            </w:r>
          </w:p>
        </w:tc>
        <w:tc>
          <w:tcPr>
            <w:tcW w:w="133" w:type="dxa"/>
            <w:tcBorders/>
            <w:shd w:fill="FFFFFF" w:val="clear"/>
            <w:vAlign w:val="bottom"/>
          </w:tcPr>
          <w:p>
            <w:pPr>
              <w:pStyle w:val="TableContents"/>
              <w:spacing w:before="0" w:after="283"/>
              <w:jc w:val="left"/>
              <w:rPr/>
            </w:pPr>
            <w:r>
              <w:rPr/>
              <w:t> </w:t>
            </w:r>
          </w:p>
        </w:tc>
      </w:tr>
      <w:tr>
        <w:trPr/>
        <w:tc>
          <w:tcPr>
            <w:tcW w:w="585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Rialto Cinemas</w:t>
            </w:r>
          </w:p>
        </w:tc>
        <w:tc>
          <w:tcPr>
            <w:tcW w:w="11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51" w:type="dxa"/>
            <w:tcBorders/>
            <w:shd w:fill="CCEEFF" w:val="clear"/>
            <w:vAlign w:val="bottom"/>
          </w:tcPr>
          <w:p>
            <w:pPr>
              <w:pStyle w:val="TableContents"/>
              <w:spacing w:before="0" w:after="283"/>
              <w:jc w:val="left"/>
              <w:rPr/>
            </w:pPr>
            <w:r>
              <w:rPr/>
              <w:t> </w:t>
            </w:r>
          </w:p>
        </w:tc>
        <w:tc>
          <w:tcPr>
            <w:tcW w:w="10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4,475</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51"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ind w:left="373" w:right="0" w:hanging="0"/>
              <w:jc w:val="right"/>
              <w:rPr>
                <w:rFonts w:ascii="times new roman" w:hAnsi="times new roman"/>
                <w:sz w:val="20"/>
              </w:rPr>
            </w:pPr>
            <w:bookmarkStart w:id="2396" w:name="TAB11194"/>
            <w:bookmarkEnd w:id="2396"/>
            <w:r>
              <w:rPr>
                <w:rFonts w:ascii="times new roman" w:hAnsi="times new roman"/>
                <w:sz w:val="20"/>
              </w:rPr>
              <w:t>3,763</w:t>
            </w:r>
          </w:p>
        </w:tc>
        <w:tc>
          <w:tcPr>
            <w:tcW w:w="133" w:type="dxa"/>
            <w:tcBorders/>
            <w:shd w:fill="CCEEFF" w:val="clear"/>
            <w:vAlign w:val="bottom"/>
          </w:tcPr>
          <w:p>
            <w:pPr>
              <w:pStyle w:val="TableContents"/>
              <w:spacing w:before="0" w:after="283"/>
              <w:jc w:val="left"/>
              <w:rPr/>
            </w:pPr>
            <w:r>
              <w:rPr/>
              <w:t> </w:t>
            </w:r>
          </w:p>
        </w:tc>
      </w:tr>
      <w:tr>
        <w:trPr/>
        <w:tc>
          <w:tcPr>
            <w:tcW w:w="585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205-209 East 57th Street Associates, LLC</w:t>
            </w:r>
          </w:p>
        </w:tc>
        <w:tc>
          <w:tcPr>
            <w:tcW w:w="115"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0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8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101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ind w:left="373" w:right="0" w:hanging="0"/>
              <w:jc w:val="right"/>
              <w:rPr>
                <w:rFonts w:ascii="times new roman" w:hAnsi="times new roman"/>
                <w:sz w:val="20"/>
              </w:rPr>
            </w:pPr>
            <w:bookmarkStart w:id="2397" w:name="TAB11195"/>
            <w:bookmarkEnd w:id="2397"/>
            <w:r>
              <w:rPr>
                <w:rFonts w:ascii="times new roman" w:hAnsi="times new roman"/>
                <w:sz w:val="20"/>
              </w:rPr>
              <w:t>1,216</w:t>
            </w:r>
          </w:p>
        </w:tc>
        <w:tc>
          <w:tcPr>
            <w:tcW w:w="133" w:type="dxa"/>
            <w:tcBorders/>
            <w:shd w:fill="FFFFFF" w:val="clear"/>
            <w:vAlign w:val="bottom"/>
          </w:tcPr>
          <w:p>
            <w:pPr>
              <w:pStyle w:val="TableContents"/>
              <w:spacing w:before="0" w:after="283"/>
              <w:jc w:val="left"/>
              <w:rPr/>
            </w:pPr>
            <w:r>
              <w:rPr/>
              <w:t> </w:t>
            </w:r>
          </w:p>
        </w:tc>
      </w:tr>
      <w:tr>
        <w:trPr/>
        <w:tc>
          <w:tcPr>
            <w:tcW w:w="5852"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Mt. Gravatt</w:t>
            </w:r>
          </w:p>
        </w:tc>
        <w:tc>
          <w:tcPr>
            <w:tcW w:w="115" w:type="dxa"/>
            <w:tcBorders/>
            <w:shd w:fill="CCEEFF" w:val="clear"/>
            <w:vAlign w:val="bottom"/>
          </w:tcPr>
          <w:p>
            <w:pPr>
              <w:pStyle w:val="TableContents"/>
              <w:spacing w:before="0" w:after="283"/>
              <w:rPr/>
            </w:pPr>
            <w:r>
              <w:rPr/>
              <w:t> </w:t>
            </w:r>
          </w:p>
        </w:tc>
        <w:tc>
          <w:tcPr>
            <w:tcW w:w="13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33.3</w:t>
            </w:r>
          </w:p>
        </w:tc>
        <w:tc>
          <w:tcPr>
            <w:tcW w:w="1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5,050</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ind w:left="373" w:right="0" w:hanging="0"/>
              <w:jc w:val="right"/>
              <w:rPr>
                <w:rFonts w:ascii="times new roman" w:hAnsi="times new roman"/>
                <w:sz w:val="20"/>
              </w:rPr>
            </w:pPr>
            <w:bookmarkStart w:id="2398" w:name="TAB11196"/>
            <w:bookmarkEnd w:id="2398"/>
            <w:r>
              <w:rPr>
                <w:rFonts w:ascii="times new roman" w:hAnsi="times new roman"/>
                <w:sz w:val="20"/>
              </w:rPr>
              <w:t>3,968</w:t>
            </w:r>
          </w:p>
        </w:tc>
        <w:tc>
          <w:tcPr>
            <w:tcW w:w="133" w:type="dxa"/>
            <w:tcBorders/>
            <w:shd w:fill="CCEEFF" w:val="clear"/>
            <w:vAlign w:val="bottom"/>
          </w:tcPr>
          <w:p>
            <w:pPr>
              <w:pStyle w:val="TableContents"/>
              <w:spacing w:before="0" w:after="283"/>
              <w:jc w:val="left"/>
              <w:rPr/>
            </w:pPr>
            <w:r>
              <w:rPr/>
              <w:t> </w:t>
            </w:r>
          </w:p>
        </w:tc>
      </w:tr>
      <w:tr>
        <w:trPr/>
        <w:tc>
          <w:tcPr>
            <w:tcW w:w="5852" w:type="dxa"/>
            <w:tcBorders>
              <w:bottom w:val="double" w:sz="8"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w:t>
            </w:r>
          </w:p>
        </w:tc>
        <w:tc>
          <w:tcPr>
            <w:tcW w:w="115" w:type="dxa"/>
            <w:tcBorders/>
            <w:shd w:fill="FFFFFF" w:val="clear"/>
            <w:vAlign w:val="bottom"/>
          </w:tcPr>
          <w:p>
            <w:pPr>
              <w:pStyle w:val="TableContents"/>
              <w:spacing w:before="0" w:after="283"/>
              <w:rPr/>
            </w:pPr>
            <w:r>
              <w:rPr/>
              <w:t> </w:t>
            </w:r>
          </w:p>
        </w:tc>
        <w:tc>
          <w:tcPr>
            <w:tcW w:w="13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61"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5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1" w:type="dxa"/>
            <w:tcBorders>
              <w:bottom w:val="double" w:sz="8" w:space="0" w:color="000000"/>
            </w:tcBorders>
            <w:shd w:fill="FFFFFF" w:val="clear"/>
            <w:tcMar>
              <w:bottom w:w="28" w:type="dxa"/>
            </w:tcMar>
            <w:vAlign w:val="bottom"/>
          </w:tcPr>
          <w:p>
            <w:pPr>
              <w:pStyle w:val="TableContents"/>
              <w:spacing w:before="0" w:after="283"/>
              <w:ind w:left="282" w:right="0" w:hanging="0"/>
              <w:jc w:val="right"/>
              <w:rPr>
                <w:rFonts w:ascii="times new roman" w:hAnsi="times new roman"/>
                <w:sz w:val="20"/>
              </w:rPr>
            </w:pPr>
            <w:bookmarkStart w:id="2399" w:name="TAB11197"/>
            <w:bookmarkEnd w:id="2399"/>
            <w:r>
              <w:rPr>
                <w:rFonts w:ascii="times new roman" w:hAnsi="times new roman"/>
                <w:sz w:val="20"/>
              </w:rPr>
              <w:t>9,732</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5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9" w:type="dxa"/>
            <w:tcBorders>
              <w:bottom w:val="double" w:sz="8" w:space="0" w:color="000000"/>
            </w:tcBorders>
            <w:shd w:fill="FFFFFF" w:val="clear"/>
            <w:tcMar>
              <w:bottom w:w="28" w:type="dxa"/>
            </w:tcMar>
            <w:vAlign w:val="bottom"/>
          </w:tcPr>
          <w:p>
            <w:pPr>
              <w:pStyle w:val="TableContents"/>
              <w:spacing w:before="0" w:after="283"/>
              <w:ind w:left="162" w:right="0" w:hanging="0"/>
              <w:jc w:val="right"/>
              <w:rPr>
                <w:rFonts w:ascii="times new roman" w:hAnsi="times new roman"/>
                <w:sz w:val="20"/>
              </w:rPr>
            </w:pPr>
            <w:bookmarkStart w:id="2400" w:name="TAB11198"/>
            <w:bookmarkEnd w:id="2400"/>
            <w:r>
              <w:rPr>
                <w:rFonts w:ascii="times new roman" w:hAnsi="times new roman"/>
                <w:sz w:val="20"/>
              </w:rPr>
              <w:t>11,643</w:t>
            </w:r>
          </w:p>
        </w:tc>
        <w:tc>
          <w:tcPr>
            <w:tcW w:w="13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the years ending December 31, 2009, 2008, and 2007, we recorded our share of equity earnings (loss) from our unconsolidated joint ventures and entities as follows (dollars in thousands):</w:t>
      </w:r>
    </w:p>
    <w:tbl>
      <w:tblPr>
        <w:tblW w:w="5000" w:type="pct"/>
        <w:jc w:val="left"/>
        <w:tblInd w:w="0" w:type="dxa"/>
        <w:tblCellMar>
          <w:top w:w="0" w:type="dxa"/>
          <w:left w:w="0" w:type="dxa"/>
          <w:bottom w:w="0" w:type="dxa"/>
          <w:right w:w="0" w:type="dxa"/>
        </w:tblCellMar>
      </w:tblPr>
      <w:tblGrid>
        <w:gridCol w:w="6265"/>
        <w:gridCol w:w="108"/>
        <w:gridCol w:w="125"/>
        <w:gridCol w:w="981"/>
        <w:gridCol w:w="113"/>
        <w:gridCol w:w="108"/>
        <w:gridCol w:w="125"/>
        <w:gridCol w:w="943"/>
        <w:gridCol w:w="113"/>
        <w:gridCol w:w="107"/>
        <w:gridCol w:w="125"/>
        <w:gridCol w:w="966"/>
        <w:gridCol w:w="126"/>
      </w:tblGrid>
      <w:tr>
        <w:trPr/>
        <w:tc>
          <w:tcPr>
            <w:tcW w:w="6265"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370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6" w:type="dxa"/>
            <w:tcBorders/>
            <w:shd w:fill="auto" w:val="clear"/>
            <w:vAlign w:val="bottom"/>
          </w:tcPr>
          <w:p>
            <w:pPr>
              <w:pStyle w:val="TableContents"/>
              <w:spacing w:before="0" w:after="283"/>
              <w:jc w:val="left"/>
              <w:rPr/>
            </w:pPr>
            <w:r>
              <w:rPr/>
              <w:t> </w:t>
            </w:r>
          </w:p>
        </w:tc>
      </w:tr>
      <w:tr>
        <w:trPr/>
        <w:tc>
          <w:tcPr>
            <w:tcW w:w="6265"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0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6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9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6" w:type="dxa"/>
            <w:tcBorders/>
            <w:shd w:fill="auto" w:val="clear"/>
            <w:vAlign w:val="bottom"/>
          </w:tcPr>
          <w:p>
            <w:pPr>
              <w:pStyle w:val="TableContents"/>
              <w:spacing w:before="0" w:after="283"/>
              <w:jc w:val="left"/>
              <w:rPr/>
            </w:pPr>
            <w:r>
              <w:rPr/>
              <w:t> </w:t>
            </w:r>
          </w:p>
        </w:tc>
      </w:tr>
      <w:tr>
        <w:trPr/>
        <w:tc>
          <w:tcPr>
            <w:tcW w:w="6265"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Rialto Distribution</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1" w:type="dxa"/>
            <w:tcBorders/>
            <w:shd w:fill="CCEEFF" w:val="clear"/>
            <w:vAlign w:val="bottom"/>
          </w:tcPr>
          <w:p>
            <w:pPr>
              <w:pStyle w:val="TableContents"/>
              <w:spacing w:before="0" w:after="283"/>
              <w:ind w:left="18" w:right="0" w:hanging="0"/>
              <w:jc w:val="right"/>
              <w:rPr>
                <w:rFonts w:ascii="times new roman" w:hAnsi="times new roman"/>
                <w:sz w:val="20"/>
              </w:rPr>
            </w:pPr>
            <w:bookmarkStart w:id="2401" w:name="TAB11199"/>
            <w:bookmarkEnd w:id="2401"/>
            <w:r>
              <w:rPr>
                <w:rFonts w:ascii="times new roman" w:hAnsi="times new roman"/>
                <w:sz w:val="20"/>
              </w:rPr>
              <w:t>(1,065</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3" w:type="dxa"/>
            <w:tcBorders/>
            <w:shd w:fill="CCEEFF" w:val="clear"/>
            <w:vAlign w:val="bottom"/>
          </w:tcPr>
          <w:p>
            <w:pPr>
              <w:pStyle w:val="TableContents"/>
              <w:spacing w:before="0" w:after="283"/>
              <w:ind w:left="18" w:right="0" w:hanging="0"/>
              <w:jc w:val="right"/>
              <w:rPr>
                <w:rFonts w:ascii="times new roman" w:hAnsi="times new roman"/>
                <w:sz w:val="20"/>
              </w:rPr>
            </w:pPr>
            <w:bookmarkStart w:id="2402" w:name="TAB11200"/>
            <w:bookmarkEnd w:id="2402"/>
            <w:r>
              <w:rPr>
                <w:rFonts w:ascii="times new roman" w:hAnsi="times new roman"/>
                <w:sz w:val="20"/>
              </w:rPr>
              <w:t>66</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ind w:left="18" w:right="0" w:hanging="0"/>
              <w:jc w:val="right"/>
              <w:rPr>
                <w:rFonts w:ascii="times new roman" w:hAnsi="times new roman"/>
                <w:sz w:val="20"/>
              </w:rPr>
            </w:pPr>
            <w:bookmarkStart w:id="2403" w:name="TAB11201"/>
            <w:bookmarkEnd w:id="2403"/>
            <w:r>
              <w:rPr>
                <w:rFonts w:ascii="times new roman" w:hAnsi="times new roman"/>
                <w:sz w:val="20"/>
              </w:rPr>
              <w:t>250</w:t>
            </w:r>
          </w:p>
        </w:tc>
        <w:tc>
          <w:tcPr>
            <w:tcW w:w="126" w:type="dxa"/>
            <w:tcBorders/>
            <w:shd w:fill="CCEEFF" w:val="clear"/>
            <w:vAlign w:val="bottom"/>
          </w:tcPr>
          <w:p>
            <w:pPr>
              <w:pStyle w:val="TableContents"/>
              <w:spacing w:before="0" w:after="283"/>
              <w:jc w:val="left"/>
              <w:rPr/>
            </w:pPr>
            <w:r>
              <w:rPr/>
              <w:t> </w:t>
            </w:r>
          </w:p>
        </w:tc>
      </w:tr>
      <w:tr>
        <w:trPr/>
        <w:tc>
          <w:tcPr>
            <w:tcW w:w="6265"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Rialto Cinemas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1" w:type="dxa"/>
            <w:tcBorders/>
            <w:shd w:fill="FFFFFF" w:val="clear"/>
            <w:vAlign w:val="bottom"/>
          </w:tcPr>
          <w:p>
            <w:pPr>
              <w:pStyle w:val="TableContents"/>
              <w:spacing w:before="0" w:after="283"/>
              <w:ind w:left="591" w:right="0" w:hanging="0"/>
              <w:jc w:val="right"/>
              <w:rPr>
                <w:rFonts w:ascii="times new roman" w:hAnsi="times new roman"/>
                <w:sz w:val="20"/>
              </w:rPr>
            </w:pPr>
            <w:bookmarkStart w:id="2404" w:name="TAB11202"/>
            <w:bookmarkEnd w:id="2404"/>
            <w:r>
              <w:rPr>
                <w:rFonts w:ascii="times new roman" w:hAnsi="times new roman"/>
                <w:sz w:val="20"/>
              </w:rPr>
              <w:t>138</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43" w:type="dxa"/>
            <w:tcBorders/>
            <w:shd w:fill="FFFFFF" w:val="clear"/>
            <w:vAlign w:val="bottom"/>
          </w:tcPr>
          <w:p>
            <w:pPr>
              <w:pStyle w:val="TableContents"/>
              <w:spacing w:before="0" w:after="283"/>
              <w:ind w:left="413" w:right="0" w:hanging="0"/>
              <w:jc w:val="right"/>
              <w:rPr>
                <w:rFonts w:ascii="times new roman" w:hAnsi="times new roman"/>
                <w:sz w:val="20"/>
              </w:rPr>
            </w:pPr>
            <w:bookmarkStart w:id="2405" w:name="TAB11203"/>
            <w:bookmarkEnd w:id="2405"/>
            <w:r>
              <w:rPr>
                <w:rFonts w:ascii="times new roman" w:hAnsi="times new roman"/>
                <w:sz w:val="20"/>
              </w:rPr>
              <w:t>(301</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ind w:left="413" w:right="0" w:hanging="0"/>
              <w:jc w:val="right"/>
              <w:rPr>
                <w:rFonts w:ascii="times new roman" w:hAnsi="times new roman"/>
                <w:sz w:val="20"/>
              </w:rPr>
            </w:pPr>
            <w:bookmarkStart w:id="2406" w:name="TAB11204"/>
            <w:bookmarkEnd w:id="2406"/>
            <w:r>
              <w:rPr>
                <w:rFonts w:ascii="times new roman" w:hAnsi="times new roman"/>
                <w:sz w:val="20"/>
              </w:rPr>
              <w:t>(101</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65"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205-209 East 57th Street Associates, LLC</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1" w:type="dxa"/>
            <w:tcBorders/>
            <w:shd w:fill="CCEEFF" w:val="clear"/>
            <w:vAlign w:val="bottom"/>
          </w:tcPr>
          <w:p>
            <w:pPr>
              <w:pStyle w:val="TableContents"/>
              <w:spacing w:before="0" w:after="283"/>
              <w:ind w:left="591" w:right="0" w:hanging="0"/>
              <w:jc w:val="right"/>
              <w:rPr>
                <w:rFonts w:ascii="times new roman" w:hAnsi="times new roman"/>
                <w:sz w:val="20"/>
              </w:rPr>
            </w:pPr>
            <w:bookmarkStart w:id="2407" w:name="TAB11205"/>
            <w:bookmarkEnd w:id="2407"/>
            <w:r>
              <w:rPr>
                <w:rFonts w:ascii="times new roman" w:hAnsi="times new roman"/>
                <w:sz w:val="20"/>
              </w:rPr>
              <w:t>153</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43" w:type="dxa"/>
            <w:tcBorders/>
            <w:shd w:fill="CCEEFF" w:val="clear"/>
            <w:vAlign w:val="bottom"/>
          </w:tcPr>
          <w:p>
            <w:pPr>
              <w:pStyle w:val="TableContents"/>
              <w:spacing w:before="0" w:after="283"/>
              <w:ind w:left="591" w:right="0" w:hanging="0"/>
              <w:jc w:val="right"/>
              <w:rPr>
                <w:rFonts w:ascii="times new roman" w:hAnsi="times new roman"/>
                <w:sz w:val="20"/>
              </w:rPr>
            </w:pPr>
            <w:bookmarkStart w:id="2408" w:name="TAB11206"/>
            <w:bookmarkEnd w:id="2408"/>
            <w:r>
              <w:rPr>
                <w:rFonts w:ascii="times new roman" w:hAnsi="times new roman"/>
                <w:sz w:val="20"/>
              </w:rPr>
              <w:t>157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ind w:left="391" w:right="0" w:hanging="0"/>
              <w:jc w:val="right"/>
              <w:rPr>
                <w:rFonts w:ascii="times new roman" w:hAnsi="times new roman"/>
                <w:sz w:val="20"/>
              </w:rPr>
            </w:pPr>
            <w:bookmarkStart w:id="2409" w:name="TAB11207"/>
            <w:bookmarkEnd w:id="2409"/>
            <w:r>
              <w:rPr>
                <w:rFonts w:ascii="times new roman" w:hAnsi="times new roman"/>
                <w:sz w:val="20"/>
              </w:rPr>
              <w:t>1,329</w:t>
            </w:r>
          </w:p>
        </w:tc>
        <w:tc>
          <w:tcPr>
            <w:tcW w:w="126" w:type="dxa"/>
            <w:tcBorders/>
            <w:shd w:fill="CCEEFF" w:val="clear"/>
            <w:vAlign w:val="bottom"/>
          </w:tcPr>
          <w:p>
            <w:pPr>
              <w:pStyle w:val="TableContents"/>
              <w:spacing w:before="0" w:after="283"/>
              <w:jc w:val="left"/>
              <w:rPr/>
            </w:pPr>
            <w:r>
              <w:rPr/>
              <w:t> </w:t>
            </w:r>
          </w:p>
        </w:tc>
      </w:tr>
      <w:tr>
        <w:trPr/>
        <w:tc>
          <w:tcPr>
            <w:tcW w:w="6265"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Mt. Gravatt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1" w:type="dxa"/>
            <w:tcBorders/>
            <w:shd w:fill="FFFFFF" w:val="clear"/>
            <w:vAlign w:val="bottom"/>
          </w:tcPr>
          <w:p>
            <w:pPr>
              <w:pStyle w:val="TableContents"/>
              <w:spacing w:before="0" w:after="283"/>
              <w:ind w:left="591" w:right="0" w:hanging="0"/>
              <w:jc w:val="right"/>
              <w:rPr>
                <w:rFonts w:ascii="times new roman" w:hAnsi="times new roman"/>
                <w:sz w:val="20"/>
              </w:rPr>
            </w:pPr>
            <w:bookmarkStart w:id="2410" w:name="TAB11208"/>
            <w:bookmarkEnd w:id="2410"/>
            <w:r>
              <w:rPr>
                <w:rFonts w:ascii="times new roman" w:hAnsi="times new roman"/>
                <w:sz w:val="20"/>
              </w:rPr>
              <w:t>891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43" w:type="dxa"/>
            <w:tcBorders/>
            <w:shd w:fill="FFFFFF" w:val="clear"/>
            <w:vAlign w:val="bottom"/>
          </w:tcPr>
          <w:p>
            <w:pPr>
              <w:pStyle w:val="TableContents"/>
              <w:spacing w:before="0" w:after="283"/>
              <w:ind w:left="591" w:right="0" w:hanging="0"/>
              <w:jc w:val="right"/>
              <w:rPr>
                <w:rFonts w:ascii="times new roman" w:hAnsi="times new roman"/>
                <w:sz w:val="20"/>
              </w:rPr>
            </w:pPr>
            <w:bookmarkStart w:id="2411" w:name="TAB11209"/>
            <w:bookmarkEnd w:id="2411"/>
            <w:r>
              <w:rPr>
                <w:rFonts w:ascii="times new roman" w:hAnsi="times new roman"/>
                <w:sz w:val="20"/>
              </w:rPr>
              <w:t>834</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ind w:left="591" w:right="0" w:hanging="0"/>
              <w:jc w:val="right"/>
              <w:rPr>
                <w:rFonts w:ascii="times new roman" w:hAnsi="times new roman"/>
                <w:sz w:val="20"/>
              </w:rPr>
            </w:pPr>
            <w:bookmarkStart w:id="2412" w:name="TAB11210"/>
            <w:bookmarkEnd w:id="2412"/>
            <w:r>
              <w:rPr>
                <w:rFonts w:ascii="times new roman" w:hAnsi="times new roman"/>
                <w:sz w:val="20"/>
              </w:rPr>
              <w:t>793</w:t>
            </w:r>
          </w:p>
        </w:tc>
        <w:tc>
          <w:tcPr>
            <w:tcW w:w="126" w:type="dxa"/>
            <w:tcBorders/>
            <w:shd w:fill="FFFFFF" w:val="clear"/>
            <w:vAlign w:val="bottom"/>
          </w:tcPr>
          <w:p>
            <w:pPr>
              <w:pStyle w:val="TableContents"/>
              <w:spacing w:before="0" w:after="283"/>
              <w:jc w:val="left"/>
              <w:rPr/>
            </w:pPr>
            <w:r>
              <w:rPr/>
              <w:t> </w:t>
            </w:r>
          </w:p>
        </w:tc>
      </w:tr>
      <w:tr>
        <w:trPr/>
        <w:tc>
          <w:tcPr>
            <w:tcW w:w="6265"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Berkeley Cinemas – Palms &amp; Botany</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1" w:type="dxa"/>
            <w:tcBorders/>
            <w:shd w:fill="CCEEFF" w:val="clear"/>
            <w:vAlign w:val="bottom"/>
          </w:tcPr>
          <w:p>
            <w:pPr>
              <w:pStyle w:val="TableContents"/>
              <w:spacing w:before="0" w:after="283"/>
              <w:ind w:left="795" w:right="0" w:hanging="0"/>
              <w:jc w:val="right"/>
              <w:rPr>
                <w:rFonts w:ascii="times new roman" w:hAnsi="times new roman"/>
                <w:sz w:val="20"/>
              </w:rPr>
            </w:pPr>
            <w:bookmarkStart w:id="2413" w:name="TAB11211"/>
            <w:bookmarkEnd w:id="2413"/>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43" w:type="dxa"/>
            <w:tcBorders/>
            <w:shd w:fill="CCEEFF" w:val="clear"/>
            <w:vAlign w:val="bottom"/>
          </w:tcPr>
          <w:p>
            <w:pPr>
              <w:pStyle w:val="TableContents"/>
              <w:spacing w:before="0" w:after="283"/>
              <w:ind w:left="706" w:right="0" w:hanging="0"/>
              <w:jc w:val="right"/>
              <w:rPr>
                <w:rFonts w:ascii="times new roman" w:hAnsi="times new roman"/>
                <w:sz w:val="20"/>
              </w:rPr>
            </w:pPr>
            <w:bookmarkStart w:id="2414" w:name="TAB11212"/>
            <w:bookmarkEnd w:id="2414"/>
            <w:r>
              <w:rPr>
                <w:rFonts w:ascii="times new roman" w:hAnsi="times new roman"/>
                <w:sz w:val="20"/>
              </w:rPr>
              <w:t>44</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ind w:left="573" w:right="0" w:hanging="0"/>
              <w:jc w:val="right"/>
              <w:rPr>
                <w:rFonts w:ascii="times new roman" w:hAnsi="times new roman"/>
                <w:sz w:val="20"/>
              </w:rPr>
            </w:pPr>
            <w:bookmarkStart w:id="2415" w:name="TAB11213"/>
            <w:bookmarkEnd w:id="2415"/>
            <w:r>
              <w:rPr>
                <w:rFonts w:ascii="times new roman" w:hAnsi="times new roman"/>
                <w:sz w:val="20"/>
              </w:rPr>
              <w:t>274</w:t>
            </w:r>
          </w:p>
        </w:tc>
        <w:tc>
          <w:tcPr>
            <w:tcW w:w="126" w:type="dxa"/>
            <w:tcBorders/>
            <w:shd w:fill="CCEEFF" w:val="clear"/>
            <w:vAlign w:val="bottom"/>
          </w:tcPr>
          <w:p>
            <w:pPr>
              <w:pStyle w:val="TableContents"/>
              <w:spacing w:before="0" w:after="283"/>
              <w:jc w:val="left"/>
              <w:rPr/>
            </w:pPr>
            <w:r>
              <w:rPr/>
              <w:t> </w:t>
            </w:r>
          </w:p>
        </w:tc>
      </w:tr>
      <w:tr>
        <w:trPr/>
        <w:tc>
          <w:tcPr>
            <w:tcW w:w="6265"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Other</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1" w:type="dxa"/>
            <w:tcBorders>
              <w:bottom w:val="single" w:sz="12" w:space="0" w:color="000000"/>
            </w:tcBorders>
            <w:shd w:fill="FFFFFF" w:val="clear"/>
            <w:tcMar>
              <w:bottom w:w="28" w:type="dxa"/>
            </w:tcMar>
            <w:vAlign w:val="bottom"/>
          </w:tcPr>
          <w:p>
            <w:pPr>
              <w:pStyle w:val="TableContents"/>
              <w:spacing w:before="0" w:after="283"/>
              <w:ind w:left="795" w:right="0" w:hanging="0"/>
              <w:jc w:val="right"/>
              <w:rPr>
                <w:rFonts w:ascii="times new roman" w:hAnsi="times new roman"/>
                <w:sz w:val="20"/>
              </w:rPr>
            </w:pPr>
            <w:bookmarkStart w:id="2416" w:name="TAB11214"/>
            <w:bookmarkEnd w:id="2416"/>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3" w:type="dxa"/>
            <w:tcBorders>
              <w:bottom w:val="single" w:sz="12" w:space="0" w:color="000000"/>
            </w:tcBorders>
            <w:shd w:fill="FFFFFF" w:val="clear"/>
            <w:tcMar>
              <w:bottom w:w="28" w:type="dxa"/>
            </w:tcMar>
            <w:vAlign w:val="bottom"/>
          </w:tcPr>
          <w:p>
            <w:pPr>
              <w:pStyle w:val="TableContents"/>
              <w:spacing w:before="0" w:after="283"/>
              <w:ind w:left="395" w:right="0" w:hanging="0"/>
              <w:jc w:val="right"/>
              <w:rPr>
                <w:rFonts w:ascii="times new roman" w:hAnsi="times new roman"/>
                <w:sz w:val="20"/>
              </w:rPr>
            </w:pPr>
            <w:bookmarkStart w:id="2417" w:name="TAB11215"/>
            <w:bookmarkEnd w:id="2417"/>
            <w:r>
              <w:rPr>
                <w:rFonts w:ascii="times new roman" w:hAnsi="times new roman"/>
                <w:sz w:val="20"/>
              </w:rPr>
              <w:t>(303</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6" w:type="dxa"/>
            <w:tcBorders>
              <w:bottom w:val="single" w:sz="12" w:space="0" w:color="000000"/>
            </w:tcBorders>
            <w:shd w:fill="FFFFFF" w:val="clear"/>
            <w:tcMar>
              <w:bottom w:w="28" w:type="dxa"/>
            </w:tcMar>
            <w:vAlign w:val="bottom"/>
          </w:tcPr>
          <w:p>
            <w:pPr>
              <w:pStyle w:val="TableContents"/>
              <w:spacing w:before="0" w:after="283"/>
              <w:ind w:left="795" w:right="0" w:hanging="0"/>
              <w:jc w:val="right"/>
              <w:rPr>
                <w:rFonts w:ascii="times new roman" w:hAnsi="times new roman"/>
                <w:sz w:val="20"/>
              </w:rPr>
            </w:pPr>
            <w:bookmarkStart w:id="2418" w:name="TAB11216"/>
            <w:bookmarkEnd w:id="2418"/>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r>
        <w:trPr/>
        <w:tc>
          <w:tcPr>
            <w:tcW w:w="6265" w:type="dxa"/>
            <w:tcBorders>
              <w:bottom w:val="double" w:sz="8"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w:t>
            </w:r>
          </w:p>
        </w:tc>
        <w:tc>
          <w:tcPr>
            <w:tcW w:w="10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1" w:type="dxa"/>
            <w:tcBorders>
              <w:bottom w:val="double" w:sz="8" w:space="0" w:color="000000"/>
            </w:tcBorders>
            <w:shd w:fill="CCEEFF" w:val="clear"/>
            <w:tcMar>
              <w:bottom w:w="28" w:type="dxa"/>
            </w:tcMar>
            <w:vAlign w:val="bottom"/>
          </w:tcPr>
          <w:p>
            <w:pPr>
              <w:pStyle w:val="TableContents"/>
              <w:spacing w:before="0" w:after="283"/>
              <w:ind w:left="18" w:right="0" w:hanging="0"/>
              <w:jc w:val="right"/>
              <w:rPr>
                <w:rFonts w:ascii="times new roman" w:hAnsi="times new roman"/>
                <w:sz w:val="20"/>
              </w:rPr>
            </w:pPr>
            <w:bookmarkStart w:id="2419" w:name="TAB11217"/>
            <w:bookmarkEnd w:id="2419"/>
            <w:r>
              <w:rPr>
                <w:rFonts w:ascii="times new roman" w:hAnsi="times new roman"/>
                <w:sz w:val="20"/>
              </w:rPr>
              <w:t>117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3" w:type="dxa"/>
            <w:tcBorders>
              <w:bottom w:val="double" w:sz="8" w:space="0" w:color="000000"/>
            </w:tcBorders>
            <w:shd w:fill="CCEEFF" w:val="clear"/>
            <w:tcMar>
              <w:bottom w:w="28" w:type="dxa"/>
            </w:tcMar>
            <w:vAlign w:val="bottom"/>
          </w:tcPr>
          <w:p>
            <w:pPr>
              <w:pStyle w:val="TableContents"/>
              <w:spacing w:before="0" w:after="283"/>
              <w:ind w:left="18" w:right="0" w:hanging="0"/>
              <w:jc w:val="right"/>
              <w:rPr>
                <w:rFonts w:ascii="times new roman" w:hAnsi="times new roman"/>
                <w:sz w:val="20"/>
              </w:rPr>
            </w:pPr>
            <w:bookmarkStart w:id="2420" w:name="TAB11218"/>
            <w:bookmarkEnd w:id="2420"/>
            <w:r>
              <w:rPr>
                <w:rFonts w:ascii="times new roman" w:hAnsi="times new roman"/>
                <w:sz w:val="20"/>
              </w:rPr>
              <w:t>497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bottom w:val="double" w:sz="8" w:space="0" w:color="000000"/>
            </w:tcBorders>
            <w:shd w:fill="CCEEFF" w:val="clear"/>
            <w:tcMar>
              <w:bottom w:w="28" w:type="dxa"/>
            </w:tcMar>
            <w:vAlign w:val="bottom"/>
          </w:tcPr>
          <w:p>
            <w:pPr>
              <w:pStyle w:val="TableContents"/>
              <w:spacing w:before="0" w:after="283"/>
              <w:ind w:left="18" w:right="0" w:hanging="0"/>
              <w:jc w:val="right"/>
              <w:rPr>
                <w:rFonts w:ascii="times new roman" w:hAnsi="times new roman"/>
                <w:sz w:val="20"/>
              </w:rPr>
            </w:pPr>
            <w:bookmarkStart w:id="2421" w:name="TAB11219"/>
            <w:bookmarkEnd w:id="2421"/>
            <w:r>
              <w:rPr>
                <w:rFonts w:ascii="times new roman" w:hAnsi="times new roman"/>
                <w:sz w:val="20"/>
              </w:rPr>
              <w:t>2,545</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Malulani Investments, Limited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26, 2006, we acquired for $1.8 million, an 18.4% interest in a private real estate company.  On July 2, 2009, Magoon Acquisition and Development, LLC (“Magoon LLC”) and we entered into a settlement agreement (the “Settlement Terms”) with respect to a lawsuit against certain officers and directors of Malulani Investments, Limited (“MIL”).  Under the Settlement Terms, Magoon LLC and we received $2.5 million in cash, a $6.75 million three-year 6.25% secured promissory note issued by The Malulani Group (“TMG”), and a ten-year “tail interest” in MIL and TMG in exchange for the transfer of all ownership interests in MIL and TMG held by both Magoon, LLC and RDI and for the release of all claims against the defendants in this matter.  A gain on t he transfer of our ownership interest in MIL of $268,000 was recognized during 2009 as a result of this transaction.  The tail interest allows us to participate in certain distributions made or received by MIL, TMG, and in certain cases, the shareholders of TMG.  The tail interest, however, continues only for a period of ten years and we cannot assure that we will receive any distributions from this tail interest.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Rialto Distribution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October 1, 2005, we purchased for $694,000 (NZ$1.0 million) a 1/3 interest in Rialto Distribution.  Rialto Distribution, an unconsolidated joint venture, is engaged in the business of distributing art film in New Zealand and Australia.  We own an undivided 1/3 interest in the assets and liabilities of the joint venture.  We treat our interest as an equity method interest in an unconsolidated joint venture.  However, during 2009, the reporting company of Rialto Distribution reported a net loss of $2.2 million (NZ$3.2 million).  Our share of this loss was $734,000 (NZ$1.1 million).  Due to this significant loss, we determined that the goodwill associated with Rialto Distribution’s investment in the film distribution business was fully impaired.  Theref ore, we recorded our share of the impairment loss of $331,000 (NZ$434,000) as a part of our equity losses resulting in a net zero balance at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Rialto Cinemas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October 1, 2005, we purchased, indirectly, beneficial ownership of 100% of the stock of Rialto Entertainment for $4.8 million (NZ$6.9 million).  Rialto Entertainment was at the time of purchase a 50% joint venture partner with Village and Sky in Rialto Cinemas, the largest art cinema circuit in New Zealand.  The Village and Sky ownership interest have subsequently been sold to Greater Union, an Australian based cinema chain operator.  We own an undivided 50% interest in the assets and liabilities of the joint venture and treat our interest as an equity method interest in an unconsolidated joint venture.  As of December 31, 2009, following the closure of two cinemas with 6 screens, the joint venture owned three cinemas with 22 screens in the New Zealand cities of Auckland, Christchurch, and Dunedin.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22" w:name="PGBRK79"/>
      <w:bookmarkStart w:id="2423" w:name="PGBRK79"/>
      <w:bookmarkEnd w:id="2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4" w:name="FTR79"/>
      <w:bookmarkStart w:id="2425" w:name="FTR79"/>
      <w:bookmarkEnd w:id="2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26" w:name="GLFTR79"/>
      <w:bookmarkEnd w:id="24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427" w:name="PN79"/>
      <w:bookmarkEnd w:id="2427"/>
      <w:r>
        <w:rPr>
          <w:rFonts w:eastAsia="Times New Roman" w:cs="Times New Roman" w:ascii="Times New Roman" w:hAnsi="Times New Roman"/>
          <w:sz w:val="20"/>
          <w:szCs w:val="20"/>
        </w:rPr>
        <w:t>-79-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428" w:name="HDR79"/>
      <w:bookmarkStart w:id="2429" w:name="HDR79"/>
      <w:bookmarkEnd w:id="24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430" w:name="GLHDR79"/>
        <w:bookmarkEnd w:id="24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u w:val="single"/>
        </w:rPr>
      </w:pPr>
      <w:r>
        <w:rPr>
          <w:rFonts w:eastAsia="Times New Roman" w:cs="Times New Roman" w:ascii="Times New Roman" w:hAnsi="Times New Roman"/>
          <w:sz w:val="20"/>
          <w:szCs w:val="20"/>
          <w:u w:val="single"/>
        </w:rPr>
        <w:t>205-209 East 57th Street Associates, LLC</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own a non-managing 25% membership interest in 205-209 East 57th Street Associates, LLC a limited liability company formed to redevelop our former cinema site at 205 East 57th Street in Manhattan.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2006, the joint venture closed on the sales of 59 condominiums resulting in gross sales of $117.7 million and equity earnings from unconsolidated joint venture to us of $8.3 million.  During 2007, this joint venture sold the remaining eight condominiums resulting in gross sales of $25.4 million and net equity earnings from this unconsolidated joint venture of $1.3 million.  The remaining retail condominium was sold in February 2009 for approximately $3.8 million.  Based on the closing statements of the sale, our share of the sales proceeds was approximately $900,000 and earnings of $304,000.  On April 11, 2009, we received $1.2 million relating to our investment in the Place 57 joint venture representing a return of substantially all of our initial investment.  Due to our continuing investment in the manager’s condominium, we expect to continue to receive nominal earnings from this investment in the future.  The condensed balance sheet and statement of operations of 205-209 East 57th Street Associates, LLC are as follows (dollars in thousands):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205-209 East 57th Street Associates, LLC Condensed Balance Sheet Information:</w:t>
      </w:r>
    </w:p>
    <w:tbl>
      <w:tblPr>
        <w:tblW w:w="5000" w:type="pct"/>
        <w:jc w:val="left"/>
        <w:tblInd w:w="0" w:type="dxa"/>
        <w:tblCellMar>
          <w:top w:w="0" w:type="dxa"/>
          <w:left w:w="0" w:type="dxa"/>
          <w:bottom w:w="0" w:type="dxa"/>
          <w:right w:w="0" w:type="dxa"/>
        </w:tblCellMar>
      </w:tblPr>
      <w:tblGrid>
        <w:gridCol w:w="7537"/>
        <w:gridCol w:w="110"/>
        <w:gridCol w:w="126"/>
        <w:gridCol w:w="984"/>
        <w:gridCol w:w="110"/>
        <w:gridCol w:w="110"/>
        <w:gridCol w:w="126"/>
        <w:gridCol w:w="984"/>
        <w:gridCol w:w="118"/>
      </w:tblGrid>
      <w:tr>
        <w:trPr/>
        <w:tc>
          <w:tcPr>
            <w:tcW w:w="753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4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8" w:type="dxa"/>
            <w:tcBorders/>
            <w:shd w:fill="auto" w:val="clear"/>
            <w:vAlign w:val="bottom"/>
          </w:tcPr>
          <w:p>
            <w:pPr>
              <w:pStyle w:val="TableContents"/>
              <w:spacing w:before="0" w:after="283"/>
              <w:jc w:val="left"/>
              <w:rPr/>
            </w:pPr>
            <w:r>
              <w:rPr/>
              <w:t> </w:t>
            </w:r>
          </w:p>
        </w:tc>
      </w:tr>
      <w:tr>
        <w:trPr/>
        <w:tc>
          <w:tcPr>
            <w:tcW w:w="7537"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8" w:type="dxa"/>
            <w:tcBorders/>
            <w:shd w:fill="auto"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assets</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2,198</w:t>
            </w:r>
          </w:p>
        </w:tc>
        <w:tc>
          <w:tcPr>
            <w:tcW w:w="118"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assets</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3,092</w:t>
            </w:r>
          </w:p>
        </w:tc>
        <w:tc>
          <w:tcPr>
            <w:tcW w:w="118"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liabilities</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18"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liabilities</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18"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Members’ equity</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5,088</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205-209 East 57th Street Associates, LLC Condensed Statements of Operations Information:</w:t>
      </w:r>
    </w:p>
    <w:tbl>
      <w:tblPr>
        <w:tblW w:w="5000" w:type="pct"/>
        <w:jc w:val="left"/>
        <w:tblInd w:w="0" w:type="dxa"/>
        <w:tblCellMar>
          <w:top w:w="0" w:type="dxa"/>
          <w:left w:w="0" w:type="dxa"/>
          <w:bottom w:w="0" w:type="dxa"/>
          <w:right w:w="0" w:type="dxa"/>
        </w:tblCellMar>
      </w:tblPr>
      <w:tblGrid>
        <w:gridCol w:w="6226"/>
        <w:gridCol w:w="110"/>
        <w:gridCol w:w="127"/>
        <w:gridCol w:w="979"/>
        <w:gridCol w:w="110"/>
        <w:gridCol w:w="110"/>
        <w:gridCol w:w="127"/>
        <w:gridCol w:w="939"/>
        <w:gridCol w:w="110"/>
        <w:gridCol w:w="110"/>
        <w:gridCol w:w="127"/>
        <w:gridCol w:w="1006"/>
        <w:gridCol w:w="124"/>
      </w:tblGrid>
      <w:tr>
        <w:trPr/>
        <w:tc>
          <w:tcPr>
            <w:tcW w:w="6226"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745"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4" w:type="dxa"/>
            <w:tcBorders/>
            <w:shd w:fill="auto" w:val="clear"/>
            <w:vAlign w:val="bottom"/>
          </w:tcPr>
          <w:p>
            <w:pPr>
              <w:pStyle w:val="TableContents"/>
              <w:spacing w:before="0" w:after="283"/>
              <w:jc w:val="left"/>
              <w:rPr/>
            </w:pPr>
            <w:r>
              <w:rPr/>
              <w:t> </w:t>
            </w:r>
          </w:p>
        </w:tc>
      </w:tr>
      <w:tr>
        <w:trPr/>
        <w:tc>
          <w:tcPr>
            <w:tcW w:w="6226"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0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06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4" w:type="dxa"/>
            <w:tcBorders/>
            <w:shd w:fill="auto" w:val="clear"/>
            <w:vAlign w:val="bottom"/>
          </w:tcPr>
          <w:p>
            <w:pPr>
              <w:pStyle w:val="TableContents"/>
              <w:spacing w:before="0" w:after="283"/>
              <w:jc w:val="left"/>
              <w:rPr/>
            </w:pPr>
            <w:r>
              <w:rPr/>
              <w:t> </w:t>
            </w:r>
          </w:p>
        </w:tc>
      </w:tr>
      <w:tr>
        <w:trPr/>
        <w:tc>
          <w:tcPr>
            <w:tcW w:w="622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revenue</w:t>
            </w:r>
          </w:p>
        </w:tc>
        <w:tc>
          <w:tcPr>
            <w:tcW w:w="110"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25,673</w:t>
            </w:r>
          </w:p>
        </w:tc>
        <w:tc>
          <w:tcPr>
            <w:tcW w:w="124" w:type="dxa"/>
            <w:tcBorders/>
            <w:shd w:fill="CCEEFF" w:val="clear"/>
            <w:vAlign w:val="bottom"/>
          </w:tcPr>
          <w:p>
            <w:pPr>
              <w:pStyle w:val="TableContents"/>
              <w:spacing w:before="0" w:after="283"/>
              <w:jc w:val="left"/>
              <w:rPr/>
            </w:pPr>
            <w:r>
              <w:rPr/>
              <w:t> </w:t>
            </w:r>
          </w:p>
        </w:tc>
      </w:tr>
      <w:tr>
        <w:trPr/>
        <w:tc>
          <w:tcPr>
            <w:tcW w:w="6226"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w:t>
            </w:r>
          </w:p>
        </w:tc>
        <w:tc>
          <w:tcPr>
            <w:tcW w:w="110"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3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833</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6,805</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Mt. Gravatt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own an undivided 1/3 interest in Mt. Gravatt, an unincorporated joint venture that owns and operates a 16-screen multiplex cinema in Australia.  The condensed balance sheet and statement of operations of Mt. Gravatt are as follows (dollars in thousands):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Mt. Gravatt Condensed Balance Sheet Information:</w:t>
      </w:r>
    </w:p>
    <w:tbl>
      <w:tblPr>
        <w:tblW w:w="5000" w:type="pct"/>
        <w:jc w:val="left"/>
        <w:tblInd w:w="0" w:type="dxa"/>
        <w:tblCellMar>
          <w:top w:w="0" w:type="dxa"/>
          <w:left w:w="0" w:type="dxa"/>
          <w:bottom w:w="0" w:type="dxa"/>
          <w:right w:w="0" w:type="dxa"/>
        </w:tblCellMar>
      </w:tblPr>
      <w:tblGrid>
        <w:gridCol w:w="7537"/>
        <w:gridCol w:w="110"/>
        <w:gridCol w:w="126"/>
        <w:gridCol w:w="984"/>
        <w:gridCol w:w="110"/>
        <w:gridCol w:w="110"/>
        <w:gridCol w:w="126"/>
        <w:gridCol w:w="984"/>
        <w:gridCol w:w="118"/>
      </w:tblGrid>
      <w:tr>
        <w:trPr/>
        <w:tc>
          <w:tcPr>
            <w:tcW w:w="753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4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8" w:type="dxa"/>
            <w:tcBorders/>
            <w:shd w:fill="auto" w:val="clear"/>
            <w:vAlign w:val="bottom"/>
          </w:tcPr>
          <w:p>
            <w:pPr>
              <w:pStyle w:val="TableContents"/>
              <w:spacing w:before="0" w:after="283"/>
              <w:jc w:val="left"/>
              <w:rPr/>
            </w:pPr>
            <w:r>
              <w:rPr/>
              <w:t> </w:t>
            </w:r>
          </w:p>
        </w:tc>
      </w:tr>
      <w:tr>
        <w:trPr/>
        <w:tc>
          <w:tcPr>
            <w:tcW w:w="7537"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8" w:type="dxa"/>
            <w:tcBorders/>
            <w:shd w:fill="auto"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assets</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18"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assets</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2,966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2,406</w:t>
            </w:r>
          </w:p>
        </w:tc>
        <w:tc>
          <w:tcPr>
            <w:tcW w:w="118"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liabilities</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561</w:t>
            </w:r>
          </w:p>
        </w:tc>
        <w:tc>
          <w:tcPr>
            <w:tcW w:w="118"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liabilities</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18"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Members’ equity</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2,598</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Mt. Gravatt Condensed Statements of Operations Information:</w:t>
      </w:r>
    </w:p>
    <w:tbl>
      <w:tblPr>
        <w:tblW w:w="5000" w:type="pct"/>
        <w:jc w:val="left"/>
        <w:tblInd w:w="0" w:type="dxa"/>
        <w:tblCellMar>
          <w:top w:w="0" w:type="dxa"/>
          <w:left w:w="0" w:type="dxa"/>
          <w:bottom w:w="0" w:type="dxa"/>
          <w:right w:w="0" w:type="dxa"/>
        </w:tblCellMar>
      </w:tblPr>
      <w:tblGrid>
        <w:gridCol w:w="6160"/>
        <w:gridCol w:w="109"/>
        <w:gridCol w:w="127"/>
        <w:gridCol w:w="1000"/>
        <w:gridCol w:w="109"/>
        <w:gridCol w:w="109"/>
        <w:gridCol w:w="127"/>
        <w:gridCol w:w="1000"/>
        <w:gridCol w:w="108"/>
        <w:gridCol w:w="109"/>
        <w:gridCol w:w="127"/>
        <w:gridCol w:w="1000"/>
        <w:gridCol w:w="120"/>
      </w:tblGrid>
      <w:tr>
        <w:trPr/>
        <w:tc>
          <w:tcPr>
            <w:tcW w:w="616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81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0" w:type="dxa"/>
            <w:tcBorders/>
            <w:shd w:fill="auto" w:val="clear"/>
            <w:vAlign w:val="bottom"/>
          </w:tcPr>
          <w:p>
            <w:pPr>
              <w:pStyle w:val="TableContents"/>
              <w:spacing w:before="0" w:after="283"/>
              <w:jc w:val="left"/>
              <w:rPr/>
            </w:pPr>
            <w:r>
              <w:rPr/>
              <w:t> </w:t>
            </w:r>
          </w:p>
        </w:tc>
      </w:tr>
      <w:tr>
        <w:trPr/>
        <w:tc>
          <w:tcPr>
            <w:tcW w:w="6160"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0" w:type="dxa"/>
            <w:tcBorders/>
            <w:shd w:fill="auto" w:val="clear"/>
            <w:vAlign w:val="bottom"/>
          </w:tcPr>
          <w:p>
            <w:pPr>
              <w:pStyle w:val="TableContents"/>
              <w:spacing w:before="0" w:after="283"/>
              <w:jc w:val="left"/>
              <w:rPr/>
            </w:pPr>
            <w:r>
              <w:rPr/>
              <w:t> </w:t>
            </w:r>
          </w:p>
        </w:tc>
      </w:tr>
      <w:tr>
        <w:trPr/>
        <w:tc>
          <w:tcPr>
            <w:tcW w:w="616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revenue</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11,244</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10,989</w:t>
            </w:r>
          </w:p>
        </w:tc>
        <w:tc>
          <w:tcPr>
            <w:tcW w:w="10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10,603</w:t>
            </w:r>
          </w:p>
        </w:tc>
        <w:tc>
          <w:tcPr>
            <w:tcW w:w="120" w:type="dxa"/>
            <w:tcBorders/>
            <w:shd w:fill="CCEEFF" w:val="clear"/>
            <w:vAlign w:val="bottom"/>
          </w:tcPr>
          <w:p>
            <w:pPr>
              <w:pStyle w:val="TableContents"/>
              <w:spacing w:before="0" w:after="283"/>
              <w:jc w:val="left"/>
              <w:rPr/>
            </w:pPr>
            <w:r>
              <w:rPr/>
              <w:t> </w:t>
            </w:r>
          </w:p>
        </w:tc>
      </w:tr>
      <w:tr>
        <w:trPr/>
        <w:tc>
          <w:tcPr>
            <w:tcW w:w="616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2,629</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2,273</w:t>
            </w:r>
          </w:p>
        </w:tc>
        <w:tc>
          <w:tcPr>
            <w:tcW w:w="108"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2,381</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31" w:name="PGBRK80"/>
      <w:bookmarkStart w:id="2432" w:name="PGBRK80"/>
      <w:bookmarkEnd w:id="2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3" w:name="FTR80"/>
      <w:bookmarkStart w:id="2434" w:name="FTR80"/>
      <w:bookmarkEnd w:id="2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35" w:name="GLFTR80"/>
      <w:bookmarkEnd w:id="2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436" w:name="PN80"/>
      <w:bookmarkEnd w:id="2436"/>
      <w:r>
        <w:rPr>
          <w:rFonts w:eastAsia="Times New Roman" w:cs="Times New Roman" w:ascii="Times New Roman" w:hAnsi="Times New Roman"/>
          <w:sz w:val="20"/>
          <w:szCs w:val="20"/>
        </w:rPr>
        <w:t>-80-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437" w:name="HDR80"/>
      <w:bookmarkStart w:id="2438" w:name="HDR80"/>
      <w:bookmarkEnd w:id="2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439" w:name="GLHDR80"/>
        <w:bookmarkEnd w:id="24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Berkeley Cinemas – Botany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440" w:name="TAB11220"/>
      <w:bookmarkEnd w:id="2440"/>
      <w:r>
        <w:rPr>
          <w:rFonts w:ascii="Times New Roman" w:hAnsi="Times New Roman"/>
          <w:sz w:val="20"/>
        </w:rPr>
        <w:t>We previously had investments in three joint ventures with Everard Entertainment Ltd in New Zealand.  On June 6, 2008, we sold our last investment in these joint ventures of the Botany Downs Cinema to our joint venture partner for $3.3 million (NZ$4.3 million) resulting in a net gain on sale of an unconsolidated entity of $2.5 million (NZ$3.2 million).  With the sale of the cinema, our unconsolidated joint venture debt decreased by $3.2 million (NZ$4.2 million).  We continue to have certain outstanding, contingent claims related to interest and working capital, which may or may not increase the total sales price of the cinema.  The cinema had revenue of $1.6 million (NZ$2.0 million) and $5.9 million (NZ$8.0 million) and net income of $178,000 (NZ$2 26,000) and $520,000 (NZ$706,000) for the years ended December 31, 2008 and 2007,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Combined Condensed Financial Information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combined condensed financial information for all of the above unconsolidated joint ventures and entities accounted for under the equity method is as follows; therefore, this only excludes Malulani Investments (dollars in thousands):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Condensed Balance Sheet Information:</w:t>
      </w:r>
    </w:p>
    <w:tbl>
      <w:tblPr>
        <w:tblW w:w="5000" w:type="pct"/>
        <w:jc w:val="left"/>
        <w:tblInd w:w="0" w:type="dxa"/>
        <w:tblCellMar>
          <w:top w:w="0" w:type="dxa"/>
          <w:left w:w="0" w:type="dxa"/>
          <w:bottom w:w="0" w:type="dxa"/>
          <w:right w:w="0" w:type="dxa"/>
        </w:tblCellMar>
      </w:tblPr>
      <w:tblGrid>
        <w:gridCol w:w="7522"/>
        <w:gridCol w:w="110"/>
        <w:gridCol w:w="125"/>
        <w:gridCol w:w="980"/>
        <w:gridCol w:w="110"/>
        <w:gridCol w:w="110"/>
        <w:gridCol w:w="125"/>
        <w:gridCol w:w="1005"/>
        <w:gridCol w:w="118"/>
      </w:tblGrid>
      <w:tr>
        <w:trPr/>
        <w:tc>
          <w:tcPr>
            <w:tcW w:w="752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5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8" w:type="dxa"/>
            <w:tcBorders/>
            <w:shd w:fill="auto" w:val="clear"/>
            <w:vAlign w:val="bottom"/>
          </w:tcPr>
          <w:p>
            <w:pPr>
              <w:pStyle w:val="TableContents"/>
              <w:spacing w:before="0" w:after="283"/>
              <w:jc w:val="left"/>
              <w:rPr/>
            </w:pPr>
            <w:r>
              <w:rPr/>
              <w:t> </w:t>
            </w:r>
          </w:p>
        </w:tc>
      </w:tr>
      <w:tr>
        <w:trPr/>
        <w:tc>
          <w:tcPr>
            <w:tcW w:w="7522"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0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8" w:type="dxa"/>
            <w:tcBorders/>
            <w:shd w:fill="auto" w:val="clear"/>
            <w:vAlign w:val="bottom"/>
          </w:tcPr>
          <w:p>
            <w:pPr>
              <w:pStyle w:val="TableContents"/>
              <w:spacing w:before="0" w:after="283"/>
              <w:jc w:val="left"/>
              <w:rPr/>
            </w:pPr>
            <w:r>
              <w:rPr/>
              <w:t> </w:t>
            </w:r>
          </w:p>
        </w:tc>
      </w:tr>
      <w:tr>
        <w:trPr/>
        <w:tc>
          <w:tcPr>
            <w:tcW w:w="752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assets</w:t>
            </w:r>
          </w:p>
        </w:tc>
        <w:tc>
          <w:tcPr>
            <w:tcW w:w="11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7,795</w:t>
            </w:r>
          </w:p>
        </w:tc>
        <w:tc>
          <w:tcPr>
            <w:tcW w:w="118" w:type="dxa"/>
            <w:tcBorders/>
            <w:shd w:fill="CCEEFF" w:val="clear"/>
            <w:vAlign w:val="bottom"/>
          </w:tcPr>
          <w:p>
            <w:pPr>
              <w:pStyle w:val="TableContents"/>
              <w:spacing w:before="0" w:after="283"/>
              <w:jc w:val="left"/>
              <w:rPr/>
            </w:pPr>
            <w:r>
              <w:rPr/>
              <w:t> </w:t>
            </w:r>
          </w:p>
        </w:tc>
      </w:tr>
      <w:tr>
        <w:trPr/>
        <w:tc>
          <w:tcPr>
            <w:tcW w:w="752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assets</w:t>
            </w:r>
          </w:p>
        </w:tc>
        <w:tc>
          <w:tcPr>
            <w:tcW w:w="11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6,826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8,463</w:t>
            </w:r>
          </w:p>
        </w:tc>
        <w:tc>
          <w:tcPr>
            <w:tcW w:w="118" w:type="dxa"/>
            <w:tcBorders/>
            <w:shd w:fill="FFFFFF" w:val="clear"/>
            <w:vAlign w:val="bottom"/>
          </w:tcPr>
          <w:p>
            <w:pPr>
              <w:pStyle w:val="TableContents"/>
              <w:spacing w:before="0" w:after="283"/>
              <w:jc w:val="left"/>
              <w:rPr/>
            </w:pPr>
            <w:r>
              <w:rPr/>
              <w:t> </w:t>
            </w:r>
          </w:p>
        </w:tc>
      </w:tr>
      <w:tr>
        <w:trPr/>
        <w:tc>
          <w:tcPr>
            <w:tcW w:w="752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liabilities</w:t>
            </w:r>
          </w:p>
        </w:tc>
        <w:tc>
          <w:tcPr>
            <w:tcW w:w="11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1,529</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2,788</w:t>
            </w:r>
          </w:p>
        </w:tc>
        <w:tc>
          <w:tcPr>
            <w:tcW w:w="118" w:type="dxa"/>
            <w:tcBorders/>
            <w:shd w:fill="CCEEFF" w:val="clear"/>
            <w:vAlign w:val="bottom"/>
          </w:tcPr>
          <w:p>
            <w:pPr>
              <w:pStyle w:val="TableContents"/>
              <w:spacing w:before="0" w:after="283"/>
              <w:jc w:val="left"/>
              <w:rPr/>
            </w:pPr>
            <w:r>
              <w:rPr/>
              <w:t> </w:t>
            </w:r>
          </w:p>
        </w:tc>
      </w:tr>
      <w:tr>
        <w:trPr/>
        <w:tc>
          <w:tcPr>
            <w:tcW w:w="752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liabilities</w:t>
            </w:r>
          </w:p>
        </w:tc>
        <w:tc>
          <w:tcPr>
            <w:tcW w:w="11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898</w:t>
            </w:r>
          </w:p>
        </w:tc>
        <w:tc>
          <w:tcPr>
            <w:tcW w:w="118" w:type="dxa"/>
            <w:tcBorders/>
            <w:shd w:fill="FFFFFF" w:val="clear"/>
            <w:vAlign w:val="bottom"/>
          </w:tcPr>
          <w:p>
            <w:pPr>
              <w:pStyle w:val="TableContents"/>
              <w:spacing w:before="0" w:after="283"/>
              <w:jc w:val="left"/>
              <w:rPr/>
            </w:pPr>
            <w:r>
              <w:rPr/>
              <w:t> </w:t>
            </w:r>
          </w:p>
        </w:tc>
      </w:tr>
      <w:tr>
        <w:trPr/>
        <w:tc>
          <w:tcPr>
            <w:tcW w:w="752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Member’s equity</w:t>
            </w:r>
          </w:p>
        </w:tc>
        <w:tc>
          <w:tcPr>
            <w:tcW w:w="11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7,262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12,572</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Condensed Statements of Operations Information:</w:t>
      </w:r>
    </w:p>
    <w:tbl>
      <w:tblPr>
        <w:tblW w:w="5000" w:type="pct"/>
        <w:jc w:val="left"/>
        <w:tblInd w:w="0" w:type="dxa"/>
        <w:tblCellMar>
          <w:top w:w="0" w:type="dxa"/>
          <w:left w:w="0" w:type="dxa"/>
          <w:bottom w:w="0" w:type="dxa"/>
          <w:right w:w="0" w:type="dxa"/>
        </w:tblCellMar>
      </w:tblPr>
      <w:tblGrid>
        <w:gridCol w:w="6160"/>
        <w:gridCol w:w="109"/>
        <w:gridCol w:w="127"/>
        <w:gridCol w:w="1000"/>
        <w:gridCol w:w="109"/>
        <w:gridCol w:w="109"/>
        <w:gridCol w:w="127"/>
        <w:gridCol w:w="1000"/>
        <w:gridCol w:w="108"/>
        <w:gridCol w:w="109"/>
        <w:gridCol w:w="127"/>
        <w:gridCol w:w="1000"/>
        <w:gridCol w:w="120"/>
      </w:tblGrid>
      <w:tr>
        <w:trPr/>
        <w:tc>
          <w:tcPr>
            <w:tcW w:w="616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81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0" w:type="dxa"/>
            <w:tcBorders/>
            <w:shd w:fill="auto" w:val="clear"/>
            <w:vAlign w:val="bottom"/>
          </w:tcPr>
          <w:p>
            <w:pPr>
              <w:pStyle w:val="TableContents"/>
              <w:spacing w:before="0" w:after="283"/>
              <w:jc w:val="left"/>
              <w:rPr/>
            </w:pPr>
            <w:r>
              <w:rPr/>
              <w:t> </w:t>
            </w:r>
          </w:p>
        </w:tc>
      </w:tr>
      <w:tr>
        <w:trPr/>
        <w:tc>
          <w:tcPr>
            <w:tcW w:w="6160"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0" w:type="dxa"/>
            <w:tcBorders/>
            <w:shd w:fill="auto" w:val="clear"/>
            <w:vAlign w:val="bottom"/>
          </w:tcPr>
          <w:p>
            <w:pPr>
              <w:pStyle w:val="TableContents"/>
              <w:spacing w:before="0" w:after="283"/>
              <w:jc w:val="left"/>
              <w:rPr/>
            </w:pPr>
            <w:r>
              <w:rPr/>
              <w:t> </w:t>
            </w:r>
          </w:p>
        </w:tc>
      </w:tr>
      <w:tr>
        <w:trPr/>
        <w:tc>
          <w:tcPr>
            <w:tcW w:w="616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revenue</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23,512</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24,370</w:t>
            </w:r>
          </w:p>
        </w:tc>
        <w:tc>
          <w:tcPr>
            <w:tcW w:w="10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53,440</w:t>
            </w:r>
          </w:p>
        </w:tc>
        <w:tc>
          <w:tcPr>
            <w:tcW w:w="120" w:type="dxa"/>
            <w:tcBorders/>
            <w:shd w:fill="CCEEFF" w:val="clear"/>
            <w:vAlign w:val="bottom"/>
          </w:tcPr>
          <w:p>
            <w:pPr>
              <w:pStyle w:val="TableContents"/>
              <w:spacing w:before="0" w:after="283"/>
              <w:jc w:val="left"/>
              <w:rPr/>
            </w:pPr>
            <w:r>
              <w:rPr/>
              <w:t> </w:t>
            </w:r>
          </w:p>
        </w:tc>
      </w:tr>
      <w:tr>
        <w:trPr/>
        <w:tc>
          <w:tcPr>
            <w:tcW w:w="616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3,726</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3,973</w:t>
            </w:r>
          </w:p>
        </w:tc>
        <w:tc>
          <w:tcPr>
            <w:tcW w:w="108"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10,247</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12 - Notes Payable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Notes payable are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014"/>
        <w:gridCol w:w="104"/>
        <w:gridCol w:w="104"/>
        <w:gridCol w:w="994"/>
        <w:gridCol w:w="214"/>
        <w:gridCol w:w="104"/>
        <w:gridCol w:w="104"/>
        <w:gridCol w:w="994"/>
        <w:gridCol w:w="214"/>
        <w:gridCol w:w="103"/>
        <w:gridCol w:w="437"/>
        <w:gridCol w:w="807"/>
        <w:gridCol w:w="104"/>
        <w:gridCol w:w="104"/>
        <w:gridCol w:w="161"/>
        <w:gridCol w:w="1074"/>
        <w:gridCol w:w="104"/>
        <w:gridCol w:w="104"/>
        <w:gridCol w:w="161"/>
        <w:gridCol w:w="1074"/>
        <w:gridCol w:w="126"/>
      </w:tblGrid>
      <w:tr>
        <w:trPr/>
        <w:tc>
          <w:tcPr>
            <w:tcW w:w="3014"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251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21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267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6" w:type="dxa"/>
            <w:tcBorders/>
            <w:shd w:fill="auto" w:val="clear"/>
            <w:vAlign w:val="bottom"/>
          </w:tcPr>
          <w:p>
            <w:pPr>
              <w:pStyle w:val="TableContents"/>
              <w:spacing w:before="0" w:after="283"/>
              <w:jc w:val="left"/>
              <w:rPr/>
            </w:pPr>
            <w:r>
              <w:rPr/>
              <w:t> </w:t>
            </w:r>
          </w:p>
        </w:tc>
      </w:tr>
      <w:tr>
        <w:trPr/>
        <w:tc>
          <w:tcPr>
            <w:tcW w:w="3014"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 of Note Payable or Security</w:t>
            </w:r>
          </w:p>
        </w:tc>
        <w:tc>
          <w:tcPr>
            <w:tcW w:w="104" w:type="dxa"/>
            <w:tcBorders/>
            <w:shd w:fill="auto" w:val="clear"/>
            <w:vAlign w:val="bottom"/>
          </w:tcPr>
          <w:p>
            <w:pPr>
              <w:pStyle w:val="TableContents"/>
              <w:spacing w:before="0" w:after="283"/>
              <w:rPr/>
            </w:pPr>
            <w:r>
              <w:rPr/>
              <w:t> </w:t>
            </w:r>
          </w:p>
        </w:tc>
        <w:tc>
          <w:tcPr>
            <w:tcW w:w="109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Interest Rate</w:t>
            </w:r>
          </w:p>
        </w:tc>
        <w:tc>
          <w:tcPr>
            <w:tcW w:w="21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09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Interest Rate</w:t>
            </w:r>
          </w:p>
        </w:tc>
        <w:tc>
          <w:tcPr>
            <w:tcW w:w="21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4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Maturity Date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 Balance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 Balance</w:t>
            </w:r>
          </w:p>
        </w:tc>
        <w:tc>
          <w:tcPr>
            <w:tcW w:w="126" w:type="dxa"/>
            <w:tcBorders/>
            <w:shd w:fill="auto" w:val="clear"/>
            <w:vAlign w:val="bottom"/>
          </w:tcPr>
          <w:p>
            <w:pPr>
              <w:pStyle w:val="TableContents"/>
              <w:spacing w:before="0" w:after="283"/>
              <w:jc w:val="left"/>
              <w:rPr/>
            </w:pPr>
            <w:r>
              <w:rPr/>
              <w:t> </w:t>
            </w:r>
          </w:p>
        </w:tc>
      </w:tr>
      <w:tr>
        <w:trPr/>
        <w:tc>
          <w:tcPr>
            <w:tcW w:w="30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Australian Corporate Credit Facility</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44"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 2011</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90,239</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70,179</w:t>
            </w:r>
          </w:p>
        </w:tc>
        <w:tc>
          <w:tcPr>
            <w:tcW w:w="126" w:type="dxa"/>
            <w:tcBorders/>
            <w:shd w:fill="CCEEFF" w:val="clear"/>
            <w:vAlign w:val="bottom"/>
          </w:tcPr>
          <w:p>
            <w:pPr>
              <w:pStyle w:val="TableContents"/>
              <w:spacing w:before="0" w:after="283"/>
              <w:jc w:val="left"/>
              <w:rPr/>
            </w:pPr>
            <w:r>
              <w:rPr/>
              <w:t> </w:t>
            </w:r>
          </w:p>
        </w:tc>
      </w:tr>
      <w:tr>
        <w:trPr/>
        <w:tc>
          <w:tcPr>
            <w:tcW w:w="30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Australian Shopping Center Loans</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44" w:type="dxa"/>
            <w:gridSpan w:val="2"/>
            <w:tcBorders/>
            <w:shd w:fill="FFFFFF" w:val="clear"/>
            <w:vAlign w:val="bottom"/>
          </w:tcPr>
          <w:p>
            <w:pPr>
              <w:pStyle w:val="TableContents"/>
              <w:spacing w:before="0" w:after="283"/>
              <w:jc w:val="center"/>
              <w:rPr/>
            </w:pPr>
            <w:r>
              <w:rPr/>
              <w:t> </w:t>
            </w:r>
            <w:r>
              <w:rPr>
                <w:rFonts w:ascii="times new roman" w:hAnsi="times new roman"/>
                <w:sz w:val="20"/>
              </w:rPr>
              <w:t>2010-2013</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483" w:right="0" w:hanging="0"/>
              <w:jc w:val="right"/>
              <w:rPr>
                <w:rFonts w:ascii="times new roman" w:hAnsi="times new roman"/>
                <w:sz w:val="20"/>
              </w:rPr>
            </w:pPr>
            <w:bookmarkStart w:id="2441" w:name="TAB11221"/>
            <w:bookmarkEnd w:id="2441"/>
            <w:r>
              <w:rPr>
                <w:rFonts w:ascii="times new roman" w:hAnsi="times new roman"/>
                <w:sz w:val="20"/>
              </w:rPr>
              <w:t>786</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483" w:right="0" w:hanging="0"/>
              <w:jc w:val="right"/>
              <w:rPr>
                <w:rFonts w:ascii="times new roman" w:hAnsi="times new roman"/>
                <w:sz w:val="20"/>
              </w:rPr>
            </w:pPr>
            <w:bookmarkStart w:id="2442" w:name="TAB11222"/>
            <w:bookmarkEnd w:id="2442"/>
            <w:r>
              <w:rPr>
                <w:rFonts w:ascii="times new roman" w:hAnsi="times new roman"/>
                <w:sz w:val="20"/>
              </w:rPr>
              <w:t>733</w:t>
            </w:r>
          </w:p>
        </w:tc>
        <w:tc>
          <w:tcPr>
            <w:tcW w:w="126" w:type="dxa"/>
            <w:tcBorders/>
            <w:shd w:fill="FFFFFF" w:val="clear"/>
            <w:vAlign w:val="bottom"/>
          </w:tcPr>
          <w:p>
            <w:pPr>
              <w:pStyle w:val="TableContents"/>
              <w:spacing w:before="0" w:after="283"/>
              <w:jc w:val="left"/>
              <w:rPr/>
            </w:pPr>
            <w:r>
              <w:rPr/>
              <w:t> </w:t>
            </w:r>
          </w:p>
        </w:tc>
      </w:tr>
      <w:tr>
        <w:trPr/>
        <w:tc>
          <w:tcPr>
            <w:tcW w:w="30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Australian Construction Loan</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6.26</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44"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31, 2009</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721" w:right="0" w:hanging="0"/>
              <w:jc w:val="right"/>
              <w:rPr>
                <w:rFonts w:ascii="times new roman" w:hAnsi="times new roman"/>
                <w:sz w:val="20"/>
              </w:rPr>
            </w:pPr>
            <w:bookmarkStart w:id="2443" w:name="TAB11223"/>
            <w:bookmarkEnd w:id="2443"/>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299" w:right="0" w:hanging="0"/>
              <w:jc w:val="right"/>
              <w:rPr>
                <w:rFonts w:ascii="times new roman" w:hAnsi="times new roman"/>
                <w:sz w:val="20"/>
              </w:rPr>
            </w:pPr>
            <w:bookmarkStart w:id="2444" w:name="TAB11224"/>
            <w:bookmarkEnd w:id="2444"/>
            <w:r>
              <w:rPr>
                <w:rFonts w:ascii="times new roman" w:hAnsi="times new roman"/>
                <w:sz w:val="20"/>
              </w:rPr>
              <w:t>3,458</w:t>
            </w:r>
          </w:p>
        </w:tc>
        <w:tc>
          <w:tcPr>
            <w:tcW w:w="126" w:type="dxa"/>
            <w:tcBorders/>
            <w:shd w:fill="CCEEFF" w:val="clear"/>
            <w:vAlign w:val="bottom"/>
          </w:tcPr>
          <w:p>
            <w:pPr>
              <w:pStyle w:val="TableContents"/>
              <w:spacing w:before="0" w:after="283"/>
              <w:jc w:val="left"/>
              <w:rPr/>
            </w:pPr>
            <w:r>
              <w:rPr/>
              <w:t> </w:t>
            </w:r>
          </w:p>
        </w:tc>
      </w:tr>
      <w:tr>
        <w:trPr/>
        <w:tc>
          <w:tcPr>
            <w:tcW w:w="30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New Zealand Corporate Credit Facility</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6.10</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44"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 2012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165" w:right="0" w:hanging="0"/>
              <w:jc w:val="right"/>
              <w:rPr>
                <w:rFonts w:ascii="times new roman" w:hAnsi="times new roman"/>
                <w:sz w:val="20"/>
              </w:rPr>
            </w:pPr>
            <w:bookmarkStart w:id="2445" w:name="TAB11225"/>
            <w:bookmarkEnd w:id="2445"/>
            <w:r>
              <w:rPr>
                <w:rFonts w:ascii="times new roman" w:hAnsi="times new roman"/>
                <w:sz w:val="20"/>
              </w:rPr>
              <w:t>10,882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299" w:right="0" w:hanging="0"/>
              <w:jc w:val="right"/>
              <w:rPr>
                <w:rFonts w:ascii="times new roman" w:hAnsi="times new roman"/>
                <w:sz w:val="20"/>
              </w:rPr>
            </w:pPr>
            <w:bookmarkStart w:id="2446" w:name="TAB11226"/>
            <w:bookmarkEnd w:id="2446"/>
            <w:r>
              <w:rPr>
                <w:rFonts w:ascii="times new roman" w:hAnsi="times new roman"/>
                <w:sz w:val="20"/>
              </w:rPr>
              <w:t>8,723</w:t>
            </w:r>
          </w:p>
        </w:tc>
        <w:tc>
          <w:tcPr>
            <w:tcW w:w="126" w:type="dxa"/>
            <w:tcBorders/>
            <w:shd w:fill="FFFFFF" w:val="clear"/>
            <w:vAlign w:val="bottom"/>
          </w:tcPr>
          <w:p>
            <w:pPr>
              <w:pStyle w:val="TableContents"/>
              <w:spacing w:before="0" w:after="283"/>
              <w:jc w:val="left"/>
              <w:rPr/>
            </w:pPr>
            <w:r>
              <w:rPr/>
              <w:t> </w:t>
            </w:r>
          </w:p>
        </w:tc>
      </w:tr>
      <w:tr>
        <w:trPr/>
        <w:tc>
          <w:tcPr>
            <w:tcW w:w="30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Trust Preferred Securities</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9.22</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9.22</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44"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April 30, 2027</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165" w:right="0" w:hanging="0"/>
              <w:jc w:val="right"/>
              <w:rPr>
                <w:rFonts w:ascii="times new roman" w:hAnsi="times new roman"/>
                <w:sz w:val="20"/>
              </w:rPr>
            </w:pPr>
            <w:bookmarkStart w:id="2447" w:name="TAB11227"/>
            <w:bookmarkEnd w:id="2447"/>
            <w:r>
              <w:rPr>
                <w:rFonts w:ascii="times new roman" w:hAnsi="times new roman"/>
                <w:sz w:val="20"/>
              </w:rPr>
              <w:t>27,913</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165" w:right="0" w:hanging="0"/>
              <w:jc w:val="right"/>
              <w:rPr>
                <w:rFonts w:ascii="times new roman" w:hAnsi="times new roman"/>
                <w:sz w:val="20"/>
              </w:rPr>
            </w:pPr>
            <w:bookmarkStart w:id="2448" w:name="TAB11228"/>
            <w:bookmarkEnd w:id="2448"/>
            <w:r>
              <w:rPr>
                <w:rFonts w:ascii="times new roman" w:hAnsi="times new roman"/>
                <w:sz w:val="20"/>
              </w:rPr>
              <w:t>51,547</w:t>
            </w:r>
          </w:p>
        </w:tc>
        <w:tc>
          <w:tcPr>
            <w:tcW w:w="126" w:type="dxa"/>
            <w:tcBorders/>
            <w:shd w:fill="CCEEFF" w:val="clear"/>
            <w:vAlign w:val="bottom"/>
          </w:tcPr>
          <w:p>
            <w:pPr>
              <w:pStyle w:val="TableContents"/>
              <w:spacing w:before="0" w:after="283"/>
              <w:jc w:val="left"/>
              <w:rPr/>
            </w:pPr>
            <w:r>
              <w:rPr/>
              <w:t> </w:t>
            </w:r>
          </w:p>
        </w:tc>
      </w:tr>
      <w:tr>
        <w:trPr/>
        <w:tc>
          <w:tcPr>
            <w:tcW w:w="30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Euro-Hypo Loan</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6.73</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6.73</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44"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11, 2012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165" w:right="0" w:hanging="0"/>
              <w:jc w:val="right"/>
              <w:rPr>
                <w:rFonts w:ascii="times new roman" w:hAnsi="times new roman"/>
                <w:sz w:val="20"/>
              </w:rPr>
            </w:pPr>
            <w:bookmarkStart w:id="2449" w:name="TAB11229"/>
            <w:bookmarkEnd w:id="2449"/>
            <w:r>
              <w:rPr>
                <w:rFonts w:ascii="times new roman" w:hAnsi="times new roman"/>
                <w:sz w:val="20"/>
              </w:rPr>
              <w:t>15,000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165" w:right="0" w:hanging="0"/>
              <w:jc w:val="right"/>
              <w:rPr>
                <w:rFonts w:ascii="times new roman" w:hAnsi="times new roman"/>
                <w:sz w:val="20"/>
              </w:rPr>
            </w:pPr>
            <w:bookmarkStart w:id="2450" w:name="TAB11230"/>
            <w:bookmarkEnd w:id="2450"/>
            <w:r>
              <w:rPr>
                <w:rFonts w:ascii="times new roman" w:hAnsi="times new roman"/>
                <w:sz w:val="20"/>
              </w:rPr>
              <w:t>15,000</w:t>
            </w:r>
          </w:p>
        </w:tc>
        <w:tc>
          <w:tcPr>
            <w:tcW w:w="126" w:type="dxa"/>
            <w:tcBorders/>
            <w:shd w:fill="FFFFFF" w:val="clear"/>
            <w:vAlign w:val="bottom"/>
          </w:tcPr>
          <w:p>
            <w:pPr>
              <w:pStyle w:val="TableContents"/>
              <w:spacing w:before="0" w:after="283"/>
              <w:jc w:val="left"/>
              <w:rPr/>
            </w:pPr>
            <w:r>
              <w:rPr/>
              <w:t> </w:t>
            </w:r>
          </w:p>
        </w:tc>
      </w:tr>
      <w:tr>
        <w:trPr/>
        <w:tc>
          <w:tcPr>
            <w:tcW w:w="30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GE Capital Term Loan</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6.35</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44"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February 21, 2013</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165" w:right="0" w:hanging="0"/>
              <w:jc w:val="right"/>
              <w:rPr>
                <w:rFonts w:ascii="times new roman" w:hAnsi="times new roman"/>
                <w:sz w:val="20"/>
              </w:rPr>
            </w:pPr>
            <w:bookmarkStart w:id="2451" w:name="TAB11231"/>
            <w:bookmarkEnd w:id="2451"/>
            <w:r>
              <w:rPr>
                <w:rFonts w:ascii="times new roman" w:hAnsi="times new roman"/>
                <w:sz w:val="20"/>
              </w:rPr>
              <w:t>32,700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165" w:right="0" w:hanging="0"/>
              <w:jc w:val="right"/>
              <w:rPr>
                <w:rFonts w:ascii="times new roman" w:hAnsi="times new roman"/>
                <w:sz w:val="20"/>
              </w:rPr>
            </w:pPr>
            <w:bookmarkStart w:id="2452" w:name="TAB11232"/>
            <w:bookmarkEnd w:id="2452"/>
            <w:r>
              <w:rPr>
                <w:rFonts w:ascii="times new roman" w:hAnsi="times new roman"/>
                <w:sz w:val="20"/>
              </w:rPr>
              <w:t>41,000</w:t>
            </w:r>
          </w:p>
        </w:tc>
        <w:tc>
          <w:tcPr>
            <w:tcW w:w="126" w:type="dxa"/>
            <w:tcBorders/>
            <w:shd w:fill="CCEEFF" w:val="clear"/>
            <w:vAlign w:val="bottom"/>
          </w:tcPr>
          <w:p>
            <w:pPr>
              <w:pStyle w:val="TableContents"/>
              <w:spacing w:before="0" w:after="283"/>
              <w:jc w:val="left"/>
              <w:rPr/>
            </w:pPr>
            <w:r>
              <w:rPr/>
              <w:t> </w:t>
            </w:r>
          </w:p>
        </w:tc>
      </w:tr>
      <w:tr>
        <w:trPr/>
        <w:tc>
          <w:tcPr>
            <w:tcW w:w="30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Liberty Theaters Term Loans</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44"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April 1, 2013</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299" w:right="0" w:hanging="0"/>
              <w:jc w:val="right"/>
              <w:rPr>
                <w:rFonts w:ascii="times new roman" w:hAnsi="times new roman"/>
                <w:sz w:val="20"/>
              </w:rPr>
            </w:pPr>
            <w:bookmarkStart w:id="2453" w:name="TAB11233"/>
            <w:bookmarkEnd w:id="2453"/>
            <w:r>
              <w:rPr>
                <w:rFonts w:ascii="times new roman" w:hAnsi="times new roman"/>
                <w:sz w:val="20"/>
              </w:rPr>
              <w:t>6,862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299" w:right="0" w:hanging="0"/>
              <w:jc w:val="right"/>
              <w:rPr>
                <w:rFonts w:ascii="times new roman" w:hAnsi="times new roman"/>
                <w:sz w:val="20"/>
              </w:rPr>
            </w:pPr>
            <w:bookmarkStart w:id="2454" w:name="TAB11234"/>
            <w:bookmarkEnd w:id="2454"/>
            <w:r>
              <w:rPr>
                <w:rFonts w:ascii="times new roman" w:hAnsi="times new roman"/>
                <w:sz w:val="20"/>
              </w:rPr>
              <w:t>6,990</w:t>
            </w:r>
          </w:p>
        </w:tc>
        <w:tc>
          <w:tcPr>
            <w:tcW w:w="126" w:type="dxa"/>
            <w:tcBorders/>
            <w:shd w:fill="FFFFFF" w:val="clear"/>
            <w:vAlign w:val="bottom"/>
          </w:tcPr>
          <w:p>
            <w:pPr>
              <w:pStyle w:val="TableContents"/>
              <w:spacing w:before="0" w:after="283"/>
              <w:jc w:val="left"/>
              <w:rPr/>
            </w:pPr>
            <w:r>
              <w:rPr/>
              <w:t> </w:t>
            </w:r>
          </w:p>
        </w:tc>
      </w:tr>
      <w:tr>
        <w:trPr/>
        <w:tc>
          <w:tcPr>
            <w:tcW w:w="30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Nationwide Loan 1</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7.50 - 8.50</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6.50 - 7.50</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44"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February 21, 2013</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165" w:right="0" w:hanging="0"/>
              <w:jc w:val="right"/>
              <w:rPr>
                <w:rFonts w:ascii="times new roman" w:hAnsi="times new roman"/>
                <w:sz w:val="20"/>
              </w:rPr>
            </w:pPr>
            <w:bookmarkStart w:id="2455" w:name="TAB11235"/>
            <w:bookmarkEnd w:id="2455"/>
            <w:r>
              <w:rPr>
                <w:rFonts w:ascii="times new roman" w:hAnsi="times new roman"/>
                <w:sz w:val="20"/>
              </w:rPr>
              <w:t>20,021</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165" w:right="0" w:hanging="0"/>
              <w:jc w:val="right"/>
              <w:rPr>
                <w:rFonts w:ascii="times new roman" w:hAnsi="times new roman"/>
                <w:sz w:val="20"/>
              </w:rPr>
            </w:pPr>
            <w:bookmarkStart w:id="2456" w:name="TAB11236"/>
            <w:bookmarkEnd w:id="2456"/>
            <w:r>
              <w:rPr>
                <w:rFonts w:ascii="times new roman" w:hAnsi="times new roman"/>
                <w:sz w:val="20"/>
              </w:rPr>
              <w:t>18,857</w:t>
            </w:r>
          </w:p>
        </w:tc>
        <w:tc>
          <w:tcPr>
            <w:tcW w:w="126" w:type="dxa"/>
            <w:tcBorders/>
            <w:shd w:fill="CCEEFF" w:val="clear"/>
            <w:vAlign w:val="bottom"/>
          </w:tcPr>
          <w:p>
            <w:pPr>
              <w:pStyle w:val="TableContents"/>
              <w:spacing w:before="0" w:after="283"/>
              <w:jc w:val="left"/>
              <w:rPr/>
            </w:pPr>
            <w:r>
              <w:rPr/>
              <w:t> </w:t>
            </w:r>
          </w:p>
        </w:tc>
      </w:tr>
      <w:tr>
        <w:trPr/>
        <w:tc>
          <w:tcPr>
            <w:tcW w:w="30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Nationwide Loan 2</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44"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February 21, 2011</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299" w:right="0" w:hanging="0"/>
              <w:jc w:val="right"/>
              <w:rPr>
                <w:rFonts w:ascii="times new roman" w:hAnsi="times new roman"/>
                <w:sz w:val="20"/>
              </w:rPr>
            </w:pPr>
            <w:bookmarkStart w:id="2457" w:name="TAB11237"/>
            <w:bookmarkEnd w:id="2457"/>
            <w:r>
              <w:rPr>
                <w:rFonts w:ascii="times new roman" w:hAnsi="times new roman"/>
                <w:sz w:val="20"/>
              </w:rPr>
              <w:t>1,693</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299" w:right="0" w:hanging="0"/>
              <w:jc w:val="right"/>
              <w:rPr>
                <w:rFonts w:ascii="times new roman" w:hAnsi="times new roman"/>
                <w:sz w:val="20"/>
              </w:rPr>
            </w:pPr>
            <w:bookmarkStart w:id="2458" w:name="TAB11238"/>
            <w:bookmarkEnd w:id="2458"/>
            <w:r>
              <w:rPr>
                <w:rFonts w:ascii="times new roman" w:hAnsi="times new roman"/>
                <w:sz w:val="20"/>
              </w:rPr>
              <w:t>1,559</w:t>
            </w:r>
          </w:p>
        </w:tc>
        <w:tc>
          <w:tcPr>
            <w:tcW w:w="126" w:type="dxa"/>
            <w:tcBorders/>
            <w:shd w:fill="FFFFFF" w:val="clear"/>
            <w:vAlign w:val="bottom"/>
          </w:tcPr>
          <w:p>
            <w:pPr>
              <w:pStyle w:val="TableContents"/>
              <w:spacing w:before="0" w:after="283"/>
              <w:jc w:val="left"/>
              <w:rPr/>
            </w:pPr>
            <w:r>
              <w:rPr/>
              <w:t> </w:t>
            </w:r>
          </w:p>
        </w:tc>
      </w:tr>
      <w:tr>
        <w:trPr/>
        <w:tc>
          <w:tcPr>
            <w:tcW w:w="30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Sutton Hill Capital Note 1 – Related Party</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10.25</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10.34</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44"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299" w:right="0" w:hanging="0"/>
              <w:jc w:val="right"/>
              <w:rPr>
                <w:rFonts w:ascii="times new roman" w:hAnsi="times new roman"/>
                <w:sz w:val="20"/>
              </w:rPr>
            </w:pPr>
            <w:bookmarkStart w:id="2459" w:name="TAB11239"/>
            <w:bookmarkEnd w:id="2459"/>
            <w:r>
              <w:rPr>
                <w:rFonts w:ascii="times new roman" w:hAnsi="times new roman"/>
                <w:sz w:val="20"/>
              </w:rPr>
              <w:t>5,000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ind w:left="299" w:right="0" w:hanging="0"/>
              <w:jc w:val="right"/>
              <w:rPr>
                <w:rFonts w:ascii="times new roman" w:hAnsi="times new roman"/>
                <w:sz w:val="20"/>
              </w:rPr>
            </w:pPr>
            <w:bookmarkStart w:id="2460" w:name="TAB11240"/>
            <w:bookmarkEnd w:id="2460"/>
            <w:r>
              <w:rPr>
                <w:rFonts w:ascii="times new roman" w:hAnsi="times new roman"/>
                <w:sz w:val="20"/>
              </w:rPr>
              <w:t>5,000</w:t>
            </w:r>
          </w:p>
        </w:tc>
        <w:tc>
          <w:tcPr>
            <w:tcW w:w="126" w:type="dxa"/>
            <w:tcBorders/>
            <w:shd w:fill="CCEEFF" w:val="clear"/>
            <w:vAlign w:val="bottom"/>
          </w:tcPr>
          <w:p>
            <w:pPr>
              <w:pStyle w:val="TableContents"/>
              <w:spacing w:before="0" w:after="283"/>
              <w:jc w:val="left"/>
              <w:rPr/>
            </w:pPr>
            <w:r>
              <w:rPr/>
              <w:t> </w:t>
            </w:r>
          </w:p>
        </w:tc>
      </w:tr>
      <w:tr>
        <w:trPr/>
        <w:tc>
          <w:tcPr>
            <w:tcW w:w="30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Sutton Hill Capital Note 2 – Related Party</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8.25</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8.25</w:t>
            </w:r>
          </w:p>
        </w:tc>
        <w:tc>
          <w:tcPr>
            <w:tcW w:w="2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44"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299" w:right="0" w:hanging="0"/>
              <w:jc w:val="right"/>
              <w:rPr>
                <w:rFonts w:ascii="times new roman" w:hAnsi="times new roman"/>
                <w:sz w:val="20"/>
              </w:rPr>
            </w:pPr>
            <w:bookmarkStart w:id="2461" w:name="TAB11241"/>
            <w:bookmarkEnd w:id="2461"/>
            <w:r>
              <w:rPr>
                <w:rFonts w:ascii="times new roman" w:hAnsi="times new roman"/>
                <w:sz w:val="20"/>
              </w:rPr>
              <w:t>9,000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shd w:fill="FFFFFF" w:val="clear"/>
            <w:vAlign w:val="bottom"/>
          </w:tcPr>
          <w:p>
            <w:pPr>
              <w:pStyle w:val="TableContents"/>
              <w:spacing w:before="0" w:after="283"/>
              <w:jc w:val="left"/>
              <w:rPr/>
            </w:pPr>
            <w:r>
              <w:rPr/>
              <w:t> </w:t>
            </w:r>
          </w:p>
        </w:tc>
        <w:tc>
          <w:tcPr>
            <w:tcW w:w="1074" w:type="dxa"/>
            <w:tcBorders/>
            <w:shd w:fill="FFFFFF" w:val="clear"/>
            <w:vAlign w:val="bottom"/>
          </w:tcPr>
          <w:p>
            <w:pPr>
              <w:pStyle w:val="TableContents"/>
              <w:spacing w:before="0" w:after="283"/>
              <w:ind w:left="299" w:right="0" w:hanging="0"/>
              <w:jc w:val="right"/>
              <w:rPr>
                <w:rFonts w:ascii="times new roman" w:hAnsi="times new roman"/>
                <w:sz w:val="20"/>
              </w:rPr>
            </w:pPr>
            <w:bookmarkStart w:id="2462" w:name="TAB11242"/>
            <w:bookmarkEnd w:id="2462"/>
            <w:r>
              <w:rPr>
                <w:rFonts w:ascii="times new roman" w:hAnsi="times new roman"/>
                <w:sz w:val="20"/>
              </w:rPr>
              <w:t>9,000</w:t>
            </w:r>
          </w:p>
        </w:tc>
        <w:tc>
          <w:tcPr>
            <w:tcW w:w="126" w:type="dxa"/>
            <w:tcBorders/>
            <w:shd w:fill="FFFFFF" w:val="clear"/>
            <w:vAlign w:val="bottom"/>
          </w:tcPr>
          <w:p>
            <w:pPr>
              <w:pStyle w:val="TableContents"/>
              <w:spacing w:before="0" w:after="283"/>
              <w:jc w:val="left"/>
              <w:rPr/>
            </w:pPr>
            <w:r>
              <w:rPr/>
              <w:t> </w:t>
            </w:r>
          </w:p>
        </w:tc>
      </w:tr>
      <w:tr>
        <w:trPr/>
        <w:tc>
          <w:tcPr>
            <w:tcW w:w="3014"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Union Square Theatre Term Loan</w:t>
            </w:r>
          </w:p>
        </w:tc>
        <w:tc>
          <w:tcPr>
            <w:tcW w:w="104" w:type="dxa"/>
            <w:tcBorders/>
            <w:shd w:fill="CCEEFF" w:val="clear"/>
            <w:vAlign w:val="bottom"/>
          </w:tcPr>
          <w:p>
            <w:pPr>
              <w:pStyle w:val="TableContents"/>
              <w:spacing w:before="0" w:after="283"/>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6.26</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6.26</w:t>
            </w:r>
          </w:p>
        </w:tc>
        <w:tc>
          <w:tcPr>
            <w:tcW w:w="2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44" w:type="dxa"/>
            <w:gridSpan w:val="2"/>
            <w:tcBorders>
              <w:bottom w:val="single" w:sz="12"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April 1, 2010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4" w:type="dxa"/>
            <w:tcBorders>
              <w:bottom w:val="single" w:sz="12" w:space="0" w:color="000000"/>
            </w:tcBorders>
            <w:shd w:fill="CCEEFF" w:val="clear"/>
            <w:tcMar>
              <w:bottom w:w="28" w:type="dxa"/>
            </w:tcMar>
            <w:vAlign w:val="bottom"/>
          </w:tcPr>
          <w:p>
            <w:pPr>
              <w:pStyle w:val="TableContents"/>
              <w:spacing w:before="0" w:after="283"/>
              <w:ind w:left="299" w:right="0" w:hanging="0"/>
              <w:jc w:val="right"/>
              <w:rPr>
                <w:rFonts w:ascii="times new roman" w:hAnsi="times new roman"/>
                <w:sz w:val="20"/>
              </w:rPr>
            </w:pPr>
            <w:bookmarkStart w:id="2463" w:name="TAB11243"/>
            <w:bookmarkEnd w:id="2463"/>
            <w:r>
              <w:rPr>
                <w:rFonts w:ascii="times new roman" w:hAnsi="times new roman"/>
                <w:sz w:val="20"/>
              </w:rPr>
              <w:t>6,897</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4" w:type="dxa"/>
            <w:tcBorders>
              <w:bottom w:val="single" w:sz="12" w:space="0" w:color="000000"/>
            </w:tcBorders>
            <w:shd w:fill="CCEEFF" w:val="clear"/>
            <w:tcMar>
              <w:bottom w:w="28" w:type="dxa"/>
            </w:tcMar>
            <w:vAlign w:val="bottom"/>
          </w:tcPr>
          <w:p>
            <w:pPr>
              <w:pStyle w:val="TableContents"/>
              <w:spacing w:before="0" w:after="283"/>
              <w:ind w:left="283" w:right="0" w:hanging="0"/>
              <w:jc w:val="right"/>
              <w:rPr>
                <w:rFonts w:ascii="times new roman" w:hAnsi="times new roman"/>
                <w:sz w:val="20"/>
              </w:rPr>
            </w:pPr>
            <w:bookmarkStart w:id="2464" w:name="TAB11244"/>
            <w:bookmarkEnd w:id="2464"/>
            <w:r>
              <w:rPr>
                <w:rFonts w:ascii="times new roman" w:hAnsi="times new roman"/>
                <w:sz w:val="20"/>
              </w:rPr>
              <w:t>7,116</w:t>
            </w:r>
          </w:p>
        </w:tc>
        <w:tc>
          <w:tcPr>
            <w:tcW w:w="126" w:type="dxa"/>
            <w:tcBorders/>
            <w:shd w:fill="CCEEFF" w:val="clear"/>
            <w:vAlign w:val="bottom"/>
          </w:tcPr>
          <w:p>
            <w:pPr>
              <w:pStyle w:val="TableContents"/>
              <w:spacing w:before="0" w:after="283"/>
              <w:jc w:val="left"/>
              <w:rPr/>
            </w:pPr>
            <w:r>
              <w:rPr/>
              <w:t> </w:t>
            </w:r>
          </w:p>
        </w:tc>
      </w:tr>
      <w:tr>
        <w:trPr/>
        <w:tc>
          <w:tcPr>
            <w:tcW w:w="3014" w:type="dxa"/>
            <w:tcBorders>
              <w:bottom w:val="double" w:sz="8" w:space="0" w:color="000000"/>
            </w:tcBorders>
            <w:shd w:fill="FFFFFF" w:val="clear"/>
            <w:tcMar>
              <w:bottom w:w="28" w:type="dxa"/>
            </w:tcMar>
            <w:vAlign w:val="bottom"/>
          </w:tcPr>
          <w:p>
            <w:pPr>
              <w:pStyle w:val="TableContents"/>
              <w:spacing w:before="0" w:after="0"/>
              <w:ind w:left="1062" w:right="0" w:hanging="0"/>
              <w:jc w:val="both"/>
              <w:rPr>
                <w:rFonts w:ascii="times new roman" w:hAnsi="times new roman"/>
                <w:sz w:val="20"/>
              </w:rPr>
            </w:pPr>
            <w:bookmarkStart w:id="2465" w:name="TAB11245"/>
            <w:bookmarkEnd w:id="2465"/>
            <w:r>
              <w:rPr>
                <w:rFonts w:ascii="times new roman" w:hAnsi="times new roman"/>
                <w:sz w:val="20"/>
              </w:rPr>
              <w:t>Total</w:t>
            </w:r>
          </w:p>
        </w:tc>
        <w:tc>
          <w:tcPr>
            <w:tcW w:w="104" w:type="dxa"/>
            <w:tcBorders/>
            <w:shd w:fill="FFFFFF" w:val="clear"/>
            <w:vAlign w:val="bottom"/>
          </w:tcPr>
          <w:p>
            <w:pPr>
              <w:pStyle w:val="TableContents"/>
              <w:spacing w:before="0" w:after="283"/>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94"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21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94"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21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43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07"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226,993</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239,162</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66" w:name="PGBRK81"/>
      <w:bookmarkStart w:id="2467" w:name="PGBRK81"/>
      <w:bookmarkEnd w:id="24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68" w:name="FTR81"/>
      <w:bookmarkStart w:id="2469" w:name="FTR81"/>
      <w:bookmarkEnd w:id="24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70" w:name="GLFTR81"/>
      <w:bookmarkEnd w:id="24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471" w:name="PN81"/>
      <w:bookmarkEnd w:id="2471"/>
      <w:r>
        <w:rPr>
          <w:rFonts w:eastAsia="Times New Roman" w:cs="Times New Roman" w:ascii="Times New Roman" w:hAnsi="Times New Roman"/>
          <w:sz w:val="20"/>
          <w:szCs w:val="20"/>
        </w:rPr>
        <w:t>-81-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472" w:name="HDR81"/>
      <w:bookmarkStart w:id="2473" w:name="HDR81"/>
      <w:bookmarkEnd w:id="2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474" w:name="GLHDR81"/>
        <w:bookmarkEnd w:id="247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Australia</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Australian Corporate Credit Facility</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During June 2008, we extended the term of our $98.8 million (AUS$110.0 million) Australian facility to June 30, 2011.  Besides the extended term, the only other changes to the original agreement was that the loan requires interest only payments and our interest margin increased from 1.00% to 1.25%.  At December 31, 2009, we had drawn $90.2 million (AUS$100.5 million) against this facility and issued lease guarantees of $3.6 million (AUS$4.0 million) leaving an available undrawn balance of $5.0 million (AUS$5.5 million) from our total borrowing limit of $98.8 million (AUS$110.0 million).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This credit facility is secured by substantially all of our cinema assets in Australia and is only guaranteed by several of our wholly owned Australian subsidiaries.  The credit facility includes a number of affirmative and negative covenants designed to protect the Bank’s security interests.  The most restrictive covenant of the facility is a limitation on the total amount that we are able to drawdown based on the total assets that are securing the loan.  Our Australian Credit Facility provides for floating interest rates based on the Bank Bill Swap Bid Rate (BBSY bid rate), but requires that not less than 70% of the loan be swapped into fixed rate obligations.  For further information regarding our swap agreements, see Note 13 – </w:t>
      </w:r>
      <w:r>
        <w:rPr>
          <w:rFonts w:ascii="Times New Roman" w:hAnsi="Times New Roman"/>
          <w:i/>
          <w:sz w:val="20"/>
        </w:rPr>
        <w:t>Der ivative Instruments</w:t>
      </w:r>
      <w:r>
        <w:rPr>
          <w:rFonts w:ascii="Times New Roman" w:hAnsi="Times New Roman"/>
          <w:sz w:val="20"/>
        </w:rPr>
        <w:t>.  All interest rates above include a 1.25% interest rate margin.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Australian Shopping Center Loans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part of the acquisition of the Anderson Circuit, in July 2004, we assumed the three loans on the properties of Epping, Rhodes, and West Lakes.  The total amount assumed on the transaction date was $1.5 million (AUS$2.1 million) and the loans carry no interest as long as we make timely principal payments of approximately $180,000 (AUS$200,000) per year.  The balance of these loans at December 31, 2009 and 2008 was $786,000 (AUS$875,000) and $733,000 (AUS$1.1 million), respectively.  Early repayment is possible without penalty.  The only recourse on default of these loans is the security on the properties.  During 2009, 2008, and 2007, we have not paid $22,000 (AUS$25,000), $140,000 (AUS$200,000) and $88,000 (AUS$100,000), respectively, of principal payments on the West Lakes loan due to a dispute that we have with the landlord.  We are currently in the process of resolving this dispute.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Australian Construction Loan</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During 2008, we negotiated with an Australian bank a construction line of credit on our Indooroopilly property of $6.1 million (AUS$8.7 million).  As of December 31, 2008, we had drawn $3.5 million (AUS$5.0 million) on this credit facility.  Upon completion of the project, this loan was to effectively mature on September 30, 2009.  As such, we used our available cash to pay off the loan on July 31, 2009 in the amount of $6.1 million (AUS$7.3 million).</w:t>
      </w:r>
    </w:p>
    <w:p>
      <w:pPr>
        <w:pStyle w:val="TextBody"/>
        <w:spacing w:before="0" w:after="0"/>
        <w:ind w:left="0" w:right="0" w:hanging="0"/>
        <w:jc w:val="both"/>
        <w:rPr/>
      </w:pPr>
      <w:r>
        <w:rPr/>
        <w:t> </w:t>
      </w:r>
      <w:r>
        <w:rPr>
          <w:rFonts w:ascii="Times New Roman" w:hAnsi="Times New Roman"/>
          <w:sz w:val="20"/>
        </w:rPr>
        <w:b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New Zealand</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New Zealand Corporate Credit Facility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May 2009, we extended the term of our New Zealand facility to March 31, 2012 and reduced the available borrowing amount to $32.6 million (NZ$45.0 million).  The drawn balance of this loan was $10.9 million (NZ$15.0 million) at December 31, 2009.  We recorded $33,000 (NZ$45,000) in deferred financing costs associated with this term extension which we will amortize over the remaining life of the loan.  The margin on the facility was increased to 1.45% from 1.00% and the line of credit charge increased to 0.30% from 0.20% line charge.  The loan comes due on March 31, 2012.  The facility is secured by substantially all of our New Zealand assets, but has not been guaranteed by any entity other than several of our New Zealand subsidiaries.  The facility includes various affi rmative and negative financial covenants designed to protect the bank’s security, limits capital expenditures and the repatriation of funds out of New Zealand without the approval of the bank.  Also included in the restrictive covenants of the facility is the restriction of transferring funds from subsidiary to parent.  Interest payments for this loan are required on a monthly basis.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December 23, 2008, we drew down $6.8 million (NZ$11.8 million) and used it to partially repay Reading International, Inc. Trust Preferred Notes during the first quarter 2009.  As of December 31, 2009, we have drawn $10.9 million (NZ$15.0 million) leaving an available undrawn balance of $21.8 million (NZ$30.0 million).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75" w:name="PGBRK82"/>
      <w:bookmarkStart w:id="2476" w:name="PGBRK82"/>
      <w:bookmarkEnd w:id="2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7" w:name="FTR82"/>
      <w:bookmarkStart w:id="2478" w:name="FTR82"/>
      <w:bookmarkEnd w:id="2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79" w:name="GLFTR82"/>
      <w:bookmarkEnd w:id="24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480" w:name="PN82"/>
      <w:bookmarkEnd w:id="2480"/>
      <w:r>
        <w:rPr>
          <w:rFonts w:eastAsia="Times New Roman" w:cs="Times New Roman" w:ascii="Times New Roman" w:hAnsi="Times New Roman"/>
          <w:sz w:val="20"/>
          <w:szCs w:val="20"/>
        </w:rPr>
        <w:t>-82-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481" w:name="HDR82"/>
      <w:bookmarkStart w:id="2482" w:name="HDR82"/>
      <w:bookmarkEnd w:id="24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483" w:name="GLHDR82"/>
        <w:bookmarkEnd w:id="248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720" w:right="0" w:hanging="0"/>
        <w:jc w:val="both"/>
        <w:rPr>
          <w:rFonts w:ascii="Times New Roman" w:hAnsi="Times New Roman"/>
          <w:sz w:val="20"/>
        </w:rPr>
      </w:pPr>
      <w:bookmarkStart w:id="2484" w:name="TAB11246"/>
      <w:bookmarkEnd w:id="2484"/>
      <w:r>
        <w:rPr>
          <w:rFonts w:ascii="Times New Roman" w:hAnsi="Times New Roman"/>
          <w:sz w:val="20"/>
        </w:rPr>
        <w:t xml:space="preserve">During the February 2007, we paid off our term debt of this facility of $34.4 million (NZ$50.0 million) as a use of the proceeds from our new Subordinated notes from Reading International Trust I.  On June 29, 2007, we drew down on this line of credit by $5.2 million (NZ$6.7 million) to purchase a property in New Zealand and on July 29, 2007 we drew down an additional $9.4 million (NZ$12.2 million) to purchase the Manukau property in New Zealand (see Note 8 – </w:t>
      </w:r>
      <w:r>
        <w:rPr>
          <w:rFonts w:ascii="Times New Roman" w:hAnsi="Times New Roman"/>
          <w:i/>
          <w:sz w:val="20"/>
        </w:rPr>
        <w:t>Acquisitions and Property Development</w:t>
      </w:r>
      <w:r>
        <w:rPr>
          <w:rFonts w:ascii="Times New Roman" w:hAnsi="Times New Roman"/>
          <w:sz w:val="20"/>
        </w:rPr>
        <w:t>).  On August 2, 2007, we paid down this facility by $12.0 million (NZ$15.7 million) from the proceeds of the sale of certain marketable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Domestic</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Trust Preferred Securities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5, 2007, we issued $51.5 million in 20-year fully subordinated notes to a trust that we control, which in turn issued $51.5 million in securities.  Of the $51.5 million, $50.0 million in TPS were issued to unrelated investors in a private placement and $1.5 million of common trust securities were issued by the trust to Reading.  This $838,000 is shown on our balance sheet as “Investment in Reading International Trust I.”  The interest on the notes and preferred dividends on the trust securities carry a fixed rate for five years of 9.22% after which the interest will be based on an adjustable rate of LIBOR plus 4.00% unless we exercise our right to refix the rate at the current market rate at that time.  There are no principal payments due until maturity in 2027 when the n otes and the trust securities are scheduled to be paid in full.  We may pay off the debt after the first five years at 100.0%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in consideration of payments totaling $1.6 million, consisting of an initial payment of $1.1 million paid on January 2, 2009 and a contractual obligation to pay $270,000 in December 2011 and $270,000 in December 2014.</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private placement generated $49.9 million in net proceeds, which were used principally to make our investment in the common trust securities of $1.5 million, to retire all of our bank indebtedness in New Zealand of $34.4 million (NZ$50.0 million) and to retire a portion of our bank indebtedness in Australia of $5.8 million (AUS$7.4 million).  During the years ended December 31, 2009, 2008, and 2007, we paid $3.6 million, $4.6 million, and $3.4 million, respectively, in preferred dividends to the unrelated investors that are included in interest expense.  At December 31, 2009 and 2008, we had preferred dividends payable of $416,000 and $768,000, respectively.  Interest payments for this loan are required every three months.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 party holder of these TPS.  During the twelve months ended December 31, 2009, we amortized $106,000 of discount to interest income.  On April 30, 2009, we extinguished $22.9 million of these TPS, which resulted in a gain on retirement of subordinated debt (TPS) of $10.7 million net of loss on the associated write-off of deferred loan costs of $749,000.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Euro-Hypo Loan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28, 2007, Sutton Hill Properties LLC (“SHP”), one of our consolidated subsidiaries, entered into a $15.0 million loan that is secured by SHP’s interest in the Cinemas 1, 2 &amp; 3 land and building.  SHP is owned 75% by Reading and 25% by Sutton Hill Capital, LLC (“SHC”), a joint venture indirectly wholly owned by Mr. James J. Cotter, our Chairman and Chief Executive Officer, and Mr. Michael Forman.  Under the terms of the credit agreement, this loan bears a fixed interest rate of 6.73% per annum payable monthly.  The loan matures on July 11, 2012.  No principal payments are due until maturity.  SHP distributed the proceeds of the loan to Reading and to SHC in the amount of $10.6 million and $3.5 million, respectively.  Because the cash f lows from SHP are currently insufficient to cover its obligations, Reading and Sutton Hill Capital, LLC, have agreed to contribute the capital required to service the debt.  Reading will be responsible for 75% and SHC will be responsible for 25% of such capital payments.  Interest payments for this loan are required on a monthly basis.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85" w:name="PGBRK83"/>
      <w:bookmarkStart w:id="2486" w:name="PGBRK83"/>
      <w:bookmarkEnd w:id="24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87" w:name="FTR83"/>
      <w:bookmarkStart w:id="2488" w:name="FTR83"/>
      <w:bookmarkEnd w:id="2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89" w:name="GLFTR83"/>
      <w:bookmarkEnd w:id="24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490" w:name="PN83"/>
      <w:bookmarkEnd w:id="2490"/>
      <w:r>
        <w:rPr>
          <w:rFonts w:eastAsia="Times New Roman" w:cs="Times New Roman" w:ascii="Times New Roman" w:hAnsi="Times New Roman"/>
          <w:sz w:val="20"/>
          <w:szCs w:val="20"/>
        </w:rPr>
        <w:t>-83-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491" w:name="HDR83"/>
      <w:bookmarkStart w:id="2492" w:name="HDR83"/>
      <w:bookmarkEnd w:id="2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493" w:name="GLHDR83"/>
        <w:bookmarkEnd w:id="249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GE Capital Term Loan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connection with the Consolidated Entertainment acquisition described in Note 8 - </w:t>
      </w:r>
      <w:r>
        <w:rPr>
          <w:rFonts w:ascii="Times New Roman" w:hAnsi="Times New Roman"/>
          <w:i/>
          <w:sz w:val="20"/>
        </w:rPr>
        <w:t>Acquisitions and Property Development</w:t>
      </w:r>
      <w:r>
        <w:rPr>
          <w:rFonts w:ascii="Times New Roman" w:hAnsi="Times New Roman"/>
          <w:sz w:val="20"/>
        </w:rPr>
        <w:t xml:space="preserve">, on February 21, 2008, our wholly-owned subsidiary, Consolidated Amusement Theatres, Inc., (now renamed Consolidated Entertainment, Inc.) as borrower (“Borrower”), and Consolidated Amusement Holdings, Inc. (“Holdings”) entered into a Credit Agreement with General Electric Capital Corporation (“GE”) as lender and administrative agent, and GE Capital Markets, Inc. as lead arranger, which provides Borrower with a senior secured credit facility of up to $55.0 million in the aggregate, including a revolving credit facility of up to $5.0 million and a $1.0 million sub-limit for letters of credit  (the “Credit Faci lity”).  The initial borrowings under the Credit Facility were used to finance, in part, our acquisition of the theaters and other assets described in Note 8 - </w:t>
      </w:r>
      <w:r>
        <w:rPr>
          <w:rFonts w:ascii="Times New Roman" w:hAnsi="Times New Roman"/>
          <w:i/>
          <w:sz w:val="20"/>
        </w:rPr>
        <w:t>Acquisitions and Property Development</w:t>
      </w:r>
      <w:r>
        <w:rPr>
          <w:rFonts w:ascii="Times New Roman" w:hAnsi="Times New Roman"/>
          <w:sz w:val="20"/>
        </w:rPr>
        <w:t>.  We may borrow additional amounts under the Credit Facility for other acquisitions as permitted under the Credit Facility (and to pay any related transaction expenses), and for ordinary working capital and general corporate needs of Borrower, subject to the terms of the Credit Facility.  We incurred deferred financing costs of $2.6 million related to our borrowings under this Credit Facility.  The Credit Facility expires on February 21, 2013 and is secured by substantially all the assets of Borrower and Holdings.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Borrowings under the Credit Facility bear interest at a rate equal to either (i) the Index Rate (defined as the higher of the Wall Street Journal prime rate and the federal funds rate plus 50 basis points), or (ii) LIBOR (as defined in the Credit Facility), at the election of Borrower, plus, in each case, a margin determined by reference to Borrower's Leverage Ratio (as defined in the Credit Facility) that ranges between prime rate plus 2.00% and prime rate plus 2.75%, and between LIBOR plus 3.25% and LIBOR plus 3.50%, respectively. At present, we have elected to use the LIBOR plus 3.50% as our interest-borrowing rate.  We are required to swap no less than 50% of our variable rate drawdowns for the first two years of this loan agreement.  For further information regarding our swap agreements, see Note 13 – Derivative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Borrowings under the Credit Facility may be prepaid at any time without penalty, subject to certain minimums and payment of any LIBOR funding breakage costs.  Borrower will be required to pay an unused commitment fee equal to 0.50% per annum on the actual daily-unused portion of the revolving loan facility, payable quarterly in arrears.  Outstanding letters of credit under the Credit Facility are subject to a fee of the applicable LIBOR rate in effect per annum on the face amount of such letters of credit, payable quarterly in arrears.  Borrower will be required to pay standard fees with respect to the issuance, negotiation, and amendment of letters of credit issued under the letter of credit facility.  In accordance with the prepayment provisions of the credit agreement, during 2009 and 2008, w e paid down on the facility by $8.3 million and $9.0 million, respectively.  This includes a prepayment of the annual cash flow draw of $7.8 million and $6.0 million, respectively, and a pay down of the overall facility by an additional $500,000 and $3.0 million,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Credit Facility contains other customary terms and conditions, including representations and warranties, affirmative and negative covenants, events of default and indemnity provisions.  Such covenants, among other things, limit Borrower's ability to incur indebtedness, incur liens or other encumbrances, make capital expenditures, enter into mergers, consolidations and asset sales, engage in transactions with affiliates, pay dividends or other distributions and change the nature of the business conducted by Borrower.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Credit Agreement contains financial covenants requiring the Borrower to maintain minimum fixed charge and interest coverage ratios and not to exceed specified maximum leverage ratios.  The compliance levels for the maximum leverage and minimum interest coverage covenants become stricter over the term of the Credit Facility.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Credit Facility provides for customary events of default, including payment defaults, covenant defaults, cross-defaults to certain other indebtedness, certain bankruptcy events, judgment defaults, invalidity of any loan documents or liens created under the Credit Agreement, change of control of Borrower, termination of certain theater leases and material inaccuracies in representations and warranties.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Liberty Theaters Term Loan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March 17, 2008, we entered into a $7.1 million loan agreement with a financial institution, secured by our Royal George Theatre in Chicago, Illinois and our Minetta Lane Theatre and Orpheum Theatre in New York.  The loan has a 5-year term loan that accrues a 6.20% interest rate payable monthly in arrears.  We incurred deferred financing costs of $527,000 related to our borrowings of this loan.  The loan agreement requires only monthly principal and interest payments along with self-reported annual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94" w:name="PGBRK84"/>
      <w:bookmarkStart w:id="2495" w:name="PGBRK84"/>
      <w:bookmarkEnd w:id="24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96" w:name="FTR84"/>
      <w:bookmarkStart w:id="2497" w:name="FTR84"/>
      <w:bookmarkEnd w:id="2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98" w:name="GLFTR84"/>
      <w:bookmarkEnd w:id="24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99" w:name="PN84"/>
      <w:bookmarkEnd w:id="2499"/>
      <w:r>
        <w:rPr>
          <w:rFonts w:ascii="Times New Roman" w:hAnsi="Times New Roman"/>
          <w:sz w:val="20"/>
        </w:rPr>
        <w:t>-84-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00" w:name="HDR84"/>
      <w:bookmarkStart w:id="2501" w:name="HDR84"/>
      <w:bookmarkEnd w:id="25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502" w:name="GLHDR84"/>
        <w:bookmarkEnd w:id="250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US Nationwide Loan 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described in greater detail in Note 8 - </w:t>
      </w:r>
      <w:r>
        <w:rPr>
          <w:rFonts w:ascii="Times New Roman" w:hAnsi="Times New Roman"/>
          <w:i/>
          <w:sz w:val="20"/>
        </w:rPr>
        <w:t>Acquisitions and Property Development</w:t>
      </w:r>
      <w:r>
        <w:rPr>
          <w:rFonts w:ascii="Times New Roman" w:hAnsi="Times New Roman"/>
          <w:sz w:val="20"/>
        </w:rPr>
        <w:t>, on February 22, 2008, we acquired 15 motion picture theaters and theater-related assets from Pacific Theatres Exhibition Corp. and its affiliates (collectively, the “Sellers”) for $70.2 million.  The Seller’s affiliate, Nationwide Theatres Corp (“Nationwide”), provided $21.0 million of acquisition financing evidenced by a five-year promissory note (the “Nationwide Note 1”) of Reading Consolidated Holdings, Inc., our wholly owned subsidiary (“RCHI”), maturing on February 21, 2013.</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Nationwide Note 1 is subject to certain adjustments.  At December 31, 2009, these adjustments have resulted in a net reduction of $3.5 million in the principal amount of the $8.0 million portion of the note, comprised of a reduction in the amount of $6.3 million in 2008, a further reduction of $226,000 during the first quarter of 2009, and an additional advance of $3.0 million (such advance was used to pay down a portion of the GE Capital Term Loan discussed above).  On February 12, 2010, the Nationwide Note 1 was further reduced by $4.2 million (see Note 27 – </w:t>
      </w:r>
      <w:r>
        <w:rPr>
          <w:rFonts w:ascii="Times New Roman" w:hAnsi="Times New Roman"/>
          <w:i/>
          <w:sz w:val="20"/>
        </w:rPr>
        <w:t>Subsequent Events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Nationwide Note 1 bears interest (i) as to $4.5 million of principal at the annual rates of 7.50% for the first three years and 8.50% thereafter and (ii) as to $13.0 million of principal at the annual rates of 6.50% through July 31, 2009 and 8.50% thereafter.  Accrued interest is due and payable on February 21, 2011 and thereafter on the last day of each calendar quarter, commencing on June 30, 2011.  The entire principal amount is due and payable upon maturity, subject to our right to prepay at any time without premium or penalty and to the requirement that, under certain circumstances, we make mandatory prepayments equal to a portion of free cash flow generated by the acquired theaters.  The loan is recourse only to RCHI and its assets, which include all of the Hawaii theate rs and certain of the California theaters acquired from the Sellers and our Manville and Dallas Angelika Theaters.  The inception to date accrued interest payable for this loan and the US Nationwide Loan 2 was $2.4 million and included in the loan balances at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US Nationwide Loan 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acquisition, the Sellers also committed to loan to RDI up to $3.0 million in two draws of $1.5 million each, one of which was drawn on July 21, 2008 and the other of which may be drawn on or before July 31, 2009.  To preserve our right to drawn down on the second portion of the loan, we gave notice to the Sellers of our desire to potentially drawn down on the facility, but we have not yet drawn down the $1.5 million.  This loan bears an interest rate of 8.50%, compounded annually.  The loan and accrued interest are due and payable, in full, on February 21, 2011, subject to our right to prepay the loan without premium or penalty.</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Sutton Hill Capital Note 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City Cinemas Transaction, on September 14, 2004, we issued a $5.0 million promissory note to SHC that carries an interest rate at December 31, 2009, of 10.25% per annum, which is indexed, to the annual consumer price index with interest only payments payable monthly and a balloon principal payment due on the loan maturity date.  The loan maturity date has been extended three times and is currently due on December 31, 2010.  We used the proceeds to in part invest in 205-209 East 57th Street Associates, LLC a limited liability company formed to redevelop our former cinema site at 205 East 57th Street in Manhattan.  Interest payme nts for this loan are required on a monthly basis.  We are currently in negotiations with SHC to extend the term of this note.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Sutton Hill Capital Note 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September 19, 2005, we issued a $9.0 million promissory note, bearing interest at a fixed rate of 8.25% with interest only payments payable monthly and a balloon principal payment due on December 31, 2010, the loan maturity date, in exchange for the tenant’s interest in the ground lease estate that is currently between (i) our fee ownership of the underlying land and (ii) our current possessory interest as the tenant in the building and improvements constituting the Cinemas 1, 2 &amp; 3 in Manhattan.  This tenant’s ground lease interest was purchased from Sutton Hill Capital LLC (“SHC”).  As SHC is a related party to our corporation, our Board’s Audit and Conflicts Committee, comprised entirely of outside independent directors, and subsequently our entire Board of Directors unanimou sly approved issuance of debt in connection with the purchase of the property.  The Cinemas 1, 2 &amp; 3 is located on 3rd Avenue between 59th and 60th Streets.  Interest payments for this loan are required on a monthly basis.  We are currently in negotiations with SHC to extend the term of this note.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03" w:name="PGBRK85"/>
      <w:bookmarkStart w:id="2504" w:name="PGBRK85"/>
      <w:bookmarkEnd w:id="25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05" w:name="FTR85"/>
      <w:bookmarkStart w:id="2506" w:name="FTR85"/>
      <w:bookmarkEnd w:id="2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07" w:name="GLFTR85"/>
      <w:bookmarkEnd w:id="25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08" w:name="PN85"/>
      <w:bookmarkEnd w:id="2508"/>
      <w:r>
        <w:rPr>
          <w:rFonts w:ascii="Times New Roman" w:hAnsi="Times New Roman"/>
          <w:sz w:val="20"/>
        </w:rPr>
        <w:t>-85-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09" w:name="HDR85"/>
      <w:bookmarkStart w:id="2510" w:name="HDR85"/>
      <w:bookmarkEnd w:id="25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511" w:name="GLHDR85"/>
        <w:bookmarkEnd w:id="251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Union Square Theatre Term Loan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December 4, 2006, we renegotiated our loan agreement, which is secured by our Union Square Theatre in Manhattan.  The new loan increased our borrowing amount from $3.2 million to $7.5 million and reduced our annual interest rate from 7.31% to 6.26%.  This three-year term loan requires monthly scheduled principal and interest payments.  We owed $6.9 million and $7.1 million on this term loan for the years ended December 31, 2009 and 2008, respectively.  While this loan is structured as a limited recourse liability (the only collateral being our Union Square building and the tenant leases with respect to that building), this limited recourse structure is somewhat offset by our inter-company obligation under the lease of the live theater portion of the building, which provides for an annual rent of $546,000.  Interest payments for this loan are required on a monthly basis.  This loan was scheduled to mature on December 31, 2009, but, pursuant to our request, the bank extended the maturity date by 90 days (three 30-day extensions) to maturity date, April 1, 2010.  We are currently in the process of securing similar financing from another lender and we believe that we will be able to obtain that financing by the end of the extension period.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Summary of Notes Payable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512" w:name="TAB11247"/>
      <w:bookmarkEnd w:id="2512"/>
      <w:r>
        <w:rPr>
          <w:rFonts w:ascii="Times New Roman" w:hAnsi="Times New Roman"/>
          <w:sz w:val="20"/>
        </w:rPr>
        <w:t>Our aggregate future principal loan payments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788"/>
        <w:gridCol w:w="112"/>
        <w:gridCol w:w="129"/>
        <w:gridCol w:w="1057"/>
        <w:gridCol w:w="119"/>
      </w:tblGrid>
      <w:tr>
        <w:trPr/>
        <w:tc>
          <w:tcPr>
            <w:tcW w:w="8788" w:type="dxa"/>
            <w:tcBorders>
              <w:bottom w:val="double" w:sz="8"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Year Ending December 31,</w:t>
            </w:r>
          </w:p>
        </w:tc>
        <w:tc>
          <w:tcPr>
            <w:tcW w:w="112" w:type="dxa"/>
            <w:tcBorders/>
            <w:shd w:fill="auto" w:val="clear"/>
            <w:tcMar>
              <w:bottom w:w="0" w:type="dxa"/>
            </w:tcMar>
            <w:vAlign w:val="bottom"/>
          </w:tcPr>
          <w:p>
            <w:pPr>
              <w:pStyle w:val="TableContents"/>
              <w:spacing w:before="0" w:after="283"/>
              <w:rPr/>
            </w:pPr>
            <w:r>
              <w:rPr/>
              <w:t> </w:t>
            </w:r>
          </w:p>
        </w:tc>
        <w:tc>
          <w:tcPr>
            <w:tcW w:w="1186" w:type="dxa"/>
            <w:gridSpan w:val="2"/>
            <w:tcBorders>
              <w:bottom w:val="double" w:sz="8" w:space="0" w:color="000000"/>
            </w:tcBorders>
            <w:shd w:fill="auto" w:val="clear"/>
            <w:vAlign w:val="bottom"/>
          </w:tcPr>
          <w:p>
            <w:pPr>
              <w:pStyle w:val="TableContents"/>
              <w:spacing w:before="0" w:after="283"/>
              <w:rPr/>
            </w:pPr>
            <w:r>
              <w:rPr/>
              <w:t> </w:t>
            </w:r>
          </w:p>
        </w:tc>
        <w:tc>
          <w:tcPr>
            <w:tcW w:w="119" w:type="dxa"/>
            <w:tcBorders/>
            <w:shd w:fill="auto" w:val="clear"/>
            <w:tcMar>
              <w:bottom w:w="0" w:type="dxa"/>
            </w:tcMar>
            <w:vAlign w:val="bottom"/>
          </w:tcPr>
          <w:p>
            <w:pPr>
              <w:pStyle w:val="TableContents"/>
              <w:spacing w:before="0" w:after="283"/>
              <w:jc w:val="left"/>
              <w:rPr/>
            </w:pPr>
            <w:r>
              <w:rPr/>
              <w:t> </w:t>
            </w:r>
          </w:p>
        </w:tc>
      </w:tr>
      <w:tr>
        <w:trPr/>
        <w:tc>
          <w:tcPr>
            <w:tcW w:w="8788" w:type="dxa"/>
            <w:tcBorders/>
            <w:shd w:fill="CCEEFF" w:val="clear"/>
            <w:tcMar>
              <w:bottom w:w="0" w:type="dxa"/>
            </w:tcM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2010</w:t>
            </w:r>
          </w:p>
        </w:tc>
        <w:tc>
          <w:tcPr>
            <w:tcW w:w="112" w:type="dxa"/>
            <w:tcBorders/>
            <w:shd w:fill="CCEEFF" w:val="clear"/>
            <w:tcMar>
              <w:bottom w:w="0" w:type="dxa"/>
            </w:tcMar>
            <w:vAlign w:val="bottom"/>
          </w:tcPr>
          <w:p>
            <w:pPr>
              <w:pStyle w:val="TableContents"/>
              <w:spacing w:before="0" w:after="283"/>
              <w:jc w:val="left"/>
              <w:rPr/>
            </w:pPr>
            <w:r>
              <w:rPr/>
              <w:t> </w:t>
            </w:r>
          </w:p>
        </w:tc>
        <w:tc>
          <w:tcPr>
            <w:tcW w:w="12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21,914</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88" w:type="dxa"/>
            <w:tcBorders/>
            <w:shd w:fill="FFFFFF" w:val="clear"/>
            <w:tcMar>
              <w:bottom w:w="0" w:type="dxa"/>
            </w:tcM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2011</w:t>
            </w:r>
          </w:p>
        </w:tc>
        <w:tc>
          <w:tcPr>
            <w:tcW w:w="112" w:type="dxa"/>
            <w:tcBorders/>
            <w:shd w:fill="FFFFFF" w:val="clear"/>
            <w:tcMar>
              <w:bottom w:w="0" w:type="dxa"/>
            </w:tcMar>
            <w:vAlign w:val="bottom"/>
          </w:tcPr>
          <w:p>
            <w:pPr>
              <w:pStyle w:val="TableContents"/>
              <w:spacing w:before="0" w:after="283"/>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94,929</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88" w:type="dxa"/>
            <w:tcBorders/>
            <w:shd w:fill="CCEEFF" w:val="clear"/>
            <w:tcMar>
              <w:bottom w:w="0" w:type="dxa"/>
            </w:tcM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2012</w:t>
            </w:r>
          </w:p>
        </w:tc>
        <w:tc>
          <w:tcPr>
            <w:tcW w:w="112" w:type="dxa"/>
            <w:tcBorders/>
            <w:shd w:fill="CCEEFF" w:val="clear"/>
            <w:tcMar>
              <w:bottom w:w="0" w:type="dxa"/>
            </w:tcMar>
            <w:vAlign w:val="bottom"/>
          </w:tcPr>
          <w:p>
            <w:pPr>
              <w:pStyle w:val="TableContents"/>
              <w:spacing w:before="0" w:after="283"/>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105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26,625</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88" w:type="dxa"/>
            <w:tcBorders/>
            <w:shd w:fill="FFFFFF" w:val="clear"/>
            <w:tcMar>
              <w:bottom w:w="0" w:type="dxa"/>
            </w:tcM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2013</w:t>
            </w:r>
          </w:p>
        </w:tc>
        <w:tc>
          <w:tcPr>
            <w:tcW w:w="112" w:type="dxa"/>
            <w:tcBorders/>
            <w:shd w:fill="FFFFFF" w:val="clear"/>
            <w:tcMar>
              <w:bottom w:w="0" w:type="dxa"/>
            </w:tcMar>
            <w:vAlign w:val="bottom"/>
          </w:tcPr>
          <w:p>
            <w:pPr>
              <w:pStyle w:val="TableContents"/>
              <w:spacing w:before="0" w:after="283"/>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55,522</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88" w:type="dxa"/>
            <w:tcBorders/>
            <w:shd w:fill="CCEEFF" w:val="clear"/>
            <w:tcMar>
              <w:bottom w:w="0" w:type="dxa"/>
            </w:tcM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2014</w:t>
            </w:r>
          </w:p>
        </w:tc>
        <w:tc>
          <w:tcPr>
            <w:tcW w:w="112" w:type="dxa"/>
            <w:tcBorders/>
            <w:shd w:fill="CCEEFF" w:val="clear"/>
            <w:tcMar>
              <w:bottom w:w="0" w:type="dxa"/>
            </w:tcMar>
            <w:vAlign w:val="bottom"/>
          </w:tcPr>
          <w:p>
            <w:pPr>
              <w:pStyle w:val="TableContents"/>
              <w:spacing w:before="0" w:after="283"/>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105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88"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Thereafter</w:t>
            </w:r>
          </w:p>
        </w:tc>
        <w:tc>
          <w:tcPr>
            <w:tcW w:w="112" w:type="dxa"/>
            <w:tcBorders/>
            <w:shd w:fill="FFFFFF" w:val="clear"/>
            <w:tcMar>
              <w:bottom w:w="0" w:type="dxa"/>
            </w:tcMar>
            <w:vAlign w:val="bottom"/>
          </w:tcPr>
          <w:p>
            <w:pPr>
              <w:pStyle w:val="TableContents"/>
              <w:spacing w:before="0" w:after="283"/>
              <w:rPr/>
            </w:pPr>
            <w:r>
              <w:rPr/>
              <w:t> </w:t>
            </w:r>
          </w:p>
        </w:tc>
        <w:tc>
          <w:tcPr>
            <w:tcW w:w="129" w:type="dxa"/>
            <w:tcBorders>
              <w:bottom w:val="single" w:sz="12" w:space="0" w:color="000000"/>
            </w:tcBorders>
            <w:shd w:fill="FFFFFF" w:val="clear"/>
            <w:vAlign w:val="bottom"/>
          </w:tcPr>
          <w:p>
            <w:pPr>
              <w:pStyle w:val="TableContents"/>
              <w:spacing w:before="0" w:after="283"/>
              <w:jc w:val="left"/>
              <w:rPr/>
            </w:pPr>
            <w:r>
              <w:rPr/>
              <w:t> </w:t>
            </w:r>
          </w:p>
        </w:tc>
        <w:tc>
          <w:tcPr>
            <w:tcW w:w="105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88"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future principal loan payments</w:t>
            </w:r>
          </w:p>
        </w:tc>
        <w:tc>
          <w:tcPr>
            <w:tcW w:w="112" w:type="dxa"/>
            <w:tcBorders/>
            <w:shd w:fill="CCEEFF" w:val="clear"/>
            <w:tcMar>
              <w:bottom w:w="0" w:type="dxa"/>
            </w:tcMar>
            <w:vAlign w:val="bottom"/>
          </w:tcPr>
          <w:p>
            <w:pPr>
              <w:pStyle w:val="TableContents"/>
              <w:spacing w:before="0" w:after="283"/>
              <w:jc w:val="left"/>
              <w:rPr/>
            </w:pPr>
            <w:r>
              <w:rPr/>
              <w:t> </w:t>
            </w:r>
          </w:p>
        </w:tc>
        <w:tc>
          <w:tcPr>
            <w:tcW w:w="129"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226,993</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513" w:name="TAB11248"/>
      <w:bookmarkEnd w:id="2513"/>
      <w:r>
        <w:rPr>
          <w:rFonts w:ascii="Times New Roman" w:hAnsi="Times New Roman"/>
          <w:sz w:val="20"/>
        </w:rPr>
        <w:t>Since approximately $101.9 million of our total debt of $227.0 million at December 31, 2009 consisted of debt denominated in Australian and New Zealand dollars, the U.S dollar amounts of these repayments will fluctuate in accordance with the relative values of these currencies.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13 – Derivative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exposed to interest rate changes from our outstanding floating rate borrowings.  We manage our fixed to floating rate debt mix to mitigate the impact of adverse changes in interest rates on earnings and cash flows and on the market value of our borrowings.  From time to time, we may enter into interest rate hedging contracts, which effectively convert a portion of our variable rate debt to a fixed rate over the term of the interest rate swap.  In the case of our Australian borrowings, we are presently required to swap no less than 70% of our drawdowns under our Australian Corporate Credit Facility into fixed interest rate obligations.  Under our GE Capital Term Loan, we are required to swap no less than 50% of our variable rate drawdowns for the first two years of the loan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terms of our interest rate swap derivative instruments at December 31, 2009:</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989"/>
        <w:gridCol w:w="109"/>
        <w:gridCol w:w="148"/>
        <w:gridCol w:w="1231"/>
        <w:gridCol w:w="109"/>
        <w:gridCol w:w="109"/>
        <w:gridCol w:w="109"/>
        <w:gridCol w:w="950"/>
        <w:gridCol w:w="185"/>
        <w:gridCol w:w="108"/>
        <w:gridCol w:w="123"/>
        <w:gridCol w:w="1071"/>
        <w:gridCol w:w="185"/>
        <w:gridCol w:w="2779"/>
      </w:tblGrid>
      <w:tr>
        <w:trPr/>
        <w:tc>
          <w:tcPr>
            <w:tcW w:w="298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Type of Instrument</w:t>
            </w:r>
          </w:p>
        </w:tc>
        <w:tc>
          <w:tcPr>
            <w:tcW w:w="109" w:type="dxa"/>
            <w:tcBorders/>
            <w:shd w:fill="auto" w:val="clear"/>
            <w:tcMar>
              <w:bottom w:w="0" w:type="dxa"/>
            </w:tcMar>
            <w:vAlign w:val="bottom"/>
          </w:tcPr>
          <w:p>
            <w:pPr>
              <w:pStyle w:val="TableContents"/>
              <w:spacing w:before="0" w:after="283"/>
              <w:rPr/>
            </w:pPr>
            <w:r>
              <w:rPr/>
              <w:t> </w:t>
            </w:r>
          </w:p>
        </w:tc>
        <w:tc>
          <w:tcPr>
            <w:tcW w:w="137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Notional Amount</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105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 Fixed Rate</w:t>
            </w:r>
          </w:p>
        </w:tc>
        <w:tc>
          <w:tcPr>
            <w:tcW w:w="185"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9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Receive Variable Rate</w:t>
            </w:r>
          </w:p>
        </w:tc>
        <w:tc>
          <w:tcPr>
            <w:tcW w:w="185" w:type="dxa"/>
            <w:tcBorders/>
            <w:shd w:fill="auto" w:val="clear"/>
            <w:tcMar>
              <w:bottom w:w="0" w:type="dxa"/>
            </w:tcMar>
            <w:vAlign w:val="bottom"/>
          </w:tcPr>
          <w:p>
            <w:pPr>
              <w:pStyle w:val="TableContents"/>
              <w:spacing w:before="0" w:after="283"/>
              <w:jc w:val="left"/>
              <w:rPr/>
            </w:pPr>
            <w:r>
              <w:rPr/>
              <w:t> </w:t>
            </w:r>
          </w:p>
        </w:tc>
        <w:tc>
          <w:tcPr>
            <w:tcW w:w="277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Maturity Date</w:t>
            </w:r>
          </w:p>
        </w:tc>
      </w:tr>
      <w:tr>
        <w:trPr/>
        <w:tc>
          <w:tcPr>
            <w:tcW w:w="298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swap</w:t>
            </w:r>
          </w:p>
        </w:tc>
        <w:tc>
          <w:tcPr>
            <w:tcW w:w="109" w:type="dxa"/>
            <w:tcBorders/>
            <w:shd w:fill="CCEEFF" w:val="clear"/>
            <w:tcMar>
              <w:bottom w:w="0" w:type="dxa"/>
            </w:tcMar>
            <w:vAlign w:val="bottom"/>
          </w:tcPr>
          <w:p>
            <w:pPr>
              <w:pStyle w:val="TableContents"/>
              <w:spacing w:before="0" w:after="283"/>
              <w:jc w:val="left"/>
              <w:rPr/>
            </w:pPr>
            <w:r>
              <w:rPr/>
              <w:t> </w:t>
            </w:r>
          </w:p>
        </w:tc>
        <w:tc>
          <w:tcPr>
            <w:tcW w:w="14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1" w:type="dxa"/>
            <w:tcBorders/>
            <w:shd w:fill="CCEEFF" w:val="clear"/>
            <w:tcMar>
              <w:bottom w:w="0" w:type="dxa"/>
            </w:tcMar>
            <w:vAlign w:val="bottom"/>
          </w:tcPr>
          <w:p>
            <w:pPr>
              <w:pStyle w:val="TableContents"/>
              <w:spacing w:before="0" w:after="283"/>
              <w:ind w:left="260" w:right="0" w:hanging="0"/>
              <w:jc w:val="right"/>
              <w:rPr>
                <w:rFonts w:ascii="times new roman" w:hAnsi="times new roman"/>
                <w:sz w:val="20"/>
              </w:rPr>
            </w:pPr>
            <w:bookmarkStart w:id="2514" w:name="TAB11249"/>
            <w:bookmarkEnd w:id="2514"/>
            <w:r>
              <w:rPr>
                <w:rFonts w:ascii="times new roman" w:hAnsi="times new roman"/>
                <w:sz w:val="20"/>
              </w:rPr>
              <w:t>35,500,000</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2.854</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23" w:type="dxa"/>
            <w:tcBorders/>
            <w:shd w:fill="CCEEFF" w:val="clear"/>
            <w:tcMar>
              <w:bottom w:w="0" w:type="dxa"/>
            </w:tcMar>
            <w:vAlign w:val="bottom"/>
          </w:tcPr>
          <w:p>
            <w:pPr>
              <w:pStyle w:val="TableContents"/>
              <w:spacing w:before="0" w:after="283"/>
              <w:jc w:val="left"/>
              <w:rPr/>
            </w:pPr>
            <w:r>
              <w:rPr/>
              <w:t> </w:t>
            </w:r>
          </w:p>
        </w:tc>
        <w:tc>
          <w:tcPr>
            <w:tcW w:w="107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0.250</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779"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April 1, 2011</w:t>
            </w:r>
          </w:p>
        </w:tc>
      </w:tr>
      <w:tr>
        <w:trPr/>
        <w:tc>
          <w:tcPr>
            <w:tcW w:w="298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swap</w:t>
            </w:r>
          </w:p>
        </w:tc>
        <w:tc>
          <w:tcPr>
            <w:tcW w:w="109" w:type="dxa"/>
            <w:tcBorders/>
            <w:shd w:fill="FFFFFF" w:val="clear"/>
            <w:tcMar>
              <w:bottom w:w="0" w:type="dxa"/>
            </w:tcMar>
            <w:vAlign w:val="bottom"/>
          </w:tcPr>
          <w:p>
            <w:pPr>
              <w:pStyle w:val="TableContents"/>
              <w:spacing w:before="0" w:after="283"/>
              <w:jc w:val="left"/>
              <w:rPr/>
            </w:pPr>
            <w:r>
              <w:rPr/>
              <w:t> </w:t>
            </w:r>
          </w:p>
        </w:tc>
        <w:tc>
          <w:tcPr>
            <w:tcW w:w="14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1" w:type="dxa"/>
            <w:tcBorders/>
            <w:shd w:fill="FFFFFF" w:val="clear"/>
            <w:tcMar>
              <w:bottom w:w="0" w:type="dxa"/>
            </w:tcMar>
            <w:vAlign w:val="bottom"/>
          </w:tcPr>
          <w:p>
            <w:pPr>
              <w:pStyle w:val="TableContents"/>
              <w:spacing w:before="0" w:after="283"/>
              <w:ind w:left="260" w:right="0" w:hanging="0"/>
              <w:jc w:val="right"/>
              <w:rPr>
                <w:rFonts w:ascii="times new roman" w:hAnsi="times new roman"/>
                <w:sz w:val="20"/>
              </w:rPr>
            </w:pPr>
            <w:bookmarkStart w:id="2515" w:name="TAB11250"/>
            <w:bookmarkEnd w:id="2515"/>
            <w:r>
              <w:rPr>
                <w:rFonts w:ascii="times new roman" w:hAnsi="times new roman"/>
                <w:sz w:val="20"/>
              </w:rPr>
              <w:t>43,306,000</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95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4.550</w:t>
            </w:r>
          </w:p>
        </w:tc>
        <w:tc>
          <w:tcPr>
            <w:tcW w:w="18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23" w:type="dxa"/>
            <w:tcBorders/>
            <w:shd w:fill="FFFFFF" w:val="clear"/>
            <w:tcMar>
              <w:bottom w:w="0" w:type="dxa"/>
            </w:tcMar>
            <w:vAlign w:val="bottom"/>
          </w:tcPr>
          <w:p>
            <w:pPr>
              <w:pStyle w:val="TableContents"/>
              <w:spacing w:before="0" w:after="283"/>
              <w:jc w:val="left"/>
              <w:rPr/>
            </w:pPr>
            <w:r>
              <w:rPr/>
              <w:t> </w:t>
            </w:r>
          </w:p>
        </w:tc>
        <w:tc>
          <w:tcPr>
            <w:tcW w:w="107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4.328</w:t>
            </w:r>
          </w:p>
        </w:tc>
        <w:tc>
          <w:tcPr>
            <w:tcW w:w="18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77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2011</w:t>
            </w:r>
          </w:p>
        </w:tc>
      </w:tr>
      <w:tr>
        <w:trPr/>
        <w:tc>
          <w:tcPr>
            <w:tcW w:w="298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cap</w:t>
            </w:r>
          </w:p>
        </w:tc>
        <w:tc>
          <w:tcPr>
            <w:tcW w:w="109" w:type="dxa"/>
            <w:tcBorders/>
            <w:shd w:fill="CCEEFF" w:val="clear"/>
            <w:tcMar>
              <w:bottom w:w="0" w:type="dxa"/>
            </w:tcMar>
            <w:vAlign w:val="bottom"/>
          </w:tcPr>
          <w:p>
            <w:pPr>
              <w:pStyle w:val="TableContents"/>
              <w:spacing w:before="0" w:after="283"/>
              <w:jc w:val="left"/>
              <w:rPr/>
            </w:pPr>
            <w:r>
              <w:rPr/>
              <w:t> </w:t>
            </w:r>
          </w:p>
        </w:tc>
        <w:tc>
          <w:tcPr>
            <w:tcW w:w="14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1" w:type="dxa"/>
            <w:tcBorders/>
            <w:shd w:fill="CCEEFF" w:val="clear"/>
            <w:tcMar>
              <w:bottom w:w="0" w:type="dxa"/>
            </w:tcMar>
            <w:vAlign w:val="bottom"/>
          </w:tcPr>
          <w:p>
            <w:pPr>
              <w:pStyle w:val="TableContents"/>
              <w:spacing w:before="0" w:after="283"/>
              <w:ind w:left="260" w:right="0" w:hanging="0"/>
              <w:jc w:val="right"/>
              <w:rPr>
                <w:rFonts w:ascii="times new roman" w:hAnsi="times new roman"/>
                <w:sz w:val="20"/>
              </w:rPr>
            </w:pPr>
            <w:bookmarkStart w:id="2516" w:name="TAB11251"/>
            <w:bookmarkEnd w:id="2516"/>
            <w:r>
              <w:rPr>
                <w:rFonts w:ascii="times new roman" w:hAnsi="times new roman"/>
                <w:sz w:val="20"/>
              </w:rPr>
              <w:t>23,318,000</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4.550</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23" w:type="dxa"/>
            <w:tcBorders/>
            <w:shd w:fill="CCEEFF" w:val="clear"/>
            <w:tcMar>
              <w:bottom w:w="0" w:type="dxa"/>
            </w:tcMar>
            <w:vAlign w:val="bottom"/>
          </w:tcPr>
          <w:p>
            <w:pPr>
              <w:pStyle w:val="TableContents"/>
              <w:spacing w:before="0" w:after="283"/>
              <w:jc w:val="left"/>
              <w:rPr/>
            </w:pPr>
            <w:r>
              <w:rPr/>
              <w:t> </w:t>
            </w:r>
          </w:p>
        </w:tc>
        <w:tc>
          <w:tcPr>
            <w:tcW w:w="107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4.328</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779"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2011</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FASB ASC 815-20 – </w:t>
      </w:r>
      <w:r>
        <w:rPr>
          <w:rFonts w:ascii="Times New Roman" w:hAnsi="Times New Roman"/>
          <w:i/>
          <w:sz w:val="20"/>
        </w:rPr>
        <w:t>Derivatives and Hedging</w:t>
      </w:r>
      <w:r>
        <w:rPr>
          <w:rFonts w:ascii="Times New Roman" w:hAnsi="Times New Roman"/>
          <w:sz w:val="20"/>
        </w:rPr>
        <w:t>, we marked our interest swap instruments to market on the consolidated balance sheet resulting in a $1.4 million decrease to interest expense during 2009, $2.1 million increase to interest expense during 2008, and a $320,000 decrease to interest expense during 2007.  At December 31, 2009, we recorded the fair market value of an interest rate swap and a cap of $766,000 as other long-term assets and an interest rate swap of $785,000 as an other long-term liability.  At December 31, 2008, we recorded the fair market value of our interest rate swaps at $1.4 million as an other long-term liability.  In accordance with FASB ASC 815-20, we have not designated any of our current interest rat e swap positions as financial reporting hedges.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17" w:name="PGBRK86"/>
      <w:bookmarkStart w:id="2518" w:name="PGBRK86"/>
      <w:bookmarkEnd w:id="25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9" w:name="FTR86"/>
      <w:bookmarkStart w:id="2520" w:name="FTR86"/>
      <w:bookmarkEnd w:id="2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21" w:name="GLFTR86"/>
      <w:bookmarkEnd w:id="25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522" w:name="PN86"/>
      <w:bookmarkEnd w:id="2522"/>
      <w:r>
        <w:rPr>
          <w:rFonts w:eastAsia="Times New Roman" w:cs="Times New Roman" w:ascii="Times New Roman" w:hAnsi="Times New Roman"/>
          <w:sz w:val="20"/>
          <w:szCs w:val="20"/>
        </w:rPr>
        <w:t>-86-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523" w:name="HDR86"/>
      <w:bookmarkStart w:id="2524" w:name="HDR86"/>
      <w:bookmarkEnd w:id="2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525" w:name="GLHDR86"/>
        <w:bookmarkEnd w:id="252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14 - Income Taxes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Income (loss) before income tax expense includes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208"/>
        <w:gridCol w:w="107"/>
        <w:gridCol w:w="125"/>
        <w:gridCol w:w="984"/>
        <w:gridCol w:w="112"/>
        <w:gridCol w:w="107"/>
        <w:gridCol w:w="125"/>
        <w:gridCol w:w="1000"/>
        <w:gridCol w:w="112"/>
        <w:gridCol w:w="107"/>
        <w:gridCol w:w="125"/>
        <w:gridCol w:w="971"/>
        <w:gridCol w:w="122"/>
      </w:tblGrid>
      <w:tr>
        <w:trPr/>
        <w:tc>
          <w:tcPr>
            <w:tcW w:w="620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3768"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2" w:type="dxa"/>
            <w:tcBorders/>
            <w:shd w:fill="auto" w:val="clear"/>
            <w:vAlign w:val="bottom"/>
          </w:tcPr>
          <w:p>
            <w:pPr>
              <w:pStyle w:val="TableContents"/>
              <w:spacing w:before="0" w:after="283"/>
              <w:jc w:val="left"/>
              <w:rPr/>
            </w:pPr>
            <w:r>
              <w:rPr/>
              <w:t> </w:t>
            </w:r>
          </w:p>
        </w:tc>
      </w:tr>
      <w:tr>
        <w:trPr/>
        <w:tc>
          <w:tcPr>
            <w:tcW w:w="6208"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10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2"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2"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09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2" w:type="dxa"/>
            <w:tcBorders/>
            <w:shd w:fill="auto" w:val="clear"/>
            <w:vAlign w:val="bottom"/>
          </w:tcPr>
          <w:p>
            <w:pPr>
              <w:pStyle w:val="TableContents"/>
              <w:spacing w:before="0" w:after="283"/>
              <w:jc w:val="left"/>
              <w:rPr/>
            </w:pPr>
            <w:r>
              <w:rPr/>
              <w:t> </w:t>
            </w:r>
          </w:p>
        </w:tc>
      </w:tr>
      <w:tr>
        <w:trPr/>
        <w:tc>
          <w:tcPr>
            <w:tcW w:w="62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United States</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ind w:left="165" w:right="0" w:hanging="0"/>
              <w:jc w:val="right"/>
              <w:rPr>
                <w:rFonts w:ascii="times new roman" w:hAnsi="times new roman"/>
                <w:sz w:val="20"/>
              </w:rPr>
            </w:pPr>
            <w:bookmarkStart w:id="2526" w:name="TAB11252"/>
            <w:bookmarkEnd w:id="2526"/>
            <w:r>
              <w:rPr>
                <w:rFonts w:ascii="times new roman" w:hAnsi="times new roman"/>
                <w:sz w:val="20"/>
              </w:rPr>
              <w:t>10,870</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ind w:left="165" w:right="0" w:hanging="0"/>
              <w:jc w:val="right"/>
              <w:rPr>
                <w:rFonts w:ascii="times new roman" w:hAnsi="times new roman"/>
                <w:sz w:val="20"/>
              </w:rPr>
            </w:pPr>
            <w:bookmarkStart w:id="2527" w:name="TAB11253"/>
            <w:bookmarkEnd w:id="2527"/>
            <w:r>
              <w:rPr>
                <w:rFonts w:ascii="times new roman" w:hAnsi="times new roman"/>
                <w:sz w:val="20"/>
              </w:rPr>
              <w:t>(12,521</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1" w:type="dxa"/>
            <w:tcBorders/>
            <w:shd w:fill="CCEEFF" w:val="clear"/>
            <w:vAlign w:val="bottom"/>
          </w:tcPr>
          <w:p>
            <w:pPr>
              <w:pStyle w:val="TableContents"/>
              <w:spacing w:before="0" w:after="283"/>
              <w:ind w:left="165" w:right="0" w:hanging="0"/>
              <w:jc w:val="right"/>
              <w:rPr>
                <w:rFonts w:ascii="times new roman" w:hAnsi="times new roman"/>
                <w:sz w:val="20"/>
              </w:rPr>
            </w:pPr>
            <w:bookmarkStart w:id="2528" w:name="TAB11254"/>
            <w:bookmarkEnd w:id="2528"/>
            <w:r>
              <w:rPr>
                <w:rFonts w:ascii="times new roman" w:hAnsi="times new roman"/>
                <w:sz w:val="20"/>
              </w:rPr>
              <w:t>1,393</w:t>
            </w:r>
          </w:p>
        </w:tc>
        <w:tc>
          <w:tcPr>
            <w:tcW w:w="122" w:type="dxa"/>
            <w:tcBorders/>
            <w:shd w:fill="CCEEFF" w:val="clear"/>
            <w:vAlign w:val="bottom"/>
          </w:tcPr>
          <w:p>
            <w:pPr>
              <w:pStyle w:val="TableContents"/>
              <w:spacing w:before="0" w:after="283"/>
              <w:jc w:val="left"/>
              <w:rPr/>
            </w:pPr>
            <w:r>
              <w:rPr/>
              <w:t> </w:t>
            </w:r>
          </w:p>
        </w:tc>
      </w:tr>
      <w:tr>
        <w:trPr/>
        <w:tc>
          <w:tcPr>
            <w:tcW w:w="6208"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(2,821</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(4,516</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08"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Income (loss) before income tax expense and equity earnings of unconsolidated joint ventures and entities</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ind w:left="165" w:right="0" w:hanging="0"/>
              <w:jc w:val="right"/>
              <w:rPr>
                <w:rFonts w:ascii="times new roman" w:hAnsi="times new roman"/>
                <w:sz w:val="20"/>
              </w:rPr>
            </w:pPr>
            <w:bookmarkStart w:id="2529" w:name="TAB11255"/>
            <w:bookmarkEnd w:id="2529"/>
            <w:r>
              <w:rPr>
                <w:rFonts w:ascii="times new roman" w:hAnsi="times new roman"/>
                <w:sz w:val="20"/>
              </w:rPr>
              <w:t>8,049</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ind w:left="165" w:right="0" w:hanging="0"/>
              <w:jc w:val="right"/>
              <w:rPr>
                <w:rFonts w:ascii="times new roman" w:hAnsi="times new roman"/>
                <w:sz w:val="20"/>
              </w:rPr>
            </w:pPr>
            <w:bookmarkStart w:id="2530" w:name="TAB11256"/>
            <w:bookmarkEnd w:id="2530"/>
            <w:r>
              <w:rPr>
                <w:rFonts w:ascii="times new roman" w:hAnsi="times new roman"/>
                <w:sz w:val="20"/>
              </w:rPr>
              <w:t>(17,037</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1" w:type="dxa"/>
            <w:tcBorders/>
            <w:shd w:fill="CCEEFF" w:val="clear"/>
            <w:vAlign w:val="bottom"/>
          </w:tcPr>
          <w:p>
            <w:pPr>
              <w:pStyle w:val="TableContents"/>
              <w:spacing w:before="0" w:after="283"/>
              <w:ind w:left="165" w:right="0" w:hanging="0"/>
              <w:jc w:val="right"/>
              <w:rPr>
                <w:rFonts w:ascii="times new roman" w:hAnsi="times new roman"/>
                <w:sz w:val="20"/>
              </w:rPr>
            </w:pPr>
            <w:bookmarkStart w:id="2531" w:name="TAB11257"/>
            <w:bookmarkEnd w:id="2531"/>
            <w:r>
              <w:rPr>
                <w:rFonts w:ascii="times new roman" w:hAnsi="times new roman"/>
                <w:sz w:val="20"/>
              </w:rPr>
              <w:t>(1,607</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i/>
                <w:sz w:val="20"/>
              </w:rPr>
              <w:t>Net income attributable to noncontrolling interests</w:t>
            </w:r>
            <w:r>
              <w:rPr>
                <w:rFonts w:ascii="times new roman" w:hAnsi="times new roman"/>
                <w:sz w:val="20"/>
              </w:rPr>
              <w:t>:</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2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United States</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ind w:left="308" w:right="0" w:hanging="0"/>
              <w:jc w:val="right"/>
              <w:rPr>
                <w:rFonts w:ascii="times new roman" w:hAnsi="times new roman"/>
                <w:sz w:val="20"/>
              </w:rPr>
            </w:pPr>
            <w:bookmarkStart w:id="2532" w:name="TAB11258"/>
            <w:bookmarkEnd w:id="2532"/>
            <w:r>
              <w:rPr>
                <w:rFonts w:ascii="times new roman" w:hAnsi="times new roman"/>
                <w:sz w:val="20"/>
              </w:rPr>
              <w:t>(359</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ind w:left="308" w:right="0" w:hanging="0"/>
              <w:jc w:val="right"/>
              <w:rPr>
                <w:rFonts w:ascii="times new roman" w:hAnsi="times new roman"/>
                <w:sz w:val="20"/>
              </w:rPr>
            </w:pPr>
            <w:bookmarkStart w:id="2533" w:name="TAB11259"/>
            <w:bookmarkEnd w:id="2533"/>
            <w:r>
              <w:rPr>
                <w:rFonts w:ascii="times new roman" w:hAnsi="times new roman"/>
                <w:sz w:val="20"/>
              </w:rPr>
              <w:t>(501</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71" w:type="dxa"/>
            <w:tcBorders/>
            <w:shd w:fill="CCEEFF" w:val="clear"/>
            <w:vAlign w:val="bottom"/>
          </w:tcPr>
          <w:p>
            <w:pPr>
              <w:pStyle w:val="TableContents"/>
              <w:spacing w:before="0" w:after="283"/>
              <w:ind w:left="308" w:right="0" w:hanging="0"/>
              <w:jc w:val="right"/>
              <w:rPr>
                <w:rFonts w:ascii="times new roman" w:hAnsi="times new roman"/>
                <w:sz w:val="20"/>
              </w:rPr>
            </w:pPr>
            <w:bookmarkStart w:id="2534" w:name="TAB11260"/>
            <w:bookmarkEnd w:id="2534"/>
            <w:r>
              <w:rPr>
                <w:rFonts w:ascii="times new roman" w:hAnsi="times new roman"/>
                <w:sz w:val="20"/>
              </w:rPr>
              <w:t>(656</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ind w:left="441" w:right="0" w:hanging="0"/>
              <w:jc w:val="right"/>
              <w:rPr>
                <w:rFonts w:ascii="times new roman" w:hAnsi="times new roman"/>
                <w:sz w:val="20"/>
              </w:rPr>
            </w:pPr>
            <w:bookmarkStart w:id="2535" w:name="TAB11261"/>
            <w:bookmarkEnd w:id="2535"/>
            <w:r>
              <w:rPr>
                <w:rFonts w:ascii="times new roman" w:hAnsi="times new roman"/>
                <w:sz w:val="20"/>
              </w:rPr>
              <w:t>(29</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ind w:left="308" w:right="0" w:hanging="0"/>
              <w:jc w:val="right"/>
              <w:rPr>
                <w:rFonts w:ascii="times new roman" w:hAnsi="times new roman"/>
                <w:sz w:val="20"/>
              </w:rPr>
            </w:pPr>
            <w:bookmarkStart w:id="2536" w:name="TAB11262"/>
            <w:bookmarkEnd w:id="2536"/>
            <w:r>
              <w:rPr>
                <w:rFonts w:ascii="times new roman" w:hAnsi="times new roman"/>
                <w:sz w:val="20"/>
              </w:rPr>
              <w:t>(119</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1" w:type="dxa"/>
            <w:tcBorders/>
            <w:shd w:fill="FFFFFF" w:val="clear"/>
            <w:vAlign w:val="bottom"/>
          </w:tcPr>
          <w:p>
            <w:pPr>
              <w:pStyle w:val="TableContents"/>
              <w:spacing w:before="0" w:after="283"/>
              <w:ind w:left="308" w:right="0" w:hanging="0"/>
              <w:jc w:val="right"/>
              <w:rPr>
                <w:rFonts w:ascii="times new roman" w:hAnsi="times new roman"/>
                <w:sz w:val="20"/>
              </w:rPr>
            </w:pPr>
            <w:bookmarkStart w:id="2537" w:name="TAB11263"/>
            <w:bookmarkEnd w:id="2537"/>
            <w:r>
              <w:rPr>
                <w:rFonts w:ascii="times new roman" w:hAnsi="times new roman"/>
                <w:sz w:val="20"/>
              </w:rPr>
              <w:t>(347</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i/>
                <w:sz w:val="20"/>
              </w:rPr>
              <w:t>Equity earnings and gain on sale of unconsolidated subsidiary</w:t>
            </w:r>
            <w:r>
              <w:rPr>
                <w:rFonts w:ascii="times new roman" w:hAnsi="times new roman"/>
                <w:sz w:val="20"/>
              </w:rPr>
              <w:t>:</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7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62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United States</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ind w:left="486" w:right="0" w:hanging="0"/>
              <w:jc w:val="right"/>
              <w:rPr>
                <w:rFonts w:ascii="times new roman" w:hAnsi="times new roman"/>
                <w:sz w:val="20"/>
              </w:rPr>
            </w:pPr>
            <w:bookmarkStart w:id="2538" w:name="TAB11264"/>
            <w:bookmarkEnd w:id="2538"/>
            <w:r>
              <w:rPr>
                <w:rFonts w:ascii="times new roman" w:hAnsi="times new roman"/>
                <w:sz w:val="20"/>
              </w:rPr>
              <w:t>421</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ind w:left="308" w:right="0" w:hanging="0"/>
              <w:jc w:val="right"/>
              <w:rPr>
                <w:rFonts w:ascii="times new roman" w:hAnsi="times new roman"/>
                <w:sz w:val="20"/>
              </w:rPr>
            </w:pPr>
            <w:bookmarkStart w:id="2539" w:name="TAB11265"/>
            <w:bookmarkEnd w:id="2539"/>
            <w:r>
              <w:rPr>
                <w:rFonts w:ascii="times new roman" w:hAnsi="times new roman"/>
                <w:sz w:val="20"/>
              </w:rPr>
              <w:t>(146</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1" w:type="dxa"/>
            <w:tcBorders/>
            <w:shd w:fill="FFFFFF" w:val="clear"/>
            <w:vAlign w:val="bottom"/>
          </w:tcPr>
          <w:p>
            <w:pPr>
              <w:pStyle w:val="TableContents"/>
              <w:spacing w:before="0" w:after="283"/>
              <w:ind w:left="286" w:right="0" w:hanging="0"/>
              <w:jc w:val="right"/>
              <w:rPr>
                <w:rFonts w:ascii="times new roman" w:hAnsi="times new roman"/>
                <w:sz w:val="20"/>
              </w:rPr>
            </w:pPr>
            <w:bookmarkStart w:id="2540" w:name="TAB11266"/>
            <w:bookmarkEnd w:id="2540"/>
            <w:r>
              <w:rPr>
                <w:rFonts w:ascii="times new roman" w:hAnsi="times new roman"/>
                <w:sz w:val="20"/>
              </w:rPr>
              <w:t>1,328</w:t>
            </w:r>
          </w:p>
        </w:tc>
        <w:tc>
          <w:tcPr>
            <w:tcW w:w="122" w:type="dxa"/>
            <w:tcBorders/>
            <w:shd w:fill="FFFFFF" w:val="clear"/>
            <w:vAlign w:val="bottom"/>
          </w:tcPr>
          <w:p>
            <w:pPr>
              <w:pStyle w:val="TableContents"/>
              <w:spacing w:before="0" w:after="283"/>
              <w:jc w:val="left"/>
              <w:rPr/>
            </w:pPr>
            <w:r>
              <w:rPr/>
              <w:t> </w:t>
            </w:r>
          </w:p>
        </w:tc>
      </w:tr>
      <w:tr>
        <w:trPr/>
        <w:tc>
          <w:tcPr>
            <w:tcW w:w="6208"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7"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ind w:left="441" w:right="0" w:hanging="0"/>
              <w:jc w:val="right"/>
              <w:rPr>
                <w:rFonts w:ascii="times new roman" w:hAnsi="times new roman"/>
                <w:sz w:val="20"/>
              </w:rPr>
            </w:pPr>
            <w:bookmarkStart w:id="2541" w:name="TAB11267"/>
            <w:bookmarkEnd w:id="2541"/>
            <w:r>
              <w:rPr>
                <w:rFonts w:ascii="times new roman" w:hAnsi="times new roman"/>
                <w:sz w:val="20"/>
              </w:rPr>
              <w:t>(36</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spacing w:before="0" w:after="283"/>
              <w:ind w:left="286" w:right="0" w:hanging="0"/>
              <w:jc w:val="right"/>
              <w:rPr>
                <w:rFonts w:ascii="times new roman" w:hAnsi="times new roman"/>
                <w:sz w:val="20"/>
              </w:rPr>
            </w:pPr>
            <w:bookmarkStart w:id="2542" w:name="TAB11268"/>
            <w:bookmarkEnd w:id="2542"/>
            <w:r>
              <w:rPr>
                <w:rFonts w:ascii="times new roman" w:hAnsi="times new roman"/>
                <w:sz w:val="20"/>
              </w:rPr>
              <w:t>3,093</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1" w:type="dxa"/>
            <w:tcBorders>
              <w:bottom w:val="single" w:sz="12" w:space="0" w:color="000000"/>
            </w:tcBorders>
            <w:shd w:fill="CCEEFF" w:val="clear"/>
            <w:tcMar>
              <w:bottom w:w="28" w:type="dxa"/>
            </w:tcMar>
            <w:vAlign w:val="bottom"/>
          </w:tcPr>
          <w:p>
            <w:pPr>
              <w:pStyle w:val="TableContents"/>
              <w:spacing w:before="0" w:after="283"/>
              <w:ind w:left="286" w:right="0" w:hanging="0"/>
              <w:jc w:val="right"/>
              <w:rPr>
                <w:rFonts w:ascii="times new roman" w:hAnsi="times new roman"/>
                <w:sz w:val="20"/>
              </w:rPr>
            </w:pPr>
            <w:bookmarkStart w:id="2543" w:name="TAB11269"/>
            <w:bookmarkEnd w:id="2543"/>
            <w:r>
              <w:rPr>
                <w:rFonts w:ascii="times new roman" w:hAnsi="times new roman"/>
                <w:sz w:val="20"/>
              </w:rPr>
              <w:t>1,217</w:t>
            </w:r>
          </w:p>
        </w:tc>
        <w:tc>
          <w:tcPr>
            <w:tcW w:w="122" w:type="dxa"/>
            <w:tcBorders/>
            <w:shd w:fill="CCEEFF" w:val="clear"/>
            <w:vAlign w:val="bottom"/>
          </w:tcPr>
          <w:p>
            <w:pPr>
              <w:pStyle w:val="TableContents"/>
              <w:spacing w:before="0" w:after="283"/>
              <w:jc w:val="left"/>
              <w:rPr/>
            </w:pPr>
            <w:r>
              <w:rPr/>
              <w:t> </w:t>
            </w:r>
          </w:p>
        </w:tc>
      </w:tr>
      <w:tr>
        <w:trPr/>
        <w:tc>
          <w:tcPr>
            <w:tcW w:w="6208"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(loss) before income tax expense</w:t>
            </w:r>
          </w:p>
        </w:tc>
        <w:tc>
          <w:tcPr>
            <w:tcW w:w="107"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ind w:left="165" w:right="0" w:hanging="0"/>
              <w:jc w:val="right"/>
              <w:rPr>
                <w:rFonts w:ascii="times new roman" w:hAnsi="times new roman"/>
                <w:sz w:val="20"/>
              </w:rPr>
            </w:pPr>
            <w:bookmarkStart w:id="2544" w:name="TAB11270"/>
            <w:bookmarkEnd w:id="2544"/>
            <w:r>
              <w:rPr>
                <w:rFonts w:ascii="times new roman" w:hAnsi="times new roman"/>
                <w:sz w:val="20"/>
              </w:rPr>
              <w:t>8,046</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bottom w:val="double" w:sz="8" w:space="0" w:color="000000"/>
            </w:tcBorders>
            <w:shd w:fill="FFFFFF" w:val="clear"/>
            <w:tcMar>
              <w:bottom w:w="28" w:type="dxa"/>
            </w:tcMar>
            <w:vAlign w:val="bottom"/>
          </w:tcPr>
          <w:p>
            <w:pPr>
              <w:pStyle w:val="TableContents"/>
              <w:spacing w:before="0" w:after="283"/>
              <w:ind w:left="165" w:right="0" w:hanging="0"/>
              <w:jc w:val="right"/>
              <w:rPr>
                <w:rFonts w:ascii="times new roman" w:hAnsi="times new roman"/>
                <w:sz w:val="20"/>
              </w:rPr>
            </w:pPr>
            <w:bookmarkStart w:id="2545" w:name="TAB11271"/>
            <w:bookmarkEnd w:id="2545"/>
            <w:r>
              <w:rPr>
                <w:rFonts w:ascii="times new roman" w:hAnsi="times new roman"/>
                <w:sz w:val="20"/>
              </w:rPr>
              <w:t>(14,710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1" w:type="dxa"/>
            <w:tcBorders>
              <w:bottom w:val="double" w:sz="8" w:space="0" w:color="000000"/>
            </w:tcBorders>
            <w:shd w:fill="FFFFFF" w:val="clear"/>
            <w:tcMar>
              <w:bottom w:w="28" w:type="dxa"/>
            </w:tcMar>
            <w:vAlign w:val="bottom"/>
          </w:tcPr>
          <w:p>
            <w:pPr>
              <w:pStyle w:val="TableContents"/>
              <w:spacing w:before="0" w:after="283"/>
              <w:ind w:left="165" w:right="0" w:hanging="0"/>
              <w:jc w:val="right"/>
              <w:rPr>
                <w:rFonts w:ascii="times new roman" w:hAnsi="times new roman"/>
                <w:sz w:val="20"/>
              </w:rPr>
            </w:pPr>
            <w:bookmarkStart w:id="2546" w:name="TAB11272"/>
            <w:bookmarkEnd w:id="2546"/>
            <w:r>
              <w:rPr>
                <w:rFonts w:ascii="times new roman" w:hAnsi="times new roman"/>
                <w:sz w:val="20"/>
              </w:rPr>
              <w:t>(65</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Significant components of the provision for income taxes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240"/>
        <w:gridCol w:w="109"/>
        <w:gridCol w:w="127"/>
        <w:gridCol w:w="972"/>
        <w:gridCol w:w="109"/>
        <w:gridCol w:w="109"/>
        <w:gridCol w:w="127"/>
        <w:gridCol w:w="972"/>
        <w:gridCol w:w="109"/>
        <w:gridCol w:w="108"/>
        <w:gridCol w:w="127"/>
        <w:gridCol w:w="972"/>
        <w:gridCol w:w="124"/>
      </w:tblGrid>
      <w:tr>
        <w:trPr/>
        <w:tc>
          <w:tcPr>
            <w:tcW w:w="624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73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4" w:type="dxa"/>
            <w:tcBorders/>
            <w:shd w:fill="auto" w:val="clear"/>
            <w:vAlign w:val="bottom"/>
          </w:tcPr>
          <w:p>
            <w:pPr>
              <w:pStyle w:val="TableContents"/>
              <w:spacing w:before="0" w:after="283"/>
              <w:jc w:val="left"/>
              <w:rPr/>
            </w:pPr>
            <w:r>
              <w:rPr/>
              <w:t> </w:t>
            </w:r>
          </w:p>
        </w:tc>
      </w:tr>
      <w:tr>
        <w:trPr/>
        <w:tc>
          <w:tcPr>
            <w:tcW w:w="6240"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09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09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9"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9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4" w:type="dxa"/>
            <w:tcBorders/>
            <w:shd w:fill="auto" w:val="clear"/>
            <w:vAlign w:val="bottom"/>
          </w:tcPr>
          <w:p>
            <w:pPr>
              <w:pStyle w:val="TableContents"/>
              <w:spacing w:before="0" w:after="283"/>
              <w:jc w:val="left"/>
              <w:rPr/>
            </w:pPr>
            <w:r>
              <w:rPr/>
              <w:t> </w:t>
            </w:r>
          </w:p>
        </w:tc>
      </w:tr>
      <w:tr>
        <w:trPr/>
        <w:tc>
          <w:tcPr>
            <w:tcW w:w="6240"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income tax expense</w:t>
            </w:r>
          </w:p>
        </w:tc>
        <w:tc>
          <w:tcPr>
            <w:tcW w:w="109"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99"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6240" w:type="dxa"/>
            <w:tcBorders/>
            <w:shd w:fill="CCEE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Federal</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w:t>
            </w:r>
          </w:p>
        </w:tc>
        <w:tc>
          <w:tcPr>
            <w:tcW w:w="109"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w:t>
            </w:r>
          </w:p>
        </w:tc>
        <w:tc>
          <w:tcPr>
            <w:tcW w:w="124" w:type="dxa"/>
            <w:tcBorders/>
            <w:shd w:fill="CCEEFF" w:val="clear"/>
            <w:vAlign w:val="bottom"/>
          </w:tcPr>
          <w:p>
            <w:pPr>
              <w:pStyle w:val="TableContents"/>
              <w:spacing w:before="0" w:after="283"/>
              <w:jc w:val="left"/>
              <w:rPr/>
            </w:pPr>
            <w:r>
              <w:rPr/>
              <w:t> </w:t>
            </w:r>
          </w:p>
        </w:tc>
      </w:tr>
      <w:tr>
        <w:trPr/>
        <w:tc>
          <w:tcPr>
            <w:tcW w:w="6240" w:type="dxa"/>
            <w:tcBorders/>
            <w:shd w:fill="FFFF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State</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09"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511</w:t>
            </w:r>
          </w:p>
        </w:tc>
        <w:tc>
          <w:tcPr>
            <w:tcW w:w="124" w:type="dxa"/>
            <w:tcBorders/>
            <w:shd w:fill="FFFFFF" w:val="clear"/>
            <w:vAlign w:val="bottom"/>
          </w:tcPr>
          <w:p>
            <w:pPr>
              <w:pStyle w:val="TableContents"/>
              <w:spacing w:before="0" w:after="283"/>
              <w:jc w:val="left"/>
              <w:rPr/>
            </w:pPr>
            <w:r>
              <w:rPr/>
              <w:t> </w:t>
            </w:r>
          </w:p>
        </w:tc>
      </w:tr>
      <w:tr>
        <w:trPr/>
        <w:tc>
          <w:tcPr>
            <w:tcW w:w="6240" w:type="dxa"/>
            <w:tcBorders>
              <w:bottom w:val="single" w:sz="12" w:space="0" w:color="000000"/>
            </w:tcBorders>
            <w:shd w:fill="CCEEFF" w:val="clear"/>
            <w:tcMar>
              <w:bottom w:w="28" w:type="dxa"/>
            </w:tcM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Foreign</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942</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1,012</w:t>
            </w:r>
          </w:p>
        </w:tc>
        <w:tc>
          <w:tcPr>
            <w:tcW w:w="109"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1,017</w:t>
            </w:r>
          </w:p>
        </w:tc>
        <w:tc>
          <w:tcPr>
            <w:tcW w:w="124" w:type="dxa"/>
            <w:tcBorders/>
            <w:shd w:fill="CCEEFF" w:val="clear"/>
            <w:vAlign w:val="bottom"/>
          </w:tcPr>
          <w:p>
            <w:pPr>
              <w:pStyle w:val="TableContents"/>
              <w:spacing w:before="0" w:after="283"/>
              <w:jc w:val="left"/>
              <w:rPr/>
            </w:pPr>
            <w:r>
              <w:rPr/>
              <w:t> </w:t>
            </w:r>
          </w:p>
        </w:tc>
      </w:tr>
      <w:tr>
        <w:trPr/>
        <w:tc>
          <w:tcPr>
            <w:tcW w:w="6240" w:type="dxa"/>
            <w:tcBorders>
              <w:bottom w:val="single" w:sz="12" w:space="0" w:color="000000"/>
            </w:tcBorders>
            <w:shd w:fill="FFFFFF" w:val="clear"/>
            <w:tcMar>
              <w:bottom w:w="28" w:type="dxa"/>
            </w:tcM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Total</w:t>
            </w:r>
          </w:p>
        </w:tc>
        <w:tc>
          <w:tcPr>
            <w:tcW w:w="109"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2,099</w:t>
            </w:r>
          </w:p>
        </w:tc>
        <w:tc>
          <w:tcPr>
            <w:tcW w:w="109"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2,038</w:t>
            </w:r>
          </w:p>
        </w:tc>
        <w:tc>
          <w:tcPr>
            <w:tcW w:w="124" w:type="dxa"/>
            <w:tcBorders/>
            <w:shd w:fill="FFFFFF" w:val="clear"/>
            <w:vAlign w:val="bottom"/>
          </w:tcPr>
          <w:p>
            <w:pPr>
              <w:pStyle w:val="TableContents"/>
              <w:spacing w:before="0" w:after="283"/>
              <w:jc w:val="left"/>
              <w:rPr/>
            </w:pPr>
            <w:r>
              <w:rPr/>
              <w:t> </w:t>
            </w:r>
          </w:p>
        </w:tc>
      </w:tr>
      <w:tr>
        <w:trPr/>
        <w:tc>
          <w:tcPr>
            <w:tcW w:w="6240"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Deferred income tax expense</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6240" w:type="dxa"/>
            <w:tcBorders/>
            <w:shd w:fill="FFFF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Federal</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6240" w:type="dxa"/>
            <w:tcBorders/>
            <w:shd w:fill="CCEE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State</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6240" w:type="dxa"/>
            <w:tcBorders>
              <w:bottom w:val="single" w:sz="12" w:space="0" w:color="000000"/>
            </w:tcBorders>
            <w:shd w:fill="FFFFFF" w:val="clear"/>
            <w:tcMar>
              <w:bottom w:w="28" w:type="dxa"/>
            </w:tcM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Foreign</w:t>
            </w:r>
          </w:p>
        </w:tc>
        <w:tc>
          <w:tcPr>
            <w:tcW w:w="109"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6240" w:type="dxa"/>
            <w:tcBorders>
              <w:bottom w:val="single" w:sz="12" w:space="0" w:color="000000"/>
            </w:tcBorders>
            <w:shd w:fill="CCEEFF" w:val="clear"/>
            <w:tcMar>
              <w:bottom w:w="28" w:type="dxa"/>
            </w:tcM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Total</w:t>
            </w:r>
          </w:p>
        </w:tc>
        <w:tc>
          <w:tcPr>
            <w:tcW w:w="109"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6240"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income tax expense</w:t>
            </w:r>
          </w:p>
        </w:tc>
        <w:tc>
          <w:tcPr>
            <w:tcW w:w="109"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bottom w:val="double" w:sz="8" w:space="0" w:color="000000"/>
            </w:tcBorders>
            <w:shd w:fill="FFFFFF" w:val="clear"/>
            <w:tcMar>
              <w:bottom w:w="28" w:type="dxa"/>
            </w:tcMar>
            <w:vAlign w:val="bottom"/>
          </w:tcPr>
          <w:p>
            <w:pPr>
              <w:pStyle w:val="TableContents"/>
              <w:spacing w:before="0" w:after="283"/>
              <w:ind w:left="4" w:right="0" w:hanging="0"/>
              <w:jc w:val="right"/>
              <w:rPr>
                <w:rFonts w:ascii="times new roman" w:hAnsi="times new roman"/>
                <w:sz w:val="20"/>
              </w:rPr>
            </w:pPr>
            <w:bookmarkStart w:id="2547" w:name="TAB11273"/>
            <w:bookmarkEnd w:id="2547"/>
            <w:r>
              <w:rPr>
                <w:rFonts w:ascii="times new roman" w:hAnsi="times new roman"/>
                <w:sz w:val="20"/>
              </w:rPr>
              <w:t>1,952</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bottom w:val="double" w:sz="8" w:space="0" w:color="000000"/>
            </w:tcBorders>
            <w:shd w:fill="FFFFFF" w:val="clear"/>
            <w:tcMar>
              <w:bottom w:w="28" w:type="dxa"/>
            </w:tcMar>
            <w:vAlign w:val="bottom"/>
          </w:tcPr>
          <w:p>
            <w:pPr>
              <w:pStyle w:val="TableContents"/>
              <w:spacing w:before="0" w:after="283"/>
              <w:ind w:left="4" w:right="0" w:hanging="0"/>
              <w:jc w:val="right"/>
              <w:rPr>
                <w:rFonts w:ascii="times new roman" w:hAnsi="times new roman"/>
                <w:sz w:val="20"/>
              </w:rPr>
            </w:pPr>
            <w:bookmarkStart w:id="2548" w:name="TAB11274"/>
            <w:bookmarkEnd w:id="2548"/>
            <w:r>
              <w:rPr>
                <w:rFonts w:ascii="times new roman" w:hAnsi="times new roman"/>
                <w:sz w:val="20"/>
              </w:rPr>
              <w:t>2,099</w:t>
            </w:r>
          </w:p>
        </w:tc>
        <w:tc>
          <w:tcPr>
            <w:tcW w:w="109"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bottom w:val="double" w:sz="8" w:space="0" w:color="000000"/>
            </w:tcBorders>
            <w:shd w:fill="FFFFFF" w:val="clear"/>
            <w:tcMar>
              <w:bottom w:w="28" w:type="dxa"/>
            </w:tcMar>
            <w:vAlign w:val="bottom"/>
          </w:tcPr>
          <w:p>
            <w:pPr>
              <w:pStyle w:val="TableContents"/>
              <w:spacing w:before="0" w:after="283"/>
              <w:ind w:left="4" w:right="0" w:hanging="0"/>
              <w:jc w:val="right"/>
              <w:rPr>
                <w:rFonts w:ascii="times new roman" w:hAnsi="times new roman"/>
                <w:sz w:val="20"/>
              </w:rPr>
            </w:pPr>
            <w:bookmarkStart w:id="2549" w:name="TAB11275"/>
            <w:bookmarkEnd w:id="2549"/>
            <w:r>
              <w:rPr>
                <w:rFonts w:ascii="times new roman" w:hAnsi="times new roman"/>
                <w:sz w:val="20"/>
              </w:rPr>
              <w:t>2,038</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 (dollars in thousands):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50" w:name="PGBRK87"/>
      <w:bookmarkStart w:id="2551" w:name="PGBRK87"/>
      <w:bookmarkEnd w:id="25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2" w:name="FTR87"/>
      <w:bookmarkStart w:id="2553" w:name="FTR87"/>
      <w:bookmarkEnd w:id="2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54" w:name="GLFTR87"/>
      <w:bookmarkEnd w:id="25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555" w:name="PN87"/>
      <w:bookmarkEnd w:id="2555"/>
      <w:r>
        <w:rPr>
          <w:rFonts w:eastAsia="Times New Roman" w:cs="Times New Roman" w:ascii="Times New Roman" w:hAnsi="Times New Roman"/>
          <w:sz w:val="20"/>
          <w:szCs w:val="20"/>
        </w:rPr>
        <w:t>-87-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556" w:name="HDR87"/>
      <w:bookmarkStart w:id="2557" w:name="HDR87"/>
      <w:bookmarkEnd w:id="25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558" w:name="GLHDR87"/>
        <w:bookmarkEnd w:id="25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tbl>
      <w:tblPr>
        <w:tblW w:w="5000" w:type="pct"/>
        <w:jc w:val="left"/>
        <w:tblInd w:w="0" w:type="dxa"/>
        <w:tblCellMar>
          <w:top w:w="0" w:type="dxa"/>
          <w:left w:w="0" w:type="dxa"/>
          <w:bottom w:w="0" w:type="dxa"/>
          <w:right w:w="0" w:type="dxa"/>
        </w:tblCellMar>
      </w:tblPr>
      <w:tblGrid>
        <w:gridCol w:w="7475"/>
        <w:gridCol w:w="108"/>
        <w:gridCol w:w="125"/>
        <w:gridCol w:w="1013"/>
        <w:gridCol w:w="114"/>
        <w:gridCol w:w="108"/>
        <w:gridCol w:w="125"/>
        <w:gridCol w:w="1013"/>
        <w:gridCol w:w="124"/>
      </w:tblGrid>
      <w:tr>
        <w:trPr/>
        <w:tc>
          <w:tcPr>
            <w:tcW w:w="7475"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49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4" w:type="dxa"/>
            <w:tcBorders/>
            <w:shd w:fill="auto" w:val="clear"/>
            <w:vAlign w:val="bottom"/>
          </w:tcPr>
          <w:p>
            <w:pPr>
              <w:pStyle w:val="TableContents"/>
              <w:spacing w:before="0" w:after="283"/>
              <w:jc w:val="left"/>
              <w:rPr/>
            </w:pPr>
            <w:r>
              <w:rPr/>
              <w:t> </w:t>
            </w:r>
          </w:p>
        </w:tc>
      </w:tr>
      <w:tr>
        <w:trPr/>
        <w:tc>
          <w:tcPr>
            <w:tcW w:w="747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Components of Deferred Tax Assets and Liabilities</w:t>
            </w:r>
          </w:p>
        </w:tc>
        <w:tc>
          <w:tcPr>
            <w:tcW w:w="108" w:type="dxa"/>
            <w:tcBorders/>
            <w:shd w:fill="auto" w:val="clear"/>
            <w:vAlign w:val="bottom"/>
          </w:tcPr>
          <w:p>
            <w:pPr>
              <w:pStyle w:val="TableContents"/>
              <w:spacing w:before="0" w:after="283"/>
              <w:rPr/>
            </w:pPr>
            <w:r>
              <w:rPr/>
              <w:t> </w:t>
            </w:r>
          </w:p>
        </w:tc>
        <w:tc>
          <w:tcPr>
            <w:tcW w:w="113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3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4" w:type="dxa"/>
            <w:tcBorders/>
            <w:shd w:fill="auto" w:val="clear"/>
            <w:vAlign w:val="bottom"/>
          </w:tcPr>
          <w:p>
            <w:pPr>
              <w:pStyle w:val="TableContents"/>
              <w:spacing w:before="0" w:after="283"/>
              <w:jc w:val="left"/>
              <w:rPr/>
            </w:pPr>
            <w:r>
              <w:rPr/>
              <w:t> </w:t>
            </w:r>
          </w:p>
        </w:tc>
      </w:tr>
      <w:tr>
        <w:trPr/>
        <w:tc>
          <w:tcPr>
            <w:tcW w:w="747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08"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475" w:type="dxa"/>
            <w:tcBorders/>
            <w:shd w:fill="CCEE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Net operating loss carry forwards</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45,980</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39,168</w:t>
            </w:r>
          </w:p>
        </w:tc>
        <w:tc>
          <w:tcPr>
            <w:tcW w:w="124" w:type="dxa"/>
            <w:tcBorders/>
            <w:shd w:fill="CCEEFF" w:val="clear"/>
            <w:vAlign w:val="bottom"/>
          </w:tcPr>
          <w:p>
            <w:pPr>
              <w:pStyle w:val="TableContents"/>
              <w:spacing w:before="0" w:after="283"/>
              <w:jc w:val="left"/>
              <w:rPr/>
            </w:pPr>
            <w:r>
              <w:rPr/>
              <w:t> </w:t>
            </w:r>
          </w:p>
        </w:tc>
      </w:tr>
      <w:tr>
        <w:trPr/>
        <w:tc>
          <w:tcPr>
            <w:tcW w:w="7475" w:type="dxa"/>
            <w:tcBorders/>
            <w:shd w:fill="FFFF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Impairment reserves</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3,415</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2,469</w:t>
            </w:r>
          </w:p>
        </w:tc>
        <w:tc>
          <w:tcPr>
            <w:tcW w:w="124" w:type="dxa"/>
            <w:tcBorders/>
            <w:shd w:fill="FFFFFF" w:val="clear"/>
            <w:vAlign w:val="bottom"/>
          </w:tcPr>
          <w:p>
            <w:pPr>
              <w:pStyle w:val="TableContents"/>
              <w:spacing w:before="0" w:after="283"/>
              <w:jc w:val="left"/>
              <w:rPr/>
            </w:pPr>
            <w:r>
              <w:rPr/>
              <w:t> </w:t>
            </w:r>
          </w:p>
        </w:tc>
      </w:tr>
      <w:tr>
        <w:trPr/>
        <w:tc>
          <w:tcPr>
            <w:tcW w:w="7475" w:type="dxa"/>
            <w:tcBorders/>
            <w:shd w:fill="CCEE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Alternative minimum tax carry forwards</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3,752</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3,752</w:t>
            </w:r>
          </w:p>
        </w:tc>
        <w:tc>
          <w:tcPr>
            <w:tcW w:w="124" w:type="dxa"/>
            <w:tcBorders/>
            <w:shd w:fill="CCEEFF" w:val="clear"/>
            <w:vAlign w:val="bottom"/>
          </w:tcPr>
          <w:p>
            <w:pPr>
              <w:pStyle w:val="TableContents"/>
              <w:spacing w:before="0" w:after="283"/>
              <w:jc w:val="left"/>
              <w:rPr/>
            </w:pPr>
            <w:r>
              <w:rPr/>
              <w:t> </w:t>
            </w:r>
          </w:p>
        </w:tc>
      </w:tr>
      <w:tr>
        <w:trPr/>
        <w:tc>
          <w:tcPr>
            <w:tcW w:w="7475" w:type="dxa"/>
            <w:tcBorders/>
            <w:shd w:fill="FFFF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Installment sale of cinema property</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5,070</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5,070</w:t>
            </w:r>
          </w:p>
        </w:tc>
        <w:tc>
          <w:tcPr>
            <w:tcW w:w="124" w:type="dxa"/>
            <w:tcBorders/>
            <w:shd w:fill="FFFFFF" w:val="clear"/>
            <w:vAlign w:val="bottom"/>
          </w:tcPr>
          <w:p>
            <w:pPr>
              <w:pStyle w:val="TableContents"/>
              <w:spacing w:before="0" w:after="283"/>
              <w:jc w:val="left"/>
              <w:rPr/>
            </w:pPr>
            <w:r>
              <w:rPr/>
              <w:t> </w:t>
            </w:r>
          </w:p>
        </w:tc>
      </w:tr>
      <w:tr>
        <w:trPr/>
        <w:tc>
          <w:tcPr>
            <w:tcW w:w="7475" w:type="dxa"/>
            <w:tcBorders/>
            <w:shd w:fill="CCEE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Deferred revenue and expense</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2,245</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6,101</w:t>
            </w:r>
          </w:p>
        </w:tc>
        <w:tc>
          <w:tcPr>
            <w:tcW w:w="124" w:type="dxa"/>
            <w:tcBorders/>
            <w:shd w:fill="CCEEFF" w:val="clear"/>
            <w:vAlign w:val="bottom"/>
          </w:tcPr>
          <w:p>
            <w:pPr>
              <w:pStyle w:val="TableContents"/>
              <w:spacing w:before="0" w:after="283"/>
              <w:jc w:val="left"/>
              <w:rPr/>
            </w:pPr>
            <w:r>
              <w:rPr/>
              <w:t> </w:t>
            </w:r>
          </w:p>
        </w:tc>
      </w:tr>
      <w:tr>
        <w:trPr/>
        <w:tc>
          <w:tcPr>
            <w:tcW w:w="7475" w:type="dxa"/>
            <w:tcBorders>
              <w:bottom w:val="single" w:sz="12" w:space="0" w:color="000000"/>
            </w:tcBorders>
            <w:shd w:fill="FFFFFF" w:val="clear"/>
            <w:tcMar>
              <w:bottom w:w="28" w:type="dxa"/>
            </w:tcM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Other</w:t>
            </w:r>
          </w:p>
        </w:tc>
        <w:tc>
          <w:tcPr>
            <w:tcW w:w="10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8,310</w:t>
            </w:r>
          </w:p>
        </w:tc>
        <w:tc>
          <w:tcPr>
            <w:tcW w:w="124" w:type="dxa"/>
            <w:tcBorders/>
            <w:shd w:fill="FFFFFF" w:val="clear"/>
            <w:vAlign w:val="bottom"/>
          </w:tcPr>
          <w:p>
            <w:pPr>
              <w:pStyle w:val="TableContents"/>
              <w:spacing w:before="0" w:after="283"/>
              <w:jc w:val="left"/>
              <w:rPr/>
            </w:pPr>
            <w:r>
              <w:rPr/>
              <w:t> </w:t>
            </w:r>
          </w:p>
        </w:tc>
      </w:tr>
      <w:tr>
        <w:trPr/>
        <w:tc>
          <w:tcPr>
            <w:tcW w:w="7475" w:type="dxa"/>
            <w:tcBorders/>
            <w:shd w:fill="CCEEFF" w:val="clear"/>
            <w:vAlign w:val="bottom"/>
          </w:tcPr>
          <w:p>
            <w:pPr>
              <w:pStyle w:val="TableContents"/>
              <w:spacing w:before="0" w:after="0"/>
              <w:ind w:left="216" w:right="0" w:firstLine="360"/>
              <w:jc w:val="left"/>
              <w:rPr>
                <w:rFonts w:ascii="times new roman" w:hAnsi="times new roman"/>
                <w:sz w:val="20"/>
              </w:rPr>
            </w:pPr>
            <w:bookmarkStart w:id="2559" w:name="TAB11276"/>
            <w:bookmarkEnd w:id="2559"/>
            <w:r>
              <w:rPr>
                <w:rFonts w:ascii="times new roman" w:hAnsi="times new roman"/>
                <w:sz w:val="20"/>
              </w:rPr>
              <w:t>Total Deferred Tax Assets</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60,483</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64,870</w:t>
            </w:r>
          </w:p>
        </w:tc>
        <w:tc>
          <w:tcPr>
            <w:tcW w:w="124" w:type="dxa"/>
            <w:tcBorders/>
            <w:shd w:fill="CCEEFF" w:val="clear"/>
            <w:vAlign w:val="bottom"/>
          </w:tcPr>
          <w:p>
            <w:pPr>
              <w:pStyle w:val="TableContents"/>
              <w:spacing w:before="0" w:after="283"/>
              <w:jc w:val="left"/>
              <w:rPr/>
            </w:pPr>
            <w:r>
              <w:rPr/>
              <w:t> </w:t>
            </w:r>
          </w:p>
        </w:tc>
      </w:tr>
      <w:tr>
        <w:trPr/>
        <w:tc>
          <w:tcPr>
            <w:tcW w:w="7475"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4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Liabilities:</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475" w:type="dxa"/>
            <w:tcBorders>
              <w:bottom w:val="single" w:sz="12" w:space="0" w:color="000000"/>
            </w:tcBorders>
            <w:shd w:fill="CCEEFF" w:val="clear"/>
            <w:tcMar>
              <w:bottom w:w="28" w:type="dxa"/>
            </w:tcM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Acquired and option properties</w:t>
            </w:r>
          </w:p>
        </w:tc>
        <w:tc>
          <w:tcPr>
            <w:tcW w:w="108"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880</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4,932</w:t>
            </w:r>
          </w:p>
        </w:tc>
        <w:tc>
          <w:tcPr>
            <w:tcW w:w="124" w:type="dxa"/>
            <w:tcBorders/>
            <w:shd w:fill="CCEEFF" w:val="clear"/>
            <w:vAlign w:val="bottom"/>
          </w:tcPr>
          <w:p>
            <w:pPr>
              <w:pStyle w:val="TableContents"/>
              <w:spacing w:before="0" w:after="283"/>
              <w:jc w:val="left"/>
              <w:rPr/>
            </w:pPr>
            <w:r>
              <w:rPr/>
              <w:t> </w:t>
            </w:r>
          </w:p>
        </w:tc>
      </w:tr>
      <w:tr>
        <w:trPr/>
        <w:tc>
          <w:tcPr>
            <w:tcW w:w="747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deferred tax assets before valuation allowance</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59,603</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59,938</w:t>
            </w:r>
          </w:p>
        </w:tc>
        <w:tc>
          <w:tcPr>
            <w:tcW w:w="124" w:type="dxa"/>
            <w:tcBorders/>
            <w:shd w:fill="FFFFFF" w:val="clear"/>
            <w:vAlign w:val="bottom"/>
          </w:tcPr>
          <w:p>
            <w:pPr>
              <w:pStyle w:val="TableContents"/>
              <w:spacing w:before="0" w:after="283"/>
              <w:jc w:val="left"/>
              <w:rPr/>
            </w:pPr>
            <w:r>
              <w:rPr/>
              <w:t> </w:t>
            </w:r>
          </w:p>
        </w:tc>
      </w:tr>
      <w:tr>
        <w:trPr/>
        <w:tc>
          <w:tcPr>
            <w:tcW w:w="7475"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Valuation allowance</w:t>
            </w:r>
          </w:p>
        </w:tc>
        <w:tc>
          <w:tcPr>
            <w:tcW w:w="108"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(59,603</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(59,938</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5"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deferred tax asset</w:t>
            </w:r>
          </w:p>
        </w:tc>
        <w:tc>
          <w:tcPr>
            <w:tcW w:w="108"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FASB ASC 740-10 – </w:t>
      </w:r>
      <w:r>
        <w:rPr>
          <w:rFonts w:ascii="Times New Roman" w:hAnsi="Times New Roman"/>
          <w:i/>
          <w:sz w:val="20"/>
        </w:rPr>
        <w:t>Income Taxes</w:t>
      </w:r>
      <w:r>
        <w:rPr>
          <w:rFonts w:ascii="Times New Roman" w:hAnsi="Times New Roman"/>
          <w:sz w:val="20"/>
        </w:rPr>
        <w:t xml:space="preserve"> (“ASC 740-10”), 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ASC 740-10 presumes that a valuation allowance is required when there is substantial negative evidence about realization of deferred tax assets, such as a pattern of losses in recent years, coupled with facts that suggest such losses may continue.  Because of such negative evidence available for the U.S. and other countrie s, as of December 31, 2009 we recorded a full valuation allowance of $59.6 million.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2009, we had the following U.S. net operating loss carry forwards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824"/>
        <w:gridCol w:w="111"/>
        <w:gridCol w:w="128"/>
        <w:gridCol w:w="1023"/>
        <w:gridCol w:w="119"/>
      </w:tblGrid>
      <w:tr>
        <w:trPr/>
        <w:tc>
          <w:tcPr>
            <w:tcW w:w="882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Expiration Date</w:t>
            </w:r>
          </w:p>
        </w:tc>
        <w:tc>
          <w:tcPr>
            <w:tcW w:w="111" w:type="dxa"/>
            <w:tcBorders/>
            <w:shd w:fill="auto" w:val="clear"/>
            <w:tcMar>
              <w:bottom w:w="0" w:type="dxa"/>
            </w:tcMar>
            <w:vAlign w:val="bottom"/>
          </w:tcPr>
          <w:p>
            <w:pPr>
              <w:pStyle w:val="TableContents"/>
              <w:spacing w:before="0" w:after="283"/>
              <w:rPr/>
            </w:pPr>
            <w:r>
              <w:rPr/>
              <w:t> </w:t>
            </w:r>
          </w:p>
        </w:tc>
        <w:tc>
          <w:tcPr>
            <w:tcW w:w="115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w:t>
            </w:r>
          </w:p>
        </w:tc>
        <w:tc>
          <w:tcPr>
            <w:tcW w:w="119" w:type="dxa"/>
            <w:tcBorders/>
            <w:shd w:fill="auto" w:val="clear"/>
            <w:tcMar>
              <w:bottom w:w="0" w:type="dxa"/>
            </w:tcMar>
            <w:vAlign w:val="bottom"/>
          </w:tcPr>
          <w:p>
            <w:pPr>
              <w:pStyle w:val="TableContents"/>
              <w:spacing w:before="0" w:after="283"/>
              <w:jc w:val="left"/>
              <w:rPr/>
            </w:pPr>
            <w:r>
              <w:rPr/>
              <w:t> </w:t>
            </w:r>
          </w:p>
        </w:tc>
      </w:tr>
      <w:tr>
        <w:trPr/>
        <w:tc>
          <w:tcPr>
            <w:tcW w:w="882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2018</w:t>
            </w:r>
          </w:p>
        </w:tc>
        <w:tc>
          <w:tcPr>
            <w:tcW w:w="111" w:type="dxa"/>
            <w:tcBorders/>
            <w:shd w:fill="CCEEFF" w:val="clear"/>
            <w:tcMar>
              <w:bottom w:w="0" w:type="dxa"/>
            </w:tcMar>
            <w:vAlign w:val="bottom"/>
          </w:tcPr>
          <w:p>
            <w:pPr>
              <w:pStyle w:val="TableContents"/>
              <w:spacing w:before="0" w:after="283"/>
              <w:jc w:val="left"/>
              <w:rPr/>
            </w:pPr>
            <w:r>
              <w:rPr/>
              <w:t> </w:t>
            </w:r>
          </w:p>
        </w:tc>
        <w:tc>
          <w:tcPr>
            <w:tcW w:w="12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3"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2560" w:name="TAB11277"/>
            <w:bookmarkEnd w:id="2560"/>
            <w:r>
              <w:rPr>
                <w:rFonts w:ascii="times new roman" w:hAnsi="times new roman"/>
                <w:sz w:val="20"/>
              </w:rPr>
              <w:t>4</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2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2019</w:t>
            </w:r>
          </w:p>
        </w:tc>
        <w:tc>
          <w:tcPr>
            <w:tcW w:w="111"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02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82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2021</w:t>
            </w:r>
          </w:p>
        </w:tc>
        <w:tc>
          <w:tcPr>
            <w:tcW w:w="111" w:type="dxa"/>
            <w:tcBorders/>
            <w:shd w:fill="CCEEFF" w:val="clear"/>
            <w:tcMar>
              <w:bottom w:w="0" w:type="dxa"/>
            </w:tcMar>
            <w:vAlign w:val="bottom"/>
          </w:tcPr>
          <w:p>
            <w:pPr>
              <w:pStyle w:val="TableContents"/>
              <w:spacing w:before="0" w:after="283"/>
              <w:jc w:val="left"/>
              <w:rPr/>
            </w:pPr>
            <w:r>
              <w:rPr/>
              <w:t> </w:t>
            </w:r>
          </w:p>
        </w:tc>
        <w:tc>
          <w:tcPr>
            <w:tcW w:w="128" w:type="dxa"/>
            <w:tcBorders/>
            <w:shd w:fill="CCEEFF" w:val="clear"/>
            <w:tcMar>
              <w:bottom w:w="0" w:type="dxa"/>
            </w:tcMar>
            <w:vAlign w:val="bottom"/>
          </w:tcPr>
          <w:p>
            <w:pPr>
              <w:pStyle w:val="TableContents"/>
              <w:spacing w:before="0" w:after="283"/>
              <w:jc w:val="left"/>
              <w:rPr/>
            </w:pPr>
            <w:r>
              <w:rPr/>
              <w:t> </w:t>
            </w:r>
          </w:p>
        </w:tc>
        <w:tc>
          <w:tcPr>
            <w:tcW w:w="102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2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2022</w:t>
            </w:r>
          </w:p>
        </w:tc>
        <w:tc>
          <w:tcPr>
            <w:tcW w:w="111"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02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82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2025</w:t>
            </w:r>
          </w:p>
        </w:tc>
        <w:tc>
          <w:tcPr>
            <w:tcW w:w="111" w:type="dxa"/>
            <w:tcBorders/>
            <w:shd w:fill="CCEEFF" w:val="clear"/>
            <w:tcMar>
              <w:bottom w:w="0" w:type="dxa"/>
            </w:tcMar>
            <w:vAlign w:val="bottom"/>
          </w:tcPr>
          <w:p>
            <w:pPr>
              <w:pStyle w:val="TableContents"/>
              <w:spacing w:before="0" w:after="283"/>
              <w:jc w:val="left"/>
              <w:rPr/>
            </w:pPr>
            <w:r>
              <w:rPr/>
              <w:t> </w:t>
            </w:r>
          </w:p>
        </w:tc>
        <w:tc>
          <w:tcPr>
            <w:tcW w:w="128" w:type="dxa"/>
            <w:tcBorders/>
            <w:shd w:fill="CCEEFF" w:val="clear"/>
            <w:tcMar>
              <w:bottom w:w="0" w:type="dxa"/>
            </w:tcMar>
            <w:vAlign w:val="bottom"/>
          </w:tcPr>
          <w:p>
            <w:pPr>
              <w:pStyle w:val="TableContents"/>
              <w:spacing w:before="0" w:after="283"/>
              <w:jc w:val="left"/>
              <w:rPr/>
            </w:pPr>
            <w:r>
              <w:rPr/>
              <w:t> </w:t>
            </w:r>
          </w:p>
        </w:tc>
        <w:tc>
          <w:tcPr>
            <w:tcW w:w="102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28,345</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2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2028</w:t>
            </w:r>
          </w:p>
        </w:tc>
        <w:tc>
          <w:tcPr>
            <w:tcW w:w="111"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02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1,196</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824"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2029</w:t>
            </w:r>
          </w:p>
        </w:tc>
        <w:tc>
          <w:tcPr>
            <w:tcW w:w="111" w:type="dxa"/>
            <w:tcBorders/>
            <w:shd w:fill="CCEEFF" w:val="clear"/>
            <w:tcMar>
              <w:bottom w:w="0" w:type="dxa"/>
            </w:tcMar>
            <w:vAlign w:val="bottom"/>
          </w:tcPr>
          <w:p>
            <w:pPr>
              <w:pStyle w:val="TableContents"/>
              <w:spacing w:before="0" w:after="283"/>
              <w:jc w:val="left"/>
              <w:rPr/>
            </w:pPr>
            <w:r>
              <w:rPr/>
              <w:t> </w:t>
            </w:r>
          </w:p>
        </w:tc>
        <w:tc>
          <w:tcPr>
            <w:tcW w:w="128" w:type="dxa"/>
            <w:tcBorders>
              <w:bottom w:val="single" w:sz="12" w:space="0" w:color="000000"/>
            </w:tcBorders>
            <w:shd w:fill="CCEEFF" w:val="clear"/>
            <w:vAlign w:val="bottom"/>
          </w:tcPr>
          <w:p>
            <w:pPr>
              <w:pStyle w:val="TableContents"/>
              <w:spacing w:before="0" w:after="283"/>
              <w:jc w:val="left"/>
              <w:rPr/>
            </w:pPr>
            <w:r>
              <w:rPr/>
              <w:t> </w:t>
            </w:r>
          </w:p>
        </w:tc>
        <w:tc>
          <w:tcPr>
            <w:tcW w:w="102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12,604</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24"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net operating loss carry forwards</w:t>
            </w:r>
          </w:p>
        </w:tc>
        <w:tc>
          <w:tcPr>
            <w:tcW w:w="111" w:type="dxa"/>
            <w:tcBorders/>
            <w:shd w:fill="FFFFFF" w:val="clear"/>
            <w:tcMar>
              <w:bottom w:w="0" w:type="dxa"/>
            </w:tcMar>
            <w:vAlign w:val="bottom"/>
          </w:tcPr>
          <w:p>
            <w:pPr>
              <w:pStyle w:val="TableContents"/>
              <w:spacing w:before="0" w:after="283"/>
              <w:jc w:val="left"/>
              <w:rPr/>
            </w:pPr>
            <w:r>
              <w:rPr/>
              <w:t> </w:t>
            </w:r>
          </w:p>
        </w:tc>
        <w:tc>
          <w:tcPr>
            <w:tcW w:w="128"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3" w:type="dxa"/>
            <w:tcBorders>
              <w:bottom w:val="double" w:sz="8" w:space="0" w:color="000000"/>
            </w:tcBorders>
            <w:shd w:fill="FFFFFF" w:val="clear"/>
            <w:vAlign w:val="bottom"/>
          </w:tcPr>
          <w:p>
            <w:pPr>
              <w:pStyle w:val="TableContents"/>
              <w:spacing w:before="0" w:after="283"/>
              <w:ind w:left="162" w:right="0" w:hanging="0"/>
              <w:jc w:val="right"/>
              <w:rPr>
                <w:rFonts w:ascii="times new roman" w:hAnsi="times new roman"/>
                <w:sz w:val="20"/>
              </w:rPr>
            </w:pPr>
            <w:bookmarkStart w:id="2561" w:name="TAB11278"/>
            <w:bookmarkEnd w:id="2561"/>
            <w:r>
              <w:rPr>
                <w:rFonts w:ascii="times new roman" w:hAnsi="times new roman"/>
                <w:sz w:val="20"/>
              </w:rPr>
              <w:t>45,162</w:t>
            </w:r>
          </w:p>
        </w:tc>
        <w:tc>
          <w:tcPr>
            <w:tcW w:w="119"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562" w:name="TAB11279"/>
      <w:bookmarkEnd w:id="2562"/>
      <w:r>
        <w:rPr>
          <w:rFonts w:ascii="Times New Roman" w:hAnsi="Times New Roman"/>
          <w:sz w:val="20"/>
        </w:rPr>
        <w:t>In addition to the above net operating loss carry forwards having expiration dates, we have the following carry forwards that have no expiration date at December 31, 2009:</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63" w:name="list223"/>
      <w:bookmarkStart w:id="2564" w:name="list223"/>
      <w:bookmarkEnd w:id="2564"/>
    </w:p>
    <w:tbl>
      <w:tblPr>
        <w:tblW w:w="5000" w:type="pct"/>
        <w:jc w:val="left"/>
        <w:tblInd w:w="0" w:type="dxa"/>
        <w:tblCellMar>
          <w:top w:w="0" w:type="dxa"/>
          <w:left w:w="0" w:type="dxa"/>
          <w:bottom w:w="0" w:type="dxa"/>
          <w:right w:w="0" w:type="dxa"/>
        </w:tblCellMar>
      </w:tblPr>
      <w:tblGrid>
        <w:gridCol w:w="625"/>
        <w:gridCol w:w="9580"/>
      </w:tblGrid>
      <w:tr>
        <w:trPr/>
        <w:tc>
          <w:tcPr>
            <w:tcW w:w="62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approximately $3.7 million in alternative minimum tax credit carry forwards;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65" w:name="list224"/>
      <w:bookmarkStart w:id="2566" w:name="list224"/>
      <w:bookmarkEnd w:id="2566"/>
    </w:p>
    <w:tbl>
      <w:tblPr>
        <w:tblW w:w="5000" w:type="pct"/>
        <w:jc w:val="left"/>
        <w:tblInd w:w="0" w:type="dxa"/>
        <w:tblCellMar>
          <w:top w:w="0" w:type="dxa"/>
          <w:left w:w="0" w:type="dxa"/>
          <w:bottom w:w="0" w:type="dxa"/>
          <w:right w:w="0" w:type="dxa"/>
        </w:tblCellMar>
      </w:tblPr>
      <w:tblGrid>
        <w:gridCol w:w="717"/>
        <w:gridCol w:w="9488"/>
      </w:tblGrid>
      <w:tr>
        <w:trPr/>
        <w:tc>
          <w:tcPr>
            <w:tcW w:w="7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approximately $57.2 million in Australian loss carry forwards;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67" w:name="list225"/>
      <w:bookmarkStart w:id="2568" w:name="list225"/>
      <w:bookmarkEnd w:id="2568"/>
    </w:p>
    <w:tbl>
      <w:tblPr>
        <w:tblW w:w="5000" w:type="pct"/>
        <w:jc w:val="left"/>
        <w:tblInd w:w="0" w:type="dxa"/>
        <w:tblCellMar>
          <w:top w:w="0" w:type="dxa"/>
          <w:left w:w="0" w:type="dxa"/>
          <w:bottom w:w="0" w:type="dxa"/>
          <w:right w:w="0" w:type="dxa"/>
        </w:tblCellMar>
      </w:tblPr>
      <w:tblGrid>
        <w:gridCol w:w="748"/>
        <w:gridCol w:w="9457"/>
      </w:tblGrid>
      <w:tr>
        <w:trPr/>
        <w:tc>
          <w:tcPr>
            <w:tcW w:w="74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approximately $6.4 million in New Zealand loss carry forwards.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disposed of our Puerto Rico operations during 2005 and plan no further investment in Puerto Rico for the foreseeable future.  We have approximately $22.0 million in Puerto Rico loss carry forwards expiring no later than 2016.  No material future tax benefits from Puerto Rico loss carry forwards can be recognized by the Company unless it re-enters the Puerto Rico market.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expect no other substantial limitations on the future use of U.S. or foreign loss carry forwards except for reductions in unused U.S. loss carry forwards that may occur in connection with the 1996 Tax Audit described in Note 19 - </w:t>
      </w:r>
      <w:r>
        <w:rPr>
          <w:rFonts w:ascii="Times New Roman" w:hAnsi="Times New Roman"/>
          <w:i/>
          <w:sz w:val="20"/>
        </w:rPr>
        <w:t>Commitments and Contingencies</w:t>
      </w:r>
      <w:r>
        <w:rPr>
          <w:rFonts w:ascii="Times New Roman" w:hAnsi="Times New Roman"/>
          <w:sz w:val="20"/>
        </w:rPr>
        <w: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69" w:name="PGBRK88"/>
      <w:bookmarkStart w:id="2570" w:name="PGBRK88"/>
      <w:bookmarkEnd w:id="2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1" w:name="FTR88"/>
      <w:bookmarkStart w:id="2572" w:name="FTR88"/>
      <w:bookmarkEnd w:id="25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73" w:name="GLFTR88"/>
      <w:bookmarkEnd w:id="25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574" w:name="PN88"/>
      <w:bookmarkEnd w:id="2574"/>
      <w:r>
        <w:rPr>
          <w:rFonts w:eastAsia="Times New Roman" w:cs="Times New Roman" w:ascii="Times New Roman" w:hAnsi="Times New Roman"/>
          <w:sz w:val="20"/>
          <w:szCs w:val="20"/>
        </w:rPr>
        <w:t>-88-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575" w:name="HDR88"/>
      <w:bookmarkStart w:id="2576" w:name="HDR88"/>
      <w:bookmarkEnd w:id="2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577" w:name="GLHDR88"/>
        <w:bookmarkEnd w:id="25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firstLine="720"/>
        <w:jc w:val="both"/>
        <w:rPr>
          <w:rFonts w:ascii="Times New Roman" w:hAnsi="Times New Roman"/>
          <w:sz w:val="20"/>
        </w:rPr>
      </w:pPr>
      <w:r>
        <w:rPr>
          <w:rFonts w:ascii="Times New Roman" w:hAnsi="Times New Roman"/>
          <w:sz w:val="20"/>
        </w:rPr>
        <w:t>U.S. income taxes have not been recognized on the temporary differences between book value and tax basis of investment in foreign subsidiaries.  These differences become taxable upon a sale of the subsidiary or upon distribution of assets from the subsidiary to U.S. shareholders.  We expect neither of these events will occur in the foreseeable future for any of our foreign subsidiaries.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provision for income taxes is different from amounts computed by applying U.S. statutory rates to consolidated losses before taxes.  The significant reason for these differences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226"/>
        <w:gridCol w:w="108"/>
        <w:gridCol w:w="125"/>
        <w:gridCol w:w="982"/>
        <w:gridCol w:w="113"/>
        <w:gridCol w:w="108"/>
        <w:gridCol w:w="125"/>
        <w:gridCol w:w="982"/>
        <w:gridCol w:w="113"/>
        <w:gridCol w:w="108"/>
        <w:gridCol w:w="124"/>
        <w:gridCol w:w="967"/>
        <w:gridCol w:w="124"/>
      </w:tblGrid>
      <w:tr>
        <w:trPr/>
        <w:tc>
          <w:tcPr>
            <w:tcW w:w="622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3747"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4" w:type="dxa"/>
            <w:tcBorders/>
            <w:shd w:fill="auto" w:val="clear"/>
            <w:vAlign w:val="bottom"/>
          </w:tcPr>
          <w:p>
            <w:pPr>
              <w:pStyle w:val="TableContents"/>
              <w:spacing w:before="0" w:after="283"/>
              <w:jc w:val="left"/>
              <w:rPr/>
            </w:pPr>
            <w:r>
              <w:rPr/>
              <w:t> </w:t>
            </w:r>
          </w:p>
        </w:tc>
      </w:tr>
      <w:tr>
        <w:trPr/>
        <w:tc>
          <w:tcPr>
            <w:tcW w:w="6226"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0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0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9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4" w:type="dxa"/>
            <w:tcBorders/>
            <w:shd w:fill="auto" w:val="clear"/>
            <w:vAlign w:val="bottom"/>
          </w:tcPr>
          <w:p>
            <w:pPr>
              <w:pStyle w:val="TableContents"/>
              <w:spacing w:before="0" w:after="283"/>
              <w:jc w:val="left"/>
              <w:rPr/>
            </w:pPr>
            <w:r>
              <w:rPr/>
              <w:t> </w:t>
            </w:r>
          </w:p>
        </w:tc>
      </w:tr>
      <w:tr>
        <w:trPr/>
        <w:tc>
          <w:tcPr>
            <w:tcW w:w="6226"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Expected tax provision (benefit)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153" w:right="0" w:hanging="0"/>
              <w:jc w:val="right"/>
              <w:rPr>
                <w:rFonts w:ascii="times new roman" w:hAnsi="times new roman"/>
                <w:sz w:val="20"/>
              </w:rPr>
            </w:pPr>
            <w:bookmarkStart w:id="2578" w:name="TAB11280"/>
            <w:bookmarkEnd w:id="2578"/>
            <w:r>
              <w:rPr>
                <w:rFonts w:ascii="times new roman" w:hAnsi="times new roman"/>
                <w:sz w:val="20"/>
              </w:rPr>
              <w:t>2,817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153" w:right="0" w:hanging="0"/>
              <w:jc w:val="right"/>
              <w:rPr>
                <w:rFonts w:ascii="times new roman" w:hAnsi="times new roman"/>
                <w:sz w:val="20"/>
              </w:rPr>
            </w:pPr>
            <w:bookmarkStart w:id="2579" w:name="TAB11281"/>
            <w:bookmarkEnd w:id="2579"/>
            <w:r>
              <w:rPr>
                <w:rFonts w:ascii="times new roman" w:hAnsi="times new roman"/>
                <w:sz w:val="20"/>
              </w:rPr>
              <w:t>(5,149</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spacing w:before="0" w:after="283"/>
              <w:ind w:left="153" w:right="0" w:hanging="0"/>
              <w:jc w:val="right"/>
              <w:rPr>
                <w:rFonts w:ascii="times new roman" w:hAnsi="times new roman"/>
                <w:sz w:val="20"/>
              </w:rPr>
            </w:pPr>
            <w:bookmarkStart w:id="2580" w:name="TAB11282"/>
            <w:bookmarkEnd w:id="2580"/>
            <w:r>
              <w:rPr>
                <w:rFonts w:ascii="times new roman" w:hAnsi="times new roman"/>
                <w:sz w:val="20"/>
              </w:rPr>
              <w:t>(23</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Reduction (increase) in taxes resulting from:</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96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226" w:type="dxa"/>
            <w:tcBorders/>
            <w:shd w:fill="CCEEFF" w:val="clear"/>
            <w:vAlign w:val="bottom"/>
          </w:tcPr>
          <w:p>
            <w:pPr>
              <w:pStyle w:val="TableContents"/>
              <w:spacing w:before="0" w:after="0"/>
              <w:ind w:left="531" w:right="0" w:hanging="360"/>
              <w:jc w:val="left"/>
              <w:rPr>
                <w:rFonts w:ascii="times new roman" w:hAnsi="times new roman"/>
                <w:sz w:val="20"/>
              </w:rPr>
            </w:pPr>
            <w:bookmarkStart w:id="2581" w:name="TAB11283"/>
            <w:bookmarkEnd w:id="2581"/>
            <w:r>
              <w:rPr>
                <w:rFonts w:ascii="times new roman" w:hAnsi="times new roman"/>
                <w:sz w:val="20"/>
              </w:rPr>
              <w:t>Change in valuation allowance</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(4,509</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4" w:type="dxa"/>
            <w:tcBorders/>
            <w:shd w:fill="CCEEFF" w:val="clear"/>
            <w:vAlign w:val="bottom"/>
          </w:tcPr>
          <w:p>
            <w:pPr>
              <w:pStyle w:val="TableContents"/>
              <w:spacing w:before="0" w:after="283"/>
              <w:jc w:val="left"/>
              <w:rPr/>
            </w:pPr>
            <w:r>
              <w:rPr/>
              <w:t> </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26" w:type="dxa"/>
            <w:tcBorders/>
            <w:shd w:fill="FFFFFF" w:val="clear"/>
            <w:vAlign w:val="bottom"/>
          </w:tcPr>
          <w:p>
            <w:pPr>
              <w:pStyle w:val="TableContents"/>
              <w:spacing w:before="0" w:after="0"/>
              <w:ind w:left="171" w:right="0" w:hanging="0"/>
              <w:jc w:val="left"/>
              <w:rPr>
                <w:rFonts w:ascii="times new roman" w:hAnsi="times new roman"/>
                <w:sz w:val="20"/>
              </w:rPr>
            </w:pPr>
            <w:bookmarkStart w:id="2582" w:name="TAB11284"/>
            <w:bookmarkEnd w:id="2582"/>
            <w:r>
              <w:rPr>
                <w:rFonts w:ascii="times new roman" w:hAnsi="times new roman"/>
                <w:sz w:val="20"/>
              </w:rPr>
              <w:t>Expired foreign loss carry forward</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1,847</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2,283</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jc w:val="left"/>
              <w:rPr/>
            </w:pPr>
            <w:r>
              <w:rPr/>
              <w:t> </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1,760</w:t>
            </w:r>
          </w:p>
        </w:tc>
        <w:tc>
          <w:tcPr>
            <w:tcW w:w="124" w:type="dxa"/>
            <w:tcBorders/>
            <w:shd w:fill="FFFFFF" w:val="clear"/>
            <w:vAlign w:val="bottom"/>
          </w:tcPr>
          <w:p>
            <w:pPr>
              <w:pStyle w:val="TableContents"/>
              <w:spacing w:before="0" w:after="283"/>
              <w:jc w:val="left"/>
              <w:rPr/>
            </w:pPr>
            <w:r>
              <w:rPr/>
              <w:t> </w:t>
            </w:r>
          </w:p>
        </w:tc>
      </w:tr>
      <w:tr>
        <w:trPr/>
        <w:tc>
          <w:tcPr>
            <w:tcW w:w="6226" w:type="dxa"/>
            <w:tcBorders/>
            <w:shd w:fill="CCEEFF" w:val="clear"/>
            <w:vAlign w:val="bottom"/>
          </w:tcPr>
          <w:p>
            <w:pPr>
              <w:pStyle w:val="TableContents"/>
              <w:spacing w:before="0" w:after="0"/>
              <w:ind w:left="171" w:right="0" w:hanging="0"/>
              <w:jc w:val="left"/>
              <w:rPr>
                <w:rFonts w:ascii="times new roman" w:hAnsi="times new roman"/>
                <w:sz w:val="20"/>
              </w:rPr>
            </w:pPr>
            <w:bookmarkStart w:id="2583" w:name="TAB11285"/>
            <w:bookmarkEnd w:id="2583"/>
            <w:r>
              <w:rPr>
                <w:rFonts w:ascii="times new roman" w:hAnsi="times new roman"/>
                <w:sz w:val="20"/>
              </w:rPr>
              <w:t>Foreign tax provision</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942</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1,012</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4" w:type="dxa"/>
            <w:tcBorders/>
            <w:shd w:fill="CCEEFF" w:val="clear"/>
            <w:vAlign w:val="bottom"/>
          </w:tcPr>
          <w:p>
            <w:pPr>
              <w:pStyle w:val="TableContents"/>
              <w:spacing w:before="0" w:after="283"/>
              <w:jc w:val="left"/>
              <w:rPr/>
            </w:pPr>
            <w:r>
              <w:rPr/>
              <w:t> </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1,017</w:t>
            </w:r>
          </w:p>
        </w:tc>
        <w:tc>
          <w:tcPr>
            <w:tcW w:w="124" w:type="dxa"/>
            <w:tcBorders/>
            <w:shd w:fill="CCEEFF" w:val="clear"/>
            <w:vAlign w:val="bottom"/>
          </w:tcPr>
          <w:p>
            <w:pPr>
              <w:pStyle w:val="TableContents"/>
              <w:spacing w:before="0" w:after="283"/>
              <w:jc w:val="left"/>
              <w:rPr/>
            </w:pPr>
            <w:r>
              <w:rPr/>
              <w:t> </w:t>
            </w:r>
          </w:p>
        </w:tc>
      </w:tr>
      <w:tr>
        <w:trPr/>
        <w:tc>
          <w:tcPr>
            <w:tcW w:w="6226" w:type="dxa"/>
            <w:tcBorders/>
            <w:shd w:fill="FFFFFF" w:val="clear"/>
            <w:vAlign w:val="bottom"/>
          </w:tcPr>
          <w:p>
            <w:pPr>
              <w:pStyle w:val="TableContents"/>
              <w:spacing w:before="0" w:after="0"/>
              <w:ind w:left="711" w:right="0" w:hanging="540"/>
              <w:jc w:val="left"/>
              <w:rPr>
                <w:rFonts w:ascii="times new roman" w:hAnsi="times new roman"/>
                <w:sz w:val="20"/>
              </w:rPr>
            </w:pPr>
            <w:bookmarkStart w:id="2584" w:name="TAB11286"/>
            <w:bookmarkEnd w:id="2584"/>
            <w:r>
              <w:rPr>
                <w:rFonts w:ascii="times new roman" w:hAnsi="times new roman"/>
                <w:sz w:val="20"/>
              </w:rPr>
              <w:t>Tax effect of foreign tax rates on current income</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jc w:val="left"/>
              <w:rPr/>
            </w:pPr>
            <w:r>
              <w:rPr/>
              <w:t> </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26" w:type="dxa"/>
            <w:tcBorders/>
            <w:shd w:fill="CCEEFF" w:val="clear"/>
            <w:vAlign w:val="bottom"/>
          </w:tcPr>
          <w:p>
            <w:pPr>
              <w:pStyle w:val="TableContents"/>
              <w:spacing w:before="0" w:after="0"/>
              <w:ind w:left="171" w:right="0" w:hanging="0"/>
              <w:jc w:val="left"/>
              <w:rPr>
                <w:rFonts w:ascii="times new roman" w:hAnsi="times new roman"/>
                <w:sz w:val="20"/>
              </w:rPr>
            </w:pPr>
            <w:bookmarkStart w:id="2585" w:name="TAB11287"/>
            <w:bookmarkEnd w:id="2585"/>
            <w:r>
              <w:rPr>
                <w:rFonts w:ascii="times new roman" w:hAnsi="times new roman"/>
                <w:sz w:val="20"/>
              </w:rPr>
              <w:t>State and local tax provision</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4" w:type="dxa"/>
            <w:tcBorders/>
            <w:shd w:fill="CCEEFF" w:val="clear"/>
            <w:vAlign w:val="bottom"/>
          </w:tcPr>
          <w:p>
            <w:pPr>
              <w:pStyle w:val="TableContents"/>
              <w:spacing w:before="0" w:after="283"/>
              <w:jc w:val="left"/>
              <w:rPr/>
            </w:pPr>
            <w:r>
              <w:rPr/>
              <w:t> </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w:t>
            </w:r>
          </w:p>
        </w:tc>
        <w:tc>
          <w:tcPr>
            <w:tcW w:w="124" w:type="dxa"/>
            <w:tcBorders/>
            <w:shd w:fill="CCEEFF" w:val="clear"/>
            <w:vAlign w:val="bottom"/>
          </w:tcPr>
          <w:p>
            <w:pPr>
              <w:pStyle w:val="TableContents"/>
              <w:spacing w:before="0" w:after="283"/>
              <w:jc w:val="left"/>
              <w:rPr/>
            </w:pPr>
            <w:r>
              <w:rPr/>
              <w:t> </w:t>
            </w:r>
          </w:p>
        </w:tc>
      </w:tr>
      <w:tr>
        <w:trPr/>
        <w:tc>
          <w:tcPr>
            <w:tcW w:w="6226" w:type="dxa"/>
            <w:tcBorders>
              <w:bottom w:val="single" w:sz="12" w:space="0" w:color="000000"/>
            </w:tcBorders>
            <w:shd w:fill="FFFFFF" w:val="clear"/>
            <w:tcMar>
              <w:bottom w:w="28" w:type="dxa"/>
            </w:tcMar>
            <w:vAlign w:val="bottom"/>
          </w:tcPr>
          <w:p>
            <w:pPr>
              <w:pStyle w:val="TableContents"/>
              <w:spacing w:before="0" w:after="0"/>
              <w:ind w:left="171" w:right="0" w:hanging="0"/>
              <w:jc w:val="left"/>
              <w:rPr>
                <w:rFonts w:ascii="times new roman" w:hAnsi="times new roman"/>
                <w:sz w:val="20"/>
              </w:rPr>
            </w:pPr>
            <w:bookmarkStart w:id="2586" w:name="TAB11288"/>
            <w:bookmarkEnd w:id="2586"/>
            <w:r>
              <w:rPr>
                <w:rFonts w:ascii="times new roman" w:hAnsi="times new roman"/>
                <w:sz w:val="20"/>
              </w:rPr>
              <w:t>Other items</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(399</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26" w:type="dxa"/>
            <w:tcBorders>
              <w:bottom w:val="double" w:sz="8" w:space="0" w:color="000000"/>
            </w:tcBorders>
            <w:shd w:fill="CCEEFF" w:val="clear"/>
            <w:tcMar>
              <w:bottom w:w="28"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Actual tax provision</w:t>
            </w:r>
          </w:p>
        </w:tc>
        <w:tc>
          <w:tcPr>
            <w:tcW w:w="10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bottom w:val="double" w:sz="8" w:space="0" w:color="000000"/>
            </w:tcBorders>
            <w:shd w:fill="CCEEFF" w:val="clear"/>
            <w:tcMar>
              <w:bottom w:w="28" w:type="dxa"/>
            </w:tcMar>
            <w:vAlign w:val="bottom"/>
          </w:tcPr>
          <w:p>
            <w:pPr>
              <w:pStyle w:val="TableContents"/>
              <w:spacing w:before="0" w:after="283"/>
              <w:ind w:left="153" w:right="0" w:hanging="0"/>
              <w:jc w:val="right"/>
              <w:rPr>
                <w:rFonts w:ascii="times new roman" w:hAnsi="times new roman"/>
                <w:sz w:val="20"/>
              </w:rPr>
            </w:pPr>
            <w:bookmarkStart w:id="2587" w:name="TAB11289"/>
            <w:bookmarkEnd w:id="2587"/>
            <w:r>
              <w:rPr>
                <w:rFonts w:ascii="times new roman" w:hAnsi="times new roman"/>
                <w:sz w:val="20"/>
              </w:rPr>
              <w:t>1,952</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bottom w:val="double" w:sz="8" w:space="0" w:color="000000"/>
            </w:tcBorders>
            <w:shd w:fill="CCEEFF" w:val="clear"/>
            <w:tcMar>
              <w:bottom w:w="28" w:type="dxa"/>
            </w:tcMar>
            <w:vAlign w:val="bottom"/>
          </w:tcPr>
          <w:p>
            <w:pPr>
              <w:pStyle w:val="TableContents"/>
              <w:spacing w:before="0" w:after="283"/>
              <w:ind w:left="153" w:right="0" w:hanging="0"/>
              <w:jc w:val="right"/>
              <w:rPr>
                <w:rFonts w:ascii="times new roman" w:hAnsi="times new roman"/>
                <w:sz w:val="20"/>
              </w:rPr>
            </w:pPr>
            <w:bookmarkStart w:id="2588" w:name="TAB11290"/>
            <w:bookmarkEnd w:id="2588"/>
            <w:r>
              <w:rPr>
                <w:rFonts w:ascii="times new roman" w:hAnsi="times new roman"/>
                <w:sz w:val="20"/>
              </w:rPr>
              <w:t>2,099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bottom w:val="double" w:sz="8" w:space="0" w:color="000000"/>
            </w:tcBorders>
            <w:shd w:fill="CCEEFF" w:val="clear"/>
            <w:tcMar>
              <w:bottom w:w="28" w:type="dxa"/>
            </w:tcMar>
            <w:vAlign w:val="bottom"/>
          </w:tcPr>
          <w:p>
            <w:pPr>
              <w:pStyle w:val="TableContents"/>
              <w:spacing w:before="0" w:after="283"/>
              <w:ind w:left="153" w:right="0" w:hanging="0"/>
              <w:jc w:val="right"/>
              <w:rPr>
                <w:rFonts w:ascii="times new roman" w:hAnsi="times new roman"/>
                <w:sz w:val="20"/>
              </w:rPr>
            </w:pPr>
            <w:bookmarkStart w:id="2589" w:name="TAB11291"/>
            <w:bookmarkEnd w:id="2589"/>
            <w:r>
              <w:rPr>
                <w:rFonts w:ascii="times new roman" w:hAnsi="times new roman"/>
                <w:sz w:val="20"/>
              </w:rPr>
              <w:t>2,038</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Pursuant to ASC 740-10, a provision should be made for the tax effect of earnings of foreign subsidiaries that are not permanently invested outside the United States.  Our intent is that earnings of our foreign subsidiaries are not permanently invested outside the United States.  No current or cumulative earnings were available for distribution in the Reading New Zealand consolidated group of subsidiaries or in the Puerto Rico subsidiary as of December 31, 2009.  The Reading Australia consolidated group of subsidiaries generated earnings in 2009, but had no cumulative earnings available for distribution.  We have provided $453,000 in foreign withholding taxes connected with these current retained earnings.</w:t>
      </w:r>
    </w:p>
    <w:p>
      <w:pPr>
        <w:pStyle w:val="TextBody"/>
        <w:spacing w:before="0" w:after="0"/>
        <w:ind w:left="0" w:right="0" w:firstLine="720"/>
        <w:jc w:val="both"/>
        <w:rPr/>
      </w:pPr>
      <w:r>
        <w:rPr/>
        <w:t> </w:t>
      </w:r>
      <w:r>
        <w:rPr>
          <w:rFonts w:ascii="Times New Roman" w:hAnsi="Times New Roman"/>
          <w:sz w:val="20"/>
        </w:rPr>
        <w:b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have accrued $12.0 million in income tax liabilities as of December 31, 2009, of which $5.0 million has been classified as income taxes payable and $7.0 million have been classified as non-current tax liabilities.  As part of non-current tax liabilities, we have accrued $6.1 million in accordance with the cumulative probability approach prescribed by FASB ASC 740-10-25 – </w:t>
      </w:r>
      <w:r>
        <w:rPr>
          <w:rFonts w:ascii="Times New Roman" w:hAnsi="Times New Roman"/>
          <w:i/>
          <w:sz w:val="20"/>
        </w:rPr>
        <w:t>Income Taxes - Uncertain Tax Positions</w:t>
      </w:r>
      <w:r>
        <w:rPr>
          <w:rFonts w:ascii="Times New Roman" w:hAnsi="Times New Roman"/>
          <w:sz w:val="20"/>
        </w:rPr>
        <w:t xml:space="preserve"> in connection with the “Appeal of IRS Deficiency Notices” and we believe that the possible total settlement amount will be between $6.1 million and $63.1 million (see Note 19 – </w:t>
      </w:r>
      <w:r>
        <w:rPr>
          <w:rFonts w:ascii="Times New Roman" w:hAnsi="Times New Roman"/>
          <w:i/>
          <w:sz w:val="20"/>
        </w:rPr>
        <w:t>Commitments and Contingencies</w:t>
      </w:r>
      <w:r>
        <w:rPr>
          <w:rFonts w:ascii="Times New Roman" w:hAnsi="Times New Roman"/>
          <w:sz w:val="20"/>
        </w:rPr>
        <w:t xml:space="preserve">).  We believe these amounts represent an adequate provision for o ur income tax exposures, including income tax contingencies related to foreign withholding taxes described in Note 15 – </w:t>
      </w:r>
      <w:r>
        <w:rPr>
          <w:rFonts w:ascii="Times New Roman" w:hAnsi="Times New Roman"/>
          <w:i/>
          <w:sz w:val="20"/>
        </w:rPr>
        <w:t>Other Liabilities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is a summary of the activity related to unrecognized tax benefits, excluding interest and penalties, for the years ending December 31, 2009, December 31, 2008, and December 31, 2007 (dollars in thousands):</w:t>
      </w:r>
    </w:p>
    <w:p>
      <w:pPr>
        <w:pStyle w:val="TextBody"/>
        <w:spacing w:before="0" w:after="0"/>
        <w:ind w:left="0" w:right="0" w:firstLine="720"/>
        <w:jc w:val="both"/>
        <w:rPr/>
      </w:pPr>
      <w:r>
        <w:rPr/>
        <w:t> </w:t>
      </w:r>
    </w:p>
    <w:tbl>
      <w:tblPr>
        <w:tblW w:w="5000" w:type="pct"/>
        <w:jc w:val="left"/>
        <w:tblInd w:w="0" w:type="dxa"/>
        <w:tblCellMar>
          <w:top w:w="0" w:type="dxa"/>
          <w:left w:w="0" w:type="dxa"/>
          <w:bottom w:w="28" w:type="dxa"/>
          <w:right w:w="0" w:type="dxa"/>
        </w:tblCellMar>
      </w:tblPr>
      <w:tblGrid>
        <w:gridCol w:w="5808"/>
        <w:gridCol w:w="110"/>
        <w:gridCol w:w="154"/>
        <w:gridCol w:w="1081"/>
        <w:gridCol w:w="119"/>
        <w:gridCol w:w="110"/>
        <w:gridCol w:w="154"/>
        <w:gridCol w:w="1081"/>
        <w:gridCol w:w="119"/>
        <w:gridCol w:w="110"/>
        <w:gridCol w:w="154"/>
        <w:gridCol w:w="1081"/>
        <w:gridCol w:w="124"/>
      </w:tblGrid>
      <w:tr>
        <w:trPr/>
        <w:tc>
          <w:tcPr>
            <w:tcW w:w="5808" w:type="dxa"/>
            <w:tcBorders>
              <w:bottom w:val="double" w:sz="8" w:space="0" w:color="000000"/>
            </w:tcBorders>
            <w:shd w:fill="auto" w:val="clear"/>
            <w:vAlign w:val="bottom"/>
          </w:tcPr>
          <w:p>
            <w:pPr>
              <w:pStyle w:val="TableContents"/>
              <w:spacing w:before="0" w:after="283"/>
              <w:rPr/>
            </w:pPr>
            <w:r>
              <w:rPr/>
              <w:t xml:space="preserve">  </w:t>
            </w:r>
          </w:p>
        </w:tc>
        <w:tc>
          <w:tcPr>
            <w:tcW w:w="110" w:type="dxa"/>
            <w:tcBorders/>
            <w:shd w:fill="auto" w:val="clear"/>
            <w:tcMar>
              <w:bottom w:w="0" w:type="dxa"/>
            </w:tcMar>
            <w:vAlign w:val="bottom"/>
          </w:tcPr>
          <w:p>
            <w:pPr>
              <w:pStyle w:val="TableContents"/>
              <w:spacing w:before="0" w:after="283"/>
              <w:rPr/>
            </w:pPr>
            <w:r>
              <w:rPr/>
              <w:t> </w:t>
            </w:r>
          </w:p>
        </w:tc>
        <w:tc>
          <w:tcPr>
            <w:tcW w:w="123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tc>
        <w:tc>
          <w:tcPr>
            <w:tcW w:w="119"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3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2008</w:t>
            </w:r>
          </w:p>
        </w:tc>
        <w:tc>
          <w:tcPr>
            <w:tcW w:w="119"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3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2007</w:t>
            </w:r>
          </w:p>
        </w:tc>
        <w:tc>
          <w:tcPr>
            <w:tcW w:w="124" w:type="dxa"/>
            <w:tcBorders/>
            <w:shd w:fill="auto" w:val="clear"/>
            <w:tcMar>
              <w:bottom w:w="0" w:type="dxa"/>
            </w:tcMar>
            <w:vAlign w:val="bottom"/>
          </w:tcPr>
          <w:p>
            <w:pPr>
              <w:pStyle w:val="TableContents"/>
              <w:spacing w:before="0" w:after="283"/>
              <w:jc w:val="left"/>
              <w:rPr/>
            </w:pPr>
            <w:r>
              <w:rPr/>
              <w:t> </w:t>
            </w:r>
          </w:p>
        </w:tc>
      </w:tr>
      <w:tr>
        <w:trPr/>
        <w:tc>
          <w:tcPr>
            <w:tcW w:w="580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Unrecognized tax benefits – gross beginning balance</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2590" w:name="TAB11292"/>
            <w:bookmarkEnd w:id="2590"/>
            <w:r>
              <w:rPr>
                <w:rFonts w:ascii="times new roman" w:hAnsi="times new roman"/>
                <w:sz w:val="20"/>
              </w:rPr>
              <w:t>11,271</w:t>
            </w:r>
          </w:p>
        </w:tc>
        <w:tc>
          <w:tcPr>
            <w:tcW w:w="119"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2591" w:name="TAB11293"/>
            <w:bookmarkEnd w:id="2591"/>
            <w:r>
              <w:rPr>
                <w:rFonts w:ascii="times new roman" w:hAnsi="times new roman"/>
                <w:sz w:val="20"/>
              </w:rPr>
              <w:t>11,417</w:t>
            </w:r>
          </w:p>
        </w:tc>
        <w:tc>
          <w:tcPr>
            <w:tcW w:w="119"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2592" w:name="TAB11294"/>
            <w:bookmarkEnd w:id="2592"/>
            <w:r>
              <w:rPr>
                <w:rFonts w:ascii="times new roman" w:hAnsi="times new roman"/>
                <w:sz w:val="20"/>
              </w:rPr>
              <w:t>10,857</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80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Gross increases – prior period tax provisions</w:t>
            </w:r>
          </w:p>
        </w:tc>
        <w:tc>
          <w:tcPr>
            <w:tcW w:w="110" w:type="dxa"/>
            <w:tcBorders/>
            <w:shd w:fill="FFFFFF" w:val="clear"/>
            <w:tcMar>
              <w:bottom w:w="0" w:type="dxa"/>
            </w:tcMar>
            <w:vAlign w:val="bottom"/>
          </w:tcPr>
          <w:p>
            <w:pPr>
              <w:pStyle w:val="TableContents"/>
              <w:spacing w:before="0" w:after="283"/>
              <w:jc w:val="left"/>
              <w:rPr/>
            </w:pPr>
            <w:r>
              <w:rPr/>
              <w:t> </w:t>
            </w:r>
          </w:p>
        </w:tc>
        <w:tc>
          <w:tcPr>
            <w:tcW w:w="154" w:type="dxa"/>
            <w:tcBorders/>
            <w:shd w:fill="FFFFFF" w:val="clear"/>
            <w:tcMar>
              <w:bottom w:w="0" w:type="dxa"/>
            </w:tcMar>
            <w:vAlign w:val="bottom"/>
          </w:tcPr>
          <w:p>
            <w:pPr>
              <w:pStyle w:val="TableContents"/>
              <w:spacing w:before="0" w:after="283"/>
              <w:jc w:val="left"/>
              <w:rPr/>
            </w:pPr>
            <w:r>
              <w:rPr/>
              <w:t> </w:t>
            </w:r>
          </w:p>
        </w:tc>
        <w:tc>
          <w:tcPr>
            <w:tcW w:w="108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19"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54" w:type="dxa"/>
            <w:tcBorders/>
            <w:shd w:fill="FFFFFF" w:val="clear"/>
            <w:tcMar>
              <w:bottom w:w="0" w:type="dxa"/>
            </w:tcMar>
            <w:vAlign w:val="bottom"/>
          </w:tcPr>
          <w:p>
            <w:pPr>
              <w:pStyle w:val="TableContents"/>
              <w:spacing w:before="0" w:after="283"/>
              <w:jc w:val="left"/>
              <w:rPr/>
            </w:pPr>
            <w:r>
              <w:rPr/>
              <w:t> </w:t>
            </w:r>
          </w:p>
        </w:tc>
        <w:tc>
          <w:tcPr>
            <w:tcW w:w="108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54" w:type="dxa"/>
            <w:tcBorders/>
            <w:shd w:fill="FFFFFF" w:val="clear"/>
            <w:tcMar>
              <w:bottom w:w="0" w:type="dxa"/>
            </w:tcMar>
            <w:vAlign w:val="bottom"/>
          </w:tcPr>
          <w:p>
            <w:pPr>
              <w:pStyle w:val="TableContents"/>
              <w:spacing w:before="0" w:after="283"/>
              <w:jc w:val="left"/>
              <w:rPr/>
            </w:pPr>
            <w:r>
              <w:rPr/>
              <w:t> </w:t>
            </w:r>
          </w:p>
        </w:tc>
        <w:tc>
          <w:tcPr>
            <w:tcW w:w="108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80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Gross decreases – prior period tax positions</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shd w:fill="CCEEFF" w:val="clear"/>
            <w:tcMar>
              <w:bottom w:w="0" w:type="dxa"/>
            </w:tcMar>
            <w:vAlign w:val="bottom"/>
          </w:tcPr>
          <w:p>
            <w:pPr>
              <w:pStyle w:val="TableContents"/>
              <w:spacing w:before="0" w:after="283"/>
              <w:jc w:val="left"/>
              <w:rPr/>
            </w:pPr>
            <w:r>
              <w:rPr/>
              <w:t> </w:t>
            </w:r>
          </w:p>
        </w:tc>
        <w:tc>
          <w:tcPr>
            <w:tcW w:w="108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shd w:fill="CCEEFF" w:val="clear"/>
            <w:tcMar>
              <w:bottom w:w="0" w:type="dxa"/>
            </w:tcMar>
            <w:vAlign w:val="bottom"/>
          </w:tcPr>
          <w:p>
            <w:pPr>
              <w:pStyle w:val="TableContents"/>
              <w:spacing w:before="0" w:after="283"/>
              <w:jc w:val="left"/>
              <w:rPr/>
            </w:pPr>
            <w:r>
              <w:rPr/>
              <w:t> </w:t>
            </w:r>
          </w:p>
        </w:tc>
        <w:tc>
          <w:tcPr>
            <w:tcW w:w="108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(146</w:t>
            </w:r>
          </w:p>
        </w:tc>
        <w:tc>
          <w:tcPr>
            <w:tcW w:w="1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shd w:fill="CCEEFF" w:val="clear"/>
            <w:tcMar>
              <w:bottom w:w="0" w:type="dxa"/>
            </w:tcMar>
            <w:vAlign w:val="bottom"/>
          </w:tcPr>
          <w:p>
            <w:pPr>
              <w:pStyle w:val="TableContents"/>
              <w:spacing w:before="0" w:after="283"/>
              <w:jc w:val="left"/>
              <w:rPr/>
            </w:pPr>
            <w:r>
              <w:rPr/>
              <w:t> </w:t>
            </w:r>
          </w:p>
        </w:tc>
        <w:tc>
          <w:tcPr>
            <w:tcW w:w="108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80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Gross increases – current period tax positions</w:t>
            </w:r>
          </w:p>
        </w:tc>
        <w:tc>
          <w:tcPr>
            <w:tcW w:w="110" w:type="dxa"/>
            <w:tcBorders/>
            <w:shd w:fill="FFFFFF" w:val="clear"/>
            <w:tcMar>
              <w:bottom w:w="0" w:type="dxa"/>
            </w:tcMar>
            <w:vAlign w:val="bottom"/>
          </w:tcPr>
          <w:p>
            <w:pPr>
              <w:pStyle w:val="TableContents"/>
              <w:spacing w:before="0" w:after="283"/>
              <w:jc w:val="left"/>
              <w:rPr/>
            </w:pPr>
            <w:r>
              <w:rPr/>
              <w:t> </w:t>
            </w:r>
          </w:p>
        </w:tc>
        <w:tc>
          <w:tcPr>
            <w:tcW w:w="154" w:type="dxa"/>
            <w:tcBorders/>
            <w:shd w:fill="FFFFFF" w:val="clear"/>
            <w:tcMar>
              <w:bottom w:w="0" w:type="dxa"/>
            </w:tcMar>
            <w:vAlign w:val="bottom"/>
          </w:tcPr>
          <w:p>
            <w:pPr>
              <w:pStyle w:val="TableContents"/>
              <w:spacing w:before="0" w:after="283"/>
              <w:jc w:val="left"/>
              <w:rPr/>
            </w:pPr>
            <w:r>
              <w:rPr/>
              <w:t> </w:t>
            </w:r>
          </w:p>
        </w:tc>
        <w:tc>
          <w:tcPr>
            <w:tcW w:w="108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119"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54" w:type="dxa"/>
            <w:tcBorders/>
            <w:shd w:fill="FFFFFF" w:val="clear"/>
            <w:tcMar>
              <w:bottom w:w="0" w:type="dxa"/>
            </w:tcMar>
            <w:vAlign w:val="bottom"/>
          </w:tcPr>
          <w:p>
            <w:pPr>
              <w:pStyle w:val="TableContents"/>
              <w:spacing w:before="0" w:after="283"/>
              <w:jc w:val="left"/>
              <w:rPr/>
            </w:pPr>
            <w:r>
              <w:rPr/>
              <w:t> </w:t>
            </w:r>
          </w:p>
        </w:tc>
        <w:tc>
          <w:tcPr>
            <w:tcW w:w="108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54" w:type="dxa"/>
            <w:tcBorders/>
            <w:shd w:fill="FFFFFF" w:val="clear"/>
            <w:tcMar>
              <w:bottom w:w="0" w:type="dxa"/>
            </w:tcMar>
            <w:vAlign w:val="bottom"/>
          </w:tcPr>
          <w:p>
            <w:pPr>
              <w:pStyle w:val="TableContents"/>
              <w:spacing w:before="0" w:after="283"/>
              <w:jc w:val="left"/>
              <w:rPr/>
            </w:pPr>
            <w:r>
              <w:rPr/>
              <w:t> </w:t>
            </w:r>
          </w:p>
        </w:tc>
        <w:tc>
          <w:tcPr>
            <w:tcW w:w="108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513</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80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Settlements</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shd w:fill="CCEEFF" w:val="clear"/>
            <w:tcMar>
              <w:bottom w:w="0" w:type="dxa"/>
            </w:tcMar>
            <w:vAlign w:val="bottom"/>
          </w:tcPr>
          <w:p>
            <w:pPr>
              <w:pStyle w:val="TableContents"/>
              <w:spacing w:before="0" w:after="283"/>
              <w:jc w:val="left"/>
              <w:rPr/>
            </w:pPr>
            <w:r>
              <w:rPr/>
              <w:t> </w:t>
            </w:r>
          </w:p>
        </w:tc>
        <w:tc>
          <w:tcPr>
            <w:tcW w:w="108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shd w:fill="CCEEFF" w:val="clear"/>
            <w:tcMar>
              <w:bottom w:w="0" w:type="dxa"/>
            </w:tcMar>
            <w:vAlign w:val="bottom"/>
          </w:tcPr>
          <w:p>
            <w:pPr>
              <w:pStyle w:val="TableContents"/>
              <w:spacing w:before="0" w:after="283"/>
              <w:jc w:val="left"/>
              <w:rPr/>
            </w:pPr>
            <w:r>
              <w:rPr/>
              <w:t> </w:t>
            </w:r>
          </w:p>
        </w:tc>
        <w:tc>
          <w:tcPr>
            <w:tcW w:w="108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shd w:fill="CCEEFF" w:val="clear"/>
            <w:tcMar>
              <w:bottom w:w="0" w:type="dxa"/>
            </w:tcMar>
            <w:vAlign w:val="bottom"/>
          </w:tcPr>
          <w:p>
            <w:pPr>
              <w:pStyle w:val="TableContents"/>
              <w:spacing w:before="0" w:after="283"/>
              <w:jc w:val="left"/>
              <w:rPr/>
            </w:pPr>
            <w:r>
              <w:rPr/>
              <w:t> </w:t>
            </w:r>
          </w:p>
        </w:tc>
        <w:tc>
          <w:tcPr>
            <w:tcW w:w="108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808"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Statute of limitations lapse</w:t>
            </w:r>
          </w:p>
        </w:tc>
        <w:tc>
          <w:tcPr>
            <w:tcW w:w="110" w:type="dxa"/>
            <w:tcBorders/>
            <w:shd w:fill="FFFFFF" w:val="clear"/>
            <w:tcMar>
              <w:bottom w:w="0" w:type="dxa"/>
            </w:tcMar>
            <w:vAlign w:val="bottom"/>
          </w:tcPr>
          <w:p>
            <w:pPr>
              <w:pStyle w:val="TableContents"/>
              <w:spacing w:before="0" w:after="283"/>
              <w:jc w:val="left"/>
              <w:rPr/>
            </w:pPr>
            <w:r>
              <w:rPr/>
              <w:t> </w:t>
            </w:r>
          </w:p>
        </w:tc>
        <w:tc>
          <w:tcPr>
            <w:tcW w:w="154" w:type="dxa"/>
            <w:tcBorders>
              <w:bottom w:val="single" w:sz="12" w:space="0" w:color="000000"/>
            </w:tcBorders>
            <w:shd w:fill="FFFFFF" w:val="clear"/>
            <w:vAlign w:val="bottom"/>
          </w:tcPr>
          <w:p>
            <w:pPr>
              <w:pStyle w:val="TableContents"/>
              <w:spacing w:before="0" w:after="283"/>
              <w:jc w:val="left"/>
              <w:rPr/>
            </w:pPr>
            <w:r>
              <w:rPr/>
              <w:t> </w:t>
            </w:r>
          </w:p>
        </w:tc>
        <w:tc>
          <w:tcPr>
            <w:tcW w:w="108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tcMar>
              <w:bottom w:w="0" w:type="dxa"/>
            </w:tcMar>
            <w:vAlign w:val="bottom"/>
          </w:tcPr>
          <w:p>
            <w:pPr>
              <w:pStyle w:val="TableContents"/>
              <w:spacing w:before="0" w:after="283"/>
              <w:jc w:val="left"/>
              <w:rPr/>
            </w:pPr>
            <w:r>
              <w:rPr/>
              <w:t> </w:t>
            </w:r>
          </w:p>
        </w:tc>
        <w:tc>
          <w:tcPr>
            <w:tcW w:w="154" w:type="dxa"/>
            <w:tcBorders>
              <w:bottom w:val="single" w:sz="12" w:space="0" w:color="000000"/>
            </w:tcBorders>
            <w:shd w:fill="FFFFFF" w:val="clear"/>
            <w:vAlign w:val="bottom"/>
          </w:tcPr>
          <w:p>
            <w:pPr>
              <w:pStyle w:val="TableContents"/>
              <w:spacing w:before="0" w:after="283"/>
              <w:jc w:val="left"/>
              <w:rPr/>
            </w:pPr>
            <w:r>
              <w:rPr/>
              <w:t> </w:t>
            </w:r>
          </w:p>
        </w:tc>
        <w:tc>
          <w:tcPr>
            <w:tcW w:w="108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54" w:type="dxa"/>
            <w:tcBorders>
              <w:bottom w:val="single" w:sz="12" w:space="0" w:color="000000"/>
            </w:tcBorders>
            <w:shd w:fill="FFFFFF" w:val="clear"/>
            <w:vAlign w:val="bottom"/>
          </w:tcPr>
          <w:p>
            <w:pPr>
              <w:pStyle w:val="TableContents"/>
              <w:spacing w:before="0" w:after="283"/>
              <w:jc w:val="left"/>
              <w:rPr/>
            </w:pPr>
            <w:r>
              <w:rPr/>
              <w:t> </w:t>
            </w:r>
          </w:p>
        </w:tc>
        <w:tc>
          <w:tcPr>
            <w:tcW w:w="108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808"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Unrecognized tax benefits – gross ending balance</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bottom w:val="double" w:sz="8" w:space="0" w:color="000000"/>
            </w:tcBorders>
            <w:shd w:fill="CCEEFF" w:val="clear"/>
            <w:vAlign w:val="bottom"/>
          </w:tcPr>
          <w:p>
            <w:pPr>
              <w:pStyle w:val="TableContents"/>
              <w:spacing w:before="0" w:after="283"/>
              <w:jc w:val="left"/>
              <w:rPr/>
            </w:pPr>
            <w:r>
              <w:rPr/>
              <w:t> </w:t>
            </w:r>
          </w:p>
        </w:tc>
        <w:tc>
          <w:tcPr>
            <w:tcW w:w="1081" w:type="dxa"/>
            <w:tcBorders>
              <w:bottom w:val="double" w:sz="8" w:space="0" w:color="000000"/>
            </w:tcBorders>
            <w:shd w:fill="CCEEFF" w:val="clear"/>
            <w:vAlign w:val="bottom"/>
          </w:tcPr>
          <w:p>
            <w:pPr>
              <w:pStyle w:val="TableContents"/>
              <w:spacing w:before="0" w:after="283"/>
              <w:ind w:left="209" w:right="0" w:hanging="0"/>
              <w:jc w:val="right"/>
              <w:rPr>
                <w:rFonts w:ascii="times new roman" w:hAnsi="times new roman"/>
                <w:sz w:val="20"/>
              </w:rPr>
            </w:pPr>
            <w:bookmarkStart w:id="2593" w:name="TAB11295"/>
            <w:bookmarkEnd w:id="2593"/>
            <w:r>
              <w:rPr>
                <w:rFonts w:ascii="times new roman" w:hAnsi="times new roman"/>
                <w:sz w:val="20"/>
              </w:rPr>
              <w:t>11,412</w:t>
            </w:r>
          </w:p>
        </w:tc>
        <w:tc>
          <w:tcPr>
            <w:tcW w:w="119"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bottom w:val="double" w:sz="8" w:space="0" w:color="000000"/>
            </w:tcBorders>
            <w:shd w:fill="CCEEFF" w:val="clear"/>
            <w:vAlign w:val="bottom"/>
          </w:tcPr>
          <w:p>
            <w:pPr>
              <w:pStyle w:val="TableContents"/>
              <w:spacing w:before="0" w:after="283"/>
              <w:jc w:val="left"/>
              <w:rPr/>
            </w:pPr>
            <w:r>
              <w:rPr/>
              <w:t> </w:t>
            </w:r>
          </w:p>
        </w:tc>
        <w:tc>
          <w:tcPr>
            <w:tcW w:w="1081" w:type="dxa"/>
            <w:tcBorders>
              <w:bottom w:val="double" w:sz="8" w:space="0" w:color="000000"/>
            </w:tcBorders>
            <w:shd w:fill="CCEEFF" w:val="clear"/>
            <w:vAlign w:val="bottom"/>
          </w:tcPr>
          <w:p>
            <w:pPr>
              <w:pStyle w:val="TableContents"/>
              <w:spacing w:before="0" w:after="283"/>
              <w:ind w:left="209" w:right="0" w:hanging="0"/>
              <w:jc w:val="right"/>
              <w:rPr>
                <w:rFonts w:ascii="times new roman" w:hAnsi="times new roman"/>
                <w:sz w:val="20"/>
              </w:rPr>
            </w:pPr>
            <w:bookmarkStart w:id="2594" w:name="TAB11296"/>
            <w:bookmarkEnd w:id="2594"/>
            <w:r>
              <w:rPr>
                <w:rFonts w:ascii="times new roman" w:hAnsi="times new roman"/>
                <w:sz w:val="20"/>
              </w:rPr>
              <w:t>11,271</w:t>
            </w:r>
          </w:p>
        </w:tc>
        <w:tc>
          <w:tcPr>
            <w:tcW w:w="119"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54" w:type="dxa"/>
            <w:tcBorders>
              <w:bottom w:val="double" w:sz="8" w:space="0" w:color="000000"/>
            </w:tcBorders>
            <w:shd w:fill="CCEEFF" w:val="clear"/>
            <w:vAlign w:val="bottom"/>
          </w:tcPr>
          <w:p>
            <w:pPr>
              <w:pStyle w:val="TableContents"/>
              <w:spacing w:before="0" w:after="283"/>
              <w:jc w:val="left"/>
              <w:rPr/>
            </w:pPr>
            <w:r>
              <w:rPr/>
              <w:t> </w:t>
            </w:r>
          </w:p>
        </w:tc>
        <w:tc>
          <w:tcPr>
            <w:tcW w:w="1081" w:type="dxa"/>
            <w:tcBorders>
              <w:bottom w:val="double" w:sz="8" w:space="0" w:color="000000"/>
            </w:tcBorders>
            <w:shd w:fill="CCEEFF" w:val="clear"/>
            <w:vAlign w:val="bottom"/>
          </w:tcPr>
          <w:p>
            <w:pPr>
              <w:pStyle w:val="TableContents"/>
              <w:spacing w:before="0" w:after="283"/>
              <w:ind w:left="209" w:right="0" w:hanging="0"/>
              <w:jc w:val="right"/>
              <w:rPr>
                <w:rFonts w:ascii="times new roman" w:hAnsi="times new roman"/>
                <w:sz w:val="20"/>
              </w:rPr>
            </w:pPr>
            <w:bookmarkStart w:id="2595" w:name="TAB11297"/>
            <w:bookmarkEnd w:id="2595"/>
            <w:r>
              <w:rPr>
                <w:rFonts w:ascii="times new roman" w:hAnsi="times new roman"/>
                <w:sz w:val="20"/>
              </w:rPr>
              <w:t>11,417</w:t>
            </w:r>
          </w:p>
        </w:tc>
        <w:tc>
          <w:tcPr>
            <w:tcW w:w="124"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adopted FASB ASC 740-10-25 – </w:t>
      </w:r>
      <w:r>
        <w:rPr>
          <w:rFonts w:ascii="Times New Roman" w:hAnsi="Times New Roman"/>
          <w:i/>
          <w:sz w:val="20"/>
        </w:rPr>
        <w:t>Income Taxes - Uncertain Tax Positions</w:t>
      </w:r>
      <w:r>
        <w:rPr>
          <w:rFonts w:ascii="Times New Roman" w:hAnsi="Times New Roman"/>
          <w:sz w:val="20"/>
        </w:rPr>
        <w:t xml:space="preserve"> (“ASC 740-10-25”) on January 1, 2007.  As a result, we recognized a $509,000 cumulative increase to reserves for uncertain tax positions, which was accounted for as an adjustment to the beginning balance of accumulated deficit in 2007.  As of that date, we also reclassified approximately $4.0 million in reserves from current taxes liabilities to noncurrent tax liabilities.  Interest and/or penalties related to income tax matters are recorded as part of income tax expense.  We had approximately $10.8 million of gross tax benefits and $1.7 million of tax interest unrecognized on the financial statements as of the date of adoption, mostly reflecting opera ting loss carry forwards and the IRS litigation matter described below.  Of the $12.5 million total gross unrecognized tax benefits at January 1, 2007, $4.5 million would impact the effective tax rate if recognized.  The remaining balance consists of items that would not impact the effective tax rate due to the existence of the valuation allowance.  We recorded an increase to our gross unrecognized tax benefits of approximately $0.6 million and an increase to tax interest of approximately $0.6 million during the period January 1, 2007 to December 31, 2007.  Of the $11.3 million gross unrecognized tax benefit at December 31, 2008, $3.1 million would impact the effective rate if recognized.  We further recorded a decrease to our gross unrecognized tax benefits of approximately $0.1 million and an increase to tax interest of approximately $0.9 million during the period January 1, 2008 to December 31, 2008, and the total balance at December 31, 2008 was approxima tely $14.5 million (of which approximately $3.2 million represents IRS interest).  We further recorded an increase to our gross unrecognized tax benefits of approximately $0.2 million and an increase to tax interest of approximately $0.6 million during the period January 1, 2009 to December 31, 2009, and the total balance at December 31, 2009 was approximately $15.3 million (of which approximately $3.8 million represents IRS interest).  Of the $11.4 million gross unrecognized tax benefit at December 31, 2009, $3.2 million would impact the effective tax rate if recognized.</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96" w:name="PGBRK89"/>
      <w:bookmarkStart w:id="2597" w:name="PGBRK89"/>
      <w:bookmarkEnd w:id="2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8" w:name="FTR89"/>
      <w:bookmarkStart w:id="2599" w:name="FTR89"/>
      <w:bookmarkEnd w:id="2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00" w:name="GLFTR89"/>
      <w:bookmarkEnd w:id="26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601" w:name="PN89"/>
      <w:bookmarkEnd w:id="2601"/>
      <w:r>
        <w:rPr>
          <w:rFonts w:eastAsia="Times New Roman" w:cs="Times New Roman" w:ascii="Times New Roman" w:hAnsi="Times New Roman"/>
          <w:sz w:val="20"/>
          <w:szCs w:val="20"/>
        </w:rPr>
        <w:t>-89-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602" w:name="HDR89"/>
      <w:bookmarkStart w:id="2603" w:name="HDR89"/>
      <w:bookmarkEnd w:id="2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604" w:name="GLHDR89"/>
        <w:bookmarkEnd w:id="260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Our company and subsidiaries are subject to U.S. federal income tax, income tax in various U.S. states, and income tax in Australia, New Zealand, and Puerto Rico.</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Generally, changes to our federal and most state income tax returns for the calendar year 2005 and earlier are barred by statutes of limitations.  Certain domestic subsidiaries filed federal and state tax returns for periods before these entities became consolidated with us.  These subsidiaries were examined by IRS for the years 1996 to 1999 and significant tax deficiencies were assessed for those years.  We are contesting these deficiencies in Tax Court.  Our income tax returns of Australia filed since inception in 1995 are open for examination.  The income tax returns filed in New Zealand and Puerto Rico for calendar year 2004 and afterward generally remain open for examination as of December 31, 2009.  The income tax returns of certain New Zealand subsidiaries had been und er examination for years 2002 through 2004 but the examination has concluded with no material tax assessment.</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anticipate that within 12 months following December 31, 2009 our gross unrecognized tax benefits will decrease by approximately $8.2 million, reflecting a reduction in available loss carryforwards related to the 1996 Tax Audit described in Note 19 – </w:t>
      </w:r>
      <w:r>
        <w:rPr>
          <w:rFonts w:ascii="Times New Roman" w:hAnsi="Times New Roman"/>
          <w:i/>
          <w:sz w:val="20"/>
        </w:rPr>
        <w:t>Commitments and Contingencies.  </w:t>
      </w:r>
      <w:r>
        <w:rPr>
          <w:rFonts w:ascii="Times New Roman" w:hAnsi="Times New Roman"/>
          <w:sz w:val="20"/>
        </w:rPr>
        <w:t>Because of valuation allowances, the decrease will not impact the effective tax rate.  We anticipate no other significant change to our gross unrecognized tax benefits caused by settlement of audits or expiration of statutes of limitations.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15 – Other Liabilities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Other liabilities are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79"/>
        <w:gridCol w:w="110"/>
        <w:gridCol w:w="127"/>
        <w:gridCol w:w="1006"/>
        <w:gridCol w:w="115"/>
        <w:gridCol w:w="110"/>
        <w:gridCol w:w="127"/>
        <w:gridCol w:w="1006"/>
        <w:gridCol w:w="125"/>
      </w:tblGrid>
      <w:tr>
        <w:trPr/>
        <w:tc>
          <w:tcPr>
            <w:tcW w:w="7479"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49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5" w:type="dxa"/>
            <w:tcBorders/>
            <w:shd w:fill="auto" w:val="clear"/>
            <w:vAlign w:val="bottom"/>
          </w:tcPr>
          <w:p>
            <w:pPr>
              <w:pStyle w:val="TableContents"/>
              <w:spacing w:before="0" w:after="283"/>
              <w:jc w:val="left"/>
              <w:rPr/>
            </w:pPr>
            <w:r>
              <w:rPr/>
              <w:t> </w:t>
            </w:r>
          </w:p>
        </w:tc>
      </w:tr>
      <w:tr>
        <w:trPr/>
        <w:tc>
          <w:tcPr>
            <w:tcW w:w="7479"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13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5" w:type="dxa"/>
            <w:tcBorders/>
            <w:shd w:fill="auto" w:val="clear"/>
            <w:vAlign w:val="bottom"/>
          </w:tcPr>
          <w:p>
            <w:pPr>
              <w:pStyle w:val="TableContents"/>
              <w:spacing w:before="0" w:after="283"/>
              <w:jc w:val="left"/>
              <w:rPr/>
            </w:pPr>
            <w:r>
              <w:rPr/>
              <w:t> </w:t>
            </w:r>
          </w:p>
        </w:tc>
      </w:tr>
      <w:tr>
        <w:trPr/>
        <w:tc>
          <w:tcPr>
            <w:tcW w:w="7479"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Current liabilities</w:t>
            </w:r>
          </w:p>
        </w:tc>
        <w:tc>
          <w:tcPr>
            <w:tcW w:w="110"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7479" w:type="dxa"/>
            <w:tcBorders/>
            <w:shd w:fill="CCEEFF" w:val="clear"/>
            <w:vAlign w:val="bottom"/>
          </w:tcPr>
          <w:p>
            <w:pPr>
              <w:pStyle w:val="TableContents"/>
              <w:spacing w:before="0" w:after="0"/>
              <w:ind w:left="199" w:right="0" w:hanging="0"/>
              <w:jc w:val="both"/>
              <w:rPr>
                <w:rFonts w:ascii="times new roman" w:hAnsi="times new roman"/>
                <w:sz w:val="20"/>
              </w:rPr>
            </w:pPr>
            <w:bookmarkStart w:id="2605" w:name="TAB11298"/>
            <w:bookmarkEnd w:id="2605"/>
            <w:r>
              <w:rPr>
                <w:rFonts w:ascii="times new roman" w:hAnsi="times new roman"/>
                <w:sz w:val="20"/>
              </w:rPr>
              <w:t>Security deposit payable</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shd w:fill="CCEEFF" w:val="clear"/>
            <w:vAlign w:val="bottom"/>
          </w:tcPr>
          <w:p>
            <w:pPr>
              <w:pStyle w:val="TableContents"/>
              <w:spacing w:before="0" w:after="283"/>
              <w:ind w:left="252" w:right="0" w:hanging="0"/>
              <w:jc w:val="right"/>
              <w:rPr>
                <w:rFonts w:ascii="times new roman" w:hAnsi="times new roman"/>
                <w:sz w:val="20"/>
              </w:rPr>
            </w:pPr>
            <w:bookmarkStart w:id="2606" w:name="TAB11299"/>
            <w:bookmarkEnd w:id="2606"/>
            <w:r>
              <w:rPr>
                <w:rFonts w:ascii="times new roman" w:hAnsi="times new roman"/>
                <w:sz w:val="20"/>
              </w:rPr>
              <w:t>143</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shd w:fill="CCEEFF" w:val="clear"/>
            <w:vAlign w:val="bottom"/>
          </w:tcPr>
          <w:p>
            <w:pPr>
              <w:pStyle w:val="TableContents"/>
              <w:spacing w:before="0" w:after="283"/>
              <w:ind w:left="252" w:right="0" w:hanging="0"/>
              <w:jc w:val="right"/>
              <w:rPr>
                <w:rFonts w:ascii="times new roman" w:hAnsi="times new roman"/>
                <w:sz w:val="20"/>
              </w:rPr>
            </w:pPr>
            <w:bookmarkStart w:id="2607" w:name="TAB11300"/>
            <w:bookmarkEnd w:id="2607"/>
            <w:r>
              <w:rPr>
                <w:rFonts w:ascii="times new roman" w:hAnsi="times new roman"/>
                <w:sz w:val="20"/>
              </w:rPr>
              <w:t>210</w:t>
            </w:r>
          </w:p>
        </w:tc>
        <w:tc>
          <w:tcPr>
            <w:tcW w:w="125"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199" w:right="0" w:hanging="0"/>
              <w:jc w:val="both"/>
              <w:rPr>
                <w:rFonts w:ascii="times new roman" w:hAnsi="times new roman"/>
                <w:sz w:val="20"/>
              </w:rPr>
            </w:pPr>
            <w:bookmarkStart w:id="2608" w:name="TAB11301"/>
            <w:bookmarkEnd w:id="2608"/>
            <w:r>
              <w:rPr>
                <w:rFonts w:ascii="times new roman" w:hAnsi="times new roman"/>
                <w:sz w:val="20"/>
              </w:rPr>
              <w:t>Contractual commitment loss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ind w:left="548" w:right="0" w:hanging="0"/>
              <w:jc w:val="right"/>
              <w:rPr>
                <w:rFonts w:ascii="times new roman" w:hAnsi="times new roman"/>
                <w:sz w:val="20"/>
              </w:rPr>
            </w:pPr>
            <w:bookmarkStart w:id="2609" w:name="TAB11302"/>
            <w:bookmarkEnd w:id="2609"/>
            <w:r>
              <w:rPr>
                <w:rFonts w:ascii="times new roman" w:hAnsi="times new roman"/>
                <w:sz w:val="20"/>
              </w:rPr>
              <w:t>321</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ind w:left="705" w:right="0" w:hanging="0"/>
              <w:jc w:val="right"/>
              <w:rPr>
                <w:rFonts w:ascii="times new roman" w:hAnsi="times new roman"/>
                <w:sz w:val="20"/>
              </w:rPr>
            </w:pPr>
            <w:bookmarkStart w:id="2610" w:name="TAB11303"/>
            <w:bookmarkEnd w:id="2610"/>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7479" w:type="dxa"/>
            <w:tcBorders>
              <w:bottom w:val="single" w:sz="12" w:space="0" w:color="000000"/>
            </w:tcBorders>
            <w:shd w:fill="CCEEFF" w:val="clear"/>
            <w:tcMar>
              <w:bottom w:w="28" w:type="dxa"/>
            </w:tcMar>
            <w:vAlign w:val="bottom"/>
          </w:tcPr>
          <w:p>
            <w:pPr>
              <w:pStyle w:val="TableContents"/>
              <w:spacing w:before="0" w:after="0"/>
              <w:ind w:left="199" w:right="0" w:hanging="0"/>
              <w:jc w:val="both"/>
              <w:rPr>
                <w:rFonts w:ascii="times new roman" w:hAnsi="times new roman"/>
                <w:sz w:val="20"/>
              </w:rPr>
            </w:pPr>
            <w:bookmarkStart w:id="2611" w:name="TAB11304"/>
            <w:bookmarkEnd w:id="2611"/>
            <w:r>
              <w:rPr>
                <w:rFonts w:ascii="times new roman" w:hAnsi="times new roman"/>
                <w:sz w:val="20"/>
              </w:rPr>
              <w:t>Other</w:t>
            </w:r>
          </w:p>
        </w:tc>
        <w:tc>
          <w:tcPr>
            <w:tcW w:w="110"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9" w:type="dxa"/>
            <w:tcBorders>
              <w:bottom w:val="single" w:sz="12" w:space="0" w:color="000000"/>
            </w:tcBorders>
            <w:shd w:fill="FFFFFF" w:val="clear"/>
            <w:tcMar>
              <w:bottom w:w="28" w:type="dxa"/>
            </w:tcMar>
            <w:vAlign w:val="bottom"/>
          </w:tcPr>
          <w:p>
            <w:pPr>
              <w:pStyle w:val="TableContents"/>
              <w:spacing w:before="0" w:after="0"/>
              <w:ind w:left="199" w:right="0" w:hanging="0"/>
              <w:jc w:val="both"/>
              <w:rPr>
                <w:rFonts w:ascii="times new roman" w:hAnsi="times new roman"/>
                <w:sz w:val="20"/>
              </w:rPr>
            </w:pPr>
            <w:bookmarkStart w:id="2612" w:name="TAB11305"/>
            <w:bookmarkEnd w:id="2612"/>
            <w:r>
              <w:rPr>
                <w:rFonts w:ascii="times new roman" w:hAnsi="times new roman"/>
                <w:sz w:val="20"/>
              </w:rPr>
              <w:t>Other current liabilities</w:t>
            </w:r>
          </w:p>
        </w:tc>
        <w:tc>
          <w:tcPr>
            <w:tcW w:w="110"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bottom w:val="single" w:sz="12" w:space="0" w:color="000000"/>
            </w:tcBorders>
            <w:shd w:fill="FFFFFF" w:val="clear"/>
            <w:tcMar>
              <w:bottom w:w="28" w:type="dxa"/>
            </w:tcMar>
            <w:vAlign w:val="bottom"/>
          </w:tcPr>
          <w:p>
            <w:pPr>
              <w:pStyle w:val="TableContents"/>
              <w:spacing w:before="0" w:after="283"/>
              <w:ind w:left="252" w:right="0" w:hanging="0"/>
              <w:jc w:val="right"/>
              <w:rPr>
                <w:rFonts w:ascii="times new roman" w:hAnsi="times new roman"/>
                <w:sz w:val="20"/>
              </w:rPr>
            </w:pPr>
            <w:bookmarkStart w:id="2613" w:name="TAB11306"/>
            <w:bookmarkEnd w:id="2613"/>
            <w:r>
              <w:rPr>
                <w:rFonts w:ascii="times new roman" w:hAnsi="times new roman"/>
                <w:sz w:val="20"/>
              </w:rPr>
              <w:t>457</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bottom w:val="single" w:sz="12" w:space="0" w:color="000000"/>
            </w:tcBorders>
            <w:shd w:fill="FFFFFF" w:val="clear"/>
            <w:tcMar>
              <w:bottom w:w="28" w:type="dxa"/>
            </w:tcMar>
            <w:vAlign w:val="bottom"/>
          </w:tcPr>
          <w:p>
            <w:pPr>
              <w:pStyle w:val="TableContents"/>
              <w:spacing w:before="0" w:after="283"/>
              <w:ind w:left="252" w:right="0" w:hanging="0"/>
              <w:jc w:val="right"/>
              <w:rPr>
                <w:rFonts w:ascii="times new roman" w:hAnsi="times new roman"/>
                <w:sz w:val="20"/>
              </w:rPr>
            </w:pPr>
            <w:bookmarkStart w:id="2614" w:name="TAB11307"/>
            <w:bookmarkEnd w:id="2614"/>
            <w:r>
              <w:rPr>
                <w:rFonts w:ascii="times new roman" w:hAnsi="times new roman"/>
                <w:sz w:val="20"/>
              </w:rPr>
              <w:t>201</w:t>
            </w:r>
          </w:p>
        </w:tc>
        <w:tc>
          <w:tcPr>
            <w:tcW w:w="125" w:type="dxa"/>
            <w:tcBorders/>
            <w:shd w:fill="FFFF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Other liabilities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7479" w:type="dxa"/>
            <w:tcBorders/>
            <w:shd w:fill="CCEEFF" w:val="clear"/>
            <w:vAlign w:val="bottom"/>
          </w:tcPr>
          <w:p>
            <w:pPr>
              <w:pStyle w:val="TableContents"/>
              <w:spacing w:before="0" w:after="0"/>
              <w:ind w:left="199" w:right="0" w:hanging="0"/>
              <w:jc w:val="both"/>
              <w:rPr>
                <w:rFonts w:ascii="times new roman" w:hAnsi="times new roman"/>
                <w:sz w:val="20"/>
              </w:rPr>
            </w:pPr>
            <w:bookmarkStart w:id="2615" w:name="TAB11308"/>
            <w:bookmarkEnd w:id="2615"/>
            <w:r>
              <w:rPr>
                <w:rFonts w:ascii="times new roman" w:hAnsi="times new roman"/>
                <w:sz w:val="20"/>
              </w:rPr>
              <w:t>Foreign withholding taxes</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shd w:fill="CCEEFF" w:val="clear"/>
            <w:vAlign w:val="bottom"/>
          </w:tcPr>
          <w:p>
            <w:pPr>
              <w:pStyle w:val="TableContents"/>
              <w:spacing w:before="0" w:after="283"/>
              <w:ind w:left="252" w:right="0" w:hanging="0"/>
              <w:jc w:val="right"/>
              <w:rPr>
                <w:rFonts w:ascii="times new roman" w:hAnsi="times new roman"/>
                <w:sz w:val="20"/>
              </w:rPr>
            </w:pPr>
            <w:bookmarkStart w:id="2616" w:name="TAB11309"/>
            <w:bookmarkEnd w:id="2616"/>
            <w:r>
              <w:rPr>
                <w:rFonts w:ascii="times new roman" w:hAnsi="times new roman"/>
                <w:sz w:val="20"/>
              </w:rPr>
              <w:t>5,944</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shd w:fill="CCEEFF" w:val="clear"/>
            <w:vAlign w:val="bottom"/>
          </w:tcPr>
          <w:p>
            <w:pPr>
              <w:pStyle w:val="TableContents"/>
              <w:spacing w:before="0" w:after="283"/>
              <w:ind w:left="252" w:right="0" w:hanging="0"/>
              <w:jc w:val="right"/>
              <w:rPr>
                <w:rFonts w:ascii="times new roman" w:hAnsi="times new roman"/>
                <w:sz w:val="20"/>
              </w:rPr>
            </w:pPr>
            <w:bookmarkStart w:id="2617" w:name="TAB11310"/>
            <w:bookmarkEnd w:id="2617"/>
            <w:r>
              <w:rPr>
                <w:rFonts w:ascii="times new roman" w:hAnsi="times new roman"/>
                <w:sz w:val="20"/>
              </w:rPr>
              <w:t>5,748</w:t>
            </w:r>
          </w:p>
        </w:tc>
        <w:tc>
          <w:tcPr>
            <w:tcW w:w="125"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199" w:right="0" w:hanging="0"/>
              <w:jc w:val="both"/>
              <w:rPr>
                <w:rFonts w:ascii="times new roman" w:hAnsi="times new roman"/>
                <w:sz w:val="20"/>
              </w:rPr>
            </w:pPr>
            <w:bookmarkStart w:id="2618" w:name="TAB11311"/>
            <w:bookmarkEnd w:id="2618"/>
            <w:r>
              <w:rPr>
                <w:rFonts w:ascii="times new roman" w:hAnsi="times new roman"/>
                <w:sz w:val="20"/>
              </w:rPr>
              <w:t>Straight-line rent liability</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6,199</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5,022</w:t>
            </w:r>
          </w:p>
        </w:tc>
        <w:tc>
          <w:tcPr>
            <w:tcW w:w="125" w:type="dxa"/>
            <w:tcBorders/>
            <w:shd w:fill="FFFFFF" w:val="clear"/>
            <w:vAlign w:val="bottom"/>
          </w:tcPr>
          <w:p>
            <w:pPr>
              <w:pStyle w:val="TableContents"/>
              <w:spacing w:before="0" w:after="283"/>
              <w:jc w:val="left"/>
              <w:rPr/>
            </w:pPr>
            <w:r>
              <w:rPr/>
              <w:t> </w:t>
            </w:r>
          </w:p>
        </w:tc>
      </w:tr>
      <w:tr>
        <w:trPr/>
        <w:tc>
          <w:tcPr>
            <w:tcW w:w="7479" w:type="dxa"/>
            <w:tcBorders/>
            <w:shd w:fill="CCEEFF" w:val="clear"/>
            <w:vAlign w:val="bottom"/>
          </w:tcPr>
          <w:p>
            <w:pPr>
              <w:pStyle w:val="TableContents"/>
              <w:spacing w:before="0" w:after="0"/>
              <w:ind w:left="199" w:right="0" w:hanging="0"/>
              <w:jc w:val="both"/>
              <w:rPr>
                <w:rFonts w:ascii="times new roman" w:hAnsi="times new roman"/>
                <w:sz w:val="20"/>
              </w:rPr>
            </w:pPr>
            <w:bookmarkStart w:id="2619" w:name="TAB11312"/>
            <w:bookmarkEnd w:id="2619"/>
            <w:r>
              <w:rPr>
                <w:rFonts w:ascii="times new roman" w:hAnsi="times new roman"/>
                <w:sz w:val="20"/>
              </w:rPr>
              <w:t>Option liability</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1,117</w:t>
            </w:r>
          </w:p>
        </w:tc>
        <w:tc>
          <w:tcPr>
            <w:tcW w:w="125"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199" w:right="0" w:hanging="0"/>
              <w:jc w:val="both"/>
              <w:rPr>
                <w:rFonts w:ascii="times new roman" w:hAnsi="times new roman"/>
                <w:sz w:val="20"/>
              </w:rPr>
            </w:pPr>
            <w:bookmarkStart w:id="2620" w:name="TAB11313"/>
            <w:bookmarkEnd w:id="2620"/>
            <w:r>
              <w:rPr>
                <w:rFonts w:ascii="times new roman" w:hAnsi="times new roman"/>
                <w:sz w:val="20"/>
              </w:rPr>
              <w:t>Environmental reserve</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25" w:type="dxa"/>
            <w:tcBorders/>
            <w:shd w:fill="FFFFFF" w:val="clear"/>
            <w:vAlign w:val="bottom"/>
          </w:tcPr>
          <w:p>
            <w:pPr>
              <w:pStyle w:val="TableContents"/>
              <w:spacing w:before="0" w:after="283"/>
              <w:jc w:val="left"/>
              <w:rPr/>
            </w:pPr>
            <w:r>
              <w:rPr/>
              <w:t> </w:t>
            </w:r>
          </w:p>
        </w:tc>
      </w:tr>
      <w:tr>
        <w:trPr/>
        <w:tc>
          <w:tcPr>
            <w:tcW w:w="7479" w:type="dxa"/>
            <w:tcBorders/>
            <w:shd w:fill="CCEEFF" w:val="clear"/>
            <w:vAlign w:val="bottom"/>
          </w:tcPr>
          <w:p>
            <w:pPr>
              <w:pStyle w:val="TableContents"/>
              <w:spacing w:before="0" w:after="0"/>
              <w:ind w:left="199" w:right="0" w:hanging="0"/>
              <w:jc w:val="both"/>
              <w:rPr>
                <w:rFonts w:ascii="times new roman" w:hAnsi="times new roman"/>
                <w:sz w:val="20"/>
              </w:rPr>
            </w:pPr>
            <w:bookmarkStart w:id="2621" w:name="TAB11314"/>
            <w:bookmarkEnd w:id="2621"/>
            <w:r>
              <w:rPr>
                <w:rFonts w:ascii="times new roman" w:hAnsi="times new roman"/>
                <w:sz w:val="20"/>
              </w:rPr>
              <w:t>Accrued pension</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3,912</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2,946</w:t>
            </w:r>
          </w:p>
        </w:tc>
        <w:tc>
          <w:tcPr>
            <w:tcW w:w="125"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199" w:right="0" w:hanging="0"/>
              <w:jc w:val="both"/>
              <w:rPr>
                <w:rFonts w:ascii="times new roman" w:hAnsi="times new roman"/>
                <w:sz w:val="20"/>
              </w:rPr>
            </w:pPr>
            <w:bookmarkStart w:id="2622" w:name="TAB11315"/>
            <w:bookmarkEnd w:id="2622"/>
            <w:r>
              <w:rPr>
                <w:rFonts w:ascii="times new roman" w:hAnsi="times new roman"/>
                <w:sz w:val="20"/>
              </w:rPr>
              <w:t>Interest rate swap</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785</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1,439</w:t>
            </w:r>
          </w:p>
        </w:tc>
        <w:tc>
          <w:tcPr>
            <w:tcW w:w="125" w:type="dxa"/>
            <w:tcBorders/>
            <w:shd w:fill="FFFFFF" w:val="clear"/>
            <w:vAlign w:val="bottom"/>
          </w:tcPr>
          <w:p>
            <w:pPr>
              <w:pStyle w:val="TableContents"/>
              <w:spacing w:before="0" w:after="283"/>
              <w:jc w:val="left"/>
              <w:rPr/>
            </w:pPr>
            <w:r>
              <w:rPr/>
              <w:t> </w:t>
            </w:r>
          </w:p>
        </w:tc>
      </w:tr>
      <w:tr>
        <w:trPr/>
        <w:tc>
          <w:tcPr>
            <w:tcW w:w="7479" w:type="dxa"/>
            <w:tcBorders/>
            <w:shd w:fill="CCEEFF" w:val="clear"/>
            <w:vAlign w:val="bottom"/>
          </w:tcPr>
          <w:p>
            <w:pPr>
              <w:pStyle w:val="TableContents"/>
              <w:spacing w:before="0" w:after="0"/>
              <w:ind w:left="199" w:right="0" w:hanging="0"/>
              <w:jc w:val="both"/>
              <w:rPr>
                <w:rFonts w:ascii="times new roman" w:hAnsi="times new roman"/>
                <w:sz w:val="20"/>
              </w:rPr>
            </w:pPr>
            <w:bookmarkStart w:id="2623" w:name="TAB11316"/>
            <w:bookmarkEnd w:id="2623"/>
            <w:r>
              <w:rPr>
                <w:rFonts w:ascii="times new roman" w:hAnsi="times new roman"/>
                <w:sz w:val="20"/>
              </w:rPr>
              <w:t>Acquired leases</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4,042</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4,612</w:t>
            </w:r>
          </w:p>
        </w:tc>
        <w:tc>
          <w:tcPr>
            <w:tcW w:w="125" w:type="dxa"/>
            <w:tcBorders/>
            <w:shd w:fill="CCEEFF" w:val="clear"/>
            <w:vAlign w:val="bottom"/>
          </w:tcPr>
          <w:p>
            <w:pPr>
              <w:pStyle w:val="TableContents"/>
              <w:spacing w:before="0" w:after="283"/>
              <w:jc w:val="left"/>
              <w:rPr/>
            </w:pPr>
            <w:r>
              <w:rPr/>
              <w:t> </w:t>
            </w:r>
          </w:p>
        </w:tc>
      </w:tr>
      <w:tr>
        <w:trPr/>
        <w:tc>
          <w:tcPr>
            <w:tcW w:w="7479" w:type="dxa"/>
            <w:tcBorders/>
            <w:shd w:fill="FFFFFF" w:val="clear"/>
            <w:vAlign w:val="bottom"/>
          </w:tcPr>
          <w:p>
            <w:pPr>
              <w:pStyle w:val="TableContents"/>
              <w:spacing w:before="0" w:after="0"/>
              <w:ind w:left="199" w:right="0" w:hanging="0"/>
              <w:jc w:val="both"/>
              <w:rPr>
                <w:rFonts w:ascii="times new roman" w:hAnsi="times new roman"/>
                <w:sz w:val="20"/>
              </w:rPr>
            </w:pPr>
            <w:bookmarkStart w:id="2624" w:name="TAB11317"/>
            <w:bookmarkEnd w:id="2624"/>
            <w:r>
              <w:rPr>
                <w:rFonts w:ascii="times new roman" w:hAnsi="times new roman"/>
                <w:sz w:val="20"/>
              </w:rPr>
              <w:t>Other payable</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2,603</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7479" w:type="dxa"/>
            <w:tcBorders>
              <w:bottom w:val="single" w:sz="12" w:space="0" w:color="000000"/>
            </w:tcBorders>
            <w:shd w:fill="CCEEFF" w:val="clear"/>
            <w:tcMar>
              <w:bottom w:w="28" w:type="dxa"/>
            </w:tcMar>
            <w:vAlign w:val="bottom"/>
          </w:tcPr>
          <w:p>
            <w:pPr>
              <w:pStyle w:val="TableContents"/>
              <w:spacing w:before="0" w:after="0"/>
              <w:ind w:left="199" w:right="0" w:hanging="0"/>
              <w:jc w:val="both"/>
              <w:rPr>
                <w:rFonts w:ascii="times new roman" w:hAnsi="times new roman"/>
                <w:sz w:val="20"/>
              </w:rPr>
            </w:pPr>
            <w:bookmarkStart w:id="2625" w:name="TAB11318"/>
            <w:bookmarkEnd w:id="2625"/>
            <w:r>
              <w:rPr>
                <w:rFonts w:ascii="times new roman" w:hAnsi="times new roman"/>
                <w:sz w:val="20"/>
              </w:rPr>
              <w:t>Other</w:t>
            </w:r>
          </w:p>
        </w:tc>
        <w:tc>
          <w:tcPr>
            <w:tcW w:w="110"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711</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1,064</w:t>
            </w:r>
          </w:p>
        </w:tc>
        <w:tc>
          <w:tcPr>
            <w:tcW w:w="125" w:type="dxa"/>
            <w:tcBorders/>
            <w:shd w:fill="CCEEFF" w:val="clear"/>
            <w:vAlign w:val="bottom"/>
          </w:tcPr>
          <w:p>
            <w:pPr>
              <w:pStyle w:val="TableContents"/>
              <w:spacing w:before="0" w:after="283"/>
              <w:jc w:val="left"/>
              <w:rPr/>
            </w:pPr>
            <w:r>
              <w:rPr/>
              <w:t> </w:t>
            </w:r>
          </w:p>
        </w:tc>
      </w:tr>
      <w:tr>
        <w:trPr/>
        <w:tc>
          <w:tcPr>
            <w:tcW w:w="7479" w:type="dxa"/>
            <w:tcBorders>
              <w:bottom w:val="double" w:sz="8" w:space="0" w:color="000000"/>
            </w:tcBorders>
            <w:shd w:fill="FFFFFF" w:val="clear"/>
            <w:tcMar>
              <w:bottom w:w="28" w:type="dxa"/>
            </w:tcMar>
            <w:vAlign w:val="bottom"/>
          </w:tcPr>
          <w:p>
            <w:pPr>
              <w:pStyle w:val="TableContents"/>
              <w:spacing w:before="0" w:after="0"/>
              <w:ind w:left="199" w:right="0" w:hanging="0"/>
              <w:jc w:val="left"/>
              <w:rPr>
                <w:rFonts w:ascii="times new roman" w:hAnsi="times new roman"/>
                <w:sz w:val="20"/>
              </w:rPr>
            </w:pPr>
            <w:bookmarkStart w:id="2626" w:name="TAB11319"/>
            <w:bookmarkEnd w:id="2626"/>
            <w:r>
              <w:rPr>
                <w:rFonts w:ascii="times new roman" w:hAnsi="times new roman"/>
                <w:sz w:val="20"/>
              </w:rPr>
              <w:t>Other liabilities</w:t>
            </w:r>
          </w:p>
        </w:tc>
        <w:tc>
          <w:tcPr>
            <w:tcW w:w="110"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bottom w:val="double" w:sz="8" w:space="0" w:color="000000"/>
            </w:tcBorders>
            <w:shd w:fill="FFFFFF" w:val="clear"/>
            <w:tcMar>
              <w:bottom w:w="28" w:type="dxa"/>
            </w:tcMar>
            <w:vAlign w:val="bottom"/>
          </w:tcPr>
          <w:p>
            <w:pPr>
              <w:pStyle w:val="TableContents"/>
              <w:spacing w:before="0" w:after="283"/>
              <w:ind w:left="252" w:right="0" w:hanging="0"/>
              <w:jc w:val="right"/>
              <w:rPr>
                <w:rFonts w:ascii="times new roman" w:hAnsi="times new roman"/>
                <w:sz w:val="20"/>
              </w:rPr>
            </w:pPr>
            <w:bookmarkStart w:id="2627" w:name="TAB11320"/>
            <w:bookmarkEnd w:id="2627"/>
            <w:r>
              <w:rPr>
                <w:rFonts w:ascii="times new roman" w:hAnsi="times new roman"/>
                <w:sz w:val="20"/>
              </w:rPr>
              <w:t>25,852</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bottom w:val="double" w:sz="8" w:space="0" w:color="000000"/>
            </w:tcBorders>
            <w:shd w:fill="FFFFFF" w:val="clear"/>
            <w:tcMar>
              <w:bottom w:w="28" w:type="dxa"/>
            </w:tcMar>
            <w:vAlign w:val="bottom"/>
          </w:tcPr>
          <w:p>
            <w:pPr>
              <w:pStyle w:val="TableContents"/>
              <w:spacing w:before="0" w:after="283"/>
              <w:ind w:left="227" w:right="0" w:hanging="0"/>
              <w:jc w:val="right"/>
              <w:rPr>
                <w:rFonts w:ascii="times new roman" w:hAnsi="times new roman"/>
                <w:sz w:val="20"/>
              </w:rPr>
            </w:pPr>
            <w:bookmarkStart w:id="2628" w:name="TAB11321"/>
            <w:bookmarkEnd w:id="2628"/>
            <w:r>
              <w:rPr>
                <w:rFonts w:ascii="times new roman" w:hAnsi="times new roman"/>
                <w:sz w:val="20"/>
              </w:rPr>
              <w:t>23,604</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16 – Fair Value of Financial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September 2006, the Financial Accounting Standards Board (FASB) issued FASB ASC 820-10 – </w:t>
      </w:r>
      <w:r>
        <w:rPr>
          <w:rFonts w:ascii="Times New Roman" w:hAnsi="Times New Roman"/>
          <w:i/>
          <w:sz w:val="20"/>
        </w:rPr>
        <w:t xml:space="preserve">Fair Value Measurements and Disclosures </w:t>
      </w:r>
      <w:r>
        <w:rPr>
          <w:rFonts w:ascii="Times New Roman" w:hAnsi="Times New Roman"/>
          <w:sz w:val="20"/>
        </w:rPr>
        <w:t>(“ASC 820-10”).  ASC 820-10 does not establish requirements for any new fair value measurements, but it does apply to existing accounting pronouncements in which fair value measurements are already required.  ASC 820-10 defines fair value, establishes a framework for measuring fair value in accordance with accounting principles generally accepted in the United States, and expands disclosures about fair value measurements.  We adopted the provisions of ASC 820-10 as of January 1, 2008, for financial instruments.  Although the adoption of ASC 820-10 has not materially impacted our financial con dition, results of operations, or cash flow, we are now required to provide additional disclosures as part of our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29" w:name="PGBRK90"/>
      <w:bookmarkStart w:id="2630" w:name="PGBRK90"/>
      <w:bookmarkEnd w:id="2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1" w:name="FTR90"/>
      <w:bookmarkStart w:id="2632" w:name="FTR90"/>
      <w:bookmarkEnd w:id="26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33" w:name="GLFTR90"/>
      <w:bookmarkEnd w:id="26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634" w:name="PN90"/>
      <w:bookmarkEnd w:id="2634"/>
      <w:r>
        <w:rPr>
          <w:rFonts w:eastAsia="Times New Roman" w:cs="Times New Roman" w:ascii="Times New Roman" w:hAnsi="Times New Roman"/>
          <w:sz w:val="20"/>
          <w:szCs w:val="20"/>
        </w:rPr>
        <w:t>-90-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635" w:name="HDR90"/>
      <w:bookmarkStart w:id="2636" w:name="HDR90"/>
      <w:bookmarkEnd w:id="26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637" w:name="GLHDR90"/>
        <w:bookmarkEnd w:id="263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firstLine="720"/>
        <w:jc w:val="both"/>
        <w:rPr>
          <w:rFonts w:ascii="Times New Roman" w:hAnsi="Times New Roman"/>
          <w:sz w:val="20"/>
        </w:rPr>
      </w:pPr>
      <w:r>
        <w:rPr>
          <w:rFonts w:ascii="Times New Roman" w:hAnsi="Times New Roman"/>
          <w:sz w:val="20"/>
        </w:rPr>
        <w:t>ASC 820-10 (see Note 2 –</w:t>
      </w:r>
      <w:r>
        <w:rPr>
          <w:rFonts w:ascii="Times New Roman" w:hAnsi="Times New Roman"/>
          <w:i/>
          <w:sz w:val="20"/>
        </w:rPr>
        <w:t>Summary of Significant Accounting Policies</w:t>
      </w:r>
      <w:r>
        <w:rPr>
          <w:rFonts w:ascii="Times New Roman" w:hAnsi="Times New Roman"/>
          <w:sz w:val="20"/>
        </w:rPr>
        <w:t>) establishes a fair value hierarchy that prioritizes the inputs to valuation techniques used to measure fair value.  The statement requires that assets and liabilities carried at fair value be classified and disclosed in one of the following three categories: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Level 1: Quoted market prices in active markets for identical assets or liabilities.</w:t>
      </w:r>
    </w:p>
    <w:p>
      <w:pPr>
        <w:pStyle w:val="TextBody"/>
        <w:spacing w:before="0" w:after="0"/>
        <w:ind w:left="0" w:right="0" w:hanging="0"/>
        <w:jc w:val="both"/>
        <w:rPr>
          <w:rFonts w:ascii="Times New Roman" w:hAnsi="Times New Roman"/>
          <w:sz w:val="20"/>
        </w:rPr>
      </w:pPr>
      <w:r>
        <w:rPr>
          <w:rFonts w:ascii="Times New Roman" w:hAnsi="Times New Roman"/>
          <w:sz w:val="20"/>
        </w:rPr>
        <w:t>Level 2: Observable market based inputs or unobservable inputs that are corroborated by market data.</w:t>
      </w:r>
    </w:p>
    <w:p>
      <w:pPr>
        <w:pStyle w:val="TextBody"/>
        <w:spacing w:before="0" w:after="0"/>
        <w:ind w:left="0" w:right="0" w:hanging="0"/>
        <w:jc w:val="both"/>
        <w:rPr>
          <w:rFonts w:ascii="Times New Roman" w:hAnsi="Times New Roman"/>
          <w:sz w:val="20"/>
        </w:rPr>
      </w:pPr>
      <w:r>
        <w:rPr>
          <w:rFonts w:ascii="Times New Roman" w:hAnsi="Times New Roman"/>
          <w:sz w:val="20"/>
        </w:rPr>
        <w:t>Level 3: Unobservable inputs that are not corroborated by market data.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use appropriate valuation techniques based on the available inputs to measure the fair values of our assets and liabilities.  When available, we measure fair value using Level 1 inputs because they generally provide the most reliable evidence of fair value.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used the following methods and assumptions to estimate the fair values of the assets and liabilities in the table above.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Level 1 Fair Value Measurements</w:t>
      </w:r>
      <w:r>
        <w:rPr>
          <w:rFonts w:ascii="Times New Roman" w:hAnsi="Times New Roman"/>
          <w:sz w:val="20"/>
        </w:rPr>
        <w:t xml:space="preserve"> – are based on market quotes of our marketable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Level 2 Fair Value Measurements</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Investment in Marketable Securities in an Inactive Market</w:t>
      </w:r>
      <w:r>
        <w:rPr>
          <w:rFonts w:ascii="Times New Roman" w:hAnsi="Times New Roman"/>
          <w:sz w:val="20"/>
        </w:rPr>
        <w:t xml:space="preserve"> – At December 31, 2008, our investment in Available For Sale Securities includes common shares in an Australian Company that were subject to a tender offer from a publicly traded Company in Australia that is actively traded.  Based on the exchange ratio provided for the open tender offer and the related market quote on December 31, 2008, the fair value of our Available for Sale Securities was derived.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Interest Rate Swaps</w:t>
      </w:r>
      <w:r>
        <w:rPr>
          <w:rFonts w:ascii="Times New Roman" w:hAnsi="Times New Roman"/>
          <w:sz w:val="20"/>
        </w:rPr>
        <w:t xml:space="preserve"> – The fair value of interest rate swaps are estimated using internal discounted cash flow calculations based upon forward interest rate curves, which are corroborated by market data, and quotes obtained from counterparties to the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Level 3 Fair Value Measurements</w:t>
      </w:r>
      <w:r>
        <w:rPr>
          <w:rFonts w:ascii="Times New Roman" w:hAnsi="Times New Roman"/>
          <w:sz w:val="20"/>
        </w:rPr>
        <w:t xml:space="preserve"> – we do not have any assets or liabilities that fall into this category.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2009, we held certain items that are required to be measured at fair value on a recurring basis.  These included cash equivalents, available for sale securities, and interest rate derivative contracts.  Cash equivalents consist of short-term, highly liquid, income-producing investments, all of which have maturities of 90 days or less.  Derivative instruments are related to our economic hedge of interest rates.  Our available-for-sale securities primarily consist of investments associated with the ownership of marketable securities in Australia.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fair values of the interest rate swap agreements are determined using the market standard methodology of discounting the future expected cash receipts that would occur if variable interest rate fell above the strike rate of the interest rate cap agreement.  The variable interest rates used in the calculation of projected receipts on the interest rate swap and cap agreements are based on an expectation of future interest rates derived from observable market interest rate curves and volatilities.  To comply with the provisions of ASC 820-10, we incorporate credit valuation adjustments to appropriately reflect both our own nonperformance risk and the respective counterparty's nonperformance risk in the fair value measurements.  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us and our counterparties.  However, as of December 31, 2009, we have assessed the significance of the impact of the credit valuation adjustments on the overall valuation and determined that the credit valuation adjustments are not significant to the overall valuation of our derivatives.  As a result, we have determined that our derivative valuations in their entirety are classified in Level 2 of the fair value hierarchy.  We have consistently applied these valuation techniques in all periods presented and believe we have obtained the most accurate information available for the types of derivative contracts we hold.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38" w:name="PGBRK91"/>
      <w:bookmarkStart w:id="2639" w:name="PGBRK91"/>
      <w:bookmarkEnd w:id="26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0" w:name="FTR91"/>
      <w:bookmarkStart w:id="2641" w:name="FTR91"/>
      <w:bookmarkEnd w:id="26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42" w:name="GLFTR91"/>
      <w:bookmarkEnd w:id="26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643" w:name="PN91"/>
      <w:bookmarkEnd w:id="2643"/>
      <w:r>
        <w:rPr>
          <w:rFonts w:eastAsia="Times New Roman" w:cs="Times New Roman" w:ascii="Times New Roman" w:hAnsi="Times New Roman"/>
          <w:sz w:val="20"/>
          <w:szCs w:val="20"/>
        </w:rPr>
        <w:t>-91-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644" w:name="HDR91"/>
      <w:bookmarkStart w:id="2645" w:name="HDR91"/>
      <w:bookmarkEnd w:id="26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646" w:name="GLHDR91"/>
        <w:bookmarkEnd w:id="264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items are measured at fair value on a recurring basis subject to the disclosure requirements of ASC 820-10 at December 31, 2009 and 2008, respectively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32"/>
        <w:gridCol w:w="109"/>
        <w:gridCol w:w="164"/>
        <w:gridCol w:w="881"/>
        <w:gridCol w:w="109"/>
        <w:gridCol w:w="109"/>
        <w:gridCol w:w="144"/>
        <w:gridCol w:w="960"/>
        <w:gridCol w:w="108"/>
        <w:gridCol w:w="109"/>
        <w:gridCol w:w="144"/>
        <w:gridCol w:w="960"/>
        <w:gridCol w:w="109"/>
        <w:gridCol w:w="109"/>
        <w:gridCol w:w="144"/>
        <w:gridCol w:w="959"/>
        <w:gridCol w:w="109"/>
        <w:gridCol w:w="109"/>
        <w:gridCol w:w="144"/>
        <w:gridCol w:w="960"/>
        <w:gridCol w:w="133"/>
      </w:tblGrid>
      <w:tr>
        <w:trPr/>
        <w:tc>
          <w:tcPr>
            <w:tcW w:w="4786" w:type="dxa"/>
            <w:gridSpan w:val="4"/>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242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Book Value</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242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w:t>
            </w:r>
          </w:p>
        </w:tc>
        <w:tc>
          <w:tcPr>
            <w:tcW w:w="133" w:type="dxa"/>
            <w:tcBorders/>
            <w:shd w:fill="auto" w:val="clear"/>
            <w:vAlign w:val="bottom"/>
          </w:tcPr>
          <w:p>
            <w:pPr>
              <w:pStyle w:val="TableContents"/>
              <w:spacing w:before="0" w:after="283"/>
              <w:jc w:val="left"/>
              <w:rPr/>
            </w:pPr>
            <w:r>
              <w:rPr/>
              <w:t> </w:t>
            </w:r>
          </w:p>
        </w:tc>
      </w:tr>
      <w:tr>
        <w:trPr/>
        <w:tc>
          <w:tcPr>
            <w:tcW w:w="3632"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Financial Instrument</w:t>
            </w:r>
          </w:p>
        </w:tc>
        <w:tc>
          <w:tcPr>
            <w:tcW w:w="109" w:type="dxa"/>
            <w:tcBorders/>
            <w:shd w:fill="auto" w:val="clear"/>
            <w:vAlign w:val="bottom"/>
          </w:tcPr>
          <w:p>
            <w:pPr>
              <w:pStyle w:val="TableContents"/>
              <w:spacing w:before="0" w:after="283"/>
              <w:rPr/>
            </w:pPr>
            <w:r>
              <w:rPr/>
              <w:t> </w:t>
            </w:r>
          </w:p>
        </w:tc>
        <w:tc>
          <w:tcPr>
            <w:tcW w:w="104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0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33" w:type="dxa"/>
            <w:tcBorders/>
            <w:shd w:fill="auto" w:val="clear"/>
            <w:vAlign w:val="bottom"/>
          </w:tcPr>
          <w:p>
            <w:pPr>
              <w:pStyle w:val="TableContents"/>
              <w:spacing w:before="0" w:after="283"/>
              <w:jc w:val="left"/>
              <w:rPr/>
            </w:pPr>
            <w:r>
              <w:rPr/>
              <w:t> </w:t>
            </w:r>
          </w:p>
        </w:tc>
      </w:tr>
      <w:tr>
        <w:trPr/>
        <w:tc>
          <w:tcPr>
            <w:tcW w:w="3632" w:type="dxa"/>
            <w:tcBorders/>
            <w:shd w:fill="CCEEFF"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Investment in marketable securities</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ind w:left="168" w:right="0" w:hanging="0"/>
              <w:jc w:val="right"/>
              <w:rPr>
                <w:rFonts w:ascii="times new roman" w:hAnsi="times new roman"/>
                <w:sz w:val="20"/>
              </w:rPr>
            </w:pPr>
            <w:bookmarkStart w:id="2647" w:name="TAB11322"/>
            <w:bookmarkEnd w:id="2647"/>
            <w:r>
              <w:rPr>
                <w:rFonts w:ascii="times new roman" w:hAnsi="times new roman"/>
                <w:sz w:val="20"/>
              </w:rPr>
              <w:t>3,120</w:t>
            </w:r>
          </w:p>
        </w:tc>
        <w:tc>
          <w:tcPr>
            <w:tcW w:w="10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ind w:left="81" w:right="0" w:hanging="0"/>
              <w:jc w:val="right"/>
              <w:rPr>
                <w:rFonts w:ascii="times new roman" w:hAnsi="times new roman"/>
                <w:sz w:val="20"/>
              </w:rPr>
            </w:pPr>
            <w:bookmarkStart w:id="2648" w:name="TAB11323"/>
            <w:bookmarkEnd w:id="2648"/>
            <w:r>
              <w:rPr>
                <w:rFonts w:ascii="times new roman" w:hAnsi="times new roman"/>
                <w:sz w:val="20"/>
              </w:rPr>
              <w:t>141</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ind w:left="81" w:right="0" w:hanging="0"/>
              <w:jc w:val="right"/>
              <w:rPr>
                <w:rFonts w:ascii="times new roman" w:hAnsi="times new roman"/>
                <w:sz w:val="20"/>
              </w:rPr>
            </w:pPr>
            <w:bookmarkStart w:id="2649" w:name="TAB11324"/>
            <w:bookmarkEnd w:id="2649"/>
            <w:r>
              <w:rPr>
                <w:rFonts w:ascii="times new roman" w:hAnsi="times new roman"/>
                <w:sz w:val="20"/>
              </w:rPr>
              <w:t>3,120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ind w:left="81" w:right="0" w:hanging="0"/>
              <w:jc w:val="right"/>
              <w:rPr>
                <w:rFonts w:ascii="times new roman" w:hAnsi="times new roman"/>
                <w:sz w:val="20"/>
              </w:rPr>
            </w:pPr>
            <w:bookmarkStart w:id="2650" w:name="TAB11325"/>
            <w:bookmarkEnd w:id="2650"/>
            <w:r>
              <w:rPr>
                <w:rFonts w:ascii="times new roman" w:hAnsi="times new roman"/>
                <w:sz w:val="20"/>
              </w:rPr>
              <w:t>141</w:t>
            </w:r>
          </w:p>
        </w:tc>
        <w:tc>
          <w:tcPr>
            <w:tcW w:w="133" w:type="dxa"/>
            <w:tcBorders/>
            <w:shd w:fill="CCEEFF" w:val="clear"/>
            <w:vAlign w:val="bottom"/>
          </w:tcPr>
          <w:p>
            <w:pPr>
              <w:pStyle w:val="TableContents"/>
              <w:spacing w:before="0" w:after="283"/>
              <w:jc w:val="left"/>
              <w:rPr/>
            </w:pPr>
            <w:r>
              <w:rPr/>
              <w:t> </w:t>
            </w:r>
          </w:p>
        </w:tc>
      </w:tr>
      <w:tr>
        <w:trPr/>
        <w:tc>
          <w:tcPr>
            <w:tcW w:w="3632" w:type="dxa"/>
            <w:tcBorders/>
            <w:shd w:fill="FFFFFF"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Investment in marketable securities in an inactive market</w:t>
            </w:r>
          </w:p>
        </w:tc>
        <w:tc>
          <w:tcPr>
            <w:tcW w:w="109"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88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FFFFFF" w:val="clear"/>
            <w:vAlign w:val="bottom"/>
          </w:tcPr>
          <w:p>
            <w:pPr>
              <w:pStyle w:val="TableContents"/>
              <w:spacing w:before="0" w:after="283"/>
              <w:ind w:left="168" w:right="0" w:hanging="0"/>
              <w:jc w:val="right"/>
              <w:rPr>
                <w:rFonts w:ascii="times new roman" w:hAnsi="times new roman"/>
                <w:sz w:val="20"/>
              </w:rPr>
            </w:pPr>
            <w:bookmarkStart w:id="2651" w:name="TAB11326"/>
            <w:bookmarkEnd w:id="2651"/>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FFFFFF" w:val="clear"/>
            <w:vAlign w:val="bottom"/>
          </w:tcPr>
          <w:p>
            <w:pPr>
              <w:pStyle w:val="TableContents"/>
              <w:spacing w:before="0" w:after="283"/>
              <w:ind w:left="81" w:right="0" w:hanging="0"/>
              <w:jc w:val="right"/>
              <w:rPr>
                <w:rFonts w:ascii="times new roman" w:hAnsi="times new roman"/>
                <w:sz w:val="20"/>
              </w:rPr>
            </w:pPr>
            <w:bookmarkStart w:id="2652" w:name="TAB11327"/>
            <w:bookmarkEnd w:id="2652"/>
            <w:r>
              <w:rPr>
                <w:rFonts w:ascii="times new roman" w:hAnsi="times new roman"/>
                <w:sz w:val="20"/>
              </w:rPr>
              <w:t>2,959</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FFFFFF" w:val="clear"/>
            <w:vAlign w:val="bottom"/>
          </w:tcPr>
          <w:p>
            <w:pPr>
              <w:pStyle w:val="TableContents"/>
              <w:spacing w:before="0" w:after="283"/>
              <w:ind w:left="81" w:right="0" w:hanging="0"/>
              <w:jc w:val="right"/>
              <w:rPr>
                <w:rFonts w:ascii="times new roman" w:hAnsi="times new roman"/>
                <w:sz w:val="20"/>
              </w:rPr>
            </w:pPr>
            <w:bookmarkStart w:id="2653" w:name="TAB11328"/>
            <w:bookmarkEnd w:id="2653"/>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FFFFFF" w:val="clear"/>
            <w:vAlign w:val="bottom"/>
          </w:tcPr>
          <w:p>
            <w:pPr>
              <w:pStyle w:val="TableContents"/>
              <w:spacing w:before="0" w:after="283"/>
              <w:ind w:left="81" w:right="0" w:hanging="0"/>
              <w:jc w:val="right"/>
              <w:rPr>
                <w:rFonts w:ascii="times new roman" w:hAnsi="times new roman"/>
                <w:sz w:val="20"/>
              </w:rPr>
            </w:pPr>
            <w:bookmarkStart w:id="2654" w:name="TAB11329"/>
            <w:bookmarkEnd w:id="2654"/>
            <w:r>
              <w:rPr>
                <w:rFonts w:ascii="times new roman" w:hAnsi="times new roman"/>
                <w:sz w:val="20"/>
              </w:rPr>
              <w:t>2,959</w:t>
            </w:r>
          </w:p>
        </w:tc>
        <w:tc>
          <w:tcPr>
            <w:tcW w:w="133" w:type="dxa"/>
            <w:tcBorders/>
            <w:shd w:fill="FFFFFF" w:val="clear"/>
            <w:vAlign w:val="bottom"/>
          </w:tcPr>
          <w:p>
            <w:pPr>
              <w:pStyle w:val="TableContents"/>
              <w:spacing w:before="0" w:after="283"/>
              <w:jc w:val="left"/>
              <w:rPr/>
            </w:pPr>
            <w:r>
              <w:rPr/>
              <w:t> </w:t>
            </w:r>
          </w:p>
        </w:tc>
      </w:tr>
      <w:tr>
        <w:trPr/>
        <w:tc>
          <w:tcPr>
            <w:tcW w:w="3632" w:type="dxa"/>
            <w:tcBorders/>
            <w:shd w:fill="CCEEFF"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Interest rate swaps asset</w:t>
            </w:r>
          </w:p>
        </w:tc>
        <w:tc>
          <w:tcPr>
            <w:tcW w:w="10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ind w:left="168" w:right="0" w:hanging="0"/>
              <w:jc w:val="right"/>
              <w:rPr>
                <w:rFonts w:ascii="times new roman" w:hAnsi="times new roman"/>
                <w:sz w:val="20"/>
              </w:rPr>
            </w:pPr>
            <w:bookmarkStart w:id="2655" w:name="TAB11330"/>
            <w:bookmarkEnd w:id="2655"/>
            <w:r>
              <w:rPr>
                <w:rFonts w:ascii="times new roman" w:hAnsi="times new roman"/>
                <w:sz w:val="20"/>
              </w:rPr>
              <w:t>766</w:t>
            </w:r>
          </w:p>
        </w:tc>
        <w:tc>
          <w:tcPr>
            <w:tcW w:w="10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ind w:left="81" w:right="0" w:hanging="0"/>
              <w:jc w:val="right"/>
              <w:rPr>
                <w:rFonts w:ascii="times new roman" w:hAnsi="times new roman"/>
                <w:sz w:val="20"/>
              </w:rPr>
            </w:pPr>
            <w:bookmarkStart w:id="2656" w:name="TAB11331"/>
            <w:bookmarkEnd w:id="2656"/>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ind w:left="81" w:right="0" w:hanging="0"/>
              <w:jc w:val="right"/>
              <w:rPr>
                <w:rFonts w:ascii="times new roman" w:hAnsi="times new roman"/>
                <w:sz w:val="20"/>
              </w:rPr>
            </w:pPr>
            <w:bookmarkStart w:id="2657" w:name="TAB11332"/>
            <w:bookmarkEnd w:id="2657"/>
            <w:r>
              <w:rPr>
                <w:rFonts w:ascii="times new roman" w:hAnsi="times new roman"/>
                <w:sz w:val="20"/>
              </w:rPr>
              <w:t>766</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ind w:left="81" w:right="0" w:hanging="0"/>
              <w:jc w:val="right"/>
              <w:rPr>
                <w:rFonts w:ascii="times new roman" w:hAnsi="times new roman"/>
                <w:sz w:val="20"/>
              </w:rPr>
            </w:pPr>
            <w:bookmarkStart w:id="2658" w:name="TAB11333"/>
            <w:bookmarkEnd w:id="2658"/>
            <w:r>
              <w:rPr>
                <w:rFonts w:ascii="times new roman" w:hAnsi="times new roman"/>
                <w:sz w:val="20"/>
              </w:rPr>
              <w:t>--</w:t>
            </w:r>
          </w:p>
        </w:tc>
        <w:tc>
          <w:tcPr>
            <w:tcW w:w="133" w:type="dxa"/>
            <w:tcBorders/>
            <w:shd w:fill="CCEEFF" w:val="clear"/>
            <w:vAlign w:val="bottom"/>
          </w:tcPr>
          <w:p>
            <w:pPr>
              <w:pStyle w:val="TableContents"/>
              <w:spacing w:before="0" w:after="283"/>
              <w:jc w:val="left"/>
              <w:rPr/>
            </w:pPr>
            <w:r>
              <w:rPr/>
              <w:t> </w:t>
            </w:r>
          </w:p>
        </w:tc>
      </w:tr>
      <w:tr>
        <w:trPr/>
        <w:tc>
          <w:tcPr>
            <w:tcW w:w="3632" w:type="dxa"/>
            <w:tcBorders/>
            <w:shd w:fill="FFFFFF" w:val="cle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Interest rate swaps liability</w:t>
            </w:r>
          </w:p>
        </w:tc>
        <w:tc>
          <w:tcPr>
            <w:tcW w:w="109" w:type="dxa"/>
            <w:tcBorders/>
            <w:shd w:fill="FFFFFF" w:val="clear"/>
            <w:vAlign w:val="bottom"/>
          </w:tcPr>
          <w:p>
            <w:pPr>
              <w:pStyle w:val="TableContents"/>
              <w:spacing w:before="0" w:after="283"/>
              <w:rPr/>
            </w:pPr>
            <w:r>
              <w:rPr/>
              <w:t> </w:t>
            </w:r>
          </w:p>
        </w:tc>
        <w:tc>
          <w:tcPr>
            <w:tcW w:w="164" w:type="dxa"/>
            <w:tcBorders/>
            <w:shd w:fill="FFFFFF" w:val="clear"/>
            <w:vAlign w:val="bottom"/>
          </w:tcPr>
          <w:p>
            <w:pPr>
              <w:pStyle w:val="TableContents"/>
              <w:spacing w:before="0" w:after="283"/>
              <w:jc w:val="left"/>
              <w:rPr/>
            </w:pPr>
            <w:r>
              <w:rPr/>
              <w:t> </w:t>
            </w:r>
          </w:p>
        </w:tc>
        <w:tc>
          <w:tcPr>
            <w:tcW w:w="88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FFFFFF" w:val="clear"/>
            <w:vAlign w:val="bottom"/>
          </w:tcPr>
          <w:p>
            <w:pPr>
              <w:pStyle w:val="TableContents"/>
              <w:spacing w:before="0" w:after="283"/>
              <w:ind w:left="168" w:right="0" w:hanging="0"/>
              <w:jc w:val="right"/>
              <w:rPr>
                <w:rFonts w:ascii="times new roman" w:hAnsi="times new roman"/>
                <w:sz w:val="20"/>
              </w:rPr>
            </w:pPr>
            <w:bookmarkStart w:id="2659" w:name="TAB11334"/>
            <w:bookmarkEnd w:id="2659"/>
            <w:r>
              <w:rPr>
                <w:rFonts w:ascii="times new roman" w:hAnsi="times new roman"/>
                <w:sz w:val="20"/>
              </w:rPr>
              <w:t>785</w:t>
            </w:r>
          </w:p>
        </w:tc>
        <w:tc>
          <w:tcPr>
            <w:tcW w:w="108"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FFFFFF" w:val="clear"/>
            <w:vAlign w:val="bottom"/>
          </w:tcPr>
          <w:p>
            <w:pPr>
              <w:pStyle w:val="TableContents"/>
              <w:spacing w:before="0" w:after="283"/>
              <w:ind w:left="81" w:right="0" w:hanging="0"/>
              <w:jc w:val="right"/>
              <w:rPr>
                <w:rFonts w:ascii="times new roman" w:hAnsi="times new roman"/>
                <w:sz w:val="20"/>
              </w:rPr>
            </w:pPr>
            <w:bookmarkStart w:id="2660" w:name="TAB11335"/>
            <w:bookmarkEnd w:id="2660"/>
            <w:r>
              <w:rPr>
                <w:rFonts w:ascii="times new roman" w:hAnsi="times new roman"/>
                <w:sz w:val="20"/>
              </w:rPr>
              <w:t>1,439</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FFFFFF" w:val="clear"/>
            <w:vAlign w:val="bottom"/>
          </w:tcPr>
          <w:p>
            <w:pPr>
              <w:pStyle w:val="TableContents"/>
              <w:spacing w:before="0" w:after="283"/>
              <w:ind w:left="81" w:right="0" w:hanging="0"/>
              <w:jc w:val="right"/>
              <w:rPr>
                <w:rFonts w:ascii="times new roman" w:hAnsi="times new roman"/>
                <w:sz w:val="20"/>
              </w:rPr>
            </w:pPr>
            <w:bookmarkStart w:id="2661" w:name="TAB11336"/>
            <w:bookmarkEnd w:id="2661"/>
            <w:r>
              <w:rPr>
                <w:rFonts w:ascii="times new roman" w:hAnsi="times new roman"/>
                <w:sz w:val="20"/>
              </w:rPr>
              <w:t>785</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FFFFFF" w:val="clear"/>
            <w:vAlign w:val="bottom"/>
          </w:tcPr>
          <w:p>
            <w:pPr>
              <w:pStyle w:val="TableContents"/>
              <w:spacing w:before="0" w:after="283"/>
              <w:ind w:left="81" w:right="0" w:hanging="0"/>
              <w:jc w:val="right"/>
              <w:rPr>
                <w:rFonts w:ascii="times new roman" w:hAnsi="times new roman"/>
                <w:sz w:val="20"/>
              </w:rPr>
            </w:pPr>
            <w:bookmarkStart w:id="2662" w:name="TAB11337"/>
            <w:bookmarkEnd w:id="2662"/>
            <w:r>
              <w:rPr>
                <w:rFonts w:ascii="times new roman" w:hAnsi="times new roman"/>
                <w:sz w:val="20"/>
              </w:rPr>
              <w:t>1,439</w:t>
            </w:r>
          </w:p>
        </w:tc>
        <w:tc>
          <w:tcPr>
            <w:tcW w:w="13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Financial Instruments Disclosed at Fair Value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carrying value and the fair value of our financial assets and liabilities at December 31, 2009 and 2008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872"/>
        <w:gridCol w:w="104"/>
        <w:gridCol w:w="125"/>
        <w:gridCol w:w="996"/>
        <w:gridCol w:w="104"/>
        <w:gridCol w:w="104"/>
        <w:gridCol w:w="125"/>
        <w:gridCol w:w="996"/>
        <w:gridCol w:w="104"/>
        <w:gridCol w:w="103"/>
        <w:gridCol w:w="125"/>
        <w:gridCol w:w="996"/>
        <w:gridCol w:w="104"/>
        <w:gridCol w:w="104"/>
        <w:gridCol w:w="125"/>
        <w:gridCol w:w="996"/>
        <w:gridCol w:w="122"/>
      </w:tblGrid>
      <w:tr>
        <w:trPr/>
        <w:tc>
          <w:tcPr>
            <w:tcW w:w="4872"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245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Book Value</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245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w:t>
            </w:r>
          </w:p>
        </w:tc>
        <w:tc>
          <w:tcPr>
            <w:tcW w:w="122" w:type="dxa"/>
            <w:tcBorders/>
            <w:shd w:fill="auto" w:val="clear"/>
            <w:vAlign w:val="bottom"/>
          </w:tcPr>
          <w:p>
            <w:pPr>
              <w:pStyle w:val="TableContents"/>
              <w:spacing w:before="0" w:after="283"/>
              <w:jc w:val="left"/>
              <w:rPr/>
            </w:pPr>
            <w:r>
              <w:rPr/>
              <w:t> </w:t>
            </w:r>
          </w:p>
        </w:tc>
      </w:tr>
      <w:tr>
        <w:trPr/>
        <w:tc>
          <w:tcPr>
            <w:tcW w:w="4872" w:type="dxa"/>
            <w:tcBorders>
              <w:bottom w:val="double" w:sz="8"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Instrument</w:t>
            </w:r>
          </w:p>
        </w:tc>
        <w:tc>
          <w:tcPr>
            <w:tcW w:w="104"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2" w:type="dxa"/>
            <w:tcBorders/>
            <w:shd w:fill="auto"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63" w:name="TAB11338"/>
            <w:bookmarkEnd w:id="2663"/>
            <w:r>
              <w:rPr>
                <w:rFonts w:ascii="times new roman" w:hAnsi="times new roman"/>
                <w:sz w:val="20"/>
              </w:rPr>
              <w:t>24,612</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64" w:name="TAB11339"/>
            <w:bookmarkEnd w:id="2664"/>
            <w:r>
              <w:rPr>
                <w:rFonts w:ascii="times new roman" w:hAnsi="times new roman"/>
                <w:sz w:val="20"/>
              </w:rPr>
              <w:t>30,874</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65" w:name="TAB11340"/>
            <w:bookmarkEnd w:id="2665"/>
            <w:r>
              <w:rPr>
                <w:rFonts w:ascii="times new roman" w:hAnsi="times new roman"/>
                <w:sz w:val="20"/>
              </w:rPr>
              <w:t>24,612</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66" w:name="TAB11341"/>
            <w:bookmarkEnd w:id="2666"/>
            <w:r>
              <w:rPr>
                <w:rFonts w:ascii="times new roman" w:hAnsi="times new roman"/>
                <w:sz w:val="20"/>
              </w:rPr>
              <w:t>30,874</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Accounts receivable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67" w:name="TAB11342"/>
            <w:bookmarkEnd w:id="2667"/>
            <w:r>
              <w:rPr>
                <w:rFonts w:ascii="times new roman" w:hAnsi="times new roman"/>
                <w:sz w:val="20"/>
              </w:rPr>
              <w:t>9,458</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68" w:name="TAB11343"/>
            <w:bookmarkEnd w:id="2668"/>
            <w:r>
              <w:rPr>
                <w:rFonts w:ascii="times new roman" w:hAnsi="times new roman"/>
                <w:sz w:val="20"/>
              </w:rPr>
              <w:t>7,868</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69" w:name="TAB11344"/>
            <w:bookmarkEnd w:id="2669"/>
            <w:r>
              <w:rPr>
                <w:rFonts w:ascii="times new roman" w:hAnsi="times new roman"/>
                <w:sz w:val="20"/>
              </w:rPr>
              <w:t>9,458</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70" w:name="TAB11345"/>
            <w:bookmarkEnd w:id="2670"/>
            <w:r>
              <w:rPr>
                <w:rFonts w:ascii="times new roman" w:hAnsi="times new roman"/>
                <w:sz w:val="20"/>
              </w:rPr>
              <w:t>7,868</w:t>
            </w:r>
          </w:p>
        </w:tc>
        <w:tc>
          <w:tcPr>
            <w:tcW w:w="122" w:type="dxa"/>
            <w:tcBorders/>
            <w:shd w:fill="FFFFFF"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Restricted cash</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71" w:name="TAB11346"/>
            <w:bookmarkEnd w:id="2671"/>
            <w:r>
              <w:rPr>
                <w:rFonts w:ascii="times new roman" w:hAnsi="times new roman"/>
                <w:sz w:val="20"/>
              </w:rPr>
              <w:t>321</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72" w:name="TAB11347"/>
            <w:bookmarkEnd w:id="2672"/>
            <w:r>
              <w:rPr>
                <w:rFonts w:ascii="times new roman" w:hAnsi="times new roman"/>
                <w:sz w:val="20"/>
              </w:rPr>
              <w:t>1,656</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73" w:name="TAB11348"/>
            <w:bookmarkEnd w:id="2673"/>
            <w:r>
              <w:rPr>
                <w:rFonts w:ascii="times new roman" w:hAnsi="times new roman"/>
                <w:sz w:val="20"/>
              </w:rPr>
              <w:t>321</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74" w:name="TAB11349"/>
            <w:bookmarkEnd w:id="2674"/>
            <w:r>
              <w:rPr>
                <w:rFonts w:ascii="times new roman" w:hAnsi="times new roman"/>
                <w:sz w:val="20"/>
              </w:rPr>
              <w:t>1,656</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Accounts and film rent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75" w:name="TAB11350"/>
            <w:bookmarkEnd w:id="2675"/>
            <w:r>
              <w:rPr>
                <w:rFonts w:ascii="times new roman" w:hAnsi="times new roman"/>
                <w:sz w:val="20"/>
              </w:rPr>
              <w:t>22,199</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76" w:name="TAB11351"/>
            <w:bookmarkEnd w:id="2676"/>
            <w:r>
              <w:rPr>
                <w:rFonts w:ascii="times new roman" w:hAnsi="times new roman"/>
                <w:sz w:val="20"/>
              </w:rPr>
              <w:t>20,485</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77" w:name="TAB11352"/>
            <w:bookmarkEnd w:id="2677"/>
            <w:r>
              <w:rPr>
                <w:rFonts w:ascii="times new roman" w:hAnsi="times new roman"/>
                <w:sz w:val="20"/>
              </w:rPr>
              <w:t>22,199</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78" w:name="TAB11353"/>
            <w:bookmarkEnd w:id="2678"/>
            <w:r>
              <w:rPr>
                <w:rFonts w:ascii="times new roman" w:hAnsi="times new roman"/>
                <w:sz w:val="20"/>
              </w:rPr>
              <w:t>20,485</w:t>
            </w:r>
          </w:p>
        </w:tc>
        <w:tc>
          <w:tcPr>
            <w:tcW w:w="122" w:type="dxa"/>
            <w:tcBorders/>
            <w:shd w:fill="FFFFFF"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79" w:name="TAB11354"/>
            <w:bookmarkEnd w:id="2679"/>
            <w:r>
              <w:rPr>
                <w:rFonts w:ascii="times new roman" w:hAnsi="times new roman"/>
                <w:sz w:val="20"/>
              </w:rPr>
              <w:t>185,080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80" w:name="TAB11355"/>
            <w:bookmarkEnd w:id="2680"/>
            <w:r>
              <w:rPr>
                <w:rFonts w:ascii="times new roman" w:hAnsi="times new roman"/>
                <w:sz w:val="20"/>
              </w:rPr>
              <w:t>173,615</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81" w:name="TAB11356"/>
            <w:bookmarkEnd w:id="2681"/>
            <w:r>
              <w:rPr>
                <w:rFonts w:ascii="times new roman" w:hAnsi="times new roman"/>
                <w:sz w:val="20"/>
              </w:rPr>
              <w:t>172,946</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82" w:name="TAB11357"/>
            <w:bookmarkEnd w:id="2682"/>
            <w:r>
              <w:rPr>
                <w:rFonts w:ascii="times new roman" w:hAnsi="times new roman"/>
                <w:sz w:val="20"/>
              </w:rPr>
              <w:t>169,634</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Notes payable to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83" w:name="TAB11358"/>
            <w:bookmarkEnd w:id="2683"/>
            <w:r>
              <w:rPr>
                <w:rFonts w:ascii="times new roman" w:hAnsi="times new roman"/>
                <w:sz w:val="20"/>
              </w:rPr>
              <w:t>14,000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84" w:name="TAB11359"/>
            <w:bookmarkEnd w:id="2684"/>
            <w:r>
              <w:rPr>
                <w:rFonts w:ascii="times new roman" w:hAnsi="times new roman"/>
                <w:sz w:val="20"/>
              </w:rPr>
              <w:t>14,000</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85" w:name="TAB11360"/>
            <w:bookmarkEnd w:id="2685"/>
            <w:r>
              <w:rPr>
                <w:rFonts w:ascii="times new roman" w:hAnsi="times new roman"/>
                <w:sz w:val="20"/>
              </w:rPr>
              <w:t>N/A</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86" w:name="TAB11361"/>
            <w:bookmarkEnd w:id="2686"/>
            <w:r>
              <w:rPr>
                <w:rFonts w:ascii="times new roman" w:hAnsi="times new roman"/>
                <w:sz w:val="20"/>
              </w:rPr>
              <w:t>N/A</w:t>
            </w:r>
          </w:p>
        </w:tc>
        <w:tc>
          <w:tcPr>
            <w:tcW w:w="122" w:type="dxa"/>
            <w:tcBorders/>
            <w:shd w:fill="FFFFFF"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Subordinated debt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87" w:name="TAB11362"/>
            <w:bookmarkEnd w:id="2687"/>
            <w:r>
              <w:rPr>
                <w:rFonts w:ascii="times new roman" w:hAnsi="times new roman"/>
                <w:sz w:val="20"/>
              </w:rPr>
              <w:t>27,913</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88" w:name="TAB11363"/>
            <w:bookmarkEnd w:id="2688"/>
            <w:r>
              <w:rPr>
                <w:rFonts w:ascii="times new roman" w:hAnsi="times new roman"/>
                <w:sz w:val="20"/>
              </w:rPr>
              <w:t>51,547</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89" w:name="TAB11364"/>
            <w:bookmarkEnd w:id="2689"/>
            <w:r>
              <w:rPr>
                <w:rFonts w:ascii="times new roman" w:hAnsi="times new roman"/>
                <w:sz w:val="20"/>
              </w:rPr>
              <w:t>20,416</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90" w:name="TAB11365"/>
            <w:bookmarkEnd w:id="2690"/>
            <w:r>
              <w:rPr>
                <w:rFonts w:ascii="times new roman" w:hAnsi="times new roman"/>
                <w:sz w:val="20"/>
              </w:rPr>
              <w:t>39,815</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Investment in Marketable Securities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91" w:name="TAB11366"/>
            <w:bookmarkEnd w:id="2691"/>
            <w:r>
              <w:rPr>
                <w:rFonts w:ascii="times new roman" w:hAnsi="times new roman"/>
                <w:sz w:val="20"/>
              </w:rPr>
              <w:t>3,120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92" w:name="TAB11367"/>
            <w:bookmarkEnd w:id="2692"/>
            <w:r>
              <w:rPr>
                <w:rFonts w:ascii="times new roman" w:hAnsi="times new roman"/>
                <w:sz w:val="20"/>
              </w:rPr>
              <w:t>3,100</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93" w:name="TAB11368"/>
            <w:bookmarkEnd w:id="2693"/>
            <w:r>
              <w:rPr>
                <w:rFonts w:ascii="times new roman" w:hAnsi="times new roman"/>
                <w:sz w:val="20"/>
              </w:rPr>
              <w:t>3,120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94" w:name="TAB11369"/>
            <w:bookmarkEnd w:id="2694"/>
            <w:r>
              <w:rPr>
                <w:rFonts w:ascii="times new roman" w:hAnsi="times new roman"/>
                <w:sz w:val="20"/>
              </w:rPr>
              <w:t>3,100</w:t>
            </w:r>
          </w:p>
        </w:tc>
        <w:tc>
          <w:tcPr>
            <w:tcW w:w="122" w:type="dxa"/>
            <w:tcBorders/>
            <w:shd w:fill="FFFFFF"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swaps asset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95" w:name="TAB11370"/>
            <w:bookmarkEnd w:id="2695"/>
            <w:r>
              <w:rPr>
                <w:rFonts w:ascii="times new roman" w:hAnsi="times new roman"/>
                <w:sz w:val="20"/>
              </w:rPr>
              <w:t>766</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96" w:name="TAB11371"/>
            <w:bookmarkEnd w:id="2696"/>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97" w:name="TAB11372"/>
            <w:bookmarkEnd w:id="2697"/>
            <w:r>
              <w:rPr>
                <w:rFonts w:ascii="times new roman" w:hAnsi="times new roman"/>
                <w:sz w:val="20"/>
              </w:rPr>
              <w:t>766</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ind w:left="168" w:right="0" w:hanging="0"/>
              <w:jc w:val="right"/>
              <w:rPr>
                <w:rFonts w:ascii="times new roman" w:hAnsi="times new roman"/>
                <w:sz w:val="20"/>
              </w:rPr>
            </w:pPr>
            <w:bookmarkStart w:id="2698" w:name="TAB11373"/>
            <w:bookmarkEnd w:id="2698"/>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swaps liability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699" w:name="TAB11374"/>
            <w:bookmarkEnd w:id="2699"/>
            <w:r>
              <w:rPr>
                <w:rFonts w:ascii="times new roman" w:hAnsi="times new roman"/>
                <w:sz w:val="20"/>
              </w:rPr>
              <w:t>785</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700" w:name="TAB11375"/>
            <w:bookmarkEnd w:id="2700"/>
            <w:r>
              <w:rPr>
                <w:rFonts w:ascii="times new roman" w:hAnsi="times new roman"/>
                <w:sz w:val="20"/>
              </w:rPr>
              <w:t>1,439</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701" w:name="TAB11376"/>
            <w:bookmarkEnd w:id="2701"/>
            <w:r>
              <w:rPr>
                <w:rFonts w:ascii="times new roman" w:hAnsi="times new roman"/>
                <w:sz w:val="20"/>
              </w:rPr>
              <w:t>785</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ind w:left="168" w:right="0" w:hanging="0"/>
              <w:jc w:val="right"/>
              <w:rPr>
                <w:rFonts w:ascii="times new roman" w:hAnsi="times new roman"/>
                <w:sz w:val="20"/>
              </w:rPr>
            </w:pPr>
            <w:bookmarkStart w:id="2702" w:name="TAB11377"/>
            <w:bookmarkEnd w:id="2702"/>
            <w:r>
              <w:rPr>
                <w:rFonts w:ascii="times new roman" w:hAnsi="times new roman"/>
                <w:sz w:val="20"/>
              </w:rPr>
              <w:t>1,439</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03" w:name="TAB11378"/>
      <w:bookmarkEnd w:id="2703"/>
      <w:r>
        <w:rPr>
          <w:rFonts w:ascii="Times New Roman" w:hAnsi="Times New Roman"/>
          <w:sz w:val="20"/>
        </w:rPr>
        <w:t>For purposes of this fair value disclosure, we based our fair value estimate for notes payable and subordinated debt on our internal valuation that includes a representative sample of our lenders’ market interest rate quotes as of December 31, 2009 for debt with similar risk characteristics and maturities.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17 – Lease Agreements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Most of our cinemas conduct their operations in leased facilities.  Fourteen of our nineteen operating multiplexes in Australia, five of our nine cinemas in New Zealand, and all but one of our cinemas in the United States are in leased facilities.  These cinema leases have remaining terms inclusive of options of 3 to 40 years.  Certain of our cinema leases provide for contingent rentals based upon a specified percentage of theater revenue with a guaranteed minimum.  Substantially all of our leases require the payment of property taxes, insurance, and other costs applicable to the property.  We also lease office space and equipment under non-cancelable operating leases.  All of our leases are accounted for as operating leases and accordingly, we have no leases of facilities th at require capitalization.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determine the annual base rent expense of our cinemas by amortizing total minimum lease obligations on a straight-line basis over the lease terms.  Base rent expense and contingent rental expense under the operating leases totaled approximately $27.5 million and $794,000 for 2009, respectively; $26.0 million and $346,000 for 2008, respectively; and $11.9 million and $515,000 for 2007, respectively.  Future minimum lease payments by year and, in the aggregate, under non-cancelable operating leases consisted of the following at December 31, 2009 (dollars in thousands):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04" w:name="PGBRK92"/>
      <w:bookmarkStart w:id="2705" w:name="PGBRK92"/>
      <w:bookmarkEnd w:id="2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6" w:name="FTR92"/>
      <w:bookmarkStart w:id="2707" w:name="FTR92"/>
      <w:bookmarkEnd w:id="2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08" w:name="GLFTR92"/>
      <w:bookmarkEnd w:id="27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709" w:name="PN92"/>
      <w:bookmarkEnd w:id="2709"/>
      <w:r>
        <w:rPr>
          <w:rFonts w:eastAsia="Times New Roman" w:cs="Times New Roman" w:ascii="Times New Roman" w:hAnsi="Times New Roman"/>
          <w:sz w:val="20"/>
          <w:szCs w:val="20"/>
        </w:rPr>
        <w:t>-92-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710" w:name="HDR92"/>
      <w:bookmarkStart w:id="2711" w:name="HDR92"/>
      <w:bookmarkEnd w:id="27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12" w:name="GLHDR92"/>
        <w:bookmarkEnd w:id="271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5000" w:type="pct"/>
        <w:jc w:val="left"/>
        <w:tblInd w:w="0" w:type="dxa"/>
        <w:tblCellMar>
          <w:top w:w="0" w:type="dxa"/>
          <w:left w:w="0" w:type="dxa"/>
          <w:bottom w:w="28" w:type="dxa"/>
          <w:right w:w="0" w:type="dxa"/>
        </w:tblCellMar>
      </w:tblPr>
      <w:tblGrid>
        <w:gridCol w:w="5834"/>
        <w:gridCol w:w="111"/>
        <w:gridCol w:w="142"/>
        <w:gridCol w:w="1088"/>
        <w:gridCol w:w="111"/>
        <w:gridCol w:w="111"/>
        <w:gridCol w:w="151"/>
        <w:gridCol w:w="1080"/>
        <w:gridCol w:w="110"/>
        <w:gridCol w:w="111"/>
        <w:gridCol w:w="142"/>
        <w:gridCol w:w="1088"/>
        <w:gridCol w:w="126"/>
      </w:tblGrid>
      <w:tr>
        <w:trPr/>
        <w:tc>
          <w:tcPr>
            <w:tcW w:w="5834" w:type="dxa"/>
            <w:tcBorders>
              <w:bottom w:val="double" w:sz="8" w:space="0" w:color="000000"/>
            </w:tcBorders>
            <w:shd w:fill="auto" w:val="clear"/>
            <w:vAlign w:val="bottom"/>
          </w:tcPr>
          <w:p>
            <w:pPr>
              <w:pStyle w:val="TableContents"/>
              <w:spacing w:before="0" w:after="283"/>
              <w:rPr/>
            </w:pPr>
            <w:r>
              <w:rPr/>
              <w:t xml:space="preserve">  </w:t>
            </w:r>
          </w:p>
        </w:tc>
        <w:tc>
          <w:tcPr>
            <w:tcW w:w="111" w:type="dxa"/>
            <w:tcBorders/>
            <w:shd w:fill="auto" w:val="clear"/>
            <w:tcMar>
              <w:bottom w:w="0" w:type="dxa"/>
            </w:tcMar>
            <w:vAlign w:val="bottom"/>
          </w:tcPr>
          <w:p>
            <w:pPr>
              <w:pStyle w:val="TableContents"/>
              <w:spacing w:before="0" w:after="283"/>
              <w:rPr/>
            </w:pPr>
            <w:r>
              <w:rPr/>
              <w:t> </w:t>
            </w:r>
          </w:p>
        </w:tc>
        <w:tc>
          <w:tcPr>
            <w:tcW w:w="123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Minimum Ground Lease Payments</w:t>
            </w:r>
          </w:p>
        </w:tc>
        <w:tc>
          <w:tcPr>
            <w:tcW w:w="11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rPr/>
            </w:pPr>
            <w:r>
              <w:rPr/>
              <w:t> </w:t>
            </w:r>
          </w:p>
        </w:tc>
        <w:tc>
          <w:tcPr>
            <w:tcW w:w="123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Minimum Premises Lease Payments</w:t>
            </w:r>
          </w:p>
        </w:tc>
        <w:tc>
          <w:tcPr>
            <w:tcW w:w="110"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rPr/>
            </w:pPr>
            <w:r>
              <w:rPr/>
              <w:t> </w:t>
            </w:r>
          </w:p>
        </w:tc>
        <w:tc>
          <w:tcPr>
            <w:tcW w:w="123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Minimum Lease Payments</w:t>
            </w:r>
          </w:p>
        </w:tc>
        <w:tc>
          <w:tcPr>
            <w:tcW w:w="126" w:type="dxa"/>
            <w:tcBorders/>
            <w:shd w:fill="auto" w:val="clear"/>
            <w:tcMar>
              <w:bottom w:w="0" w:type="dxa"/>
            </w:tcMar>
            <w:vAlign w:val="bottom"/>
          </w:tcPr>
          <w:p>
            <w:pPr>
              <w:pStyle w:val="TableContents"/>
              <w:spacing w:before="0" w:after="283"/>
              <w:jc w:val="left"/>
              <w:rPr/>
            </w:pPr>
            <w:r>
              <w:rPr/>
              <w:t> </w:t>
            </w:r>
          </w:p>
        </w:tc>
      </w:tr>
      <w:tr>
        <w:trPr/>
        <w:tc>
          <w:tcPr>
            <w:tcW w:w="583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2010</w:t>
            </w:r>
          </w:p>
        </w:tc>
        <w:tc>
          <w:tcPr>
            <w:tcW w:w="111" w:type="dxa"/>
            <w:tcBorders/>
            <w:shd w:fill="CCEEFF" w:val="clear"/>
            <w:tcMar>
              <w:bottom w:w="0" w:type="dxa"/>
            </w:tcMar>
            <w:vAlign w:val="bottom"/>
          </w:tcPr>
          <w:p>
            <w:pPr>
              <w:pStyle w:val="TableContents"/>
              <w:spacing w:before="0" w:after="283"/>
              <w:rPr/>
            </w:pPr>
            <w:r>
              <w:rPr/>
              <w:t> </w:t>
            </w:r>
          </w:p>
        </w:tc>
        <w:tc>
          <w:tcPr>
            <w:tcW w:w="14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8"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13" w:name="TAB11379"/>
            <w:bookmarkEnd w:id="2713"/>
            <w:r>
              <w:rPr>
                <w:rFonts w:ascii="times new roman" w:hAnsi="times new roman"/>
                <w:sz w:val="20"/>
              </w:rPr>
              <w:t>22,758</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14" w:name="TAB11380"/>
            <w:bookmarkEnd w:id="2714"/>
            <w:r>
              <w:rPr>
                <w:rFonts w:ascii="times new roman" w:hAnsi="times new roman"/>
                <w:sz w:val="20"/>
              </w:rPr>
              <w:t>2,792</w:t>
            </w:r>
          </w:p>
        </w:tc>
        <w:tc>
          <w:tcPr>
            <w:tcW w:w="110"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4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8"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15" w:name="TAB11381"/>
            <w:bookmarkEnd w:id="2715"/>
            <w:r>
              <w:rPr>
                <w:rFonts w:ascii="times new roman" w:hAnsi="times new roman"/>
                <w:sz w:val="20"/>
              </w:rPr>
              <w:t>25,550</w:t>
            </w:r>
          </w:p>
        </w:tc>
        <w:tc>
          <w:tcPr>
            <w:tcW w:w="126" w:type="dxa"/>
            <w:tcBorders/>
            <w:shd w:fill="CCEEFF" w:val="clear"/>
            <w:tcMar>
              <w:bottom w:w="0" w:type="dxa"/>
            </w:tcMar>
            <w:vAlign w:val="bottom"/>
          </w:tcPr>
          <w:p>
            <w:pPr>
              <w:pStyle w:val="TableContents"/>
              <w:spacing w:before="0" w:after="283"/>
              <w:jc w:val="left"/>
              <w:rPr/>
            </w:pPr>
            <w:r>
              <w:rPr/>
              <w:t> </w:t>
            </w:r>
          </w:p>
        </w:tc>
      </w:tr>
      <w:tr>
        <w:trPr/>
        <w:tc>
          <w:tcPr>
            <w:tcW w:w="583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2011</w:t>
            </w:r>
          </w:p>
        </w:tc>
        <w:tc>
          <w:tcPr>
            <w:tcW w:w="111" w:type="dxa"/>
            <w:tcBorders/>
            <w:shd w:fill="FFFFFF" w:val="clear"/>
            <w:tcMar>
              <w:bottom w:w="0" w:type="dxa"/>
            </w:tcMar>
            <w:vAlign w:val="bottom"/>
          </w:tcPr>
          <w:p>
            <w:pPr>
              <w:pStyle w:val="TableContents"/>
              <w:spacing w:before="0" w:after="283"/>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8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22,482</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2,489</w:t>
            </w:r>
          </w:p>
        </w:tc>
        <w:tc>
          <w:tcPr>
            <w:tcW w:w="110"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8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24,971</w:t>
            </w:r>
          </w:p>
        </w:tc>
        <w:tc>
          <w:tcPr>
            <w:tcW w:w="126" w:type="dxa"/>
            <w:tcBorders/>
            <w:shd w:fill="FFFFFF" w:val="clear"/>
            <w:tcMar>
              <w:bottom w:w="0" w:type="dxa"/>
            </w:tcMar>
            <w:vAlign w:val="bottom"/>
          </w:tcPr>
          <w:p>
            <w:pPr>
              <w:pStyle w:val="TableContents"/>
              <w:spacing w:before="0" w:after="283"/>
              <w:jc w:val="left"/>
              <w:rPr/>
            </w:pPr>
            <w:r>
              <w:rPr/>
              <w:t> </w:t>
            </w:r>
          </w:p>
        </w:tc>
      </w:tr>
      <w:tr>
        <w:trPr/>
        <w:tc>
          <w:tcPr>
            <w:tcW w:w="583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w:t>
            </w:r>
          </w:p>
        </w:tc>
        <w:tc>
          <w:tcPr>
            <w:tcW w:w="111" w:type="dxa"/>
            <w:tcBorders/>
            <w:shd w:fill="CCEEFF" w:val="clear"/>
            <w:tcMar>
              <w:bottom w:w="0" w:type="dxa"/>
            </w:tcMar>
            <w:vAlign w:val="bottom"/>
          </w:tcPr>
          <w:p>
            <w:pPr>
              <w:pStyle w:val="TableContents"/>
              <w:spacing w:before="0" w:after="283"/>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8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21,006</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0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2,489</w:t>
            </w:r>
          </w:p>
        </w:tc>
        <w:tc>
          <w:tcPr>
            <w:tcW w:w="110"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8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23,495</w:t>
            </w:r>
          </w:p>
        </w:tc>
        <w:tc>
          <w:tcPr>
            <w:tcW w:w="126" w:type="dxa"/>
            <w:tcBorders/>
            <w:shd w:fill="CCEEFF" w:val="clear"/>
            <w:tcMar>
              <w:bottom w:w="0" w:type="dxa"/>
            </w:tcMar>
            <w:vAlign w:val="bottom"/>
          </w:tcPr>
          <w:p>
            <w:pPr>
              <w:pStyle w:val="TableContents"/>
              <w:spacing w:before="0" w:after="283"/>
              <w:jc w:val="left"/>
              <w:rPr/>
            </w:pPr>
            <w:r>
              <w:rPr/>
              <w:t> </w:t>
            </w:r>
          </w:p>
        </w:tc>
      </w:tr>
      <w:tr>
        <w:trPr/>
        <w:tc>
          <w:tcPr>
            <w:tcW w:w="583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w:t>
            </w:r>
          </w:p>
        </w:tc>
        <w:tc>
          <w:tcPr>
            <w:tcW w:w="111" w:type="dxa"/>
            <w:tcBorders/>
            <w:shd w:fill="FFFFFF" w:val="clear"/>
            <w:tcMar>
              <w:bottom w:w="0" w:type="dxa"/>
            </w:tcMar>
            <w:vAlign w:val="bottom"/>
          </w:tcPr>
          <w:p>
            <w:pPr>
              <w:pStyle w:val="TableContents"/>
              <w:spacing w:before="0" w:after="283"/>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8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18,608</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2,535</w:t>
            </w:r>
          </w:p>
        </w:tc>
        <w:tc>
          <w:tcPr>
            <w:tcW w:w="110"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08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21,143</w:t>
            </w:r>
          </w:p>
        </w:tc>
        <w:tc>
          <w:tcPr>
            <w:tcW w:w="126" w:type="dxa"/>
            <w:tcBorders/>
            <w:shd w:fill="FFFFFF" w:val="clear"/>
            <w:tcMar>
              <w:bottom w:w="0" w:type="dxa"/>
            </w:tcMar>
            <w:vAlign w:val="bottom"/>
          </w:tcPr>
          <w:p>
            <w:pPr>
              <w:pStyle w:val="TableContents"/>
              <w:spacing w:before="0" w:after="283"/>
              <w:jc w:val="left"/>
              <w:rPr/>
            </w:pPr>
            <w:r>
              <w:rPr/>
              <w:t> </w:t>
            </w:r>
          </w:p>
        </w:tc>
      </w:tr>
      <w:tr>
        <w:trPr/>
        <w:tc>
          <w:tcPr>
            <w:tcW w:w="583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w:t>
            </w:r>
          </w:p>
        </w:tc>
        <w:tc>
          <w:tcPr>
            <w:tcW w:w="111" w:type="dxa"/>
            <w:tcBorders/>
            <w:shd w:fill="CCEEFF" w:val="clear"/>
            <w:tcMar>
              <w:bottom w:w="0" w:type="dxa"/>
            </w:tcMar>
            <w:vAlign w:val="bottom"/>
          </w:tcPr>
          <w:p>
            <w:pPr>
              <w:pStyle w:val="TableContents"/>
              <w:spacing w:before="0" w:after="283"/>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8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16,698</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0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1,569</w:t>
            </w:r>
          </w:p>
        </w:tc>
        <w:tc>
          <w:tcPr>
            <w:tcW w:w="110"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108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18,267</w:t>
            </w:r>
          </w:p>
        </w:tc>
        <w:tc>
          <w:tcPr>
            <w:tcW w:w="126" w:type="dxa"/>
            <w:tcBorders/>
            <w:shd w:fill="CCEEFF" w:val="clear"/>
            <w:tcMar>
              <w:bottom w:w="0" w:type="dxa"/>
            </w:tcMar>
            <w:vAlign w:val="bottom"/>
          </w:tcPr>
          <w:p>
            <w:pPr>
              <w:pStyle w:val="TableContents"/>
              <w:spacing w:before="0" w:after="283"/>
              <w:jc w:val="left"/>
              <w:rPr/>
            </w:pPr>
            <w:r>
              <w:rPr/>
              <w:t> </w:t>
            </w:r>
          </w:p>
        </w:tc>
      </w:tr>
      <w:tr>
        <w:trPr/>
        <w:tc>
          <w:tcPr>
            <w:tcW w:w="5834"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Thereafter</w:t>
            </w:r>
          </w:p>
        </w:tc>
        <w:tc>
          <w:tcPr>
            <w:tcW w:w="111" w:type="dxa"/>
            <w:tcBorders/>
            <w:shd w:fill="FFFFFF" w:val="clear"/>
            <w:tcMar>
              <w:bottom w:w="0" w:type="dxa"/>
            </w:tcMar>
            <w:vAlign w:val="bottom"/>
          </w:tcPr>
          <w:p>
            <w:pPr>
              <w:pStyle w:val="TableContents"/>
              <w:spacing w:before="0" w:after="283"/>
              <w:rPr/>
            </w:pPr>
            <w:r>
              <w:rPr/>
              <w:t> </w:t>
            </w:r>
          </w:p>
        </w:tc>
        <w:tc>
          <w:tcPr>
            <w:tcW w:w="142" w:type="dxa"/>
            <w:tcBorders>
              <w:bottom w:val="single" w:sz="12" w:space="0" w:color="000000"/>
            </w:tcBorders>
            <w:shd w:fill="FFFFFF" w:val="clear"/>
            <w:vAlign w:val="bottom"/>
          </w:tcPr>
          <w:p>
            <w:pPr>
              <w:pStyle w:val="TableContents"/>
              <w:spacing w:before="0" w:after="283"/>
              <w:jc w:val="left"/>
              <w:rPr/>
            </w:pPr>
            <w:r>
              <w:rPr/>
              <w:t> </w:t>
            </w:r>
          </w:p>
        </w:tc>
        <w:tc>
          <w:tcPr>
            <w:tcW w:w="108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58,727</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rPr/>
            </w:pPr>
            <w:r>
              <w:rPr/>
              <w:t> </w:t>
            </w:r>
          </w:p>
        </w:tc>
        <w:tc>
          <w:tcPr>
            <w:tcW w:w="151" w:type="dxa"/>
            <w:tcBorders>
              <w:bottom w:val="single" w:sz="12" w:space="0" w:color="000000"/>
            </w:tcBorders>
            <w:shd w:fill="FFFFFF" w:val="clear"/>
            <w:vAlign w:val="bottom"/>
          </w:tcPr>
          <w:p>
            <w:pPr>
              <w:pStyle w:val="TableContents"/>
              <w:spacing w:before="0" w:after="283"/>
              <w:jc w:val="left"/>
              <w:rPr/>
            </w:pPr>
            <w:r>
              <w:rPr/>
              <w:t> </w:t>
            </w:r>
          </w:p>
        </w:tc>
        <w:tc>
          <w:tcPr>
            <w:tcW w:w="108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5,411</w:t>
            </w:r>
          </w:p>
        </w:tc>
        <w:tc>
          <w:tcPr>
            <w:tcW w:w="110"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rPr/>
            </w:pPr>
            <w:r>
              <w:rPr/>
              <w:t> </w:t>
            </w:r>
          </w:p>
        </w:tc>
        <w:tc>
          <w:tcPr>
            <w:tcW w:w="142" w:type="dxa"/>
            <w:tcBorders>
              <w:bottom w:val="single" w:sz="12" w:space="0" w:color="000000"/>
            </w:tcBorders>
            <w:shd w:fill="FFFFFF" w:val="clear"/>
            <w:vAlign w:val="bottom"/>
          </w:tcPr>
          <w:p>
            <w:pPr>
              <w:pStyle w:val="TableContents"/>
              <w:spacing w:before="0" w:after="283"/>
              <w:jc w:val="left"/>
              <w:rPr/>
            </w:pPr>
            <w:r>
              <w:rPr/>
              <w:t> </w:t>
            </w:r>
          </w:p>
        </w:tc>
        <w:tc>
          <w:tcPr>
            <w:tcW w:w="108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64,138</w:t>
            </w:r>
          </w:p>
        </w:tc>
        <w:tc>
          <w:tcPr>
            <w:tcW w:w="126" w:type="dxa"/>
            <w:tcBorders/>
            <w:shd w:fill="FFFFFF" w:val="clear"/>
            <w:tcMar>
              <w:bottom w:w="0" w:type="dxa"/>
            </w:tcMar>
            <w:vAlign w:val="bottom"/>
          </w:tcPr>
          <w:p>
            <w:pPr>
              <w:pStyle w:val="TableContents"/>
              <w:spacing w:before="0" w:after="283"/>
              <w:jc w:val="left"/>
              <w:rPr/>
            </w:pPr>
            <w:r>
              <w:rPr/>
              <w:t> </w:t>
            </w:r>
          </w:p>
        </w:tc>
      </w:tr>
      <w:tr>
        <w:trPr/>
        <w:tc>
          <w:tcPr>
            <w:tcW w:w="5834"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minimum lease payments</w:t>
            </w:r>
          </w:p>
        </w:tc>
        <w:tc>
          <w:tcPr>
            <w:tcW w:w="111" w:type="dxa"/>
            <w:tcBorders/>
            <w:shd w:fill="CCEEFF" w:val="clear"/>
            <w:tcMar>
              <w:bottom w:w="0" w:type="dxa"/>
            </w:tcMar>
            <w:vAlign w:val="bottom"/>
          </w:tcPr>
          <w:p>
            <w:pPr>
              <w:pStyle w:val="TableContents"/>
              <w:spacing w:before="0" w:after="283"/>
              <w:rPr/>
            </w:pPr>
            <w:r>
              <w:rPr/>
              <w:t> </w:t>
            </w:r>
          </w:p>
        </w:tc>
        <w:tc>
          <w:tcPr>
            <w:tcW w:w="142"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8" w:type="dxa"/>
            <w:tcBorders>
              <w:bottom w:val="double" w:sz="8" w:space="0" w:color="000000"/>
            </w:tcBorders>
            <w:shd w:fill="CCEEFF" w:val="clear"/>
            <w:vAlign w:val="bottom"/>
          </w:tcPr>
          <w:p>
            <w:pPr>
              <w:pStyle w:val="TableContents"/>
              <w:spacing w:before="0" w:after="283"/>
              <w:ind w:left="296" w:right="0" w:hanging="0"/>
              <w:jc w:val="right"/>
              <w:rPr>
                <w:rFonts w:ascii="times new roman" w:hAnsi="times new roman"/>
                <w:sz w:val="20"/>
              </w:rPr>
            </w:pPr>
            <w:bookmarkStart w:id="2716" w:name="TAB11382"/>
            <w:bookmarkEnd w:id="2716"/>
            <w:r>
              <w:rPr>
                <w:rFonts w:ascii="times new roman" w:hAnsi="times new roman"/>
                <w:sz w:val="20"/>
              </w:rPr>
              <w:t>160,279</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5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CCEEFF" w:val="clear"/>
            <w:vAlign w:val="bottom"/>
          </w:tcPr>
          <w:p>
            <w:pPr>
              <w:pStyle w:val="TableContents"/>
              <w:spacing w:before="0" w:after="283"/>
              <w:ind w:left="296" w:right="0" w:hanging="0"/>
              <w:jc w:val="right"/>
              <w:rPr>
                <w:rFonts w:ascii="times new roman" w:hAnsi="times new roman"/>
                <w:sz w:val="20"/>
              </w:rPr>
            </w:pPr>
            <w:bookmarkStart w:id="2717" w:name="TAB11383"/>
            <w:bookmarkEnd w:id="2717"/>
            <w:r>
              <w:rPr>
                <w:rFonts w:ascii="times new roman" w:hAnsi="times new roman"/>
                <w:sz w:val="20"/>
              </w:rPr>
              <w:t>17,285</w:t>
            </w:r>
          </w:p>
        </w:tc>
        <w:tc>
          <w:tcPr>
            <w:tcW w:w="110"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42"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8" w:type="dxa"/>
            <w:tcBorders>
              <w:bottom w:val="double" w:sz="8" w:space="0" w:color="000000"/>
            </w:tcBorders>
            <w:shd w:fill="CCEEFF" w:val="clear"/>
            <w:vAlign w:val="bottom"/>
          </w:tcPr>
          <w:p>
            <w:pPr>
              <w:pStyle w:val="TableContents"/>
              <w:spacing w:before="0" w:after="283"/>
              <w:ind w:left="296" w:right="0" w:hanging="0"/>
              <w:jc w:val="right"/>
              <w:rPr>
                <w:rFonts w:ascii="times new roman" w:hAnsi="times new roman"/>
                <w:sz w:val="20"/>
              </w:rPr>
            </w:pPr>
            <w:bookmarkStart w:id="2718" w:name="TAB11384"/>
            <w:bookmarkEnd w:id="2718"/>
            <w:r>
              <w:rPr>
                <w:rFonts w:ascii="times new roman" w:hAnsi="times new roman"/>
                <w:sz w:val="20"/>
              </w:rPr>
              <w:t>177,564</w:t>
            </w:r>
          </w:p>
        </w:tc>
        <w:tc>
          <w:tcPr>
            <w:tcW w:w="126"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19" w:name="TAB11385"/>
      <w:bookmarkEnd w:id="2719"/>
      <w:r>
        <w:rPr>
          <w:rFonts w:ascii="Times New Roman" w:hAnsi="Times New Roman"/>
          <w:sz w:val="20"/>
        </w:rPr>
        <w:t>Since approximately $70.3 million of our total minimum lease payments of $177.6 million as of December 31, 2009 consisted of lease obligations denominated in Australian and New Zealand dollars, the U.S dollar amounts of these obligations will fluctuate in accordance with the relative values of these currencies.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18 – Pension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Supplemental Executive Retirement Plan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20" w:name="TAB11386"/>
      <w:bookmarkEnd w:id="2720"/>
      <w:r>
        <w:rPr>
          <w:rFonts w:ascii="Times New Roman" w:hAnsi="Times New Roman"/>
          <w:sz w:val="20"/>
        </w:rPr>
        <w:t>In March 2007, the Board of Directors of Reading International, Inc. (“Reading”) approved a Supplemental Executive Retirement Plan (“SERP”) pursuant to which Reading has agreed to provide James J. Cotter, its Chief Executive Officer and Chairman of the Board of Directors, supplemental retirement benefits effective March 1, 2007.  Under the SERP, Mr. Cotter will receive a monthly payment of the greater of (i) 40% of the average monthly earnings over the highest consecutive 36-month period of earnings prior to Mr. Cotter’s separation from service with Reading or (ii) $25,000 per month for the remainder of his life, with a guarantee of 180 monthly payments following his separation from service with Reading or following his death.  The benefi ciaries under the SERP may be designated by Mr. Cotter or by his beneficiary following his or his beneficiary’s death.  The benefits under the SERP are fully vested as of March 1, 2007.</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21" w:name="TAB11387"/>
      <w:bookmarkEnd w:id="2721"/>
      <w:r>
        <w:rPr>
          <w:rFonts w:ascii="Times New Roman" w:hAnsi="Times New Roman"/>
          <w:sz w:val="20"/>
        </w:rPr>
        <w:t xml:space="preserve">The SERP initially will be unfunded, but Reading may choose to establish one or more grantor trusts from which to pay the SERP benefits.  As such, the SERP benefits are unsecured, general obligations of Reading.  The SERP is administered by the Compensation Committee of the Board of Directors of Reading.  In accordance with FASB ASC 715-30-05 – </w:t>
      </w:r>
      <w:r>
        <w:rPr>
          <w:rFonts w:ascii="Times New Roman" w:hAnsi="Times New Roman"/>
          <w:i/>
          <w:sz w:val="20"/>
        </w:rPr>
        <w:t xml:space="preserve">Defined Benefit Pension Plans </w:t>
      </w:r>
      <w:r>
        <w:rPr>
          <w:rFonts w:ascii="Times New Roman" w:hAnsi="Times New Roman"/>
          <w:sz w:val="20"/>
        </w:rPr>
        <w:t xml:space="preserve">(“ASC 715-30-05”), the initial pension benefit obligation of $2.7 million was included in our other liabilities with a corresponding amount of unrecognized prior service cost included in accumulated other comprehensive income on March 1, 2007 (see Note 24 – </w:t>
      </w:r>
      <w:r>
        <w:rPr>
          <w:rFonts w:ascii="Times New Roman" w:hAnsi="Times New Roman"/>
          <w:i/>
          <w:sz w:val="20"/>
        </w:rPr>
        <w:t>Co mprehensive Income</w:t>
      </w:r>
      <w:r>
        <w:rPr>
          <w:rFonts w:ascii="Times New Roman" w:hAnsi="Times New Roman"/>
          <w:sz w:val="20"/>
        </w:rPr>
        <w:t>).  The initial benefit obligation was based on a discount rate of 5.75% and a compensation increase rate of 3.5%.  The $2.7 million is being amortized as a prior service cost over the estimated service period of 10 years combined with an annual interest cost.  For the years ended December 31, 2009, 2008 and 2007, we recognized $160,000, $153,000, and $129,000, respectively, of interest cost and $304,000, $304,000, and $253,000, respectively, of amortized prior service cost.  For the years ended December 31, 2009 and 2008, we recognized $20,000 and $18,000, respectively, of amortized net gain.  The balance of the other liability for this pension plan was $3.4 million and $2.6 million at December 31, 2009 and 2008, respectively, and the accumulated unrecognized prior service costs included in other comprehensive income balance was $2.1 million and $1.7 million at December 31, 2009 and 2008, respectively.  The December 31, 200 9 and 2008 values of the SERP are each based on a discount rate of 6.25% and an annual compensation growth rate of 3.50%.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change in the SERP pension benefit obligation and the funded status for the year ending December 31, 2009 and 2008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635"/>
        <w:gridCol w:w="119"/>
        <w:gridCol w:w="164"/>
        <w:gridCol w:w="1149"/>
        <w:gridCol w:w="138"/>
      </w:tblGrid>
      <w:tr>
        <w:trPr/>
        <w:tc>
          <w:tcPr>
            <w:tcW w:w="8635"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Change in Benefit Obligation</w:t>
            </w:r>
          </w:p>
        </w:tc>
        <w:tc>
          <w:tcPr>
            <w:tcW w:w="119" w:type="dxa"/>
            <w:tcBorders/>
            <w:shd w:fill="auto" w:val="clear"/>
            <w:tcMar>
              <w:bottom w:w="0" w:type="dxa"/>
            </w:tcMar>
            <w:vAlign w:val="bottom"/>
          </w:tcPr>
          <w:p>
            <w:pPr>
              <w:pStyle w:val="TableContents"/>
              <w:spacing w:before="0" w:after="283"/>
              <w:rPr/>
            </w:pPr>
            <w:r>
              <w:rPr/>
              <w:t> </w:t>
            </w:r>
          </w:p>
        </w:tc>
        <w:tc>
          <w:tcPr>
            <w:tcW w:w="131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year ending December 31, 2009</w:t>
            </w:r>
          </w:p>
        </w:tc>
        <w:tc>
          <w:tcPr>
            <w:tcW w:w="138" w:type="dxa"/>
            <w:tcBorders/>
            <w:shd w:fill="auto" w:val="clear"/>
            <w:tcMar>
              <w:bottom w:w="0" w:type="dxa"/>
            </w:tcMar>
            <w:vAlign w:val="bottom"/>
          </w:tcPr>
          <w:p>
            <w:pPr>
              <w:pStyle w:val="TableContents"/>
              <w:spacing w:before="0" w:after="283"/>
              <w:jc w:val="left"/>
              <w:rPr/>
            </w:pPr>
            <w:r>
              <w:rPr/>
              <w:t> </w:t>
            </w:r>
          </w:p>
        </w:tc>
      </w:tr>
      <w:tr>
        <w:trPr/>
        <w:tc>
          <w:tcPr>
            <w:tcW w:w="863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Benefit obligation at January 1, 2009</w:t>
            </w:r>
          </w:p>
        </w:tc>
        <w:tc>
          <w:tcPr>
            <w:tcW w:w="119" w:type="dxa"/>
            <w:tcBorders/>
            <w:shd w:fill="CCEEFF" w:val="clear"/>
            <w:tcMar>
              <w:bottom w:w="0" w:type="dxa"/>
            </w:tcMar>
            <w:vAlign w:val="bottom"/>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9"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22" w:name="TAB11388"/>
            <w:bookmarkEnd w:id="2722"/>
            <w:r>
              <w:rPr>
                <w:rFonts w:ascii="times new roman" w:hAnsi="times new roman"/>
                <w:sz w:val="20"/>
              </w:rPr>
              <w:t>2,566</w:t>
            </w:r>
          </w:p>
        </w:tc>
        <w:tc>
          <w:tcPr>
            <w:tcW w:w="138" w:type="dxa"/>
            <w:tcBorders/>
            <w:shd w:fill="CCEEFF" w:val="clear"/>
            <w:tcMar>
              <w:bottom w:w="0" w:type="dxa"/>
            </w:tcMar>
            <w:vAlign w:val="bottom"/>
          </w:tcPr>
          <w:p>
            <w:pPr>
              <w:pStyle w:val="TableContents"/>
              <w:spacing w:before="0" w:after="283"/>
              <w:jc w:val="left"/>
              <w:rPr/>
            </w:pPr>
            <w:r>
              <w:rPr/>
              <w:t> </w:t>
            </w:r>
          </w:p>
        </w:tc>
      </w:tr>
      <w:tr>
        <w:trPr/>
        <w:tc>
          <w:tcPr>
            <w:tcW w:w="863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Service cost</w:t>
            </w:r>
          </w:p>
        </w:tc>
        <w:tc>
          <w:tcPr>
            <w:tcW w:w="119" w:type="dxa"/>
            <w:tcBorders/>
            <w:shd w:fill="FFFFFF" w:val="clear"/>
            <w:tcMar>
              <w:bottom w:w="0" w:type="dxa"/>
            </w:tcMar>
            <w:vAlign w:val="bottom"/>
          </w:tcPr>
          <w:p>
            <w:pPr>
              <w:pStyle w:val="TableContents"/>
              <w:spacing w:before="0" w:after="283"/>
              <w:rPr/>
            </w:pPr>
            <w:r>
              <w:rPr/>
              <w:t> </w:t>
            </w:r>
          </w:p>
        </w:tc>
        <w:tc>
          <w:tcPr>
            <w:tcW w:w="164" w:type="dxa"/>
            <w:tcBorders/>
            <w:shd w:fill="FFFFFF" w:val="clear"/>
            <w:tcMar>
              <w:bottom w:w="0" w:type="dxa"/>
            </w:tcMar>
            <w:vAlign w:val="bottom"/>
          </w:tcPr>
          <w:p>
            <w:pPr>
              <w:pStyle w:val="TableContents"/>
              <w:spacing w:before="0" w:after="283"/>
              <w:jc w:val="left"/>
              <w:rPr/>
            </w:pPr>
            <w:r>
              <w:rPr/>
              <w:t> </w:t>
            </w:r>
          </w:p>
        </w:tc>
        <w:tc>
          <w:tcPr>
            <w:tcW w:w="11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FFFFFF" w:val="clear"/>
            <w:tcMar>
              <w:bottom w:w="0" w:type="dxa"/>
            </w:tcMar>
            <w:vAlign w:val="bottom"/>
          </w:tcPr>
          <w:p>
            <w:pPr>
              <w:pStyle w:val="TableContents"/>
              <w:spacing w:before="0" w:after="283"/>
              <w:jc w:val="left"/>
              <w:rPr/>
            </w:pPr>
            <w:r>
              <w:rPr/>
              <w:t> </w:t>
            </w:r>
          </w:p>
        </w:tc>
      </w:tr>
      <w:tr>
        <w:trPr/>
        <w:tc>
          <w:tcPr>
            <w:tcW w:w="863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19" w:type="dxa"/>
            <w:tcBorders/>
            <w:shd w:fill="CCEEFF" w:val="clear"/>
            <w:tcMar>
              <w:bottom w:w="0" w:type="dxa"/>
            </w:tcMar>
            <w:vAlign w:val="bottom"/>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11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38" w:type="dxa"/>
            <w:tcBorders/>
            <w:shd w:fill="CCEEFF" w:val="clear"/>
            <w:tcMar>
              <w:bottom w:w="0" w:type="dxa"/>
            </w:tcMar>
            <w:vAlign w:val="bottom"/>
          </w:tcPr>
          <w:p>
            <w:pPr>
              <w:pStyle w:val="TableContents"/>
              <w:spacing w:before="0" w:after="283"/>
              <w:jc w:val="left"/>
              <w:rPr/>
            </w:pPr>
            <w:r>
              <w:rPr/>
              <w:t> </w:t>
            </w:r>
          </w:p>
        </w:tc>
      </w:tr>
      <w:tr>
        <w:trPr/>
        <w:tc>
          <w:tcPr>
            <w:tcW w:w="8635"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Actuarial loss</w:t>
            </w:r>
          </w:p>
        </w:tc>
        <w:tc>
          <w:tcPr>
            <w:tcW w:w="119" w:type="dxa"/>
            <w:tcBorders/>
            <w:shd w:fill="FFFFFF" w:val="clear"/>
            <w:tcMar>
              <w:bottom w:w="0" w:type="dxa"/>
            </w:tcMar>
            <w:vAlign w:val="bottom"/>
          </w:tcPr>
          <w:p>
            <w:pPr>
              <w:pStyle w:val="TableContents"/>
              <w:spacing w:before="0" w:after="283"/>
              <w:rPr/>
            </w:pPr>
            <w:r>
              <w:rPr/>
              <w:t> </w:t>
            </w:r>
          </w:p>
        </w:tc>
        <w:tc>
          <w:tcPr>
            <w:tcW w:w="164" w:type="dxa"/>
            <w:tcBorders>
              <w:bottom w:val="single" w:sz="12" w:space="0" w:color="000000"/>
            </w:tcBorders>
            <w:shd w:fill="FFFFFF" w:val="clear"/>
            <w:vAlign w:val="bottom"/>
          </w:tcPr>
          <w:p>
            <w:pPr>
              <w:pStyle w:val="TableContents"/>
              <w:spacing w:before="0" w:after="283"/>
              <w:jc w:val="left"/>
              <w:rPr/>
            </w:pPr>
            <w:r>
              <w:rPr/>
              <w:t> </w:t>
            </w:r>
          </w:p>
        </w:tc>
        <w:tc>
          <w:tcPr>
            <w:tcW w:w="11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702</w:t>
            </w:r>
          </w:p>
        </w:tc>
        <w:tc>
          <w:tcPr>
            <w:tcW w:w="138" w:type="dxa"/>
            <w:tcBorders/>
            <w:shd w:fill="FFFFFF" w:val="clear"/>
            <w:tcMar>
              <w:bottom w:w="0" w:type="dxa"/>
            </w:tcMar>
            <w:vAlign w:val="bottom"/>
          </w:tcPr>
          <w:p>
            <w:pPr>
              <w:pStyle w:val="TableContents"/>
              <w:spacing w:before="0" w:after="283"/>
              <w:jc w:val="left"/>
              <w:rPr/>
            </w:pPr>
            <w:r>
              <w:rPr/>
              <w:t> </w:t>
            </w:r>
          </w:p>
        </w:tc>
      </w:tr>
      <w:tr>
        <w:trPr/>
        <w:tc>
          <w:tcPr>
            <w:tcW w:w="863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Benefit obligation at December 31, 2009</w:t>
            </w:r>
          </w:p>
        </w:tc>
        <w:tc>
          <w:tcPr>
            <w:tcW w:w="119" w:type="dxa"/>
            <w:tcBorders/>
            <w:shd w:fill="CCEEFF" w:val="clear"/>
            <w:tcMar>
              <w:bottom w:w="0" w:type="dxa"/>
            </w:tcMar>
            <w:vAlign w:val="bottom"/>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1149" w:type="dxa"/>
            <w:tcBorders/>
            <w:shd w:fill="CCEEFF" w:val="clear"/>
            <w:tcMar>
              <w:bottom w:w="0" w:type="dxa"/>
            </w:tcMar>
            <w:vAlign w:val="bottom"/>
          </w:tcPr>
          <w:p>
            <w:pPr>
              <w:pStyle w:val="TableContents"/>
              <w:spacing w:before="0" w:after="283"/>
              <w:ind w:left="913" w:right="0" w:hanging="0"/>
              <w:jc w:val="right"/>
              <w:rPr>
                <w:rFonts w:ascii="times new roman" w:hAnsi="times new roman"/>
                <w:sz w:val="20"/>
              </w:rPr>
            </w:pPr>
            <w:bookmarkStart w:id="2723" w:name="TAB11389"/>
            <w:bookmarkEnd w:id="2723"/>
            <w:r>
              <w:rPr>
                <w:rFonts w:ascii="times new roman" w:hAnsi="times new roman"/>
                <w:sz w:val="20"/>
              </w:rPr>
              <w:t>3,428</w:t>
            </w:r>
          </w:p>
        </w:tc>
        <w:tc>
          <w:tcPr>
            <w:tcW w:w="138" w:type="dxa"/>
            <w:tcBorders/>
            <w:shd w:fill="CCEEFF" w:val="clear"/>
            <w:tcMar>
              <w:bottom w:w="0" w:type="dxa"/>
            </w:tcMar>
            <w:vAlign w:val="bottom"/>
          </w:tcPr>
          <w:p>
            <w:pPr>
              <w:pStyle w:val="TableContents"/>
              <w:spacing w:before="0" w:after="283"/>
              <w:jc w:val="left"/>
              <w:rPr/>
            </w:pPr>
            <w:r>
              <w:rPr/>
              <w:t> </w:t>
            </w:r>
          </w:p>
        </w:tc>
      </w:tr>
      <w:tr>
        <w:trPr/>
        <w:tc>
          <w:tcPr>
            <w:tcW w:w="8635"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Plan assets</w:t>
            </w:r>
          </w:p>
        </w:tc>
        <w:tc>
          <w:tcPr>
            <w:tcW w:w="119" w:type="dxa"/>
            <w:tcBorders/>
            <w:shd w:fill="FFFFFF" w:val="clear"/>
            <w:tcMar>
              <w:bottom w:w="0" w:type="dxa"/>
            </w:tcMar>
            <w:vAlign w:val="bottom"/>
          </w:tcPr>
          <w:p>
            <w:pPr>
              <w:pStyle w:val="TableContents"/>
              <w:spacing w:before="0" w:after="283"/>
              <w:jc w:val="left"/>
              <w:rPr/>
            </w:pPr>
            <w:r>
              <w:rPr/>
              <w:t> </w:t>
            </w:r>
          </w:p>
        </w:tc>
        <w:tc>
          <w:tcPr>
            <w:tcW w:w="164" w:type="dxa"/>
            <w:tcBorders>
              <w:bottom w:val="single" w:sz="12" w:space="0" w:color="000000"/>
            </w:tcBorders>
            <w:shd w:fill="FFFFFF" w:val="clear"/>
            <w:vAlign w:val="bottom"/>
          </w:tcPr>
          <w:p>
            <w:pPr>
              <w:pStyle w:val="TableContents"/>
              <w:spacing w:before="0" w:after="283"/>
              <w:jc w:val="left"/>
              <w:rPr/>
            </w:pPr>
            <w:r>
              <w:rPr/>
              <w:t> </w:t>
            </w:r>
          </w:p>
        </w:tc>
        <w:tc>
          <w:tcPr>
            <w:tcW w:w="1149" w:type="dxa"/>
            <w:tcBorders>
              <w:bottom w:val="single" w:sz="12" w:space="0" w:color="000000"/>
            </w:tcBorders>
            <w:shd w:fill="FFFFFF" w:val="clear"/>
            <w:vAlign w:val="bottom"/>
          </w:tcPr>
          <w:p>
            <w:pPr>
              <w:pStyle w:val="TableContents"/>
              <w:spacing w:before="0" w:after="283"/>
              <w:ind w:left="1335" w:right="0" w:hanging="0"/>
              <w:jc w:val="right"/>
              <w:rPr>
                <w:rFonts w:ascii="times new roman" w:hAnsi="times new roman"/>
                <w:sz w:val="20"/>
              </w:rPr>
            </w:pPr>
            <w:bookmarkStart w:id="2724" w:name="TAB11390"/>
            <w:bookmarkEnd w:id="2724"/>
            <w:r>
              <w:rPr>
                <w:rFonts w:ascii="times new roman" w:hAnsi="times new roman"/>
                <w:sz w:val="20"/>
              </w:rPr>
              <w:t>--</w:t>
            </w:r>
          </w:p>
        </w:tc>
        <w:tc>
          <w:tcPr>
            <w:tcW w:w="138" w:type="dxa"/>
            <w:tcBorders/>
            <w:shd w:fill="FFFFFF" w:val="clear"/>
            <w:tcMar>
              <w:bottom w:w="0" w:type="dxa"/>
            </w:tcMar>
            <w:vAlign w:val="bottom"/>
          </w:tcPr>
          <w:p>
            <w:pPr>
              <w:pStyle w:val="TableContents"/>
              <w:spacing w:before="0" w:after="283"/>
              <w:jc w:val="left"/>
              <w:rPr/>
            </w:pPr>
            <w:r>
              <w:rPr/>
              <w:t> </w:t>
            </w:r>
          </w:p>
        </w:tc>
      </w:tr>
      <w:tr>
        <w:trPr/>
        <w:tc>
          <w:tcPr>
            <w:tcW w:w="8635"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Funded status at December 31, 2009</w:t>
            </w:r>
          </w:p>
        </w:tc>
        <w:tc>
          <w:tcPr>
            <w:tcW w:w="119" w:type="dxa"/>
            <w:tcBorders/>
            <w:shd w:fill="CCEEFF" w:val="clear"/>
            <w:tcMar>
              <w:bottom w:w="0" w:type="dxa"/>
            </w:tcMar>
            <w:vAlign w:val="bottom"/>
          </w:tcPr>
          <w:p>
            <w:pPr>
              <w:pStyle w:val="TableContents"/>
              <w:spacing w:before="0" w:after="283"/>
              <w:jc w:val="left"/>
              <w:rPr/>
            </w:pPr>
            <w:r>
              <w:rPr/>
              <w:t> </w:t>
            </w:r>
          </w:p>
        </w:tc>
        <w:tc>
          <w:tcPr>
            <w:tcW w:w="16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9" w:type="dxa"/>
            <w:tcBorders>
              <w:bottom w:val="double" w:sz="8" w:space="0" w:color="000000"/>
            </w:tcBorders>
            <w:shd w:fill="CCEEFF" w:val="clear"/>
            <w:vAlign w:val="bottom"/>
          </w:tcPr>
          <w:p>
            <w:pPr>
              <w:pStyle w:val="TableContents"/>
              <w:spacing w:before="0" w:after="283"/>
              <w:ind w:left="296" w:right="0" w:hanging="0"/>
              <w:jc w:val="right"/>
              <w:rPr>
                <w:rFonts w:ascii="times new roman" w:hAnsi="times new roman"/>
                <w:sz w:val="20"/>
              </w:rPr>
            </w:pPr>
            <w:bookmarkStart w:id="2725" w:name="TAB11391"/>
            <w:bookmarkEnd w:id="2725"/>
            <w:r>
              <w:rPr>
                <w:rFonts w:ascii="times new roman" w:hAnsi="times new roman"/>
                <w:sz w:val="20"/>
              </w:rPr>
              <w:t>(3,428</w:t>
            </w:r>
          </w:p>
        </w:tc>
        <w:tc>
          <w:tcPr>
            <w:tcW w:w="13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26" w:name="PGBRK93"/>
      <w:bookmarkStart w:id="2727" w:name="PGBRK93"/>
      <w:bookmarkEnd w:id="2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8" w:name="FTR93"/>
      <w:bookmarkStart w:id="2729" w:name="FTR93"/>
      <w:bookmarkEnd w:id="2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30" w:name="GLFTR93"/>
      <w:bookmarkEnd w:id="27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731" w:name="PN93"/>
      <w:bookmarkEnd w:id="2731"/>
      <w:r>
        <w:rPr>
          <w:rFonts w:eastAsia="Times New Roman" w:cs="Times New Roman" w:ascii="Times New Roman" w:hAnsi="Times New Roman"/>
          <w:sz w:val="20"/>
          <w:szCs w:val="20"/>
        </w:rPr>
        <w:t>-93-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732" w:name="HDR93"/>
      <w:bookmarkStart w:id="2733" w:name="HDR93"/>
      <w:bookmarkEnd w:id="27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34" w:name="GLHDR93"/>
        <w:bookmarkEnd w:id="273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tbl>
      <w:tblPr>
        <w:tblW w:w="5000" w:type="pct"/>
        <w:jc w:val="left"/>
        <w:tblInd w:w="0" w:type="dxa"/>
        <w:tblCellMar>
          <w:top w:w="0" w:type="dxa"/>
          <w:left w:w="0" w:type="dxa"/>
          <w:bottom w:w="28" w:type="dxa"/>
          <w:right w:w="0" w:type="dxa"/>
        </w:tblCellMar>
      </w:tblPr>
      <w:tblGrid>
        <w:gridCol w:w="8635"/>
        <w:gridCol w:w="119"/>
        <w:gridCol w:w="164"/>
        <w:gridCol w:w="1149"/>
        <w:gridCol w:w="138"/>
      </w:tblGrid>
      <w:tr>
        <w:trPr/>
        <w:tc>
          <w:tcPr>
            <w:tcW w:w="8635"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Change in Benefit Obligation</w:t>
            </w:r>
          </w:p>
        </w:tc>
        <w:tc>
          <w:tcPr>
            <w:tcW w:w="119" w:type="dxa"/>
            <w:tcBorders/>
            <w:shd w:fill="auto" w:val="clear"/>
            <w:tcMar>
              <w:bottom w:w="0" w:type="dxa"/>
            </w:tcMar>
            <w:vAlign w:val="bottom"/>
          </w:tcPr>
          <w:p>
            <w:pPr>
              <w:pStyle w:val="TableContents"/>
              <w:spacing w:before="0" w:after="283"/>
              <w:rPr/>
            </w:pPr>
            <w:r>
              <w:rPr/>
              <w:t> </w:t>
            </w:r>
          </w:p>
        </w:tc>
        <w:tc>
          <w:tcPr>
            <w:tcW w:w="131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year ending December 31, 2008</w:t>
            </w:r>
          </w:p>
        </w:tc>
        <w:tc>
          <w:tcPr>
            <w:tcW w:w="138" w:type="dxa"/>
            <w:tcBorders/>
            <w:shd w:fill="auto" w:val="clear"/>
            <w:tcMar>
              <w:bottom w:w="0" w:type="dxa"/>
            </w:tcMar>
            <w:vAlign w:val="bottom"/>
          </w:tcPr>
          <w:p>
            <w:pPr>
              <w:pStyle w:val="TableContents"/>
              <w:spacing w:before="0" w:after="283"/>
              <w:jc w:val="left"/>
              <w:rPr/>
            </w:pPr>
            <w:r>
              <w:rPr/>
              <w:t> </w:t>
            </w:r>
          </w:p>
        </w:tc>
      </w:tr>
      <w:tr>
        <w:trPr/>
        <w:tc>
          <w:tcPr>
            <w:tcW w:w="863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Benefit obligation at January 1, 2008</w:t>
            </w:r>
          </w:p>
        </w:tc>
        <w:tc>
          <w:tcPr>
            <w:tcW w:w="119" w:type="dxa"/>
            <w:tcBorders/>
            <w:shd w:fill="CCEEFF" w:val="clear"/>
            <w:tcMar>
              <w:bottom w:w="0" w:type="dxa"/>
            </w:tcMar>
            <w:vAlign w:val="bottom"/>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9"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35" w:name="TAB11392"/>
            <w:bookmarkEnd w:id="2735"/>
            <w:r>
              <w:rPr>
                <w:rFonts w:ascii="times new roman" w:hAnsi="times new roman"/>
                <w:sz w:val="20"/>
              </w:rPr>
              <w:t>2,445</w:t>
            </w:r>
          </w:p>
        </w:tc>
        <w:tc>
          <w:tcPr>
            <w:tcW w:w="138" w:type="dxa"/>
            <w:tcBorders/>
            <w:shd w:fill="CCEEFF" w:val="clear"/>
            <w:tcMar>
              <w:bottom w:w="0" w:type="dxa"/>
            </w:tcMar>
            <w:vAlign w:val="bottom"/>
          </w:tcPr>
          <w:p>
            <w:pPr>
              <w:pStyle w:val="TableContents"/>
              <w:spacing w:before="0" w:after="283"/>
              <w:jc w:val="left"/>
              <w:rPr/>
            </w:pPr>
            <w:r>
              <w:rPr/>
              <w:t> </w:t>
            </w:r>
          </w:p>
        </w:tc>
      </w:tr>
      <w:tr>
        <w:trPr/>
        <w:tc>
          <w:tcPr>
            <w:tcW w:w="863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Service cost</w:t>
            </w:r>
          </w:p>
        </w:tc>
        <w:tc>
          <w:tcPr>
            <w:tcW w:w="119" w:type="dxa"/>
            <w:tcBorders/>
            <w:shd w:fill="FFFFFF" w:val="clear"/>
            <w:tcMar>
              <w:bottom w:w="0" w:type="dxa"/>
            </w:tcMar>
            <w:vAlign w:val="bottom"/>
          </w:tcPr>
          <w:p>
            <w:pPr>
              <w:pStyle w:val="TableContents"/>
              <w:spacing w:before="0" w:after="283"/>
              <w:rPr/>
            </w:pPr>
            <w:r>
              <w:rPr/>
              <w:t> </w:t>
            </w:r>
          </w:p>
        </w:tc>
        <w:tc>
          <w:tcPr>
            <w:tcW w:w="164" w:type="dxa"/>
            <w:tcBorders/>
            <w:shd w:fill="FFFFFF" w:val="clear"/>
            <w:tcMar>
              <w:bottom w:w="0" w:type="dxa"/>
            </w:tcMar>
            <w:vAlign w:val="bottom"/>
          </w:tcPr>
          <w:p>
            <w:pPr>
              <w:pStyle w:val="TableContents"/>
              <w:spacing w:before="0" w:after="283"/>
              <w:jc w:val="left"/>
              <w:rPr/>
            </w:pPr>
            <w:r>
              <w:rPr/>
              <w:t> </w:t>
            </w:r>
          </w:p>
        </w:tc>
        <w:tc>
          <w:tcPr>
            <w:tcW w:w="11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FFFFFF" w:val="clear"/>
            <w:tcMar>
              <w:bottom w:w="0" w:type="dxa"/>
            </w:tcMar>
            <w:vAlign w:val="bottom"/>
          </w:tcPr>
          <w:p>
            <w:pPr>
              <w:pStyle w:val="TableContents"/>
              <w:spacing w:before="0" w:after="283"/>
              <w:jc w:val="left"/>
              <w:rPr/>
            </w:pPr>
            <w:r>
              <w:rPr/>
              <w:t> </w:t>
            </w:r>
          </w:p>
        </w:tc>
      </w:tr>
      <w:tr>
        <w:trPr/>
        <w:tc>
          <w:tcPr>
            <w:tcW w:w="863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19" w:type="dxa"/>
            <w:tcBorders/>
            <w:shd w:fill="CCEEFF" w:val="clear"/>
            <w:tcMar>
              <w:bottom w:w="0" w:type="dxa"/>
            </w:tcMar>
            <w:vAlign w:val="bottom"/>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11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38" w:type="dxa"/>
            <w:tcBorders/>
            <w:shd w:fill="CCEEFF" w:val="clear"/>
            <w:tcMar>
              <w:bottom w:w="0" w:type="dxa"/>
            </w:tcMar>
            <w:vAlign w:val="bottom"/>
          </w:tcPr>
          <w:p>
            <w:pPr>
              <w:pStyle w:val="TableContents"/>
              <w:spacing w:before="0" w:after="283"/>
              <w:jc w:val="left"/>
              <w:rPr/>
            </w:pPr>
            <w:r>
              <w:rPr/>
              <w:t> </w:t>
            </w:r>
          </w:p>
        </w:tc>
      </w:tr>
      <w:tr>
        <w:trPr/>
        <w:tc>
          <w:tcPr>
            <w:tcW w:w="8635"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Actuarial gain</w:t>
            </w:r>
          </w:p>
        </w:tc>
        <w:tc>
          <w:tcPr>
            <w:tcW w:w="119" w:type="dxa"/>
            <w:tcBorders/>
            <w:shd w:fill="FFFFFF" w:val="clear"/>
            <w:tcMar>
              <w:bottom w:w="0" w:type="dxa"/>
            </w:tcMar>
            <w:vAlign w:val="bottom"/>
          </w:tcPr>
          <w:p>
            <w:pPr>
              <w:pStyle w:val="TableContents"/>
              <w:spacing w:before="0" w:after="283"/>
              <w:rPr/>
            </w:pPr>
            <w:r>
              <w:rPr/>
              <w:t> </w:t>
            </w:r>
          </w:p>
        </w:tc>
        <w:tc>
          <w:tcPr>
            <w:tcW w:w="164" w:type="dxa"/>
            <w:tcBorders>
              <w:bottom w:val="single" w:sz="12" w:space="0" w:color="000000"/>
            </w:tcBorders>
            <w:shd w:fill="FFFFFF" w:val="clear"/>
            <w:vAlign w:val="bottom"/>
          </w:tcPr>
          <w:p>
            <w:pPr>
              <w:pStyle w:val="TableContents"/>
              <w:spacing w:before="0" w:after="283"/>
              <w:jc w:val="left"/>
              <w:rPr/>
            </w:pPr>
            <w:r>
              <w:rPr/>
              <w:t> </w:t>
            </w:r>
          </w:p>
        </w:tc>
        <w:tc>
          <w:tcPr>
            <w:tcW w:w="11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3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63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Benefit obligation at December 31, 2008</w:t>
            </w:r>
          </w:p>
        </w:tc>
        <w:tc>
          <w:tcPr>
            <w:tcW w:w="119" w:type="dxa"/>
            <w:tcBorders/>
            <w:shd w:fill="CCEEFF" w:val="clear"/>
            <w:tcMar>
              <w:bottom w:w="0" w:type="dxa"/>
            </w:tcMar>
            <w:vAlign w:val="bottom"/>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1149" w:type="dxa"/>
            <w:tcBorders/>
            <w:shd w:fill="CCEEFF" w:val="clear"/>
            <w:tcMar>
              <w:bottom w:w="0" w:type="dxa"/>
            </w:tcMar>
            <w:vAlign w:val="bottom"/>
          </w:tcPr>
          <w:p>
            <w:pPr>
              <w:pStyle w:val="TableContents"/>
              <w:spacing w:before="0" w:after="283"/>
              <w:ind w:left="913" w:right="0" w:hanging="0"/>
              <w:jc w:val="right"/>
              <w:rPr>
                <w:rFonts w:ascii="times new roman" w:hAnsi="times new roman"/>
                <w:sz w:val="20"/>
              </w:rPr>
            </w:pPr>
            <w:bookmarkStart w:id="2736" w:name="TAB11393"/>
            <w:bookmarkEnd w:id="2736"/>
            <w:r>
              <w:rPr>
                <w:rFonts w:ascii="times new roman" w:hAnsi="times new roman"/>
                <w:sz w:val="20"/>
              </w:rPr>
              <w:t>2,566</w:t>
            </w:r>
          </w:p>
        </w:tc>
        <w:tc>
          <w:tcPr>
            <w:tcW w:w="138" w:type="dxa"/>
            <w:tcBorders/>
            <w:shd w:fill="CCEEFF" w:val="clear"/>
            <w:tcMar>
              <w:bottom w:w="0" w:type="dxa"/>
            </w:tcMar>
            <w:vAlign w:val="bottom"/>
          </w:tcPr>
          <w:p>
            <w:pPr>
              <w:pStyle w:val="TableContents"/>
              <w:spacing w:before="0" w:after="283"/>
              <w:jc w:val="left"/>
              <w:rPr/>
            </w:pPr>
            <w:r>
              <w:rPr/>
              <w:t> </w:t>
            </w:r>
          </w:p>
        </w:tc>
      </w:tr>
      <w:tr>
        <w:trPr/>
        <w:tc>
          <w:tcPr>
            <w:tcW w:w="8635"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Plan assets</w:t>
            </w:r>
          </w:p>
        </w:tc>
        <w:tc>
          <w:tcPr>
            <w:tcW w:w="119" w:type="dxa"/>
            <w:tcBorders/>
            <w:shd w:fill="FFFFFF" w:val="clear"/>
            <w:tcMar>
              <w:bottom w:w="0" w:type="dxa"/>
            </w:tcMar>
            <w:vAlign w:val="bottom"/>
          </w:tcPr>
          <w:p>
            <w:pPr>
              <w:pStyle w:val="TableContents"/>
              <w:spacing w:before="0" w:after="283"/>
              <w:jc w:val="left"/>
              <w:rPr/>
            </w:pPr>
            <w:r>
              <w:rPr/>
              <w:t> </w:t>
            </w:r>
          </w:p>
        </w:tc>
        <w:tc>
          <w:tcPr>
            <w:tcW w:w="164" w:type="dxa"/>
            <w:tcBorders>
              <w:bottom w:val="single" w:sz="12" w:space="0" w:color="000000"/>
            </w:tcBorders>
            <w:shd w:fill="FFFFFF" w:val="clear"/>
            <w:vAlign w:val="bottom"/>
          </w:tcPr>
          <w:p>
            <w:pPr>
              <w:pStyle w:val="TableContents"/>
              <w:spacing w:before="0" w:after="283"/>
              <w:jc w:val="left"/>
              <w:rPr/>
            </w:pPr>
            <w:r>
              <w:rPr/>
              <w:t> </w:t>
            </w:r>
          </w:p>
        </w:tc>
        <w:tc>
          <w:tcPr>
            <w:tcW w:w="1149" w:type="dxa"/>
            <w:tcBorders>
              <w:bottom w:val="single" w:sz="12" w:space="0" w:color="000000"/>
            </w:tcBorders>
            <w:shd w:fill="FFFFFF" w:val="clear"/>
            <w:vAlign w:val="bottom"/>
          </w:tcPr>
          <w:p>
            <w:pPr>
              <w:pStyle w:val="TableContents"/>
              <w:spacing w:before="0" w:after="283"/>
              <w:ind w:left="1335" w:right="0" w:hanging="0"/>
              <w:jc w:val="right"/>
              <w:rPr>
                <w:rFonts w:ascii="times new roman" w:hAnsi="times new roman"/>
                <w:sz w:val="20"/>
              </w:rPr>
            </w:pPr>
            <w:bookmarkStart w:id="2737" w:name="TAB11394"/>
            <w:bookmarkEnd w:id="2737"/>
            <w:r>
              <w:rPr>
                <w:rFonts w:ascii="times new roman" w:hAnsi="times new roman"/>
                <w:sz w:val="20"/>
              </w:rPr>
              <w:t>--</w:t>
            </w:r>
          </w:p>
        </w:tc>
        <w:tc>
          <w:tcPr>
            <w:tcW w:w="138" w:type="dxa"/>
            <w:tcBorders/>
            <w:shd w:fill="FFFFFF" w:val="clear"/>
            <w:tcMar>
              <w:bottom w:w="0" w:type="dxa"/>
            </w:tcMar>
            <w:vAlign w:val="bottom"/>
          </w:tcPr>
          <w:p>
            <w:pPr>
              <w:pStyle w:val="TableContents"/>
              <w:spacing w:before="0" w:after="283"/>
              <w:jc w:val="left"/>
              <w:rPr/>
            </w:pPr>
            <w:r>
              <w:rPr/>
              <w:t> </w:t>
            </w:r>
          </w:p>
        </w:tc>
      </w:tr>
      <w:tr>
        <w:trPr/>
        <w:tc>
          <w:tcPr>
            <w:tcW w:w="8635"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Funded status at December 31, 2008</w:t>
            </w:r>
          </w:p>
        </w:tc>
        <w:tc>
          <w:tcPr>
            <w:tcW w:w="119" w:type="dxa"/>
            <w:tcBorders/>
            <w:shd w:fill="CCEEFF" w:val="clear"/>
            <w:tcMar>
              <w:bottom w:w="0" w:type="dxa"/>
            </w:tcMar>
            <w:vAlign w:val="bottom"/>
          </w:tcPr>
          <w:p>
            <w:pPr>
              <w:pStyle w:val="TableContents"/>
              <w:spacing w:before="0" w:after="283"/>
              <w:jc w:val="left"/>
              <w:rPr/>
            </w:pPr>
            <w:r>
              <w:rPr/>
              <w:t> </w:t>
            </w:r>
          </w:p>
        </w:tc>
        <w:tc>
          <w:tcPr>
            <w:tcW w:w="16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9" w:type="dxa"/>
            <w:tcBorders>
              <w:bottom w:val="double" w:sz="8" w:space="0" w:color="000000"/>
            </w:tcBorders>
            <w:shd w:fill="CCEEFF" w:val="clear"/>
            <w:vAlign w:val="bottom"/>
          </w:tcPr>
          <w:p>
            <w:pPr>
              <w:pStyle w:val="TableContents"/>
              <w:spacing w:before="0" w:after="283"/>
              <w:ind w:left="296" w:right="0" w:hanging="0"/>
              <w:jc w:val="right"/>
              <w:rPr>
                <w:rFonts w:ascii="times new roman" w:hAnsi="times new roman"/>
                <w:sz w:val="20"/>
              </w:rPr>
            </w:pPr>
            <w:bookmarkStart w:id="2738" w:name="TAB11395"/>
            <w:bookmarkEnd w:id="2738"/>
            <w:r>
              <w:rPr>
                <w:rFonts w:ascii="times new roman" w:hAnsi="times new roman"/>
                <w:sz w:val="20"/>
              </w:rPr>
              <w:t>(2,566</w:t>
            </w:r>
          </w:p>
        </w:tc>
        <w:tc>
          <w:tcPr>
            <w:tcW w:w="13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39" w:name="TAB11396"/>
      <w:bookmarkEnd w:id="2739"/>
      <w:r>
        <w:rPr>
          <w:rFonts w:ascii="Times New Roman" w:hAnsi="Times New Roman"/>
          <w:sz w:val="20"/>
        </w:rPr>
        <w:t>Amount recognized in balance sheet consists of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066"/>
        <w:gridCol w:w="117"/>
        <w:gridCol w:w="181"/>
        <w:gridCol w:w="1147"/>
        <w:gridCol w:w="117"/>
        <w:gridCol w:w="117"/>
        <w:gridCol w:w="181"/>
        <w:gridCol w:w="1147"/>
        <w:gridCol w:w="132"/>
      </w:tblGrid>
      <w:tr>
        <w:trPr/>
        <w:tc>
          <w:tcPr>
            <w:tcW w:w="7066" w:type="dxa"/>
            <w:tcBorders>
              <w:bottom w:val="double" w:sz="8" w:space="0" w:color="000000"/>
            </w:tcBorders>
            <w:shd w:fill="auto" w:val="clear"/>
            <w:vAlign w:val="bottom"/>
          </w:tcPr>
          <w:p>
            <w:pPr>
              <w:pStyle w:val="TableContents"/>
              <w:spacing w:before="0" w:after="283"/>
              <w:rPr/>
            </w:pPr>
            <w:r>
              <w:rPr/>
              <w:t xml:space="preserve">  </w:t>
            </w:r>
          </w:p>
        </w:tc>
        <w:tc>
          <w:tcPr>
            <w:tcW w:w="117" w:type="dxa"/>
            <w:tcBorders/>
            <w:shd w:fill="auto" w:val="clear"/>
            <w:tcMar>
              <w:bottom w:w="0" w:type="dxa"/>
            </w:tcMar>
            <w:vAlign w:val="bottom"/>
          </w:tcPr>
          <w:p>
            <w:pPr>
              <w:pStyle w:val="TableContents"/>
              <w:spacing w:before="0" w:after="283"/>
              <w:rPr/>
            </w:pPr>
            <w:r>
              <w:rPr/>
              <w:t> </w:t>
            </w:r>
          </w:p>
        </w:tc>
        <w:tc>
          <w:tcPr>
            <w:tcW w:w="132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At December 31, 2009</w:t>
            </w:r>
          </w:p>
        </w:tc>
        <w:tc>
          <w:tcPr>
            <w:tcW w:w="117" w:type="dxa"/>
            <w:tcBorders/>
            <w:shd w:fill="auto" w:val="clear"/>
            <w:tcMar>
              <w:bottom w:w="0" w:type="dxa"/>
            </w:tcMar>
            <w:vAlign w:val="bottom"/>
          </w:tcPr>
          <w:p>
            <w:pPr>
              <w:pStyle w:val="TableContents"/>
              <w:spacing w:before="0" w:after="283"/>
              <w:jc w:val="left"/>
              <w:rPr/>
            </w:pPr>
            <w:r>
              <w:rPr/>
              <w:t> </w:t>
            </w:r>
          </w:p>
        </w:tc>
        <w:tc>
          <w:tcPr>
            <w:tcW w:w="117" w:type="dxa"/>
            <w:tcBorders/>
            <w:shd w:fill="auto" w:val="clear"/>
            <w:tcMar>
              <w:bottom w:w="0" w:type="dxa"/>
            </w:tcMar>
            <w:vAlign w:val="bottom"/>
          </w:tcPr>
          <w:p>
            <w:pPr>
              <w:pStyle w:val="TableContents"/>
              <w:spacing w:before="0" w:after="283"/>
              <w:rPr/>
            </w:pPr>
            <w:r>
              <w:rPr/>
              <w:t> </w:t>
            </w:r>
          </w:p>
        </w:tc>
        <w:tc>
          <w:tcPr>
            <w:tcW w:w="132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At December 31, 2008</w:t>
            </w:r>
          </w:p>
        </w:tc>
        <w:tc>
          <w:tcPr>
            <w:tcW w:w="132" w:type="dxa"/>
            <w:tcBorders/>
            <w:shd w:fill="auto" w:val="clear"/>
            <w:tcMar>
              <w:bottom w:w="0" w:type="dxa"/>
            </w:tcMar>
            <w:vAlign w:val="bottom"/>
          </w:tcPr>
          <w:p>
            <w:pPr>
              <w:pStyle w:val="TableContents"/>
              <w:spacing w:before="0" w:after="283"/>
              <w:jc w:val="left"/>
              <w:rPr/>
            </w:pPr>
            <w:r>
              <w:rPr/>
              <w:t> </w:t>
            </w:r>
          </w:p>
        </w:tc>
      </w:tr>
      <w:tr>
        <w:trPr/>
        <w:tc>
          <w:tcPr>
            <w:tcW w:w="706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assets</w:t>
            </w:r>
          </w:p>
        </w:tc>
        <w:tc>
          <w:tcPr>
            <w:tcW w:w="117" w:type="dxa"/>
            <w:tcBorders/>
            <w:shd w:fill="CCEEFF" w:val="clear"/>
            <w:tcMar>
              <w:bottom w:w="0" w:type="dxa"/>
            </w:tcMar>
            <w:vAlign w:val="bottom"/>
          </w:tcPr>
          <w:p>
            <w:pPr>
              <w:pStyle w:val="TableContents"/>
              <w:spacing w:before="0" w:after="283"/>
              <w:rPr/>
            </w:pPr>
            <w:r>
              <w:rPr/>
              <w:t> </w:t>
            </w:r>
          </w:p>
        </w:tc>
        <w:tc>
          <w:tcPr>
            <w:tcW w:w="18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7"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40" w:name="TAB11397"/>
            <w:bookmarkEnd w:id="2740"/>
            <w:r>
              <w:rPr>
                <w:rFonts w:ascii="times new roman" w:hAnsi="times new roman"/>
                <w:sz w:val="20"/>
              </w:rPr>
              <w:t>--</w:t>
            </w:r>
          </w:p>
        </w:tc>
        <w:tc>
          <w:tcPr>
            <w:tcW w:w="117" w:type="dxa"/>
            <w:tcBorders/>
            <w:shd w:fill="CCEEFF" w:val="clear"/>
            <w:tcMar>
              <w:bottom w:w="0" w:type="dxa"/>
            </w:tcMar>
            <w:vAlign w:val="bottom"/>
          </w:tcPr>
          <w:p>
            <w:pPr>
              <w:pStyle w:val="TableContents"/>
              <w:spacing w:before="0" w:after="283"/>
              <w:jc w:val="left"/>
              <w:rPr/>
            </w:pPr>
            <w:r>
              <w:rPr/>
              <w:t> </w:t>
            </w:r>
          </w:p>
        </w:tc>
        <w:tc>
          <w:tcPr>
            <w:tcW w:w="117" w:type="dxa"/>
            <w:tcBorders/>
            <w:shd w:fill="CCEEFF" w:val="clear"/>
            <w:tcMar>
              <w:bottom w:w="0" w:type="dxa"/>
            </w:tcMar>
            <w:vAlign w:val="bottom"/>
          </w:tcPr>
          <w:p>
            <w:pPr>
              <w:pStyle w:val="TableContents"/>
              <w:spacing w:before="0" w:after="283"/>
              <w:rPr/>
            </w:pPr>
            <w:r>
              <w:rPr/>
              <w:t> </w:t>
            </w:r>
          </w:p>
        </w:tc>
        <w:tc>
          <w:tcPr>
            <w:tcW w:w="18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7"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41" w:name="TAB11398"/>
            <w:bookmarkEnd w:id="2741"/>
            <w:r>
              <w:rPr>
                <w:rFonts w:ascii="times new roman" w:hAnsi="times new roman"/>
                <w:sz w:val="20"/>
              </w:rPr>
              <w:t>--</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706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17" w:type="dxa"/>
            <w:tcBorders/>
            <w:shd w:fill="FFFFFF" w:val="clear"/>
            <w:tcMar>
              <w:bottom w:w="0" w:type="dxa"/>
            </w:tcMar>
            <w:vAlign w:val="bottom"/>
          </w:tcPr>
          <w:p>
            <w:pPr>
              <w:pStyle w:val="TableContents"/>
              <w:spacing w:before="0" w:after="283"/>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14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17" w:type="dxa"/>
            <w:tcBorders/>
            <w:shd w:fill="FFFFFF" w:val="clear"/>
            <w:tcMar>
              <w:bottom w:w="0" w:type="dxa"/>
            </w:tcMar>
            <w:vAlign w:val="bottom"/>
          </w:tcPr>
          <w:p>
            <w:pPr>
              <w:pStyle w:val="TableContents"/>
              <w:spacing w:before="0" w:after="283"/>
              <w:jc w:val="left"/>
              <w:rPr/>
            </w:pPr>
            <w:r>
              <w:rPr/>
              <w:t> </w:t>
            </w:r>
          </w:p>
        </w:tc>
        <w:tc>
          <w:tcPr>
            <w:tcW w:w="117" w:type="dxa"/>
            <w:tcBorders/>
            <w:shd w:fill="FFFFFF" w:val="clear"/>
            <w:tcMar>
              <w:bottom w:w="0" w:type="dxa"/>
            </w:tcMar>
            <w:vAlign w:val="bottom"/>
          </w:tcPr>
          <w:p>
            <w:pPr>
              <w:pStyle w:val="TableContents"/>
              <w:spacing w:before="0" w:after="283"/>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14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706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liabilities</w:t>
            </w:r>
          </w:p>
        </w:tc>
        <w:tc>
          <w:tcPr>
            <w:tcW w:w="117" w:type="dxa"/>
            <w:tcBorders/>
            <w:shd w:fill="CCEEFF" w:val="clear"/>
            <w:tcMar>
              <w:bottom w:w="0" w:type="dxa"/>
            </w:tcMar>
            <w:vAlign w:val="bottom"/>
          </w:tcPr>
          <w:p>
            <w:pPr>
              <w:pStyle w:val="TableContents"/>
              <w:spacing w:before="0" w:after="283"/>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14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3,421</w:t>
            </w:r>
          </w:p>
        </w:tc>
        <w:tc>
          <w:tcPr>
            <w:tcW w:w="117" w:type="dxa"/>
            <w:tcBorders/>
            <w:shd w:fill="CCEEFF" w:val="clear"/>
            <w:tcMar>
              <w:bottom w:w="0" w:type="dxa"/>
            </w:tcMar>
            <w:vAlign w:val="bottom"/>
          </w:tcPr>
          <w:p>
            <w:pPr>
              <w:pStyle w:val="TableContents"/>
              <w:spacing w:before="0" w:after="283"/>
              <w:jc w:val="left"/>
              <w:rPr/>
            </w:pPr>
            <w:r>
              <w:rPr/>
              <w:t> </w:t>
            </w:r>
          </w:p>
        </w:tc>
        <w:tc>
          <w:tcPr>
            <w:tcW w:w="117" w:type="dxa"/>
            <w:tcBorders/>
            <w:shd w:fill="CCEEFF" w:val="clear"/>
            <w:tcMar>
              <w:bottom w:w="0" w:type="dxa"/>
            </w:tcMar>
            <w:vAlign w:val="bottom"/>
          </w:tcPr>
          <w:p>
            <w:pPr>
              <w:pStyle w:val="TableContents"/>
              <w:spacing w:before="0" w:after="283"/>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14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2,560</w:t>
            </w:r>
          </w:p>
        </w:tc>
        <w:tc>
          <w:tcPr>
            <w:tcW w:w="13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42" w:name="TAB11399"/>
      <w:bookmarkEnd w:id="2742"/>
      <w:r>
        <w:rPr>
          <w:rFonts w:ascii="Times New Roman" w:hAnsi="Times New Roman"/>
          <w:sz w:val="20"/>
        </w:rPr>
        <w:t>Items not yet recognized as a component of net periodic pension cost consist of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091"/>
        <w:gridCol w:w="116"/>
        <w:gridCol w:w="180"/>
        <w:gridCol w:w="1133"/>
        <w:gridCol w:w="116"/>
        <w:gridCol w:w="116"/>
        <w:gridCol w:w="180"/>
        <w:gridCol w:w="1132"/>
        <w:gridCol w:w="141"/>
      </w:tblGrid>
      <w:tr>
        <w:trPr/>
        <w:tc>
          <w:tcPr>
            <w:tcW w:w="7091" w:type="dxa"/>
            <w:tcBorders>
              <w:bottom w:val="double" w:sz="8" w:space="0" w:color="000000"/>
            </w:tcBorders>
            <w:shd w:fill="auto" w:val="clear"/>
            <w:vAlign w:val="bottom"/>
          </w:tcPr>
          <w:p>
            <w:pPr>
              <w:pStyle w:val="TableContents"/>
              <w:spacing w:before="0" w:after="283"/>
              <w:rPr/>
            </w:pPr>
            <w:r>
              <w:rPr/>
              <w:t xml:space="preserve">  </w:t>
            </w:r>
          </w:p>
        </w:tc>
        <w:tc>
          <w:tcPr>
            <w:tcW w:w="116" w:type="dxa"/>
            <w:tcBorders/>
            <w:shd w:fill="auto" w:val="clear"/>
            <w:tcMar>
              <w:bottom w:w="0" w:type="dxa"/>
            </w:tcMar>
            <w:vAlign w:val="bottom"/>
          </w:tcPr>
          <w:p>
            <w:pPr>
              <w:pStyle w:val="TableContents"/>
              <w:spacing w:before="0" w:after="283"/>
              <w:rPr/>
            </w:pPr>
            <w:r>
              <w:rPr/>
              <w:t> </w:t>
            </w:r>
          </w:p>
        </w:tc>
        <w:tc>
          <w:tcPr>
            <w:tcW w:w="131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At December 31, 2009</w:t>
            </w:r>
          </w:p>
        </w:tc>
        <w:tc>
          <w:tcPr>
            <w:tcW w:w="116" w:type="dxa"/>
            <w:tcBorders/>
            <w:shd w:fill="auto" w:val="clear"/>
            <w:tcMar>
              <w:bottom w:w="0" w:type="dxa"/>
            </w:tcMar>
            <w:vAlign w:val="bottom"/>
          </w:tcPr>
          <w:p>
            <w:pPr>
              <w:pStyle w:val="TableContents"/>
              <w:spacing w:before="0" w:after="283"/>
              <w:jc w:val="left"/>
              <w:rPr/>
            </w:pPr>
            <w:r>
              <w:rPr/>
              <w:t> </w:t>
            </w:r>
          </w:p>
        </w:tc>
        <w:tc>
          <w:tcPr>
            <w:tcW w:w="116" w:type="dxa"/>
            <w:tcBorders/>
            <w:shd w:fill="auto" w:val="clear"/>
            <w:tcMar>
              <w:bottom w:w="0" w:type="dxa"/>
            </w:tcMar>
            <w:vAlign w:val="bottom"/>
          </w:tcPr>
          <w:p>
            <w:pPr>
              <w:pStyle w:val="TableContents"/>
              <w:spacing w:before="0" w:after="283"/>
              <w:rPr/>
            </w:pPr>
            <w:r>
              <w:rPr/>
              <w:t> </w:t>
            </w:r>
          </w:p>
        </w:tc>
        <w:tc>
          <w:tcPr>
            <w:tcW w:w="131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At December 31, 2008</w:t>
            </w:r>
          </w:p>
        </w:tc>
        <w:tc>
          <w:tcPr>
            <w:tcW w:w="141" w:type="dxa"/>
            <w:tcBorders/>
            <w:shd w:fill="auto" w:val="clear"/>
            <w:tcMar>
              <w:bottom w:w="0" w:type="dxa"/>
            </w:tcMar>
            <w:vAlign w:val="bottom"/>
          </w:tcPr>
          <w:p>
            <w:pPr>
              <w:pStyle w:val="TableContents"/>
              <w:spacing w:before="0" w:after="283"/>
              <w:jc w:val="left"/>
              <w:rPr/>
            </w:pPr>
            <w:r>
              <w:rPr/>
              <w:t> </w:t>
            </w:r>
          </w:p>
        </w:tc>
      </w:tr>
      <w:tr>
        <w:trPr/>
        <w:tc>
          <w:tcPr>
            <w:tcW w:w="709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Unamortized actuarial (gain) loss</w:t>
            </w:r>
          </w:p>
        </w:tc>
        <w:tc>
          <w:tcPr>
            <w:tcW w:w="116" w:type="dxa"/>
            <w:tcBorders/>
            <w:shd w:fill="CCEEFF" w:val="clear"/>
            <w:tcMar>
              <w:bottom w:w="0" w:type="dxa"/>
            </w:tcMar>
            <w:vAlign w:val="bottom"/>
          </w:tcPr>
          <w:p>
            <w:pPr>
              <w:pStyle w:val="TableContents"/>
              <w:spacing w:before="0" w:after="283"/>
              <w:rPr/>
            </w:pPr>
            <w:r>
              <w:rPr/>
              <w:t> </w:t>
            </w:r>
          </w:p>
        </w:tc>
        <w:tc>
          <w:tcPr>
            <w:tcW w:w="18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3"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43" w:name="TAB11400"/>
            <w:bookmarkEnd w:id="2743"/>
            <w:r>
              <w:rPr>
                <w:rFonts w:ascii="times new roman" w:hAnsi="times new roman"/>
                <w:sz w:val="20"/>
              </w:rPr>
              <w:t>323</w:t>
            </w:r>
          </w:p>
        </w:tc>
        <w:tc>
          <w:tcPr>
            <w:tcW w:w="116" w:type="dxa"/>
            <w:tcBorders/>
            <w:shd w:fill="CCEEFF" w:val="clear"/>
            <w:tcMar>
              <w:bottom w:w="0" w:type="dxa"/>
            </w:tcMar>
            <w:vAlign w:val="bottom"/>
          </w:tcPr>
          <w:p>
            <w:pPr>
              <w:pStyle w:val="TableContents"/>
              <w:spacing w:before="0" w:after="283"/>
              <w:jc w:val="left"/>
              <w:rPr/>
            </w:pPr>
            <w:r>
              <w:rPr/>
              <w:t> </w:t>
            </w:r>
          </w:p>
        </w:tc>
        <w:tc>
          <w:tcPr>
            <w:tcW w:w="116" w:type="dxa"/>
            <w:tcBorders/>
            <w:shd w:fill="CCEEFF" w:val="clear"/>
            <w:tcMar>
              <w:bottom w:w="0" w:type="dxa"/>
            </w:tcMar>
            <w:vAlign w:val="bottom"/>
          </w:tcPr>
          <w:p>
            <w:pPr>
              <w:pStyle w:val="TableContents"/>
              <w:spacing w:before="0" w:after="283"/>
              <w:rPr/>
            </w:pPr>
            <w:r>
              <w:rPr/>
              <w:t> </w:t>
            </w:r>
          </w:p>
        </w:tc>
        <w:tc>
          <w:tcPr>
            <w:tcW w:w="18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2"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44" w:name="TAB11401"/>
            <w:bookmarkEnd w:id="2744"/>
            <w:r>
              <w:rPr>
                <w:rFonts w:ascii="times new roman" w:hAnsi="times new roman"/>
                <w:sz w:val="20"/>
              </w:rPr>
              <w:t>(399</w:t>
            </w:r>
          </w:p>
        </w:tc>
        <w:tc>
          <w:tcPr>
            <w:tcW w:w="14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91"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Prior service costs</w:t>
            </w:r>
          </w:p>
        </w:tc>
        <w:tc>
          <w:tcPr>
            <w:tcW w:w="116" w:type="dxa"/>
            <w:tcBorders/>
            <w:shd w:fill="FFFFFF" w:val="clear"/>
            <w:tcMar>
              <w:bottom w:w="0" w:type="dxa"/>
            </w:tcMar>
            <w:vAlign w:val="bottom"/>
          </w:tcPr>
          <w:p>
            <w:pPr>
              <w:pStyle w:val="TableContents"/>
              <w:spacing w:before="0" w:after="283"/>
              <w:rPr/>
            </w:pPr>
            <w:r>
              <w:rPr/>
              <w:t> </w:t>
            </w:r>
          </w:p>
        </w:tc>
        <w:tc>
          <w:tcPr>
            <w:tcW w:w="180" w:type="dxa"/>
            <w:tcBorders>
              <w:bottom w:val="single" w:sz="12" w:space="0" w:color="000000"/>
            </w:tcBorders>
            <w:shd w:fill="FFFFFF" w:val="clear"/>
            <w:vAlign w:val="bottom"/>
          </w:tcPr>
          <w:p>
            <w:pPr>
              <w:pStyle w:val="TableContents"/>
              <w:spacing w:before="0" w:after="283"/>
              <w:jc w:val="left"/>
              <w:rPr/>
            </w:pPr>
            <w:r>
              <w:rPr/>
              <w:t> </w:t>
            </w:r>
          </w:p>
        </w:tc>
        <w:tc>
          <w:tcPr>
            <w:tcW w:w="113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1,840</w:t>
            </w:r>
          </w:p>
        </w:tc>
        <w:tc>
          <w:tcPr>
            <w:tcW w:w="116" w:type="dxa"/>
            <w:tcBorders/>
            <w:shd w:fill="FFFFFF" w:val="clear"/>
            <w:tcMar>
              <w:bottom w:w="0" w:type="dxa"/>
            </w:tcMar>
            <w:vAlign w:val="bottom"/>
          </w:tcPr>
          <w:p>
            <w:pPr>
              <w:pStyle w:val="TableContents"/>
              <w:spacing w:before="0" w:after="283"/>
              <w:jc w:val="left"/>
              <w:rPr/>
            </w:pPr>
            <w:r>
              <w:rPr/>
              <w:t> </w:t>
            </w:r>
          </w:p>
        </w:tc>
        <w:tc>
          <w:tcPr>
            <w:tcW w:w="116" w:type="dxa"/>
            <w:tcBorders/>
            <w:shd w:fill="FFFFFF" w:val="clear"/>
            <w:tcMar>
              <w:bottom w:w="0" w:type="dxa"/>
            </w:tcMar>
            <w:vAlign w:val="bottom"/>
          </w:tcPr>
          <w:p>
            <w:pPr>
              <w:pStyle w:val="TableContents"/>
              <w:spacing w:before="0" w:after="283"/>
              <w:rPr/>
            </w:pPr>
            <w:r>
              <w:rPr/>
              <w:t> </w:t>
            </w:r>
          </w:p>
        </w:tc>
        <w:tc>
          <w:tcPr>
            <w:tcW w:w="180" w:type="dxa"/>
            <w:tcBorders>
              <w:bottom w:val="single" w:sz="12" w:space="0" w:color="000000"/>
            </w:tcBorders>
            <w:shd w:fill="FFFFFF" w:val="clear"/>
            <w:vAlign w:val="bottom"/>
          </w:tcPr>
          <w:p>
            <w:pPr>
              <w:pStyle w:val="TableContents"/>
              <w:spacing w:before="0" w:after="283"/>
              <w:jc w:val="left"/>
              <w:rPr/>
            </w:pPr>
            <w:r>
              <w:rPr/>
              <w:t> </w:t>
            </w:r>
          </w:p>
        </w:tc>
        <w:tc>
          <w:tcPr>
            <w:tcW w:w="113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2,144</w:t>
            </w:r>
          </w:p>
        </w:tc>
        <w:tc>
          <w:tcPr>
            <w:tcW w:w="141" w:type="dxa"/>
            <w:tcBorders/>
            <w:shd w:fill="FFFFFF" w:val="clear"/>
            <w:tcMar>
              <w:bottom w:w="0" w:type="dxa"/>
            </w:tcMar>
            <w:vAlign w:val="bottom"/>
          </w:tcPr>
          <w:p>
            <w:pPr>
              <w:pStyle w:val="TableContents"/>
              <w:spacing w:before="0" w:after="283"/>
              <w:jc w:val="left"/>
              <w:rPr/>
            </w:pPr>
            <w:r>
              <w:rPr/>
              <w:t> </w:t>
            </w:r>
          </w:p>
        </w:tc>
      </w:tr>
      <w:tr>
        <w:trPr/>
        <w:tc>
          <w:tcPr>
            <w:tcW w:w="7091"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Accumulated other comprehensive loss</w:t>
            </w:r>
          </w:p>
        </w:tc>
        <w:tc>
          <w:tcPr>
            <w:tcW w:w="116" w:type="dxa"/>
            <w:tcBorders/>
            <w:shd w:fill="CCEEFF" w:val="clear"/>
            <w:tcMar>
              <w:bottom w:w="0" w:type="dxa"/>
            </w:tcMar>
            <w:vAlign w:val="bottom"/>
          </w:tcPr>
          <w:p>
            <w:pPr>
              <w:pStyle w:val="TableContents"/>
              <w:spacing w:before="0" w:after="283"/>
              <w:rPr/>
            </w:pPr>
            <w:r>
              <w:rPr/>
              <w:t> </w:t>
            </w:r>
          </w:p>
        </w:tc>
        <w:tc>
          <w:tcPr>
            <w:tcW w:w="180" w:type="dxa"/>
            <w:tcBorders>
              <w:bottom w:val="double" w:sz="8" w:space="0" w:color="000000"/>
            </w:tcBorders>
            <w:shd w:fill="CCEEFF" w:val="clear"/>
            <w:vAlign w:val="bottom"/>
          </w:tcPr>
          <w:p>
            <w:pPr>
              <w:pStyle w:val="TableContents"/>
              <w:spacing w:before="0" w:after="283"/>
              <w:jc w:val="left"/>
              <w:rPr/>
            </w:pPr>
            <w:r>
              <w:rPr/>
              <w:t> </w:t>
            </w:r>
          </w:p>
        </w:tc>
        <w:tc>
          <w:tcPr>
            <w:tcW w:w="113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2,163</w:t>
            </w:r>
          </w:p>
        </w:tc>
        <w:tc>
          <w:tcPr>
            <w:tcW w:w="116" w:type="dxa"/>
            <w:tcBorders/>
            <w:shd w:fill="CCEEFF" w:val="clear"/>
            <w:tcMar>
              <w:bottom w:w="0" w:type="dxa"/>
            </w:tcMar>
            <w:vAlign w:val="bottom"/>
          </w:tcPr>
          <w:p>
            <w:pPr>
              <w:pStyle w:val="TableContents"/>
              <w:spacing w:before="0" w:after="283"/>
              <w:jc w:val="left"/>
              <w:rPr/>
            </w:pPr>
            <w:r>
              <w:rPr/>
              <w:t> </w:t>
            </w:r>
          </w:p>
        </w:tc>
        <w:tc>
          <w:tcPr>
            <w:tcW w:w="116" w:type="dxa"/>
            <w:tcBorders/>
            <w:shd w:fill="CCEEFF" w:val="clear"/>
            <w:tcMar>
              <w:bottom w:w="0" w:type="dxa"/>
            </w:tcMar>
            <w:vAlign w:val="bottom"/>
          </w:tcPr>
          <w:p>
            <w:pPr>
              <w:pStyle w:val="TableContents"/>
              <w:spacing w:before="0" w:after="283"/>
              <w:rPr/>
            </w:pPr>
            <w:r>
              <w:rPr/>
              <w:t> </w:t>
            </w:r>
          </w:p>
        </w:tc>
        <w:tc>
          <w:tcPr>
            <w:tcW w:w="180" w:type="dxa"/>
            <w:tcBorders>
              <w:bottom w:val="double" w:sz="8" w:space="0" w:color="000000"/>
            </w:tcBorders>
            <w:shd w:fill="CCEEFF" w:val="clear"/>
            <w:vAlign w:val="bottom"/>
          </w:tcPr>
          <w:p>
            <w:pPr>
              <w:pStyle w:val="TableContents"/>
              <w:spacing w:before="0" w:after="283"/>
              <w:jc w:val="left"/>
              <w:rPr/>
            </w:pPr>
            <w:r>
              <w:rPr/>
              <w:t> </w:t>
            </w:r>
          </w:p>
        </w:tc>
        <w:tc>
          <w:tcPr>
            <w:tcW w:w="1132"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1,745</w:t>
            </w:r>
          </w:p>
        </w:tc>
        <w:tc>
          <w:tcPr>
            <w:tcW w:w="141"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components of the net periodic benefit cost and other amounts recognized in other comprehensive income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924"/>
        <w:gridCol w:w="121"/>
        <w:gridCol w:w="212"/>
        <w:gridCol w:w="1168"/>
        <w:gridCol w:w="133"/>
        <w:gridCol w:w="121"/>
        <w:gridCol w:w="212"/>
        <w:gridCol w:w="1168"/>
        <w:gridCol w:w="146"/>
      </w:tblGrid>
      <w:tr>
        <w:trPr/>
        <w:tc>
          <w:tcPr>
            <w:tcW w:w="692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periodic benefit cost</w:t>
            </w:r>
          </w:p>
        </w:tc>
        <w:tc>
          <w:tcPr>
            <w:tcW w:w="121" w:type="dxa"/>
            <w:tcBorders/>
            <w:shd w:fill="auto" w:val="clear"/>
            <w:tcMar>
              <w:bottom w:w="0" w:type="dxa"/>
            </w:tcMar>
            <w:vAlign w:val="bottom"/>
          </w:tcPr>
          <w:p>
            <w:pPr>
              <w:pStyle w:val="TableContents"/>
              <w:spacing w:before="0" w:after="283"/>
              <w:rPr/>
            </w:pPr>
            <w:r>
              <w:rPr/>
              <w:t> </w:t>
            </w:r>
          </w:p>
        </w:tc>
        <w:tc>
          <w:tcPr>
            <w:tcW w:w="138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From January 1, 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to December 31, 2009</w:t>
            </w:r>
          </w:p>
        </w:tc>
        <w:tc>
          <w:tcPr>
            <w:tcW w:w="133" w:type="dxa"/>
            <w:tcBorders/>
            <w:shd w:fill="auto" w:val="clear"/>
            <w:tcMar>
              <w:bottom w:w="0" w:type="dxa"/>
            </w:tcMar>
            <w:vAlign w:val="bottom"/>
          </w:tcPr>
          <w:p>
            <w:pPr>
              <w:pStyle w:val="TableContents"/>
              <w:spacing w:before="0" w:after="283"/>
              <w:jc w:val="left"/>
              <w:rPr/>
            </w:pPr>
            <w:r>
              <w:rPr/>
              <w:t> </w:t>
            </w:r>
          </w:p>
        </w:tc>
        <w:tc>
          <w:tcPr>
            <w:tcW w:w="121" w:type="dxa"/>
            <w:tcBorders/>
            <w:shd w:fill="auto" w:val="clear"/>
            <w:tcMar>
              <w:bottom w:w="0" w:type="dxa"/>
            </w:tcMar>
            <w:vAlign w:val="bottom"/>
          </w:tcPr>
          <w:p>
            <w:pPr>
              <w:pStyle w:val="TableContents"/>
              <w:spacing w:before="0" w:after="283"/>
              <w:rPr/>
            </w:pPr>
            <w:r>
              <w:rPr/>
              <w:t> </w:t>
            </w:r>
          </w:p>
        </w:tc>
        <w:tc>
          <w:tcPr>
            <w:tcW w:w="138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From January 1, 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to December 31, 2008</w:t>
            </w:r>
          </w:p>
        </w:tc>
        <w:tc>
          <w:tcPr>
            <w:tcW w:w="146" w:type="dxa"/>
            <w:tcBorders/>
            <w:shd w:fill="auto" w:val="clear"/>
            <w:tcMar>
              <w:bottom w:w="0" w:type="dxa"/>
            </w:tcMar>
            <w:vAlign w:val="bottom"/>
          </w:tcPr>
          <w:p>
            <w:pPr>
              <w:pStyle w:val="TableContents"/>
              <w:spacing w:before="0" w:after="283"/>
              <w:jc w:val="left"/>
              <w:rPr/>
            </w:pPr>
            <w:r>
              <w:rPr/>
              <w:t> </w:t>
            </w:r>
          </w:p>
        </w:tc>
      </w:tr>
      <w:tr>
        <w:trPr/>
        <w:tc>
          <w:tcPr>
            <w:tcW w:w="6924" w:type="dxa"/>
            <w:tcBorders/>
            <w:shd w:fill="CCEEFF" w:val="clear"/>
            <w:tcMar>
              <w:bottom w:w="0" w:type="dxa"/>
            </w:tcM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Service cost</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45" w:name="TAB11402"/>
            <w:bookmarkEnd w:id="2745"/>
            <w:r>
              <w:rPr>
                <w:rFonts w:ascii="times new roman" w:hAnsi="times new roman"/>
                <w:sz w:val="20"/>
              </w:rPr>
              <w:t>--</w:t>
            </w:r>
          </w:p>
        </w:tc>
        <w:tc>
          <w:tcPr>
            <w:tcW w:w="133"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46" w:name="TAB11403"/>
            <w:bookmarkEnd w:id="2746"/>
            <w:r>
              <w:rPr>
                <w:rFonts w:ascii="times new roman" w:hAnsi="times new roman"/>
                <w:sz w:val="20"/>
              </w:rPr>
              <w:t>--</w:t>
            </w:r>
          </w:p>
        </w:tc>
        <w:tc>
          <w:tcPr>
            <w:tcW w:w="146" w:type="dxa"/>
            <w:tcBorders/>
            <w:shd w:fill="CCEEFF" w:val="clear"/>
            <w:tcMar>
              <w:bottom w:w="0" w:type="dxa"/>
            </w:tcMar>
            <w:vAlign w:val="bottom"/>
          </w:tcPr>
          <w:p>
            <w:pPr>
              <w:pStyle w:val="TableContents"/>
              <w:spacing w:before="0" w:after="283"/>
              <w:jc w:val="left"/>
              <w:rPr/>
            </w:pPr>
            <w:r>
              <w:rPr/>
              <w:t> </w:t>
            </w:r>
          </w:p>
        </w:tc>
      </w:tr>
      <w:tr>
        <w:trPr/>
        <w:tc>
          <w:tcPr>
            <w:tcW w:w="6924" w:type="dxa"/>
            <w:tcBorders/>
            <w:shd w:fill="FFFFFF" w:val="clear"/>
            <w:tcMar>
              <w:bottom w:w="0" w:type="dxa"/>
            </w:tcM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Interest cost</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133"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46" w:type="dxa"/>
            <w:tcBorders/>
            <w:shd w:fill="FFFFFF" w:val="clear"/>
            <w:tcMar>
              <w:bottom w:w="0" w:type="dxa"/>
            </w:tcMar>
            <w:vAlign w:val="bottom"/>
          </w:tcPr>
          <w:p>
            <w:pPr>
              <w:pStyle w:val="TableContents"/>
              <w:spacing w:before="0" w:after="283"/>
              <w:jc w:val="left"/>
              <w:rPr/>
            </w:pPr>
            <w:r>
              <w:rPr/>
              <w:t> </w:t>
            </w:r>
          </w:p>
        </w:tc>
      </w:tr>
      <w:tr>
        <w:trPr/>
        <w:tc>
          <w:tcPr>
            <w:tcW w:w="6924" w:type="dxa"/>
            <w:tcBorders/>
            <w:shd w:fill="CCEEFF" w:val="clear"/>
            <w:tcMar>
              <w:bottom w:w="0" w:type="dxa"/>
            </w:tcM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Expected return on plan assets</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shd w:fill="CCEEFF" w:val="clear"/>
            <w:tcMar>
              <w:bottom w:w="0" w:type="dxa"/>
            </w:tcMar>
            <w:vAlign w:val="bottom"/>
          </w:tcPr>
          <w:p>
            <w:pPr>
              <w:pStyle w:val="TableContents"/>
              <w:spacing w:before="0" w:after="283"/>
              <w:jc w:val="left"/>
              <w:rPr/>
            </w:pPr>
            <w:r>
              <w:rPr/>
              <w:t> </w:t>
            </w:r>
          </w:p>
        </w:tc>
        <w:tc>
          <w:tcPr>
            <w:tcW w:w="116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shd w:fill="CCEEFF" w:val="clear"/>
            <w:tcMar>
              <w:bottom w:w="0" w:type="dxa"/>
            </w:tcMar>
            <w:vAlign w:val="bottom"/>
          </w:tcPr>
          <w:p>
            <w:pPr>
              <w:pStyle w:val="TableContents"/>
              <w:spacing w:before="0" w:after="283"/>
              <w:jc w:val="left"/>
              <w:rPr/>
            </w:pPr>
            <w:r>
              <w:rPr/>
              <w:t> </w:t>
            </w:r>
          </w:p>
        </w:tc>
        <w:tc>
          <w:tcPr>
            <w:tcW w:w="116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6" w:type="dxa"/>
            <w:tcBorders/>
            <w:shd w:fill="CCEEFF" w:val="clear"/>
            <w:tcMar>
              <w:bottom w:w="0" w:type="dxa"/>
            </w:tcMar>
            <w:vAlign w:val="bottom"/>
          </w:tcPr>
          <w:p>
            <w:pPr>
              <w:pStyle w:val="TableContents"/>
              <w:spacing w:before="0" w:after="283"/>
              <w:jc w:val="left"/>
              <w:rPr/>
            </w:pPr>
            <w:r>
              <w:rPr/>
              <w:t> </w:t>
            </w:r>
          </w:p>
        </w:tc>
      </w:tr>
      <w:tr>
        <w:trPr/>
        <w:tc>
          <w:tcPr>
            <w:tcW w:w="6924" w:type="dxa"/>
            <w:tcBorders/>
            <w:shd w:fill="FFFFFF" w:val="clear"/>
            <w:tcMar>
              <w:bottom w:w="0" w:type="dxa"/>
            </w:tcM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Amortization of prior service costs</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33"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46" w:type="dxa"/>
            <w:tcBorders/>
            <w:shd w:fill="FFFFFF" w:val="clear"/>
            <w:tcMar>
              <w:bottom w:w="0" w:type="dxa"/>
            </w:tcMar>
            <w:vAlign w:val="bottom"/>
          </w:tcPr>
          <w:p>
            <w:pPr>
              <w:pStyle w:val="TableContents"/>
              <w:spacing w:before="0" w:after="283"/>
              <w:jc w:val="left"/>
              <w:rPr/>
            </w:pPr>
            <w:r>
              <w:rPr/>
              <w:t> </w:t>
            </w:r>
          </w:p>
        </w:tc>
      </w:tr>
      <w:tr>
        <w:trPr/>
        <w:tc>
          <w:tcPr>
            <w:tcW w:w="6924" w:type="dxa"/>
            <w:tcBorders>
              <w:bottom w:val="single" w:sz="12" w:space="0" w:color="000000"/>
            </w:tcBorders>
            <w:shd w:fill="CCEE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Amortization of net gain</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bottom w:val="single" w:sz="12" w:space="0" w:color="000000"/>
            </w:tcBorders>
            <w:shd w:fill="CCEEFF" w:val="clear"/>
            <w:vAlign w:val="bottom"/>
          </w:tcPr>
          <w:p>
            <w:pPr>
              <w:pStyle w:val="TableContents"/>
              <w:spacing w:before="0" w:after="283"/>
              <w:jc w:val="left"/>
              <w:rPr/>
            </w:pPr>
            <w:r>
              <w:rPr/>
              <w:t> </w:t>
            </w:r>
          </w:p>
        </w:tc>
        <w:tc>
          <w:tcPr>
            <w:tcW w:w="116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3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bottom w:val="single" w:sz="12" w:space="0" w:color="000000"/>
            </w:tcBorders>
            <w:shd w:fill="CCEEFF" w:val="clear"/>
            <w:vAlign w:val="bottom"/>
          </w:tcPr>
          <w:p>
            <w:pPr>
              <w:pStyle w:val="TableContents"/>
              <w:spacing w:before="0" w:after="283"/>
              <w:jc w:val="left"/>
              <w:rPr/>
            </w:pPr>
            <w:r>
              <w:rPr/>
              <w:t> </w:t>
            </w:r>
          </w:p>
        </w:tc>
        <w:tc>
          <w:tcPr>
            <w:tcW w:w="116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4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4" w:type="dxa"/>
            <w:tcBorders>
              <w:bottom w:val="single" w:sz="12" w:space="0" w:color="000000"/>
            </w:tcBorders>
            <w:shd w:fill="FFFF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Net periodic benefit cost</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bottom w:val="single" w:sz="12" w:space="0" w:color="000000"/>
            </w:tcBorders>
            <w:shd w:fill="FFFFFF" w:val="clear"/>
            <w:vAlign w:val="bottom"/>
          </w:tcPr>
          <w:p>
            <w:pPr>
              <w:pStyle w:val="TableContents"/>
              <w:spacing w:before="0" w:after="283"/>
              <w:ind w:left="296" w:right="0" w:hanging="0"/>
              <w:jc w:val="right"/>
              <w:rPr>
                <w:rFonts w:ascii="times new roman" w:hAnsi="times new roman"/>
                <w:sz w:val="20"/>
              </w:rPr>
            </w:pPr>
            <w:bookmarkStart w:id="2747" w:name="TAB11404"/>
            <w:bookmarkEnd w:id="2747"/>
            <w:r>
              <w:rPr>
                <w:rFonts w:ascii="times new roman" w:hAnsi="times new roman"/>
                <w:sz w:val="20"/>
              </w:rPr>
              <w:t>444</w:t>
            </w:r>
          </w:p>
        </w:tc>
        <w:tc>
          <w:tcPr>
            <w:tcW w:w="133"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bottom w:val="single" w:sz="12" w:space="0" w:color="000000"/>
            </w:tcBorders>
            <w:shd w:fill="FFFFFF" w:val="clear"/>
            <w:vAlign w:val="bottom"/>
          </w:tcPr>
          <w:p>
            <w:pPr>
              <w:pStyle w:val="TableContents"/>
              <w:spacing w:before="0" w:after="283"/>
              <w:ind w:left="296" w:right="0" w:hanging="0"/>
              <w:jc w:val="right"/>
              <w:rPr>
                <w:rFonts w:ascii="times new roman" w:hAnsi="times new roman"/>
                <w:sz w:val="20"/>
              </w:rPr>
            </w:pPr>
            <w:bookmarkStart w:id="2748" w:name="TAB11405"/>
            <w:bookmarkEnd w:id="2748"/>
            <w:r>
              <w:rPr>
                <w:rFonts w:ascii="times new roman" w:hAnsi="times new roman"/>
                <w:sz w:val="20"/>
              </w:rPr>
              <w:t>439</w:t>
            </w:r>
          </w:p>
        </w:tc>
        <w:tc>
          <w:tcPr>
            <w:tcW w:w="146" w:type="dxa"/>
            <w:tcBorders/>
            <w:shd w:fill="FFFFFF" w:val="clear"/>
            <w:tcMar>
              <w:bottom w:w="0" w:type="dxa"/>
            </w:tcMar>
            <w:vAlign w:val="bottom"/>
          </w:tcPr>
          <w:p>
            <w:pPr>
              <w:pStyle w:val="TableContents"/>
              <w:spacing w:before="0" w:after="283"/>
              <w:jc w:val="left"/>
              <w:rPr/>
            </w:pPr>
            <w:r>
              <w:rPr/>
              <w:t> </w:t>
            </w:r>
          </w:p>
        </w:tc>
      </w:tr>
      <w:tr>
        <w:trPr/>
        <w:tc>
          <w:tcPr>
            <w:tcW w:w="6924" w:type="dxa"/>
            <w:tcBorders>
              <w:bottom w:val="single" w:sz="12" w:space="0" w:color="000000"/>
            </w:tcBorders>
            <w:shd w:fill="CCEEFF" w:val="clear"/>
            <w:vAlign w:val="bottom"/>
          </w:tcPr>
          <w:p>
            <w:pPr>
              <w:pStyle w:val="TableContents"/>
              <w:spacing w:before="0" w:after="0"/>
              <w:ind w:left="540" w:right="0" w:hanging="540"/>
              <w:jc w:val="left"/>
              <w:rPr>
                <w:rFonts w:ascii="times new roman" w:hAnsi="times new roman"/>
                <w:b/>
                <w:sz w:val="20"/>
              </w:rPr>
            </w:pPr>
            <w:r>
              <w:rPr>
                <w:rFonts w:ascii="times new roman" w:hAnsi="times new roman"/>
                <w:b/>
                <w:sz w:val="20"/>
              </w:rPr>
              <w:t>Other changes in plan assets and benefit obligations recognized in other comprehensive income</w:t>
            </w:r>
          </w:p>
        </w:tc>
        <w:tc>
          <w:tcPr>
            <w:tcW w:w="121" w:type="dxa"/>
            <w:tcBorders/>
            <w:shd w:fill="CCEEFF" w:val="clear"/>
            <w:tcMar>
              <w:bottom w:w="0" w:type="dxa"/>
            </w:tcMar>
            <w:vAlign w:val="bottom"/>
          </w:tcPr>
          <w:p>
            <w:pPr>
              <w:pStyle w:val="TableContents"/>
              <w:spacing w:before="0" w:after="283"/>
              <w:rPr/>
            </w:pPr>
            <w:r>
              <w:rPr/>
              <w:t> </w:t>
            </w:r>
          </w:p>
        </w:tc>
        <w:tc>
          <w:tcPr>
            <w:tcW w:w="212" w:type="dxa"/>
            <w:tcBorders>
              <w:bottom w:val="single" w:sz="12" w:space="0" w:color="000000"/>
            </w:tcBorders>
            <w:shd w:fill="CCEEFF" w:val="clear"/>
            <w:vAlign w:val="bottom"/>
          </w:tcPr>
          <w:p>
            <w:pPr>
              <w:pStyle w:val="TableContents"/>
              <w:spacing w:before="0" w:after="283"/>
              <w:jc w:val="left"/>
              <w:rPr/>
            </w:pPr>
            <w:r>
              <w:rPr/>
              <w:t> </w:t>
            </w:r>
          </w:p>
        </w:tc>
        <w:tc>
          <w:tcPr>
            <w:tcW w:w="1168" w:type="dxa"/>
            <w:tcBorders>
              <w:bottom w:val="single" w:sz="12" w:space="0" w:color="000000"/>
            </w:tcBorders>
            <w:shd w:fill="CCEEFF" w:val="clear"/>
            <w:vAlign w:val="bottom"/>
          </w:tcPr>
          <w:p>
            <w:pPr>
              <w:pStyle w:val="TableContents"/>
              <w:spacing w:before="0" w:after="283"/>
              <w:jc w:val="right"/>
              <w:rPr/>
            </w:pPr>
            <w:r>
              <w:rPr/>
              <w:t> </w:t>
            </w:r>
          </w:p>
        </w:tc>
        <w:tc>
          <w:tcPr>
            <w:tcW w:w="133"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rPr/>
            </w:pPr>
            <w:r>
              <w:rPr/>
              <w:t> </w:t>
            </w:r>
          </w:p>
        </w:tc>
        <w:tc>
          <w:tcPr>
            <w:tcW w:w="212" w:type="dxa"/>
            <w:tcBorders>
              <w:bottom w:val="single" w:sz="12" w:space="0" w:color="000000"/>
            </w:tcBorders>
            <w:shd w:fill="CCEEFF" w:val="clear"/>
            <w:vAlign w:val="bottom"/>
          </w:tcPr>
          <w:p>
            <w:pPr>
              <w:pStyle w:val="TableContents"/>
              <w:spacing w:before="0" w:after="283"/>
              <w:jc w:val="left"/>
              <w:rPr/>
            </w:pPr>
            <w:r>
              <w:rPr/>
              <w:t> </w:t>
            </w:r>
          </w:p>
        </w:tc>
        <w:tc>
          <w:tcPr>
            <w:tcW w:w="1168" w:type="dxa"/>
            <w:tcBorders>
              <w:bottom w:val="single" w:sz="12" w:space="0" w:color="000000"/>
            </w:tcBorders>
            <w:shd w:fill="CCEEFF" w:val="clear"/>
            <w:vAlign w:val="bottom"/>
          </w:tcPr>
          <w:p>
            <w:pPr>
              <w:pStyle w:val="TableContents"/>
              <w:spacing w:before="0" w:after="283"/>
              <w:jc w:val="right"/>
              <w:rPr/>
            </w:pPr>
            <w:r>
              <w:rPr/>
              <w:t> </w:t>
            </w:r>
          </w:p>
        </w:tc>
        <w:tc>
          <w:tcPr>
            <w:tcW w:w="146" w:type="dxa"/>
            <w:tcBorders/>
            <w:shd w:fill="CCEEFF" w:val="clear"/>
            <w:tcMar>
              <w:bottom w:w="0" w:type="dxa"/>
            </w:tcMar>
            <w:vAlign w:val="bottom"/>
          </w:tcPr>
          <w:p>
            <w:pPr>
              <w:pStyle w:val="TableContents"/>
              <w:spacing w:before="0" w:after="283"/>
              <w:jc w:val="left"/>
              <w:rPr/>
            </w:pPr>
            <w:r>
              <w:rPr/>
              <w:t> </w:t>
            </w:r>
          </w:p>
        </w:tc>
      </w:tr>
      <w:tr>
        <w:trPr/>
        <w:tc>
          <w:tcPr>
            <w:tcW w:w="6924" w:type="dxa"/>
            <w:tcBorders/>
            <w:shd w:fill="FFFFFF" w:val="clear"/>
            <w:tcMar>
              <w:bottom w:w="0" w:type="dxa"/>
            </w:tcM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Net (gain) loss</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shd w:fill="FFFFFF" w:val="clear"/>
            <w:tcMar>
              <w:bottom w:w="0" w:type="dxa"/>
            </w:tcMar>
            <w:vAlign w:val="bottom"/>
          </w:tcPr>
          <w:p>
            <w:pPr>
              <w:pStyle w:val="TableContents"/>
              <w:spacing w:before="0" w:after="283"/>
              <w:ind w:left="289" w:right="0" w:hanging="0"/>
              <w:jc w:val="right"/>
              <w:rPr>
                <w:rFonts w:ascii="times new roman" w:hAnsi="times new roman"/>
                <w:sz w:val="20"/>
              </w:rPr>
            </w:pPr>
            <w:bookmarkStart w:id="2749" w:name="TAB11406"/>
            <w:bookmarkEnd w:id="2749"/>
            <w:r>
              <w:rPr>
                <w:rFonts w:ascii="times new roman" w:hAnsi="times new roman"/>
                <w:sz w:val="20"/>
              </w:rPr>
              <w:t>702</w:t>
            </w:r>
          </w:p>
        </w:tc>
        <w:tc>
          <w:tcPr>
            <w:tcW w:w="133"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shd w:fill="FFFFFF" w:val="clear"/>
            <w:tcMar>
              <w:bottom w:w="0" w:type="dxa"/>
            </w:tcMar>
            <w:vAlign w:val="bottom"/>
          </w:tcPr>
          <w:p>
            <w:pPr>
              <w:pStyle w:val="TableContents"/>
              <w:spacing w:before="0" w:after="283"/>
              <w:ind w:left="289" w:right="0" w:hanging="0"/>
              <w:jc w:val="right"/>
              <w:rPr>
                <w:rFonts w:ascii="times new roman" w:hAnsi="times new roman"/>
                <w:sz w:val="20"/>
              </w:rPr>
            </w:pPr>
            <w:bookmarkStart w:id="2750" w:name="TAB11407"/>
            <w:bookmarkEnd w:id="2750"/>
            <w:r>
              <w:rPr>
                <w:rFonts w:ascii="times new roman" w:hAnsi="times new roman"/>
                <w:sz w:val="20"/>
              </w:rPr>
              <w:t>(32</w:t>
            </w:r>
          </w:p>
        </w:tc>
        <w:tc>
          <w:tcPr>
            <w:tcW w:w="14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4" w:type="dxa"/>
            <w:tcBorders/>
            <w:shd w:fill="CCEEFF" w:val="clear"/>
            <w:tcMar>
              <w:bottom w:w="0" w:type="dxa"/>
            </w:tcM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Prior service cost</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shd w:fill="CCEEFF" w:val="clear"/>
            <w:tcMar>
              <w:bottom w:w="0" w:type="dxa"/>
            </w:tcMar>
            <w:vAlign w:val="bottom"/>
          </w:tcPr>
          <w:p>
            <w:pPr>
              <w:pStyle w:val="TableContents"/>
              <w:spacing w:before="0" w:after="283"/>
              <w:jc w:val="left"/>
              <w:rPr/>
            </w:pPr>
            <w:r>
              <w:rPr/>
              <w:t> </w:t>
            </w:r>
          </w:p>
        </w:tc>
        <w:tc>
          <w:tcPr>
            <w:tcW w:w="116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shd w:fill="CCEEFF" w:val="clear"/>
            <w:tcMar>
              <w:bottom w:w="0" w:type="dxa"/>
            </w:tcMar>
            <w:vAlign w:val="bottom"/>
          </w:tcPr>
          <w:p>
            <w:pPr>
              <w:pStyle w:val="TableContents"/>
              <w:spacing w:before="0" w:after="283"/>
              <w:jc w:val="left"/>
              <w:rPr/>
            </w:pPr>
            <w:r>
              <w:rPr/>
              <w:t> </w:t>
            </w:r>
          </w:p>
        </w:tc>
        <w:tc>
          <w:tcPr>
            <w:tcW w:w="116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6" w:type="dxa"/>
            <w:tcBorders/>
            <w:shd w:fill="CCEEFF" w:val="clear"/>
            <w:tcMar>
              <w:bottom w:w="0" w:type="dxa"/>
            </w:tcMar>
            <w:vAlign w:val="bottom"/>
          </w:tcPr>
          <w:p>
            <w:pPr>
              <w:pStyle w:val="TableContents"/>
              <w:spacing w:before="0" w:after="283"/>
              <w:jc w:val="left"/>
              <w:rPr/>
            </w:pPr>
            <w:r>
              <w:rPr/>
              <w:t> </w:t>
            </w:r>
          </w:p>
        </w:tc>
      </w:tr>
      <w:tr>
        <w:trPr/>
        <w:tc>
          <w:tcPr>
            <w:tcW w:w="6924" w:type="dxa"/>
            <w:tcBorders/>
            <w:shd w:fill="FFFFFF" w:val="clear"/>
            <w:tcMar>
              <w:bottom w:w="0" w:type="dxa"/>
            </w:tcM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Amortization of prior service cost</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3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4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4" w:type="dxa"/>
            <w:tcBorders>
              <w:bottom w:val="single" w:sz="12" w:space="0" w:color="000000"/>
            </w:tcBorders>
            <w:shd w:fill="CCEE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Amortization of net gain</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bottom w:val="single" w:sz="12" w:space="0" w:color="000000"/>
            </w:tcBorders>
            <w:shd w:fill="CCEEFF" w:val="clear"/>
            <w:vAlign w:val="bottom"/>
          </w:tcPr>
          <w:p>
            <w:pPr>
              <w:pStyle w:val="TableContents"/>
              <w:spacing w:before="0" w:after="283"/>
              <w:jc w:val="left"/>
              <w:rPr/>
            </w:pPr>
            <w:r>
              <w:rPr/>
              <w:t> </w:t>
            </w:r>
          </w:p>
        </w:tc>
        <w:tc>
          <w:tcPr>
            <w:tcW w:w="116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33"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bottom w:val="single" w:sz="12" w:space="0" w:color="000000"/>
            </w:tcBorders>
            <w:shd w:fill="CCEEFF" w:val="clear"/>
            <w:vAlign w:val="bottom"/>
          </w:tcPr>
          <w:p>
            <w:pPr>
              <w:pStyle w:val="TableContents"/>
              <w:spacing w:before="0" w:after="283"/>
              <w:jc w:val="left"/>
              <w:rPr/>
            </w:pPr>
            <w:r>
              <w:rPr/>
              <w:t> </w:t>
            </w:r>
          </w:p>
        </w:tc>
        <w:tc>
          <w:tcPr>
            <w:tcW w:w="116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46" w:type="dxa"/>
            <w:tcBorders/>
            <w:shd w:fill="CCEEFF" w:val="clear"/>
            <w:tcMar>
              <w:bottom w:w="0" w:type="dxa"/>
            </w:tcMar>
            <w:vAlign w:val="bottom"/>
          </w:tcPr>
          <w:p>
            <w:pPr>
              <w:pStyle w:val="TableContents"/>
              <w:spacing w:before="0" w:after="283"/>
              <w:jc w:val="left"/>
              <w:rPr/>
            </w:pPr>
            <w:r>
              <w:rPr/>
              <w:t> </w:t>
            </w:r>
          </w:p>
        </w:tc>
      </w:tr>
      <w:tr>
        <w:trPr/>
        <w:tc>
          <w:tcPr>
            <w:tcW w:w="6924" w:type="dxa"/>
            <w:tcBorders>
              <w:bottom w:val="double" w:sz="8" w:space="0" w:color="000000"/>
            </w:tcBorders>
            <w:shd w:fill="FFFF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Total recognized in other comprehensive income</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bottom w:val="double" w:sz="8" w:space="0" w:color="000000"/>
            </w:tcBorders>
            <w:shd w:fill="FFFFFF" w:val="clear"/>
            <w:vAlign w:val="bottom"/>
          </w:tcPr>
          <w:p>
            <w:pPr>
              <w:pStyle w:val="TableContents"/>
              <w:spacing w:before="0" w:after="283"/>
              <w:ind w:left="296" w:right="0" w:hanging="0"/>
              <w:jc w:val="right"/>
              <w:rPr>
                <w:rFonts w:ascii="times new roman" w:hAnsi="times new roman"/>
                <w:sz w:val="20"/>
              </w:rPr>
            </w:pPr>
            <w:bookmarkStart w:id="2751" w:name="TAB11408"/>
            <w:bookmarkEnd w:id="2751"/>
            <w:r>
              <w:rPr>
                <w:rFonts w:ascii="times new roman" w:hAnsi="times new roman"/>
                <w:sz w:val="20"/>
              </w:rPr>
              <w:t>418</w:t>
            </w:r>
          </w:p>
        </w:tc>
        <w:tc>
          <w:tcPr>
            <w:tcW w:w="133"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212"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bottom w:val="double" w:sz="8" w:space="0" w:color="000000"/>
            </w:tcBorders>
            <w:shd w:fill="FFFFFF" w:val="clear"/>
            <w:vAlign w:val="bottom"/>
          </w:tcPr>
          <w:p>
            <w:pPr>
              <w:pStyle w:val="TableContents"/>
              <w:spacing w:before="0" w:after="283"/>
              <w:ind w:left="296" w:right="0" w:hanging="0"/>
              <w:jc w:val="right"/>
              <w:rPr>
                <w:rFonts w:ascii="times new roman" w:hAnsi="times new roman"/>
                <w:sz w:val="20"/>
              </w:rPr>
            </w:pPr>
            <w:bookmarkStart w:id="2752" w:name="TAB11409"/>
            <w:bookmarkEnd w:id="2752"/>
            <w:r>
              <w:rPr>
                <w:rFonts w:ascii="times new roman" w:hAnsi="times new roman"/>
                <w:sz w:val="20"/>
              </w:rPr>
              <w:t>(318</w:t>
            </w:r>
          </w:p>
        </w:tc>
        <w:tc>
          <w:tcPr>
            <w:tcW w:w="14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4" w:type="dxa"/>
            <w:tcBorders>
              <w:bottom w:val="double" w:sz="8" w:space="0" w:color="000000"/>
            </w:tcBorders>
            <w:shd w:fill="CCEEFF" w:val="clear"/>
            <w:vAlign w:val="bottom"/>
          </w:tcPr>
          <w:p>
            <w:pPr>
              <w:pStyle w:val="TableContents"/>
              <w:spacing w:before="0" w:after="0"/>
              <w:ind w:left="540" w:right="0" w:hanging="540"/>
              <w:jc w:val="left"/>
              <w:rPr>
                <w:rFonts w:ascii="times new roman" w:hAnsi="times new roman"/>
                <w:sz w:val="20"/>
              </w:rPr>
            </w:pPr>
            <w:r>
              <w:rPr>
                <w:rFonts w:ascii="times new roman" w:hAnsi="times new roman"/>
                <w:sz w:val="20"/>
              </w:rPr>
              <w:t>Total recognized in net periodic benefit cost and other comprehensive income</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bottom w:val="double" w:sz="8" w:space="0" w:color="000000"/>
            </w:tcBorders>
            <w:shd w:fill="CCEEFF" w:val="clear"/>
            <w:vAlign w:val="bottom"/>
          </w:tcPr>
          <w:p>
            <w:pPr>
              <w:pStyle w:val="TableContents"/>
              <w:spacing w:before="0" w:after="283"/>
              <w:ind w:left="296" w:right="0" w:hanging="0"/>
              <w:jc w:val="right"/>
              <w:rPr>
                <w:rFonts w:ascii="times new roman" w:hAnsi="times new roman"/>
                <w:sz w:val="20"/>
              </w:rPr>
            </w:pPr>
            <w:bookmarkStart w:id="2753" w:name="TAB11410"/>
            <w:bookmarkEnd w:id="2753"/>
            <w:r>
              <w:rPr>
                <w:rFonts w:ascii="times new roman" w:hAnsi="times new roman"/>
                <w:sz w:val="20"/>
              </w:rPr>
              <w:t>862</w:t>
            </w:r>
          </w:p>
        </w:tc>
        <w:tc>
          <w:tcPr>
            <w:tcW w:w="133"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212"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bottom w:val="double" w:sz="8" w:space="0" w:color="000000"/>
            </w:tcBorders>
            <w:shd w:fill="CCEEFF" w:val="clear"/>
            <w:vAlign w:val="bottom"/>
          </w:tcPr>
          <w:p>
            <w:pPr>
              <w:pStyle w:val="TableContents"/>
              <w:spacing w:before="0" w:after="283"/>
              <w:ind w:left="296" w:right="0" w:hanging="0"/>
              <w:jc w:val="right"/>
              <w:rPr>
                <w:rFonts w:ascii="times new roman" w:hAnsi="times new roman"/>
                <w:sz w:val="20"/>
              </w:rPr>
            </w:pPr>
            <w:bookmarkStart w:id="2754" w:name="TAB11411"/>
            <w:bookmarkEnd w:id="2754"/>
            <w:r>
              <w:rPr>
                <w:rFonts w:ascii="times new roman" w:hAnsi="times new roman"/>
                <w:sz w:val="20"/>
              </w:rPr>
              <w:t>121</w:t>
            </w:r>
          </w:p>
        </w:tc>
        <w:tc>
          <w:tcPr>
            <w:tcW w:w="146"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55" w:name="TAB11412"/>
      <w:bookmarkEnd w:id="2755"/>
      <w:r>
        <w:rPr>
          <w:rFonts w:ascii="Times New Roman" w:hAnsi="Times New Roman"/>
          <w:sz w:val="20"/>
        </w:rPr>
        <w:t>The estimated net loss and prior service cost for the defined benefit pension plan that will be amortized from accumulated other comprehensive income into net periodic benefit cost over the next fiscal year will be $0 and $304,000, respectively.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56" w:name="PGBRK94"/>
      <w:bookmarkStart w:id="2757" w:name="PGBRK94"/>
      <w:bookmarkEnd w:id="27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8" w:name="FTR94"/>
      <w:bookmarkStart w:id="2759" w:name="FTR94"/>
      <w:bookmarkEnd w:id="2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60" w:name="GLFTR94"/>
      <w:bookmarkEnd w:id="27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761" w:name="PN94"/>
      <w:bookmarkEnd w:id="2761"/>
      <w:r>
        <w:rPr>
          <w:rFonts w:eastAsia="Times New Roman" w:cs="Times New Roman" w:ascii="Times New Roman" w:hAnsi="Times New Roman"/>
          <w:sz w:val="20"/>
          <w:szCs w:val="20"/>
        </w:rPr>
        <w:t>-94-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762" w:name="HDR94"/>
      <w:bookmarkStart w:id="2763" w:name="HDR94"/>
      <w:bookmarkEnd w:id="27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64" w:name="GLHDR94"/>
        <w:bookmarkEnd w:id="276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weighted average assumptions were used to determine the plan benefit obligations at December 31, 2009 and 2008:</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158"/>
        <w:gridCol w:w="1589"/>
        <w:gridCol w:w="1458"/>
      </w:tblGrid>
      <w:tr>
        <w:trPr/>
        <w:tc>
          <w:tcPr>
            <w:tcW w:w="7158" w:type="dxa"/>
            <w:tcBorders>
              <w:bottom w:val="double" w:sz="8" w:space="0" w:color="000000"/>
            </w:tcBorders>
            <w:shd w:fill="auto" w:val="clear"/>
            <w:vAlign w:val="bottom"/>
          </w:tcPr>
          <w:p>
            <w:pPr>
              <w:pStyle w:val="TableContents"/>
              <w:spacing w:before="0" w:after="283"/>
              <w:rPr/>
            </w:pPr>
            <w:r>
              <w:rPr/>
              <w:t xml:space="preserve">  </w:t>
            </w:r>
          </w:p>
        </w:tc>
        <w:tc>
          <w:tcPr>
            <w:tcW w:w="1589" w:type="dxa"/>
            <w:tcBorders>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45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r>
      <w:tr>
        <w:trPr/>
        <w:tc>
          <w:tcPr>
            <w:tcW w:w="7158"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Discount rate</w:t>
            </w:r>
          </w:p>
        </w:tc>
        <w:tc>
          <w:tcPr>
            <w:tcW w:w="1589"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5.85%</w:t>
            </w:r>
          </w:p>
        </w:tc>
        <w:tc>
          <w:tcPr>
            <w:tcW w:w="1458"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6.25%</w:t>
            </w:r>
          </w:p>
        </w:tc>
      </w:tr>
      <w:tr>
        <w:trPr/>
        <w:tc>
          <w:tcPr>
            <w:tcW w:w="7158"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Rate of compensation increase</w:t>
            </w:r>
          </w:p>
        </w:tc>
        <w:tc>
          <w:tcPr>
            <w:tcW w:w="1589"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3.50%</w:t>
            </w:r>
          </w:p>
        </w:tc>
        <w:tc>
          <w:tcPr>
            <w:tcW w:w="1458"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3.50%</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65" w:name="TAB11413"/>
      <w:bookmarkEnd w:id="2765"/>
      <w:r>
        <w:rPr>
          <w:rFonts w:ascii="Times New Roman" w:hAnsi="Times New Roman"/>
          <w:sz w:val="20"/>
        </w:rPr>
        <w:t>The following weighted-average assumptions were used to determine net periodic benefit cost for the year ended December 31, 2009 and 2008:</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347"/>
        <w:gridCol w:w="1497"/>
        <w:gridCol w:w="1361"/>
      </w:tblGrid>
      <w:tr>
        <w:trPr/>
        <w:tc>
          <w:tcPr>
            <w:tcW w:w="7347" w:type="dxa"/>
            <w:tcBorders>
              <w:bottom w:val="double" w:sz="8" w:space="0" w:color="000000"/>
            </w:tcBorders>
            <w:shd w:fill="auto" w:val="clear"/>
            <w:vAlign w:val="bottom"/>
          </w:tcPr>
          <w:p>
            <w:pPr>
              <w:pStyle w:val="TableContents"/>
              <w:spacing w:before="0" w:after="283"/>
              <w:rPr/>
            </w:pPr>
            <w:r>
              <w:rPr/>
              <w:t xml:space="preserve">  </w:t>
            </w:r>
          </w:p>
        </w:tc>
        <w:tc>
          <w:tcPr>
            <w:tcW w:w="1497" w:type="dxa"/>
            <w:tcBorders>
              <w:bottom w:val="double" w:sz="8" w:space="0" w:color="000000"/>
            </w:tcBorders>
            <w:shd w:fill="auto" w:val="clear"/>
            <w:vAlign w:val="bottom"/>
          </w:tcPr>
          <w:p>
            <w:pPr>
              <w:pStyle w:val="TableContents"/>
              <w:spacing w:before="0" w:after="283"/>
              <w:jc w:val="center"/>
              <w:rPr/>
            </w:pPr>
            <w:r>
              <w:rPr/>
              <w:t xml:space="preserve">  </w:t>
            </w:r>
            <w:r>
              <w:rPr>
                <w:rFonts w:ascii="times new roman" w:hAnsi="times new roman"/>
                <w:b/>
                <w:sz w:val="20"/>
              </w:rPr>
              <w:t>2009</w:t>
            </w:r>
          </w:p>
        </w:tc>
        <w:tc>
          <w:tcPr>
            <w:tcW w:w="1361" w:type="dxa"/>
            <w:tcBorders>
              <w:bottom w:val="double" w:sz="8" w:space="0" w:color="000000"/>
            </w:tcBorders>
            <w:shd w:fill="auto" w:val="clear"/>
          </w:tcPr>
          <w:p>
            <w:pPr>
              <w:pStyle w:val="TableContents"/>
              <w:spacing w:before="0" w:after="283"/>
              <w:jc w:val="center"/>
              <w:rPr/>
            </w:pPr>
            <w:r>
              <w:rPr/>
              <w:t xml:space="preserve">  </w:t>
            </w:r>
            <w:r>
              <w:rPr>
                <w:rFonts w:ascii="times new roman" w:hAnsi="times new roman"/>
                <w:b/>
                <w:sz w:val="20"/>
              </w:rPr>
              <w:t>2008</w:t>
            </w:r>
          </w:p>
        </w:tc>
      </w:tr>
      <w:tr>
        <w:trPr/>
        <w:tc>
          <w:tcPr>
            <w:tcW w:w="7347"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Discount rate</w:t>
            </w:r>
          </w:p>
        </w:tc>
        <w:tc>
          <w:tcPr>
            <w:tcW w:w="149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6.25%</w:t>
            </w:r>
          </w:p>
        </w:tc>
        <w:tc>
          <w:tcPr>
            <w:tcW w:w="1361"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6.25%</w:t>
            </w:r>
          </w:p>
        </w:tc>
      </w:tr>
      <w:tr>
        <w:trPr/>
        <w:tc>
          <w:tcPr>
            <w:tcW w:w="7347"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Expected long-term return on plan assets</w:t>
            </w:r>
          </w:p>
        </w:tc>
        <w:tc>
          <w:tcPr>
            <w:tcW w:w="149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361"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r>
      <w:tr>
        <w:trPr/>
        <w:tc>
          <w:tcPr>
            <w:tcW w:w="7347"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Rate of compensation increase</w:t>
            </w:r>
          </w:p>
        </w:tc>
        <w:tc>
          <w:tcPr>
            <w:tcW w:w="149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3.50%</w:t>
            </w:r>
          </w:p>
        </w:tc>
        <w:tc>
          <w:tcPr>
            <w:tcW w:w="1361"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3.50%</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66" w:name="TAB11414"/>
      <w:bookmarkEnd w:id="2766"/>
      <w:r>
        <w:rPr>
          <w:rFonts w:ascii="Times New Roman" w:hAnsi="Times New Roman"/>
          <w:sz w:val="20"/>
        </w:rPr>
        <w:t>The benefit payments, which reflect expected future service, as appropriate, are expected to be paid over the following periods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603"/>
        <w:gridCol w:w="122"/>
        <w:gridCol w:w="178"/>
        <w:gridCol w:w="1169"/>
        <w:gridCol w:w="133"/>
      </w:tblGrid>
      <w:tr>
        <w:trPr/>
        <w:tc>
          <w:tcPr>
            <w:tcW w:w="8603" w:type="dxa"/>
            <w:tcBorders>
              <w:bottom w:val="double" w:sz="8" w:space="0" w:color="000000"/>
            </w:tcBorders>
            <w:shd w:fill="auto" w:val="clear"/>
            <w:vAlign w:val="bottom"/>
          </w:tcPr>
          <w:p>
            <w:pPr>
              <w:pStyle w:val="TableContents"/>
              <w:spacing w:before="0" w:after="283"/>
              <w:rPr/>
            </w:pPr>
            <w:r>
              <w:rPr/>
              <w:t xml:space="preserve">  </w:t>
            </w:r>
          </w:p>
        </w:tc>
        <w:tc>
          <w:tcPr>
            <w:tcW w:w="122" w:type="dxa"/>
            <w:tcBorders/>
            <w:shd w:fill="auto" w:val="clear"/>
            <w:tcMar>
              <w:bottom w:w="0" w:type="dxa"/>
            </w:tcMar>
            <w:vAlign w:val="bottom"/>
          </w:tcPr>
          <w:p>
            <w:pPr>
              <w:pStyle w:val="TableContents"/>
              <w:spacing w:before="0" w:after="283"/>
              <w:rPr/>
            </w:pPr>
            <w:r>
              <w:rPr/>
              <w:t> </w:t>
            </w:r>
          </w:p>
        </w:tc>
        <w:tc>
          <w:tcPr>
            <w:tcW w:w="134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Pension Payments</w:t>
            </w:r>
          </w:p>
        </w:tc>
        <w:tc>
          <w:tcPr>
            <w:tcW w:w="133" w:type="dxa"/>
            <w:tcBorders/>
            <w:shd w:fill="auto" w:val="clear"/>
            <w:tcMar>
              <w:bottom w:w="0" w:type="dxa"/>
            </w:tcMar>
            <w:vAlign w:val="bottom"/>
          </w:tcPr>
          <w:p>
            <w:pPr>
              <w:pStyle w:val="TableContents"/>
              <w:spacing w:before="0" w:after="283"/>
              <w:jc w:val="left"/>
              <w:rPr/>
            </w:pPr>
            <w:r>
              <w:rPr/>
              <w:t> </w:t>
            </w:r>
          </w:p>
        </w:tc>
      </w:tr>
      <w:tr>
        <w:trPr/>
        <w:tc>
          <w:tcPr>
            <w:tcW w:w="860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2010</w:t>
            </w:r>
          </w:p>
        </w:tc>
        <w:tc>
          <w:tcPr>
            <w:tcW w:w="122" w:type="dxa"/>
            <w:tcBorders/>
            <w:shd w:fill="CCEEFF" w:val="clear"/>
            <w:tcMar>
              <w:bottom w:w="0" w:type="dxa"/>
            </w:tcMar>
            <w:vAlign w:val="bottom"/>
          </w:tcPr>
          <w:p>
            <w:pPr>
              <w:pStyle w:val="TableContents"/>
              <w:spacing w:before="0" w:after="283"/>
              <w:rPr/>
            </w:pPr>
            <w:r>
              <w:rPr/>
              <w:t> </w:t>
            </w:r>
          </w:p>
        </w:tc>
        <w:tc>
          <w:tcPr>
            <w:tcW w:w="17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shd w:fill="CCEEFF" w:val="clear"/>
            <w:tcMar>
              <w:bottom w:w="0" w:type="dxa"/>
            </w:tcMar>
            <w:vAlign w:val="bottom"/>
          </w:tcPr>
          <w:p>
            <w:pPr>
              <w:pStyle w:val="TableContents"/>
              <w:spacing w:before="0" w:after="283"/>
              <w:ind w:left="289" w:right="0" w:hanging="0"/>
              <w:jc w:val="right"/>
              <w:rPr>
                <w:rFonts w:ascii="times new roman" w:hAnsi="times new roman"/>
                <w:sz w:val="20"/>
              </w:rPr>
            </w:pPr>
            <w:bookmarkStart w:id="2767" w:name="TAB11415"/>
            <w:bookmarkEnd w:id="2767"/>
            <w:r>
              <w:rPr>
                <w:rFonts w:ascii="times new roman" w:hAnsi="times new roman"/>
                <w:sz w:val="20"/>
              </w:rPr>
              <w:t>7</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860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2011</w:t>
            </w:r>
          </w:p>
        </w:tc>
        <w:tc>
          <w:tcPr>
            <w:tcW w:w="122"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pPr>
            <w:r>
              <w:rPr/>
              <w:t> </w:t>
            </w:r>
          </w:p>
        </w:tc>
        <w:tc>
          <w:tcPr>
            <w:tcW w:w="116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860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w:t>
            </w:r>
          </w:p>
        </w:tc>
        <w:tc>
          <w:tcPr>
            <w:tcW w:w="122" w:type="dxa"/>
            <w:tcBorders/>
            <w:shd w:fill="CCEEFF" w:val="clear"/>
            <w:tcMar>
              <w:bottom w:w="0" w:type="dxa"/>
            </w:tcMar>
            <w:vAlign w:val="bottom"/>
          </w:tcPr>
          <w:p>
            <w:pPr>
              <w:pStyle w:val="TableContents"/>
              <w:spacing w:before="0" w:after="283"/>
              <w:rPr/>
            </w:pPr>
            <w:r>
              <w:rPr/>
              <w:t> </w:t>
            </w:r>
          </w:p>
        </w:tc>
        <w:tc>
          <w:tcPr>
            <w:tcW w:w="178"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860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w:t>
            </w:r>
          </w:p>
        </w:tc>
        <w:tc>
          <w:tcPr>
            <w:tcW w:w="122"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pPr>
            <w:r>
              <w:rPr/>
              <w:t> </w:t>
            </w:r>
          </w:p>
        </w:tc>
        <w:tc>
          <w:tcPr>
            <w:tcW w:w="116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860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w:t>
            </w:r>
          </w:p>
        </w:tc>
        <w:tc>
          <w:tcPr>
            <w:tcW w:w="122" w:type="dxa"/>
            <w:tcBorders/>
            <w:shd w:fill="CCEEFF" w:val="clear"/>
            <w:tcMar>
              <w:bottom w:w="0" w:type="dxa"/>
            </w:tcMar>
            <w:vAlign w:val="bottom"/>
          </w:tcPr>
          <w:p>
            <w:pPr>
              <w:pStyle w:val="TableContents"/>
              <w:spacing w:before="0" w:after="283"/>
              <w:rPr/>
            </w:pPr>
            <w:r>
              <w:rPr/>
              <w:t> </w:t>
            </w:r>
          </w:p>
        </w:tc>
        <w:tc>
          <w:tcPr>
            <w:tcW w:w="178"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860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Thereafter</w:t>
            </w:r>
          </w:p>
        </w:tc>
        <w:tc>
          <w:tcPr>
            <w:tcW w:w="122" w:type="dxa"/>
            <w:tcBorders/>
            <w:shd w:fill="FFFFFF" w:val="clear"/>
            <w:tcMar>
              <w:bottom w:w="0" w:type="dxa"/>
            </w:tcMar>
            <w:vAlign w:val="bottom"/>
          </w:tcPr>
          <w:p>
            <w:pPr>
              <w:pStyle w:val="TableContents"/>
              <w:spacing w:before="0" w:after="283"/>
              <w:rPr/>
            </w:pPr>
            <w:r>
              <w:rPr/>
              <w:t> </w:t>
            </w:r>
          </w:p>
        </w:tc>
        <w:tc>
          <w:tcPr>
            <w:tcW w:w="178" w:type="dxa"/>
            <w:tcBorders>
              <w:bottom w:val="single" w:sz="12" w:space="0" w:color="000000"/>
            </w:tcBorders>
            <w:shd w:fill="FFFFFF" w:val="clear"/>
            <w:vAlign w:val="bottom"/>
          </w:tcPr>
          <w:p>
            <w:pPr>
              <w:pStyle w:val="TableContents"/>
              <w:spacing w:before="0" w:after="283"/>
              <w:jc w:val="left"/>
              <w:rPr/>
            </w:pPr>
            <w:r>
              <w:rPr/>
              <w:t> </w:t>
            </w:r>
          </w:p>
        </w:tc>
        <w:tc>
          <w:tcPr>
            <w:tcW w:w="116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3,795</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8603"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pension payments</w:t>
            </w:r>
          </w:p>
        </w:tc>
        <w:tc>
          <w:tcPr>
            <w:tcW w:w="122" w:type="dxa"/>
            <w:tcBorders/>
            <w:shd w:fill="CCEEFF" w:val="clear"/>
            <w:tcMar>
              <w:bottom w:w="0" w:type="dxa"/>
            </w:tcMar>
            <w:vAlign w:val="bottom"/>
          </w:tcPr>
          <w:p>
            <w:pPr>
              <w:pStyle w:val="TableContents"/>
              <w:spacing w:before="0" w:after="283"/>
              <w:rPr/>
            </w:pPr>
            <w:r>
              <w:rPr/>
              <w:t> </w:t>
            </w:r>
          </w:p>
        </w:tc>
        <w:tc>
          <w:tcPr>
            <w:tcW w:w="178"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bottom w:val="double" w:sz="8" w:space="0" w:color="000000"/>
            </w:tcBorders>
            <w:shd w:fill="CCEEFF" w:val="clear"/>
            <w:vAlign w:val="bottom"/>
          </w:tcPr>
          <w:p>
            <w:pPr>
              <w:pStyle w:val="TableContents"/>
              <w:spacing w:before="0" w:after="283"/>
              <w:ind w:left="296" w:right="0" w:hanging="0"/>
              <w:jc w:val="right"/>
              <w:rPr>
                <w:rFonts w:ascii="times new roman" w:hAnsi="times new roman"/>
                <w:sz w:val="20"/>
              </w:rPr>
            </w:pPr>
            <w:bookmarkStart w:id="2768" w:name="TAB11416"/>
            <w:bookmarkEnd w:id="2768"/>
            <w:r>
              <w:rPr>
                <w:rFonts w:ascii="times new roman" w:hAnsi="times new roman"/>
                <w:sz w:val="20"/>
              </w:rPr>
              <w:t>3,912</w:t>
            </w:r>
          </w:p>
        </w:tc>
        <w:tc>
          <w:tcPr>
            <w:tcW w:w="133"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Pension Liabilities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69" w:name="TAB11417"/>
      <w:bookmarkEnd w:id="2769"/>
      <w:r>
        <w:rPr>
          <w:rFonts w:ascii="Times New Roman" w:hAnsi="Times New Roman"/>
          <w:sz w:val="20"/>
        </w:rPr>
        <w:t>In addition to the aforementioned SERP, Mr. S. Craig Tompkins has a vested interest in the pension plan originally established by Craig Corporation prior to its merger with our company of $192,000 and $188,000 at December 31, 2009 and 2008, respectively.  The balance accrues interest at 30 day LIBOR and is maintained as an unfunded Executive Pension Plan obligation included in other liabilities.  Additionally, as part of his employment agreement, Mr. John Hunter, our Chief Operating Officer, has a vested interest in a pension plan that currently accrues $100,000 per year and has a balance of $292,000.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19 - Commitments and Contingencies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Unconsolidated Joint Venture Loans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70" w:name="TAB11418"/>
      <w:bookmarkEnd w:id="2770"/>
      <w:r>
        <w:rPr>
          <w:rFonts w:ascii="Times New Roman" w:hAnsi="Times New Roman"/>
          <w:sz w:val="20"/>
        </w:rPr>
        <w:t>The following section describes any loans associated with our investments in unconsolidated joint ventures.  As these investments are unconsolidated, any associated bank loans are not reflected in our Consolidated Balance Sheet at December 31, 2009.  Each loan is without recourse to any assets other than our interests in the individual joint venture.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Rialto Distribution</w:t>
      </w:r>
      <w:r>
        <w:rPr>
          <w:rFonts w:ascii="Times New Roman" w:hAnsi="Times New Roman"/>
          <w:sz w:val="20"/>
        </w:rPr>
        <w:t>.  We are the 33.3% co-owners of the assets of Rialto Distribution.  At December 31, 2009 and 2008, the total line of credit was $1.5 million (NZ$2.0 million) and $1.2 million (NZ$2.0 million), respectively, and had an outstanding balance of $979,000 (NZ$1.4 million) and $785,000 (NZ$1.4 million), respectively.  This loan is guaranteed by one of our subsidiaries to the extent of our ownership percentage.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Construction Commitments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During 2008, associated with the development of our Indooroopilly, Brisbane, Australia property, we had entered into a construction agreement related to its redevelopment.  Obligations under this agreement were contingent upon the completion of the services within the guidelines specified in the agreement.  During 2009, we paid off the entire balance of this construction debt facility (see Note 12 - </w:t>
      </w:r>
      <w:r>
        <w:rPr>
          <w:rFonts w:ascii="Times New Roman" w:hAnsi="Times New Roman"/>
          <w:i/>
          <w:sz w:val="20"/>
        </w:rPr>
        <w:t>Notes Payable</w:t>
      </w:r>
      <w:r>
        <w:rPr>
          <w:rFonts w:ascii="Times New Roman" w:hAnsi="Times New Roman"/>
          <w:sz w:val="20"/>
        </w:rPr>
        <w: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71" w:name="PGBRK95"/>
      <w:bookmarkStart w:id="2772" w:name="PGBRK95"/>
      <w:bookmarkEnd w:id="27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3" w:name="FTR95"/>
      <w:bookmarkStart w:id="2774" w:name="FTR95"/>
      <w:bookmarkEnd w:id="27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75" w:name="GLFTR95"/>
      <w:bookmarkEnd w:id="27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776" w:name="PN95"/>
      <w:bookmarkEnd w:id="2776"/>
      <w:r>
        <w:rPr>
          <w:rFonts w:eastAsia="Times New Roman" w:cs="Times New Roman" w:ascii="Times New Roman" w:hAnsi="Times New Roman"/>
          <w:sz w:val="20"/>
          <w:szCs w:val="20"/>
        </w:rPr>
        <w:t>-95-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777" w:name="HDR95"/>
      <w:bookmarkStart w:id="2778" w:name="HDR95"/>
      <w:bookmarkEnd w:id="27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79" w:name="GLHDR95"/>
        <w:bookmarkEnd w:id="27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Tax Audit/Litigation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Internal Revenue Service (the “IRS”) completed its audits of the tax return of Reading Entertainment Inc. (RDGE) for its tax years ended December 31, 1996 through December 31, 1999 and the tax return of Craig Corporation (CRG) for its tax year ended June 30, 1997.  These companies are each now wholly owned subsidiaries of RDI, but for the time periods under audit, were not consolidated with RDI for tax purposes.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The Stater Stock was received by RDGE fr om CRG as a part of a private placement of securities by RDGE, which closed in October 1996.  A second issue involving an equipment-leasing transaction entered into by RDGE (discussed below) has been conceded by RDGE resulting in a net tax refund.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By letters dated November 9, 2001, the IRS issued reports of examination proposing changes to the tax returns of RDGE and CRG for the years in question (the “Examination Reports”).  The Examination Report for each of RDGE and CRG proposed that the gains on the disposition by RDGE of Stater Stock, reported as taxable on the RDGE return, should be allocated to CRG.  As reported, the gain resulted in no additional tax to RDGE inasmuch as the gain was entirely offset by a net operating loss carry forward of RDGE.  This proposed change would result in an additional tax liability for CRG of approximately $20.9 million plus interest of approximately $25.5 million as of December 31, 2009.  In addition, this proposal would result in California tax liability of approximately $5.4 million plus interest of approximately $7.3 million as of December 31, 2009.  Accordingly, this proposed change represented, as of December 31, 2009, an exposure of approximately $59.1 million.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Moreover, California has “amnesty” provisions imposing additional liability on taxpayers who are determined to have materially underreported their taxable income.  While these provisions have been criticized by a number of corporate taxpayers to the extent that they apply to tax liabilities that are being contested in good faith, no assurances can be given that these new provisions will be applied in a manner that would mitigate the impact on such taxpayers.  Accordingly, these provisions may cause an additional $4.0 million exposure to CRG, for a total exposure of approximately $63.1 million.  We have accrued $6.1 million in accordance with the cumulative probability approach prescribed in ASC 740-10-25 in relation to this exposure and believe that the possible total settlement amount will be between $6.1 million and $63.1 million.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early February 2005, we had a mediation conference with the IRS concerning this proposed change.  The mediation was conducted by two mediators, one of whom was selected by the taxpayer from the private sector and one of whom was an employee of the IRS.  In connection with this mediation, we and the IRS each prepared written submissions to the mediators setting forth our respective cases.  In its written submission, the IRS noted that it had offered to settle its claims against us at 30% of the proposed change, and reiterated this offer at the mediation.  This offer constituted, in effect, an offer to settle for a payment of $5.0 million federal tax, plus interest, for an aggregate settlement amount of approximately $8.0 million.  Based on advice of counsel given after reviewing the materials submitted by the IRS to the mediation panel, and the oral presentation made by the IRS to the mediation panel and the comments of the mediators (including the IRS mediator), we determined not to accept this offer.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Notices of deficiency (“N/D”) dated June 29, 2006 were received with respect to each of  RDGE and CRG determining proposed deficiencies of $20.9 million for CRG and a total of $349,000 for RDGE for the tax years 1997, 1998 and 1999.</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intend to litigate aggressively the Stater matter in the U.S. Tax Court.  A case was filed with the court on September 26, 2006 for each respective N/D.  While there are always risks in litigation, we believe that a settlement at the level currently offered by the IRS would substantially understate the strength of our position and the likelihood that we would prevail in a trial of these matters.  We have filed a motion for summary judgment in the matter.  The trial previously scheduled for March 2010 has been postponed, pending the outcome of our summary judgment motion, and as of this date, no new trial date has been fixed.  It is assumed, however, that if our summary judgment motion is not granted, the case will go to trial in midyear.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Since these tax liabilities relate to time periods prior to the Consolidation of CDL, RDGE, and CRG into Reading International, Inc. and since RDGE and CRG continue to exist as wholly owned subsidiaries of RDI, it is expected that any adverse determination would be limited in recourse to the assets of RDGE or CRG, as the case may be, and not to the general assets of RDI.  At the present time, the assets of these subsidiaries are comprised principally of RDI securities.  Accordingly, we do not anticipate, even if there were to be an adverse judgment in favor of the IRS that the satisfaction of that judgment would interfere with the internal operation or result in any levy upon or loss of any of our material operating assets.  However, the satisfaction of any such adverse judgment would result in a material dilution to existing stockholder interests.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80" w:name="PGBRK96"/>
      <w:bookmarkStart w:id="2781" w:name="PGBRK96"/>
      <w:bookmarkEnd w:id="27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82" w:name="FTR96"/>
      <w:bookmarkStart w:id="2783" w:name="FTR96"/>
      <w:bookmarkEnd w:id="27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84" w:name="GLFTR96"/>
      <w:bookmarkEnd w:id="27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785" w:name="PN96"/>
      <w:bookmarkEnd w:id="2785"/>
      <w:r>
        <w:rPr>
          <w:rFonts w:eastAsia="Times New Roman" w:cs="Times New Roman" w:ascii="Times New Roman" w:hAnsi="Times New Roman"/>
          <w:sz w:val="20"/>
          <w:szCs w:val="20"/>
        </w:rPr>
        <w:t>-96-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786" w:name="HDR96"/>
      <w:bookmarkStart w:id="2787" w:name="HDR96"/>
      <w:bookmarkEnd w:id="27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88" w:name="GLHDR96"/>
        <w:bookmarkEnd w:id="278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N/D issued to RDGE was conceded by RDGE in August 2008.  The net result related to the equipment leasing transaction entered into by RDGE is expected to be a refund of approximately $750,000 in federal alternative minimum tax for the year 1996, along with a payment of payment of approximately $600,000 in  federal and state income taxes, for the years 1997-99, plus interest.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Environmental and Asbestos Claims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 ironmental laws is material in amount.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in the process of remediating certain environmental issues with respect to our 50-acre Burwood site in Melbourne.  That property was at one time used as a brickworks and we have discovered petroleum and asbestos at the site.  During 2007, we developed a plan for the remediation of these materials, in some cases through removal and in other cases through encapsulation.  As of December 31, 2009, we estimate that the total site preparation costs associated with the removal of this contaminated soil will be $8.6 million (AUS$9.6 million) and as of that date we had incurred a total of $6.6 million (AUS$7.4 million) of these costs.  We do not believe that this has added materially to the overall development cost of the site, as much of the work is being done in connection with the excavation an d other development activity already contemplated for the property.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Mackie Litigation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89" w:name="TAB11419"/>
      <w:bookmarkEnd w:id="2789"/>
      <w:r>
        <w:rPr>
          <w:rFonts w:ascii="Times New Roman" w:hAnsi="Times New Roman"/>
          <w:sz w:val="20"/>
        </w:rPr>
        <w:t>On November 7, 2005, we were sued in the Supreme Court of Victoria at Melbourne by a former construction contractor with respect to the discontinued development of an ETRC at Frankston, Victoria.  The action is entitled Mackie Group Pty Ltd v. Reading Properties Pty Ltd, and in it the former contractor seeks payment of a claimed fee in the amount of $898,000 (AUS$1.0 million).  We do not believe that any such fee is owed, and are contesting the claim.  Discovery has now been completed by both parties.  We have offered in settlement an amount of $781,000 (AUS$870,000) and they have countered with an amount of $1.1 million (AUS$1.2 million).  In relation to this claim, we have accrued a litigation related loss of $781,000 (AUS$870,000) at D ecember 31, 2009.</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90" w:name="TAB11420"/>
      <w:bookmarkEnd w:id="2790"/>
      <w:r>
        <w:rPr>
          <w:rFonts w:ascii="Times New Roman" w:hAnsi="Times New Roman"/>
          <w:sz w:val="20"/>
        </w:rPr>
        <w:t>In a hearing conducted on November 22 and 29, 2006, we successfully defended an application for summary judgment brought by Mackie and were awarded costs for part of the preparation of our defense to the application.  A bill of costs has been prepared by a cost consultant in the sum of $20,000 (AUS$25,000) (including disbursements).  On April 27, 2007, we received payment for those costs in the sum of $17,000 (AUS$19,000).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Attempts to mediate the dispute have not been successful.  The trial date on this matter is set for March 17, 2010.  We believe that we have adequate support for our position and that a reserve for these claims is not required as the likelihood of an unfavorable outcome is not probable and reasonably capable of being estimated.</w:t>
      </w:r>
    </w:p>
    <w:p>
      <w:pPr>
        <w:pStyle w:val="TextBody"/>
        <w:spacing w:before="0" w:after="0"/>
        <w:ind w:left="0" w:right="0" w:firstLine="720"/>
        <w:jc w:val="both"/>
        <w:rPr/>
      </w:pPr>
      <w:r>
        <w:rPr/>
        <w:t> </w:t>
      </w:r>
      <w:r>
        <w:rPr>
          <w:rFonts w:ascii="Times New Roman" w:hAnsi="Times New Roman"/>
          <w:sz w:val="20"/>
        </w:rPr>
        <w:b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Malulani Investments Litigation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91" w:name="TAB11421"/>
      <w:bookmarkEnd w:id="2791"/>
      <w:r>
        <w:rPr>
          <w:rFonts w:ascii="Times New Roman" w:hAnsi="Times New Roman"/>
          <w:sz w:val="20"/>
        </w:rPr>
        <w:t xml:space="preserve">In December 2006, we and Magoon Acquisition and Development, LLC, another noncontrolling shareholder in Malulani Investments, Limited (“MIL”) commenced a lawsuit against certain officers and directors of MIL alleging various direct and derivative claims for breach of fiduciary duty and waste and seeking, among other things, access to various company books and records.  As certain of these claims were brought derivatively, MIL was also named as a defendant in that litigation.  That case was brought in the Circuit Court of the First Circuit Hawaii, in Honolulu, and is called </w:t>
      </w:r>
      <w:r>
        <w:rPr>
          <w:rFonts w:ascii="Times New Roman" w:hAnsi="Times New Roman"/>
          <w:i/>
          <w:sz w:val="20"/>
        </w:rPr>
        <w:t>Magoon Acquisition &amp; Development, LLC; a California limited liability company, Reading International, Inc.; a Nevada corporation, an d James J. Cotter vs. Malulani Investments, Limited, a Hawaii Corporation, Easton T. Mason; John R. Dwyer, Jr.; Philip Gray; Kenwei Chong (Civil No. 06-1-2156-12 (GWBC)</w:t>
      </w:r>
      <w:r>
        <w:rPr>
          <w:rFonts w:ascii="Times New Roman" w:hAnsi="Times New Roman"/>
          <w:sz w:val="20"/>
        </w:rPr>
        <w: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92" w:name="PGBRK97"/>
      <w:bookmarkStart w:id="2793" w:name="PGBRK97"/>
      <w:bookmarkEnd w:id="27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94" w:name="FTR97"/>
      <w:bookmarkStart w:id="2795" w:name="FTR97"/>
      <w:bookmarkEnd w:id="27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96" w:name="GLFTR97"/>
      <w:bookmarkEnd w:id="27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797" w:name="PN97"/>
      <w:bookmarkEnd w:id="2797"/>
      <w:r>
        <w:rPr>
          <w:rFonts w:eastAsia="Times New Roman" w:cs="Times New Roman" w:ascii="Times New Roman" w:hAnsi="Times New Roman"/>
          <w:sz w:val="20"/>
          <w:szCs w:val="20"/>
        </w:rPr>
        <w:t>-97-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798" w:name="HDR97"/>
      <w:bookmarkStart w:id="2799" w:name="HDR97"/>
      <w:bookmarkEnd w:id="27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800" w:name="GLHDR97"/>
        <w:bookmarkEnd w:id="280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720" w:right="0" w:hanging="0"/>
        <w:jc w:val="both"/>
        <w:rPr>
          <w:rFonts w:ascii="Times New Roman" w:hAnsi="Times New Roman"/>
          <w:sz w:val="20"/>
        </w:rPr>
      </w:pPr>
      <w:bookmarkStart w:id="2801" w:name="TAB11422"/>
      <w:bookmarkEnd w:id="2801"/>
      <w:r>
        <w:rPr>
          <w:rFonts w:ascii="Times New Roman" w:hAnsi="Times New Roman"/>
          <w:sz w:val="20"/>
        </w:rPr>
        <w:t>On July 2, 2009, Magoon LLC and we entered into a settlement agreement (the “Settlement Terms”) with respect to the MIL Litigation.  Under the Settlement Terms, Magoon LLC and we received $2.5 million in cash, a $6.75 million three-year 6.25% secured promissory note issued by The Malulani Group (“TMG”), the parent company of MIL, and a ten-year “tail interest” in MIL and TMG in exchange for the transfer of all ownership interests in MIL and TMG held by both Magoon, LLC and RDI and for the release of all claims against the defendants in this matter.  The tail interest allows us to participate in certain distributions made by MIL or TMG, and in certain cases, the distributions received by shareholders of MIL or TMG.  The tai l interest, however, continues only for a period of ten years and we cannot assure that we will in fact receive any distributions from this tail interest.  As a result of this transaction, during 2009, we recorded a $268,000 gain on the transfer of our ownership interest in MIL and $2.6 million of other operating income for the recovery of previously expensed litigation costs.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802" w:name="TAB11423"/>
      <w:bookmarkEnd w:id="2802"/>
      <w:r>
        <w:rPr>
          <w:rFonts w:ascii="Times New Roman" w:hAnsi="Times New Roman"/>
          <w:sz w:val="20"/>
        </w:rPr>
        <w:t>Pursuant to the Settlement Terms, we transferred all of our interests in MIL to TMG and Magoon LLC transferred all of its interest in MIL and TMG to TMG, and there was a mutual release of claims.  Mr. Cotter, our Chairman, Chief Executive Officer and principal shareholder and a director of MIL, simultaneously settled his related claims for mutual general releases and resigned from the Board of Directors of MIL.</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803" w:name="TAB11424"/>
      <w:bookmarkEnd w:id="2803"/>
      <w:r>
        <w:rPr>
          <w:rFonts w:ascii="Times New Roman" w:hAnsi="Times New Roman"/>
          <w:sz w:val="20"/>
        </w:rPr>
        <w:t>Under the terms of our Amended and Restated Shareholder Agreement with Magoon LLC, we are entitled to receive, on a priority basis, 100% of any proceeds from any disposition of the shares in MIL and TMG held by us or Magoon LLC until we (Reading) have recouped substantially all of our litigation costs and the cost of our investment in MIL.  Accordingly, we were entitled to all of the cash proceeds of the settlement, plus we are entitled to distributions with respect to the promissory note until we recoup both our litigation costs and the cost of our investment.  Thereafter, Magoon LLC will receive distributions under the promissory note and the tail interest (if any) until it has recouped its investment in MIL and TMG.  Thereafter, distributions under the ta il interest, if any, will be shared between Magoon LLC and us in accordance with the sharing formula set forth in the Amended and Restated Shareholder Agreement between Magoon LLC and us.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20 – Noncontrolling interests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804" w:name="TAB11425"/>
      <w:bookmarkEnd w:id="2804"/>
      <w:r>
        <w:rPr>
          <w:rFonts w:ascii="Times New Roman" w:hAnsi="Times New Roman"/>
          <w:sz w:val="20"/>
        </w:rPr>
        <w:t>Noncontrolling interests in our consolidated subsidiaries are comprised of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05" w:name="list226"/>
      <w:bookmarkStart w:id="2806" w:name="list226"/>
      <w:bookmarkEnd w:id="2806"/>
    </w:p>
    <w:tbl>
      <w:tblPr>
        <w:tblW w:w="5000" w:type="pct"/>
        <w:jc w:val="left"/>
        <w:tblInd w:w="0" w:type="dxa"/>
        <w:tblCellMar>
          <w:top w:w="0" w:type="dxa"/>
          <w:left w:w="0" w:type="dxa"/>
          <w:bottom w:w="0" w:type="dxa"/>
          <w:right w:w="0" w:type="dxa"/>
        </w:tblCellMar>
      </w:tblPr>
      <w:tblGrid>
        <w:gridCol w:w="472"/>
        <w:gridCol w:w="9733"/>
      </w:tblGrid>
      <w:tr>
        <w:trPr/>
        <w:tc>
          <w:tcPr>
            <w:tcW w:w="47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50% of membership interest in Angelika Film Center LLC (“AFC LLC”) owned by a subsidiary of iDNA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07" w:name="list227"/>
      <w:bookmarkStart w:id="2808" w:name="list227"/>
      <w:bookmarkEnd w:id="2808"/>
    </w:p>
    <w:tbl>
      <w:tblPr>
        <w:tblW w:w="5000" w:type="pct"/>
        <w:jc w:val="left"/>
        <w:tblInd w:w="0" w:type="dxa"/>
        <w:tblCellMar>
          <w:top w:w="0" w:type="dxa"/>
          <w:left w:w="0" w:type="dxa"/>
          <w:bottom w:w="0" w:type="dxa"/>
          <w:right w:w="0" w:type="dxa"/>
        </w:tblCellMar>
      </w:tblPr>
      <w:tblGrid>
        <w:gridCol w:w="569"/>
        <w:gridCol w:w="9636"/>
      </w:tblGrid>
      <w:tr>
        <w:trPr/>
        <w:tc>
          <w:tcPr>
            <w:tcW w:w="56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25% noncontrolling interest in Australian Country Cinemas by 21st Century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09" w:name="list228"/>
      <w:bookmarkStart w:id="2810" w:name="list228"/>
      <w:bookmarkEnd w:id="2810"/>
    </w:p>
    <w:tbl>
      <w:tblPr>
        <w:tblW w:w="5000" w:type="pct"/>
        <w:jc w:val="left"/>
        <w:tblInd w:w="0" w:type="dxa"/>
        <w:tblCellMar>
          <w:top w:w="0" w:type="dxa"/>
          <w:left w:w="0" w:type="dxa"/>
          <w:bottom w:w="0" w:type="dxa"/>
          <w:right w:w="0" w:type="dxa"/>
        </w:tblCellMar>
      </w:tblPr>
      <w:tblGrid>
        <w:gridCol w:w="533"/>
        <w:gridCol w:w="9672"/>
      </w:tblGrid>
      <w:tr>
        <w:trPr/>
        <w:tc>
          <w:tcPr>
            <w:tcW w:w="53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 noncontrolling interest in the Elsternwick joint venture by Champion Pictures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11" w:name="list229"/>
      <w:bookmarkStart w:id="2812" w:name="list229"/>
      <w:bookmarkEnd w:id="281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15% to 27.5% subordinated noncontrolling interest in the Landplan Property Partners, Ltd by Landplan Property Group,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13" w:name="list230"/>
      <w:bookmarkStart w:id="2814" w:name="list230"/>
      <w:bookmarkEnd w:id="2814"/>
    </w:p>
    <w:tbl>
      <w:tblPr>
        <w:tblW w:w="5000" w:type="pct"/>
        <w:jc w:val="left"/>
        <w:tblInd w:w="0" w:type="dxa"/>
        <w:tblCellMar>
          <w:top w:w="0" w:type="dxa"/>
          <w:left w:w="0" w:type="dxa"/>
          <w:bottom w:w="0" w:type="dxa"/>
          <w:right w:w="0" w:type="dxa"/>
        </w:tblCellMar>
      </w:tblPr>
      <w:tblGrid>
        <w:gridCol w:w="497"/>
        <w:gridCol w:w="9708"/>
      </w:tblGrid>
      <w:tr>
        <w:trPr/>
        <w:tc>
          <w:tcPr>
            <w:tcW w:w="49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25% noncontrolling interest in the Sutton Hill Properties, LLC owned by Sutton Hill Capital, LLC</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components of noncontrolling interest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41"/>
        <w:gridCol w:w="109"/>
        <w:gridCol w:w="126"/>
        <w:gridCol w:w="978"/>
        <w:gridCol w:w="114"/>
        <w:gridCol w:w="109"/>
        <w:gridCol w:w="126"/>
        <w:gridCol w:w="978"/>
        <w:gridCol w:w="124"/>
      </w:tblGrid>
      <w:tr>
        <w:trPr/>
        <w:tc>
          <w:tcPr>
            <w:tcW w:w="7541"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3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4" w:type="dxa"/>
            <w:tcBorders/>
            <w:shd w:fill="auto" w:val="clear"/>
            <w:vAlign w:val="bottom"/>
          </w:tcPr>
          <w:p>
            <w:pPr>
              <w:pStyle w:val="TableContents"/>
              <w:spacing w:before="0" w:after="283"/>
              <w:jc w:val="left"/>
              <w:rPr/>
            </w:pPr>
            <w:r>
              <w:rPr/>
              <w:t> </w:t>
            </w:r>
          </w:p>
        </w:tc>
      </w:tr>
      <w:tr>
        <w:trPr/>
        <w:tc>
          <w:tcPr>
            <w:tcW w:w="7541"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4" w:type="dxa"/>
            <w:tcBorders/>
            <w:shd w:fill="auto" w:val="clear"/>
            <w:vAlign w:val="bottom"/>
          </w:tcPr>
          <w:p>
            <w:pPr>
              <w:pStyle w:val="TableContents"/>
              <w:spacing w:before="0" w:after="283"/>
              <w:jc w:val="left"/>
              <w:rPr/>
            </w:pPr>
            <w:r>
              <w:rPr/>
              <w:t> </w:t>
            </w:r>
          </w:p>
        </w:tc>
      </w:tr>
      <w:tr>
        <w:trPr/>
        <w:tc>
          <w:tcPr>
            <w:tcW w:w="754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AFC LLC</w:t>
            </w:r>
          </w:p>
        </w:tc>
        <w:tc>
          <w:tcPr>
            <w:tcW w:w="109"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shd w:fill="CCEEFF" w:val="clear"/>
            <w:vAlign w:val="bottom"/>
          </w:tcPr>
          <w:p>
            <w:pPr>
              <w:pStyle w:val="TableContents"/>
              <w:spacing w:before="0" w:after="283"/>
              <w:ind w:left="180" w:right="0" w:hanging="0"/>
              <w:jc w:val="right"/>
              <w:rPr>
                <w:rFonts w:ascii="times new roman" w:hAnsi="times new roman"/>
                <w:sz w:val="20"/>
              </w:rPr>
            </w:pPr>
            <w:bookmarkStart w:id="2815" w:name="TAB11426"/>
            <w:bookmarkEnd w:id="2815"/>
            <w:r>
              <w:rPr>
                <w:rFonts w:ascii="times new roman" w:hAnsi="times new roman"/>
                <w:sz w:val="20"/>
              </w:rPr>
              <w:t>1,135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1,529</w:t>
            </w:r>
          </w:p>
        </w:tc>
        <w:tc>
          <w:tcPr>
            <w:tcW w:w="124" w:type="dxa"/>
            <w:tcBorders/>
            <w:shd w:fill="CCEEFF" w:val="clear"/>
            <w:vAlign w:val="bottom"/>
          </w:tcPr>
          <w:p>
            <w:pPr>
              <w:pStyle w:val="TableContents"/>
              <w:spacing w:before="0" w:after="283"/>
              <w:jc w:val="left"/>
              <w:rPr/>
            </w:pPr>
            <w:r>
              <w:rPr/>
              <w:t> </w:t>
            </w:r>
          </w:p>
        </w:tc>
      </w:tr>
      <w:tr>
        <w:trPr/>
        <w:tc>
          <w:tcPr>
            <w:tcW w:w="754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Australian Country Cinemas</w:t>
            </w:r>
          </w:p>
        </w:tc>
        <w:tc>
          <w:tcPr>
            <w:tcW w:w="109"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24" w:type="dxa"/>
            <w:tcBorders/>
            <w:shd w:fill="FFFFFF" w:val="clear"/>
            <w:vAlign w:val="bottom"/>
          </w:tcPr>
          <w:p>
            <w:pPr>
              <w:pStyle w:val="TableContents"/>
              <w:spacing w:before="0" w:after="283"/>
              <w:jc w:val="left"/>
              <w:rPr/>
            </w:pPr>
            <w:r>
              <w:rPr/>
              <w:t> </w:t>
            </w:r>
          </w:p>
        </w:tc>
      </w:tr>
      <w:tr>
        <w:trPr/>
        <w:tc>
          <w:tcPr>
            <w:tcW w:w="754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Elsternwick unincorporated joint venture</w:t>
            </w:r>
          </w:p>
        </w:tc>
        <w:tc>
          <w:tcPr>
            <w:tcW w:w="109"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9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24" w:type="dxa"/>
            <w:tcBorders/>
            <w:shd w:fill="CCEEFF" w:val="clear"/>
            <w:vAlign w:val="bottom"/>
          </w:tcPr>
          <w:p>
            <w:pPr>
              <w:pStyle w:val="TableContents"/>
              <w:spacing w:before="0" w:after="283"/>
              <w:jc w:val="left"/>
              <w:rPr/>
            </w:pPr>
            <w:r>
              <w:rPr/>
              <w:t> </w:t>
            </w:r>
          </w:p>
        </w:tc>
      </w:tr>
      <w:tr>
        <w:trPr/>
        <w:tc>
          <w:tcPr>
            <w:tcW w:w="754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Landplan Property Partners</w:t>
            </w:r>
          </w:p>
        </w:tc>
        <w:tc>
          <w:tcPr>
            <w:tcW w:w="109"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4" w:type="dxa"/>
            <w:tcBorders/>
            <w:shd w:fill="FFFFFF" w:val="clear"/>
            <w:vAlign w:val="bottom"/>
          </w:tcPr>
          <w:p>
            <w:pPr>
              <w:pStyle w:val="TableContents"/>
              <w:spacing w:before="0" w:after="283"/>
              <w:jc w:val="left"/>
              <w:rPr/>
            </w:pPr>
            <w:r>
              <w:rPr/>
              <w:t> </w:t>
            </w:r>
          </w:p>
        </w:tc>
      </w:tr>
      <w:tr>
        <w:trPr/>
        <w:tc>
          <w:tcPr>
            <w:tcW w:w="7541"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Sutton Hill Properties</w:t>
            </w:r>
          </w:p>
        </w:tc>
        <w:tc>
          <w:tcPr>
            <w:tcW w:w="109"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41"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Noncontrolling interests in consolidated subsidiaries</w:t>
            </w:r>
          </w:p>
        </w:tc>
        <w:tc>
          <w:tcPr>
            <w:tcW w:w="109"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bottom w:val="double" w:sz="8" w:space="0" w:color="000000"/>
            </w:tcBorders>
            <w:shd w:fill="FFFFFF" w:val="clear"/>
            <w:tcMar>
              <w:bottom w:w="28" w:type="dxa"/>
            </w:tcMar>
            <w:vAlign w:val="bottom"/>
          </w:tcPr>
          <w:p>
            <w:pPr>
              <w:pStyle w:val="TableContents"/>
              <w:spacing w:before="0" w:after="283"/>
              <w:ind w:left="180" w:right="0" w:hanging="0"/>
              <w:jc w:val="right"/>
              <w:rPr>
                <w:rFonts w:ascii="times new roman" w:hAnsi="times new roman"/>
                <w:sz w:val="20"/>
              </w:rPr>
            </w:pPr>
            <w:bookmarkStart w:id="2816" w:name="TAB11427"/>
            <w:bookmarkEnd w:id="2816"/>
            <w:r>
              <w:rPr>
                <w:rFonts w:ascii="times new roman" w:hAnsi="times new roman"/>
                <w:sz w:val="20"/>
              </w:rPr>
              <w:t>1,374</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1,817</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17" w:name="PGBRK98"/>
      <w:bookmarkStart w:id="2818" w:name="PGBRK98"/>
      <w:bookmarkEnd w:id="28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19" w:name="FTR98"/>
      <w:bookmarkStart w:id="2820" w:name="FTR98"/>
      <w:bookmarkEnd w:id="28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21" w:name="GLFTR98"/>
      <w:bookmarkEnd w:id="28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822" w:name="PN98"/>
      <w:bookmarkEnd w:id="2822"/>
      <w:r>
        <w:rPr>
          <w:rFonts w:eastAsia="Times New Roman" w:cs="Times New Roman" w:ascii="Times New Roman" w:hAnsi="Times New Roman"/>
          <w:sz w:val="20"/>
          <w:szCs w:val="20"/>
        </w:rPr>
        <w:t>-98-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823" w:name="HDR98"/>
      <w:bookmarkStart w:id="2824" w:name="HDR98"/>
      <w:bookmarkEnd w:id="2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825" w:name="GLHDR98"/>
        <w:bookmarkEnd w:id="282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firstLine="720"/>
        <w:jc w:val="both"/>
        <w:rPr>
          <w:rFonts w:ascii="Times New Roman" w:hAnsi="Times New Roman"/>
          <w:sz w:val="20"/>
        </w:rPr>
      </w:pPr>
      <w:r>
        <w:rPr>
          <w:rFonts w:ascii="Times New Roman" w:hAnsi="Times New Roman"/>
          <w:sz w:val="20"/>
        </w:rPr>
        <w:t>The components of income attributable to noncontrolling interests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283"/>
        <w:gridCol w:w="109"/>
        <w:gridCol w:w="127"/>
        <w:gridCol w:w="944"/>
        <w:gridCol w:w="115"/>
        <w:gridCol w:w="109"/>
        <w:gridCol w:w="127"/>
        <w:gridCol w:w="944"/>
        <w:gridCol w:w="115"/>
        <w:gridCol w:w="108"/>
        <w:gridCol w:w="127"/>
        <w:gridCol w:w="970"/>
        <w:gridCol w:w="127"/>
      </w:tblGrid>
      <w:tr>
        <w:trPr/>
        <w:tc>
          <w:tcPr>
            <w:tcW w:w="6283"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68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7" w:type="dxa"/>
            <w:tcBorders/>
            <w:shd w:fill="auto" w:val="clear"/>
            <w:vAlign w:val="bottom"/>
          </w:tcPr>
          <w:p>
            <w:pPr>
              <w:pStyle w:val="TableContents"/>
              <w:spacing w:before="0" w:after="283"/>
              <w:jc w:val="left"/>
              <w:rPr/>
            </w:pPr>
            <w:r>
              <w:rPr/>
              <w:t> </w:t>
            </w:r>
          </w:p>
        </w:tc>
      </w:tr>
      <w:tr>
        <w:trPr/>
        <w:tc>
          <w:tcPr>
            <w:tcW w:w="6283"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07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07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5"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9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7" w:type="dxa"/>
            <w:tcBorders/>
            <w:shd w:fill="auto" w:val="clear"/>
            <w:vAlign w:val="bottom"/>
          </w:tcPr>
          <w:p>
            <w:pPr>
              <w:pStyle w:val="TableContents"/>
              <w:spacing w:before="0" w:after="283"/>
              <w:jc w:val="left"/>
              <w:rPr/>
            </w:pPr>
            <w:r>
              <w:rPr/>
              <w:t> </w:t>
            </w:r>
          </w:p>
        </w:tc>
      </w:tr>
      <w:tr>
        <w:trPr/>
        <w:tc>
          <w:tcPr>
            <w:tcW w:w="628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AFC</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shd w:fill="CCEEFF" w:val="clear"/>
            <w:vAlign w:val="bottom"/>
          </w:tcPr>
          <w:p>
            <w:pPr>
              <w:pStyle w:val="TableContents"/>
              <w:spacing w:before="0" w:after="283"/>
              <w:ind w:left="184" w:right="0" w:hanging="0"/>
              <w:jc w:val="right"/>
              <w:rPr>
                <w:rFonts w:ascii="times new roman" w:hAnsi="times new roman"/>
                <w:sz w:val="20"/>
              </w:rPr>
            </w:pPr>
            <w:bookmarkStart w:id="2826" w:name="TAB11428"/>
            <w:bookmarkEnd w:id="2826"/>
            <w:r>
              <w:rPr>
                <w:rFonts w:ascii="times new roman" w:hAnsi="times new roman"/>
                <w:sz w:val="20"/>
              </w:rPr>
              <w:t>606</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shd w:fill="CCEEFF" w:val="clear"/>
            <w:vAlign w:val="bottom"/>
          </w:tcPr>
          <w:p>
            <w:pPr>
              <w:pStyle w:val="TableContents"/>
              <w:spacing w:before="0" w:after="283"/>
              <w:ind w:left="184" w:right="0" w:hanging="0"/>
              <w:jc w:val="right"/>
              <w:rPr>
                <w:rFonts w:ascii="times new roman" w:hAnsi="times new roman"/>
                <w:sz w:val="20"/>
              </w:rPr>
            </w:pPr>
            <w:bookmarkStart w:id="2827" w:name="TAB11429"/>
            <w:bookmarkEnd w:id="2827"/>
            <w:r>
              <w:rPr>
                <w:rFonts w:ascii="times new roman" w:hAnsi="times new roman"/>
                <w:sz w:val="20"/>
              </w:rPr>
              <w:t>622</w:t>
            </w:r>
          </w:p>
        </w:tc>
        <w:tc>
          <w:tcPr>
            <w:tcW w:w="115"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0" w:type="dxa"/>
            <w:tcBorders/>
            <w:shd w:fill="CCEEFF" w:val="clear"/>
            <w:vAlign w:val="bottom"/>
          </w:tcPr>
          <w:p>
            <w:pPr>
              <w:pStyle w:val="TableContents"/>
              <w:spacing w:before="0" w:after="283"/>
              <w:ind w:left="184" w:right="0" w:hanging="0"/>
              <w:jc w:val="right"/>
              <w:rPr>
                <w:rFonts w:ascii="times new roman" w:hAnsi="times new roman"/>
                <w:sz w:val="20"/>
              </w:rPr>
            </w:pPr>
            <w:bookmarkStart w:id="2828" w:name="TAB11430"/>
            <w:bookmarkEnd w:id="2828"/>
            <w:r>
              <w:rPr>
                <w:rFonts w:ascii="times new roman" w:hAnsi="times new roman"/>
                <w:sz w:val="20"/>
              </w:rPr>
              <w:t>742</w:t>
            </w:r>
          </w:p>
        </w:tc>
        <w:tc>
          <w:tcPr>
            <w:tcW w:w="127" w:type="dxa"/>
            <w:tcBorders/>
            <w:shd w:fill="CCEEFF" w:val="clear"/>
            <w:vAlign w:val="bottom"/>
          </w:tcPr>
          <w:p>
            <w:pPr>
              <w:pStyle w:val="TableContents"/>
              <w:spacing w:before="0" w:after="283"/>
              <w:jc w:val="left"/>
              <w:rPr/>
            </w:pPr>
            <w:r>
              <w:rPr/>
              <w:t> </w:t>
            </w:r>
          </w:p>
        </w:tc>
      </w:tr>
      <w:tr>
        <w:trPr/>
        <w:tc>
          <w:tcPr>
            <w:tcW w:w="628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Australian Country Cinemas</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w:t>
            </w:r>
          </w:p>
        </w:tc>
        <w:tc>
          <w:tcPr>
            <w:tcW w:w="115"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7" w:type="dxa"/>
            <w:tcBorders/>
            <w:shd w:fill="FFFFFF" w:val="clear"/>
            <w:vAlign w:val="bottom"/>
          </w:tcPr>
          <w:p>
            <w:pPr>
              <w:pStyle w:val="TableContents"/>
              <w:spacing w:before="0" w:after="283"/>
              <w:jc w:val="left"/>
              <w:rPr/>
            </w:pPr>
            <w:r>
              <w:rPr/>
              <w:t> </w:t>
            </w:r>
          </w:p>
        </w:tc>
      </w:tr>
      <w:tr>
        <w:trPr/>
        <w:tc>
          <w:tcPr>
            <w:tcW w:w="628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Elsternwick unincorporated joint venture</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15"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7" w:type="dxa"/>
            <w:tcBorders/>
            <w:shd w:fill="CCEEFF" w:val="clear"/>
            <w:vAlign w:val="bottom"/>
          </w:tcPr>
          <w:p>
            <w:pPr>
              <w:pStyle w:val="TableContents"/>
              <w:spacing w:before="0" w:after="283"/>
              <w:jc w:val="left"/>
              <w:rPr/>
            </w:pPr>
            <w:r>
              <w:rPr/>
              <w:t> </w:t>
            </w:r>
          </w:p>
        </w:tc>
      </w:tr>
      <w:tr>
        <w:trPr/>
        <w:tc>
          <w:tcPr>
            <w:tcW w:w="628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Landplan Property Partners</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9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214</w:t>
            </w:r>
          </w:p>
        </w:tc>
        <w:tc>
          <w:tcPr>
            <w:tcW w:w="127" w:type="dxa"/>
            <w:tcBorders/>
            <w:shd w:fill="FFFFFF" w:val="clear"/>
            <w:vAlign w:val="bottom"/>
          </w:tcPr>
          <w:p>
            <w:pPr>
              <w:pStyle w:val="TableContents"/>
              <w:spacing w:before="0" w:after="283"/>
              <w:jc w:val="left"/>
              <w:rPr/>
            </w:pPr>
            <w:r>
              <w:rPr/>
              <w:t> </w:t>
            </w:r>
          </w:p>
        </w:tc>
      </w:tr>
      <w:tr>
        <w:trPr/>
        <w:tc>
          <w:tcPr>
            <w:tcW w:w="6283"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Sutton Hill Properties</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83"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attributable to noncontrolling interests</w:t>
            </w:r>
          </w:p>
        </w:tc>
        <w:tc>
          <w:tcPr>
            <w:tcW w:w="109" w:type="dxa"/>
            <w:tcBorders/>
            <w:shd w:fill="FFFFFF" w:val="clear"/>
            <w:vAlign w:val="bottom"/>
          </w:tcPr>
          <w:p>
            <w:pPr>
              <w:pStyle w:val="TableContents"/>
              <w:spacing w:before="0" w:after="283"/>
              <w:jc w:val="lef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bottom w:val="double" w:sz="8" w:space="0" w:color="000000"/>
            </w:tcBorders>
            <w:shd w:fill="FFFFFF" w:val="clear"/>
            <w:tcMar>
              <w:bottom w:w="28" w:type="dxa"/>
            </w:tcMar>
            <w:vAlign w:val="bottom"/>
          </w:tcPr>
          <w:p>
            <w:pPr>
              <w:pStyle w:val="TableContents"/>
              <w:spacing w:before="0" w:after="283"/>
              <w:ind w:left="184" w:right="0" w:hanging="0"/>
              <w:jc w:val="right"/>
              <w:rPr>
                <w:rFonts w:ascii="times new roman" w:hAnsi="times new roman"/>
                <w:sz w:val="20"/>
              </w:rPr>
            </w:pPr>
            <w:bookmarkStart w:id="2829" w:name="TAB11431"/>
            <w:bookmarkEnd w:id="2829"/>
            <w:r>
              <w:rPr>
                <w:rFonts w:ascii="times new roman" w:hAnsi="times new roman"/>
                <w:sz w:val="20"/>
              </w:rPr>
              <w:t>388</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bottom w:val="double" w:sz="8" w:space="0" w:color="000000"/>
            </w:tcBorders>
            <w:shd w:fill="FFFFFF" w:val="clear"/>
            <w:tcMar>
              <w:bottom w:w="28" w:type="dxa"/>
            </w:tcMar>
            <w:vAlign w:val="bottom"/>
          </w:tcPr>
          <w:p>
            <w:pPr>
              <w:pStyle w:val="TableContents"/>
              <w:spacing w:before="0" w:after="283"/>
              <w:ind w:left="184" w:right="0" w:hanging="0"/>
              <w:jc w:val="right"/>
              <w:rPr>
                <w:rFonts w:ascii="times new roman" w:hAnsi="times new roman"/>
                <w:sz w:val="20"/>
              </w:rPr>
            </w:pPr>
            <w:bookmarkStart w:id="2830" w:name="TAB11432"/>
            <w:bookmarkEnd w:id="2830"/>
            <w:r>
              <w:rPr>
                <w:rFonts w:ascii="times new roman" w:hAnsi="times new roman"/>
                <w:sz w:val="20"/>
              </w:rPr>
              <w:t>620</w:t>
            </w:r>
          </w:p>
        </w:tc>
        <w:tc>
          <w:tcPr>
            <w:tcW w:w="115"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1,003</w:t>
            </w:r>
          </w:p>
        </w:tc>
        <w:tc>
          <w:tcPr>
            <w:tcW w:w="127"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January 1, 2009, the Company adopted the provisions of FASB ASC 810-10-65 – </w:t>
      </w:r>
      <w:r>
        <w:rPr>
          <w:rFonts w:ascii="Times New Roman" w:hAnsi="Times New Roman"/>
          <w:i/>
          <w:sz w:val="20"/>
        </w:rPr>
        <w:t xml:space="preserve">Noncontrolling Interests </w:t>
      </w:r>
      <w:r>
        <w:rPr>
          <w:rFonts w:ascii="Times New Roman" w:hAnsi="Times New Roman"/>
          <w:sz w:val="20"/>
        </w:rPr>
        <w:t>(“ASC 810-10-65”).  ASC 810-10-65 requires that amounts formerly reported as minority interests in the Company’s consolidated financial statements be reported as noncontrolling interests.  This adoption resulted in modifications to the reporting of noncontrolling interests in the Consolidated Financial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adoption of ASC 810-10-65 had an impact on the presentation and disclosure of noncontrolling (minority) interests in our consolidated financial statements.  As a result of the retrospective presentation and disclosure requirements of ASC 810-10-65, the Company is required to reflect the change in presentation and disclosure for all periods presented retrospectively.</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 summary of the effect of retrospective adjustments on controlling and noncontrolling stockholders’ equity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907"/>
        <w:gridCol w:w="106"/>
        <w:gridCol w:w="196"/>
        <w:gridCol w:w="1310"/>
        <w:gridCol w:w="121"/>
        <w:gridCol w:w="106"/>
        <w:gridCol w:w="244"/>
        <w:gridCol w:w="1352"/>
        <w:gridCol w:w="121"/>
        <w:gridCol w:w="106"/>
        <w:gridCol w:w="195"/>
        <w:gridCol w:w="1300"/>
        <w:gridCol w:w="141"/>
      </w:tblGrid>
      <w:tr>
        <w:trPr/>
        <w:tc>
          <w:tcPr>
            <w:tcW w:w="4907" w:type="dxa"/>
            <w:tcBorders>
              <w:bottom w:val="double" w:sz="8" w:space="0" w:color="000000"/>
            </w:tcBorders>
            <w:shd w:fill="auto" w:val="clear"/>
            <w:vAlign w:val="bottom"/>
          </w:tcPr>
          <w:p>
            <w:pPr>
              <w:pStyle w:val="TableContents"/>
              <w:spacing w:before="0" w:after="283"/>
              <w:rPr/>
            </w:pPr>
            <w:r>
              <w:rPr/>
              <w:t xml:space="preserve">  </w:t>
            </w:r>
          </w:p>
        </w:tc>
        <w:tc>
          <w:tcPr>
            <w:tcW w:w="106" w:type="dxa"/>
            <w:tcBorders/>
            <w:shd w:fill="auto" w:val="clear"/>
            <w:tcMar>
              <w:bottom w:w="0" w:type="dxa"/>
            </w:tcMar>
            <w:vAlign w:val="bottom"/>
          </w:tcPr>
          <w:p>
            <w:pPr>
              <w:pStyle w:val="TableContents"/>
              <w:spacing w:before="0" w:after="283"/>
              <w:rPr/>
            </w:pPr>
            <w:r>
              <w:rPr/>
              <w:t> </w:t>
            </w:r>
          </w:p>
        </w:tc>
        <w:tc>
          <w:tcPr>
            <w:tcW w:w="150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Reading International, Inc. Stockholders’ Equity</w:t>
            </w:r>
          </w:p>
        </w:tc>
        <w:tc>
          <w:tcPr>
            <w:tcW w:w="121"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59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Noncontrolling Stockholders’ Equity</w:t>
            </w:r>
          </w:p>
        </w:tc>
        <w:tc>
          <w:tcPr>
            <w:tcW w:w="121"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49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Stockholders’ Equity</w:t>
            </w:r>
          </w:p>
        </w:tc>
        <w:tc>
          <w:tcPr>
            <w:tcW w:w="141" w:type="dxa"/>
            <w:tcBorders/>
            <w:shd w:fill="auto" w:val="clear"/>
            <w:tcMar>
              <w:bottom w:w="0" w:type="dxa"/>
            </w:tcMar>
            <w:vAlign w:val="bottom"/>
          </w:tcPr>
          <w:p>
            <w:pPr>
              <w:pStyle w:val="TableContents"/>
              <w:spacing w:before="0" w:after="283"/>
              <w:jc w:val="left"/>
              <w:rPr/>
            </w:pPr>
            <w:r>
              <w:rPr/>
              <w:t> </w:t>
            </w:r>
          </w:p>
        </w:tc>
      </w:tr>
      <w:tr>
        <w:trPr/>
        <w:tc>
          <w:tcPr>
            <w:tcW w:w="4907"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Equity at – January 1, 2007</w:t>
            </w:r>
          </w:p>
        </w:tc>
        <w:tc>
          <w:tcPr>
            <w:tcW w:w="106" w:type="dxa"/>
            <w:tcBorders/>
            <w:shd w:fill="CCEEFF" w:val="clear"/>
            <w:tcMar>
              <w:bottom w:w="0" w:type="dxa"/>
            </w:tcMar>
            <w:vAlign w:val="bottom"/>
          </w:tcPr>
          <w:p>
            <w:pPr>
              <w:pStyle w:val="TableContents"/>
              <w:spacing w:before="0" w:after="283"/>
              <w:rPr/>
            </w:pPr>
            <w:r>
              <w:rPr/>
              <w:t> </w:t>
            </w:r>
          </w:p>
        </w:tc>
        <w:tc>
          <w:tcPr>
            <w:tcW w:w="196"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0" w:type="dxa"/>
            <w:tcBorders>
              <w:bottom w:val="single" w:sz="12"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831" w:name="TAB11433"/>
            <w:bookmarkEnd w:id="2831"/>
            <w:r>
              <w:rPr>
                <w:rFonts w:ascii="times new roman" w:hAnsi="times new roman"/>
                <w:sz w:val="20"/>
              </w:rPr>
              <w:t>107,659</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4"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2" w:type="dxa"/>
            <w:tcBorders>
              <w:bottom w:val="single" w:sz="12"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832" w:name="TAB11434"/>
            <w:bookmarkEnd w:id="2832"/>
            <w:r>
              <w:rPr>
                <w:rFonts w:ascii="times new roman" w:hAnsi="times new roman"/>
                <w:sz w:val="20"/>
              </w:rPr>
              <w:t>2,603</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9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0" w:type="dxa"/>
            <w:tcBorders>
              <w:bottom w:val="single" w:sz="12"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833" w:name="TAB11435"/>
            <w:bookmarkEnd w:id="2833"/>
            <w:r>
              <w:rPr>
                <w:rFonts w:ascii="times new roman" w:hAnsi="times new roman"/>
                <w:sz w:val="20"/>
              </w:rPr>
              <w:t>110,262</w:t>
            </w:r>
          </w:p>
        </w:tc>
        <w:tc>
          <w:tcPr>
            <w:tcW w:w="141" w:type="dxa"/>
            <w:tcBorders/>
            <w:shd w:fill="CCEEFF" w:val="clear"/>
            <w:tcMar>
              <w:bottom w:w="0" w:type="dxa"/>
            </w:tcMar>
            <w:vAlign w:val="bottom"/>
          </w:tcPr>
          <w:p>
            <w:pPr>
              <w:pStyle w:val="TableContents"/>
              <w:spacing w:before="0" w:after="283"/>
              <w:jc w:val="left"/>
              <w:rPr/>
            </w:pPr>
            <w:r>
              <w:rPr/>
              <w:t> </w:t>
            </w:r>
          </w:p>
        </w:tc>
      </w:tr>
      <w:tr>
        <w:trPr/>
        <w:tc>
          <w:tcPr>
            <w:tcW w:w="490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(loss)</w:t>
            </w:r>
          </w:p>
        </w:tc>
        <w:tc>
          <w:tcPr>
            <w:tcW w:w="106" w:type="dxa"/>
            <w:tcBorders/>
            <w:shd w:fill="FFFFFF" w:val="clear"/>
            <w:tcMar>
              <w:bottom w:w="0" w:type="dxa"/>
            </w:tcMar>
            <w:vAlign w:val="bottom"/>
          </w:tcPr>
          <w:p>
            <w:pPr>
              <w:pStyle w:val="TableContents"/>
              <w:spacing w:before="0" w:after="283"/>
              <w:rPr/>
            </w:pPr>
            <w:r>
              <w:rPr/>
              <w:t> </w:t>
            </w:r>
          </w:p>
        </w:tc>
        <w:tc>
          <w:tcPr>
            <w:tcW w:w="196" w:type="dxa"/>
            <w:tcBorders/>
            <w:shd w:fill="FFFFFF" w:val="clear"/>
            <w:tcMar>
              <w:bottom w:w="0" w:type="dxa"/>
            </w:tcMar>
            <w:vAlign w:val="bottom"/>
          </w:tcPr>
          <w:p>
            <w:pPr>
              <w:pStyle w:val="TableContents"/>
              <w:spacing w:before="0" w:after="283"/>
              <w:jc w:val="left"/>
              <w:rPr/>
            </w:pPr>
            <w:r>
              <w:rPr/>
              <w:t> </w:t>
            </w:r>
          </w:p>
        </w:tc>
        <w:tc>
          <w:tcPr>
            <w:tcW w:w="1310" w:type="dxa"/>
            <w:tcBorders/>
            <w:shd w:fill="FFFFFF" w:val="clear"/>
            <w:tcMar>
              <w:bottom w:w="0" w:type="dxa"/>
            </w:tcMar>
            <w:vAlign w:val="bottom"/>
          </w:tcPr>
          <w:p>
            <w:pPr>
              <w:pStyle w:val="TableContents"/>
              <w:spacing w:before="0" w:after="283"/>
              <w:ind w:left="465" w:right="0" w:hanging="0"/>
              <w:jc w:val="right"/>
              <w:rPr>
                <w:rFonts w:ascii="times new roman" w:hAnsi="times new roman"/>
                <w:sz w:val="20"/>
              </w:rPr>
            </w:pPr>
            <w:bookmarkStart w:id="2834" w:name="TAB11436"/>
            <w:bookmarkEnd w:id="2834"/>
            <w:r>
              <w:rPr>
                <w:rFonts w:ascii="times new roman" w:hAnsi="times new roman"/>
                <w:sz w:val="20"/>
              </w:rPr>
              <w:t>(2,103</w:t>
            </w:r>
          </w:p>
        </w:tc>
        <w:tc>
          <w:tcPr>
            <w:tcW w:w="12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352" w:type="dxa"/>
            <w:tcBorders/>
            <w:shd w:fill="FFFFFF" w:val="clear"/>
            <w:tcMar>
              <w:bottom w:w="0" w:type="dxa"/>
            </w:tcMar>
            <w:vAlign w:val="bottom"/>
          </w:tcPr>
          <w:p>
            <w:pPr>
              <w:pStyle w:val="TableContents"/>
              <w:spacing w:before="0" w:after="283"/>
              <w:ind w:left="544" w:right="0" w:hanging="0"/>
              <w:jc w:val="right"/>
              <w:rPr>
                <w:rFonts w:ascii="times new roman" w:hAnsi="times new roman"/>
                <w:sz w:val="20"/>
              </w:rPr>
            </w:pPr>
            <w:bookmarkStart w:id="2835" w:name="TAB11437"/>
            <w:bookmarkEnd w:id="2835"/>
            <w:r>
              <w:rPr>
                <w:rFonts w:ascii="times new roman" w:hAnsi="times new roman"/>
                <w:sz w:val="20"/>
              </w:rPr>
              <w:t>1,003</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300" w:type="dxa"/>
            <w:tcBorders/>
            <w:shd w:fill="FFFFFF" w:val="clear"/>
            <w:tcMar>
              <w:bottom w:w="0" w:type="dxa"/>
            </w:tcMar>
            <w:vAlign w:val="bottom"/>
          </w:tcPr>
          <w:p>
            <w:pPr>
              <w:pStyle w:val="TableContents"/>
              <w:spacing w:before="0" w:after="283"/>
              <w:ind w:left="495" w:right="0" w:hanging="0"/>
              <w:jc w:val="right"/>
              <w:rPr>
                <w:rFonts w:ascii="times new roman" w:hAnsi="times new roman"/>
                <w:sz w:val="20"/>
              </w:rPr>
            </w:pPr>
            <w:bookmarkStart w:id="2836" w:name="TAB11438"/>
            <w:bookmarkEnd w:id="2836"/>
            <w:r>
              <w:rPr>
                <w:rFonts w:ascii="times new roman" w:hAnsi="times new roman"/>
                <w:sz w:val="20"/>
              </w:rPr>
              <w:t>(1,100</w:t>
            </w:r>
          </w:p>
        </w:tc>
        <w:tc>
          <w:tcPr>
            <w:tcW w:w="14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Increase in additional paid in capital</w:t>
            </w:r>
          </w:p>
        </w:tc>
        <w:tc>
          <w:tcPr>
            <w:tcW w:w="106" w:type="dxa"/>
            <w:tcBorders/>
            <w:shd w:fill="CCEEFF" w:val="clear"/>
            <w:tcMar>
              <w:bottom w:w="0" w:type="dxa"/>
            </w:tcMar>
            <w:vAlign w:val="bottom"/>
          </w:tcPr>
          <w:p>
            <w:pPr>
              <w:pStyle w:val="TableContents"/>
              <w:spacing w:before="0" w:after="283"/>
              <w:rPr/>
            </w:pPr>
            <w:r>
              <w:rPr/>
              <w:t> </w:t>
            </w:r>
          </w:p>
        </w:tc>
        <w:tc>
          <w:tcPr>
            <w:tcW w:w="196" w:type="dxa"/>
            <w:tcBorders/>
            <w:shd w:fill="CCEEFF" w:val="clear"/>
            <w:tcMar>
              <w:bottom w:w="0" w:type="dxa"/>
            </w:tcMar>
            <w:vAlign w:val="bottom"/>
          </w:tcPr>
          <w:p>
            <w:pPr>
              <w:pStyle w:val="TableContents"/>
              <w:spacing w:before="0" w:after="283"/>
              <w:jc w:val="left"/>
              <w:rPr/>
            </w:pPr>
            <w:r>
              <w:rPr/>
              <w:t> </w:t>
            </w:r>
          </w:p>
        </w:tc>
        <w:tc>
          <w:tcPr>
            <w:tcW w:w="1310" w:type="dxa"/>
            <w:tcBorders/>
            <w:shd w:fill="CCEEFF" w:val="clear"/>
            <w:tcMar>
              <w:bottom w:w="0" w:type="dxa"/>
            </w:tcMar>
            <w:vAlign w:val="bottom"/>
          </w:tcPr>
          <w:p>
            <w:pPr>
              <w:pStyle w:val="TableContents"/>
              <w:spacing w:before="0" w:after="283"/>
              <w:ind w:left="643" w:right="0" w:hanging="0"/>
              <w:jc w:val="right"/>
              <w:rPr>
                <w:rFonts w:ascii="times new roman" w:hAnsi="times new roman"/>
                <w:sz w:val="20"/>
              </w:rPr>
            </w:pPr>
            <w:bookmarkStart w:id="2837" w:name="TAB11439"/>
            <w:bookmarkEnd w:id="2837"/>
            <w:r>
              <w:rPr>
                <w:rFonts w:ascii="times new roman" w:hAnsi="times new roman"/>
                <w:sz w:val="20"/>
              </w:rPr>
              <w:t>3,531</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1352" w:type="dxa"/>
            <w:tcBorders/>
            <w:shd w:fill="CCEEFF" w:val="clear"/>
            <w:tcMar>
              <w:bottom w:w="0" w:type="dxa"/>
            </w:tcMar>
            <w:vAlign w:val="bottom"/>
          </w:tcPr>
          <w:p>
            <w:pPr>
              <w:pStyle w:val="TableContents"/>
              <w:spacing w:before="0" w:after="283"/>
              <w:ind w:left="544" w:right="0" w:hanging="0"/>
              <w:jc w:val="right"/>
              <w:rPr>
                <w:rFonts w:ascii="times new roman" w:hAnsi="times new roman"/>
                <w:sz w:val="20"/>
              </w:rPr>
            </w:pPr>
            <w:bookmarkStart w:id="2838" w:name="TAB11440"/>
            <w:bookmarkEnd w:id="2838"/>
            <w:r>
              <w:rPr>
                <w:rFonts w:ascii="times new roman" w:hAnsi="times new roman"/>
                <w:sz w:val="20"/>
              </w:rPr>
              <w:t>3,050</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jc w:val="left"/>
              <w:rPr/>
            </w:pPr>
            <w:r>
              <w:rPr/>
              <w:t> </w:t>
            </w:r>
          </w:p>
        </w:tc>
        <w:tc>
          <w:tcPr>
            <w:tcW w:w="1300" w:type="dxa"/>
            <w:tcBorders/>
            <w:shd w:fill="CCEEFF" w:val="clear"/>
            <w:tcMar>
              <w:bottom w:w="0" w:type="dxa"/>
            </w:tcMar>
            <w:vAlign w:val="bottom"/>
          </w:tcPr>
          <w:p>
            <w:pPr>
              <w:pStyle w:val="TableContents"/>
              <w:spacing w:before="0" w:after="283"/>
              <w:ind w:left="673" w:right="0" w:hanging="0"/>
              <w:jc w:val="right"/>
              <w:rPr>
                <w:rFonts w:ascii="times new roman" w:hAnsi="times new roman"/>
                <w:sz w:val="20"/>
              </w:rPr>
            </w:pPr>
            <w:bookmarkStart w:id="2839" w:name="TAB11441"/>
            <w:bookmarkEnd w:id="2839"/>
            <w:r>
              <w:rPr>
                <w:rFonts w:ascii="times new roman" w:hAnsi="times new roman"/>
                <w:sz w:val="20"/>
              </w:rPr>
              <w:t>6,581</w:t>
            </w:r>
          </w:p>
        </w:tc>
        <w:tc>
          <w:tcPr>
            <w:tcW w:w="141" w:type="dxa"/>
            <w:tcBorders/>
            <w:shd w:fill="CCEEFF" w:val="clear"/>
            <w:tcMar>
              <w:bottom w:w="0" w:type="dxa"/>
            </w:tcMar>
            <w:vAlign w:val="bottom"/>
          </w:tcPr>
          <w:p>
            <w:pPr>
              <w:pStyle w:val="TableContents"/>
              <w:spacing w:before="0" w:after="283"/>
              <w:jc w:val="left"/>
              <w:rPr/>
            </w:pPr>
            <w:r>
              <w:rPr/>
              <w:t> </w:t>
            </w:r>
          </w:p>
        </w:tc>
      </w:tr>
      <w:tr>
        <w:trPr/>
        <w:tc>
          <w:tcPr>
            <w:tcW w:w="490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Distributions to noncontrolling stockholders</w:t>
            </w:r>
          </w:p>
        </w:tc>
        <w:tc>
          <w:tcPr>
            <w:tcW w:w="106" w:type="dxa"/>
            <w:tcBorders/>
            <w:shd w:fill="FFFFFF" w:val="clear"/>
            <w:tcMar>
              <w:bottom w:w="0" w:type="dxa"/>
            </w:tcMar>
            <w:vAlign w:val="bottom"/>
          </w:tcPr>
          <w:p>
            <w:pPr>
              <w:pStyle w:val="TableContents"/>
              <w:spacing w:before="0" w:after="283"/>
              <w:rPr/>
            </w:pPr>
            <w:r>
              <w:rPr/>
              <w:t> </w:t>
            </w:r>
          </w:p>
        </w:tc>
        <w:tc>
          <w:tcPr>
            <w:tcW w:w="196" w:type="dxa"/>
            <w:tcBorders/>
            <w:shd w:fill="FFFFFF" w:val="clear"/>
            <w:tcMar>
              <w:bottom w:w="0" w:type="dxa"/>
            </w:tcMar>
            <w:vAlign w:val="bottom"/>
          </w:tcPr>
          <w:p>
            <w:pPr>
              <w:pStyle w:val="TableContents"/>
              <w:spacing w:before="0" w:after="283"/>
              <w:jc w:val="left"/>
              <w:rPr/>
            </w:pPr>
            <w:r>
              <w:rPr/>
              <w:t> </w:t>
            </w:r>
          </w:p>
        </w:tc>
        <w:tc>
          <w:tcPr>
            <w:tcW w:w="1310" w:type="dxa"/>
            <w:tcBorders/>
            <w:shd w:fill="FFFFFF" w:val="clear"/>
            <w:tcMar>
              <w:bottom w:w="0" w:type="dxa"/>
            </w:tcMar>
            <w:vAlign w:val="bottom"/>
          </w:tcPr>
          <w:p>
            <w:pPr>
              <w:pStyle w:val="TableContents"/>
              <w:spacing w:before="0" w:after="283"/>
              <w:ind w:left="1065" w:right="0" w:hanging="0"/>
              <w:jc w:val="right"/>
              <w:rPr>
                <w:rFonts w:ascii="times new roman" w:hAnsi="times new roman"/>
                <w:sz w:val="20"/>
              </w:rPr>
            </w:pPr>
            <w:bookmarkStart w:id="2840" w:name="TAB11442"/>
            <w:bookmarkEnd w:id="2840"/>
            <w:r>
              <w:rPr>
                <w:rFonts w:ascii="times new roman" w:hAnsi="times new roman"/>
                <w:sz w:val="20"/>
              </w:rPr>
              <w:t>--</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352" w:type="dxa"/>
            <w:tcBorders/>
            <w:shd w:fill="FFFFFF" w:val="clear"/>
            <w:tcMar>
              <w:bottom w:w="0" w:type="dxa"/>
            </w:tcMar>
            <w:vAlign w:val="bottom"/>
          </w:tcPr>
          <w:p>
            <w:pPr>
              <w:pStyle w:val="TableContents"/>
              <w:spacing w:before="0" w:after="283"/>
              <w:ind w:left="366" w:right="0" w:hanging="0"/>
              <w:jc w:val="right"/>
              <w:rPr>
                <w:rFonts w:ascii="times new roman" w:hAnsi="times new roman"/>
                <w:sz w:val="20"/>
              </w:rPr>
            </w:pPr>
            <w:bookmarkStart w:id="2841" w:name="TAB11443"/>
            <w:bookmarkEnd w:id="2841"/>
            <w:r>
              <w:rPr>
                <w:rFonts w:ascii="times new roman" w:hAnsi="times new roman"/>
                <w:sz w:val="20"/>
              </w:rPr>
              <w:t>(3,870</w:t>
            </w:r>
          </w:p>
        </w:tc>
        <w:tc>
          <w:tcPr>
            <w:tcW w:w="12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300" w:type="dxa"/>
            <w:tcBorders/>
            <w:shd w:fill="FFFFFF" w:val="clear"/>
            <w:tcMar>
              <w:bottom w:w="0" w:type="dxa"/>
            </w:tcMar>
            <w:vAlign w:val="bottom"/>
          </w:tcPr>
          <w:p>
            <w:pPr>
              <w:pStyle w:val="TableContents"/>
              <w:spacing w:before="0" w:after="283"/>
              <w:ind w:left="495" w:right="0" w:hanging="0"/>
              <w:jc w:val="right"/>
              <w:rPr>
                <w:rFonts w:ascii="times new roman" w:hAnsi="times new roman"/>
                <w:sz w:val="20"/>
              </w:rPr>
            </w:pPr>
            <w:bookmarkStart w:id="2842" w:name="TAB11444"/>
            <w:bookmarkEnd w:id="2842"/>
            <w:r>
              <w:rPr>
                <w:rFonts w:ascii="times new roman" w:hAnsi="times new roman"/>
                <w:sz w:val="20"/>
              </w:rPr>
              <w:t>(3,870</w:t>
            </w:r>
          </w:p>
        </w:tc>
        <w:tc>
          <w:tcPr>
            <w:tcW w:w="14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7" w:type="dxa"/>
            <w:tcBorders/>
            <w:shd w:fill="CCEEFF" w:val="clear"/>
            <w:tcMar>
              <w:bottom w:w="0" w:type="dxa"/>
            </w:tcMar>
            <w:vAlign w:val="bottom"/>
          </w:tcPr>
          <w:p>
            <w:pPr>
              <w:pStyle w:val="TableContents"/>
              <w:spacing w:before="0" w:after="0"/>
              <w:ind w:left="360" w:right="0" w:hanging="360"/>
              <w:jc w:val="both"/>
              <w:rPr>
                <w:rFonts w:ascii="times new roman" w:hAnsi="times new roman"/>
                <w:sz w:val="20"/>
              </w:rPr>
            </w:pPr>
            <w:r>
              <w:rPr>
                <w:rFonts w:ascii="times new roman" w:hAnsi="times new roman"/>
                <w:sz w:val="20"/>
              </w:rPr>
              <w:t>Adjustment to accumulated deficit for adoption of ASC 740-10-25</w:t>
            </w:r>
          </w:p>
        </w:tc>
        <w:tc>
          <w:tcPr>
            <w:tcW w:w="106" w:type="dxa"/>
            <w:tcBorders/>
            <w:shd w:fill="CCEEFF" w:val="clear"/>
            <w:tcMar>
              <w:bottom w:w="0" w:type="dxa"/>
            </w:tcMar>
            <w:vAlign w:val="bottom"/>
          </w:tcPr>
          <w:p>
            <w:pPr>
              <w:pStyle w:val="TableContents"/>
              <w:spacing w:before="0" w:after="283"/>
              <w:rPr/>
            </w:pPr>
            <w:r>
              <w:rPr/>
              <w:t> </w:t>
            </w:r>
          </w:p>
        </w:tc>
        <w:tc>
          <w:tcPr>
            <w:tcW w:w="196" w:type="dxa"/>
            <w:tcBorders/>
            <w:shd w:fill="CCEEFF" w:val="clear"/>
            <w:tcMar>
              <w:bottom w:w="0" w:type="dxa"/>
            </w:tcMar>
            <w:vAlign w:val="bottom"/>
          </w:tcPr>
          <w:p>
            <w:pPr>
              <w:pStyle w:val="TableContents"/>
              <w:spacing w:before="0" w:after="283"/>
              <w:jc w:val="left"/>
              <w:rPr/>
            </w:pPr>
            <w:r>
              <w:rPr/>
              <w:t> </w:t>
            </w:r>
          </w:p>
        </w:tc>
        <w:tc>
          <w:tcPr>
            <w:tcW w:w="1310" w:type="dxa"/>
            <w:tcBorders/>
            <w:shd w:fill="CCEEFF" w:val="clear"/>
            <w:tcMar>
              <w:bottom w:w="0" w:type="dxa"/>
            </w:tcMar>
            <w:vAlign w:val="bottom"/>
          </w:tcPr>
          <w:p>
            <w:pPr>
              <w:pStyle w:val="TableContents"/>
              <w:spacing w:before="0" w:after="283"/>
              <w:ind w:left="665" w:right="0" w:hanging="0"/>
              <w:jc w:val="right"/>
              <w:rPr>
                <w:rFonts w:ascii="times new roman" w:hAnsi="times new roman"/>
                <w:sz w:val="20"/>
              </w:rPr>
            </w:pPr>
            <w:bookmarkStart w:id="2843" w:name="TAB11445"/>
            <w:bookmarkEnd w:id="2843"/>
            <w:r>
              <w:rPr>
                <w:rFonts w:ascii="times new roman" w:hAnsi="times new roman"/>
                <w:sz w:val="20"/>
              </w:rPr>
              <w:t>(509</w:t>
            </w:r>
          </w:p>
        </w:tc>
        <w:tc>
          <w:tcPr>
            <w:tcW w:w="12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1352" w:type="dxa"/>
            <w:tcBorders/>
            <w:shd w:fill="CCEEFF" w:val="clear"/>
            <w:tcMar>
              <w:bottom w:w="0" w:type="dxa"/>
            </w:tcMar>
            <w:vAlign w:val="bottom"/>
          </w:tcPr>
          <w:p>
            <w:pPr>
              <w:pStyle w:val="TableContents"/>
              <w:spacing w:before="0" w:after="283"/>
              <w:ind w:left="966" w:right="0" w:hanging="0"/>
              <w:jc w:val="right"/>
              <w:rPr>
                <w:rFonts w:ascii="times new roman" w:hAnsi="times new roman"/>
                <w:sz w:val="20"/>
              </w:rPr>
            </w:pPr>
            <w:bookmarkStart w:id="2844" w:name="TAB11446"/>
            <w:bookmarkEnd w:id="2844"/>
            <w:r>
              <w:rPr>
                <w:rFonts w:ascii="times new roman" w:hAnsi="times new roman"/>
                <w:sz w:val="20"/>
              </w:rPr>
              <w:t>--</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jc w:val="left"/>
              <w:rPr/>
            </w:pPr>
            <w:r>
              <w:rPr/>
              <w:t> </w:t>
            </w:r>
          </w:p>
        </w:tc>
        <w:tc>
          <w:tcPr>
            <w:tcW w:w="1300" w:type="dxa"/>
            <w:tcBorders/>
            <w:shd w:fill="CCEEFF" w:val="clear"/>
            <w:tcMar>
              <w:bottom w:w="0" w:type="dxa"/>
            </w:tcMar>
            <w:vAlign w:val="bottom"/>
          </w:tcPr>
          <w:p>
            <w:pPr>
              <w:pStyle w:val="TableContents"/>
              <w:spacing w:before="0" w:after="283"/>
              <w:ind w:left="695" w:right="0" w:hanging="0"/>
              <w:jc w:val="right"/>
              <w:rPr>
                <w:rFonts w:ascii="times new roman" w:hAnsi="times new roman"/>
                <w:sz w:val="20"/>
              </w:rPr>
            </w:pPr>
            <w:bookmarkStart w:id="2845" w:name="TAB11447"/>
            <w:bookmarkEnd w:id="2845"/>
            <w:r>
              <w:rPr>
                <w:rFonts w:ascii="times new roman" w:hAnsi="times new roman"/>
                <w:sz w:val="20"/>
              </w:rPr>
              <w:t>(509</w:t>
            </w:r>
          </w:p>
        </w:tc>
        <w:tc>
          <w:tcPr>
            <w:tcW w:w="14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7"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Accumulated other comprehensive income</w:t>
            </w:r>
          </w:p>
        </w:tc>
        <w:tc>
          <w:tcPr>
            <w:tcW w:w="106" w:type="dxa"/>
            <w:tcBorders/>
            <w:shd w:fill="FFFFFF" w:val="clear"/>
            <w:tcMar>
              <w:bottom w:w="0" w:type="dxa"/>
            </w:tcMar>
            <w:vAlign w:val="bottom"/>
          </w:tcPr>
          <w:p>
            <w:pPr>
              <w:pStyle w:val="TableContents"/>
              <w:spacing w:before="0" w:after="283"/>
              <w:rPr/>
            </w:pPr>
            <w:r>
              <w:rPr/>
              <w:t> </w:t>
            </w:r>
          </w:p>
        </w:tc>
        <w:tc>
          <w:tcPr>
            <w:tcW w:w="196" w:type="dxa"/>
            <w:tcBorders>
              <w:bottom w:val="single" w:sz="12" w:space="0" w:color="000000"/>
            </w:tcBorders>
            <w:shd w:fill="FFFFFF" w:val="clear"/>
            <w:vAlign w:val="bottom"/>
          </w:tcPr>
          <w:p>
            <w:pPr>
              <w:pStyle w:val="TableContents"/>
              <w:spacing w:before="0" w:after="283"/>
              <w:jc w:val="left"/>
              <w:rPr/>
            </w:pPr>
            <w:r>
              <w:rPr/>
              <w:t> </w:t>
            </w:r>
          </w:p>
        </w:tc>
        <w:tc>
          <w:tcPr>
            <w:tcW w:w="1310" w:type="dxa"/>
            <w:tcBorders>
              <w:bottom w:val="single" w:sz="12" w:space="0" w:color="000000"/>
            </w:tcBorders>
            <w:shd w:fill="FFFFFF" w:val="clear"/>
            <w:vAlign w:val="bottom"/>
          </w:tcPr>
          <w:p>
            <w:pPr>
              <w:pStyle w:val="TableContents"/>
              <w:spacing w:before="0" w:after="283"/>
              <w:ind w:left="509" w:right="0" w:hanging="0"/>
              <w:jc w:val="right"/>
              <w:rPr>
                <w:rFonts w:ascii="times new roman" w:hAnsi="times new roman"/>
                <w:sz w:val="20"/>
              </w:rPr>
            </w:pPr>
            <w:bookmarkStart w:id="2846" w:name="TAB11448"/>
            <w:bookmarkEnd w:id="2846"/>
            <w:r>
              <w:rPr>
                <w:rFonts w:ascii="times new roman" w:hAnsi="times new roman"/>
                <w:sz w:val="20"/>
              </w:rPr>
              <w:t>12,784</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244" w:type="dxa"/>
            <w:tcBorders>
              <w:bottom w:val="single" w:sz="12" w:space="0" w:color="000000"/>
            </w:tcBorders>
            <w:shd w:fill="FFFFFF" w:val="clear"/>
            <w:vAlign w:val="bottom"/>
          </w:tcPr>
          <w:p>
            <w:pPr>
              <w:pStyle w:val="TableContents"/>
              <w:spacing w:before="0" w:after="283"/>
              <w:jc w:val="left"/>
              <w:rPr/>
            </w:pPr>
            <w:r>
              <w:rPr/>
              <w:t> </w:t>
            </w:r>
          </w:p>
        </w:tc>
        <w:tc>
          <w:tcPr>
            <w:tcW w:w="1352" w:type="dxa"/>
            <w:tcBorders>
              <w:bottom w:val="single" w:sz="12" w:space="0" w:color="000000"/>
            </w:tcBorders>
            <w:shd w:fill="FFFFFF" w:val="clear"/>
            <w:vAlign w:val="bottom"/>
          </w:tcPr>
          <w:p>
            <w:pPr>
              <w:pStyle w:val="TableContents"/>
              <w:spacing w:before="0" w:after="283"/>
              <w:ind w:left="877" w:right="0" w:hanging="0"/>
              <w:jc w:val="right"/>
              <w:rPr>
                <w:rFonts w:ascii="times new roman" w:hAnsi="times new roman"/>
                <w:sz w:val="20"/>
              </w:rPr>
            </w:pPr>
            <w:bookmarkStart w:id="2847" w:name="TAB11449"/>
            <w:bookmarkEnd w:id="2847"/>
            <w:r>
              <w:rPr>
                <w:rFonts w:ascii="times new roman" w:hAnsi="times new roman"/>
                <w:sz w:val="20"/>
              </w:rPr>
              <w:t>49</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95" w:type="dxa"/>
            <w:tcBorders>
              <w:bottom w:val="single" w:sz="12" w:space="0" w:color="000000"/>
            </w:tcBorders>
            <w:shd w:fill="FFFFFF" w:val="clear"/>
            <w:vAlign w:val="bottom"/>
          </w:tcPr>
          <w:p>
            <w:pPr>
              <w:pStyle w:val="TableContents"/>
              <w:spacing w:before="0" w:after="283"/>
              <w:jc w:val="left"/>
              <w:rPr/>
            </w:pPr>
            <w:r>
              <w:rPr/>
              <w:t> </w:t>
            </w:r>
          </w:p>
        </w:tc>
        <w:tc>
          <w:tcPr>
            <w:tcW w:w="1300" w:type="dxa"/>
            <w:tcBorders>
              <w:bottom w:val="single" w:sz="12" w:space="0" w:color="000000"/>
            </w:tcBorders>
            <w:shd w:fill="FFFFFF" w:val="clear"/>
            <w:vAlign w:val="bottom"/>
          </w:tcPr>
          <w:p>
            <w:pPr>
              <w:pStyle w:val="TableContents"/>
              <w:spacing w:before="0" w:after="283"/>
              <w:ind w:left="539" w:right="0" w:hanging="0"/>
              <w:jc w:val="right"/>
              <w:rPr>
                <w:rFonts w:ascii="times new roman" w:hAnsi="times new roman"/>
                <w:sz w:val="20"/>
              </w:rPr>
            </w:pPr>
            <w:bookmarkStart w:id="2848" w:name="TAB11450"/>
            <w:bookmarkEnd w:id="2848"/>
            <w:r>
              <w:rPr>
                <w:rFonts w:ascii="times new roman" w:hAnsi="times new roman"/>
                <w:sz w:val="20"/>
              </w:rPr>
              <w:t>12,833</w:t>
            </w:r>
          </w:p>
        </w:tc>
        <w:tc>
          <w:tcPr>
            <w:tcW w:w="141" w:type="dxa"/>
            <w:tcBorders/>
            <w:shd w:fill="FFFFFF" w:val="clear"/>
            <w:tcMar>
              <w:bottom w:w="0" w:type="dxa"/>
            </w:tcMar>
            <w:vAlign w:val="bottom"/>
          </w:tcPr>
          <w:p>
            <w:pPr>
              <w:pStyle w:val="TableContents"/>
              <w:spacing w:before="0" w:after="283"/>
              <w:jc w:val="left"/>
              <w:rPr/>
            </w:pPr>
            <w:r>
              <w:rPr/>
              <w:t> </w:t>
            </w:r>
          </w:p>
        </w:tc>
      </w:tr>
      <w:tr>
        <w:trPr/>
        <w:tc>
          <w:tcPr>
            <w:tcW w:w="4907"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Equity at – December 31, 2007</w:t>
            </w:r>
          </w:p>
        </w:tc>
        <w:tc>
          <w:tcPr>
            <w:tcW w:w="106" w:type="dxa"/>
            <w:tcBorders/>
            <w:shd w:fill="CCEEFF" w:val="clear"/>
            <w:tcMar>
              <w:bottom w:w="0" w:type="dxa"/>
            </w:tcMar>
            <w:vAlign w:val="bottom"/>
          </w:tcPr>
          <w:p>
            <w:pPr>
              <w:pStyle w:val="TableContents"/>
              <w:spacing w:before="0" w:after="283"/>
              <w:rPr/>
            </w:pPr>
            <w:r>
              <w:rPr/>
              <w:t> </w:t>
            </w:r>
          </w:p>
        </w:tc>
        <w:tc>
          <w:tcPr>
            <w:tcW w:w="196"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0" w:type="dxa"/>
            <w:tcBorders>
              <w:bottom w:val="single" w:sz="12"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849" w:name="TAB11451"/>
            <w:bookmarkEnd w:id="2849"/>
            <w:r>
              <w:rPr>
                <w:rFonts w:ascii="times new roman" w:hAnsi="times new roman"/>
                <w:sz w:val="20"/>
              </w:rPr>
              <w:t>121,362</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4"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2" w:type="dxa"/>
            <w:tcBorders>
              <w:bottom w:val="single" w:sz="12"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850" w:name="TAB11452"/>
            <w:bookmarkEnd w:id="2850"/>
            <w:r>
              <w:rPr>
                <w:rFonts w:ascii="times new roman" w:hAnsi="times new roman"/>
                <w:sz w:val="20"/>
              </w:rPr>
              <w:t>2,835</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9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0" w:type="dxa"/>
            <w:tcBorders>
              <w:bottom w:val="single" w:sz="12"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851" w:name="TAB11453"/>
            <w:bookmarkEnd w:id="2851"/>
            <w:r>
              <w:rPr>
                <w:rFonts w:ascii="times new roman" w:hAnsi="times new roman"/>
                <w:sz w:val="20"/>
              </w:rPr>
              <w:t>124,197</w:t>
            </w:r>
          </w:p>
        </w:tc>
        <w:tc>
          <w:tcPr>
            <w:tcW w:w="141" w:type="dxa"/>
            <w:tcBorders/>
            <w:shd w:fill="CCEEFF" w:val="clear"/>
            <w:tcMar>
              <w:bottom w:w="0" w:type="dxa"/>
            </w:tcMar>
            <w:vAlign w:val="bottom"/>
          </w:tcPr>
          <w:p>
            <w:pPr>
              <w:pStyle w:val="TableContents"/>
              <w:spacing w:before="0" w:after="283"/>
              <w:jc w:val="left"/>
              <w:rPr/>
            </w:pPr>
            <w:r>
              <w:rPr/>
              <w:t> </w:t>
            </w:r>
          </w:p>
        </w:tc>
      </w:tr>
      <w:tr>
        <w:trPr/>
        <w:tc>
          <w:tcPr>
            <w:tcW w:w="490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(loss)</w:t>
            </w:r>
          </w:p>
        </w:tc>
        <w:tc>
          <w:tcPr>
            <w:tcW w:w="106" w:type="dxa"/>
            <w:tcBorders/>
            <w:shd w:fill="FFFFFF" w:val="clear"/>
            <w:tcMar>
              <w:bottom w:w="0" w:type="dxa"/>
            </w:tcMar>
            <w:vAlign w:val="bottom"/>
          </w:tcPr>
          <w:p>
            <w:pPr>
              <w:pStyle w:val="TableContents"/>
              <w:spacing w:before="0" w:after="283"/>
              <w:rPr/>
            </w:pPr>
            <w:r>
              <w:rPr/>
              <w:t> </w:t>
            </w:r>
          </w:p>
        </w:tc>
        <w:tc>
          <w:tcPr>
            <w:tcW w:w="196" w:type="dxa"/>
            <w:tcBorders/>
            <w:shd w:fill="FFFFFF" w:val="clear"/>
            <w:tcMar>
              <w:bottom w:w="0" w:type="dxa"/>
            </w:tcMar>
            <w:vAlign w:val="bottom"/>
          </w:tcPr>
          <w:p>
            <w:pPr>
              <w:pStyle w:val="TableContents"/>
              <w:spacing w:before="0" w:after="283"/>
              <w:jc w:val="left"/>
              <w:rPr/>
            </w:pPr>
            <w:r>
              <w:rPr/>
              <w:t> </w:t>
            </w:r>
          </w:p>
        </w:tc>
        <w:tc>
          <w:tcPr>
            <w:tcW w:w="131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(16,809</w:t>
            </w:r>
          </w:p>
        </w:tc>
        <w:tc>
          <w:tcPr>
            <w:tcW w:w="12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3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30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(16,189</w:t>
            </w:r>
          </w:p>
        </w:tc>
        <w:tc>
          <w:tcPr>
            <w:tcW w:w="14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Increase in additional paid in capital</w:t>
            </w:r>
          </w:p>
        </w:tc>
        <w:tc>
          <w:tcPr>
            <w:tcW w:w="106" w:type="dxa"/>
            <w:tcBorders/>
            <w:shd w:fill="CCEEFF" w:val="clear"/>
            <w:tcMar>
              <w:bottom w:w="0" w:type="dxa"/>
            </w:tcMar>
            <w:vAlign w:val="bottom"/>
          </w:tcPr>
          <w:p>
            <w:pPr>
              <w:pStyle w:val="TableContents"/>
              <w:spacing w:before="0" w:after="283"/>
              <w:rPr/>
            </w:pPr>
            <w:r>
              <w:rPr/>
              <w:t> </w:t>
            </w:r>
          </w:p>
        </w:tc>
        <w:tc>
          <w:tcPr>
            <w:tcW w:w="196" w:type="dxa"/>
            <w:tcBorders/>
            <w:shd w:fill="CCEEFF" w:val="clear"/>
            <w:tcMar>
              <w:bottom w:w="0" w:type="dxa"/>
            </w:tcMar>
            <w:vAlign w:val="bottom"/>
          </w:tcPr>
          <w:p>
            <w:pPr>
              <w:pStyle w:val="TableContents"/>
              <w:spacing w:before="0" w:after="283"/>
              <w:jc w:val="left"/>
              <w:rPr/>
            </w:pPr>
            <w:r>
              <w:rPr/>
              <w:t> </w:t>
            </w:r>
          </w:p>
        </w:tc>
        <w:tc>
          <w:tcPr>
            <w:tcW w:w="131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1,976</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13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jc w:val="left"/>
              <w:rPr/>
            </w:pPr>
            <w:r>
              <w:rPr/>
              <w:t> </w:t>
            </w:r>
          </w:p>
        </w:tc>
        <w:tc>
          <w:tcPr>
            <w:tcW w:w="130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1,976</w:t>
            </w:r>
          </w:p>
        </w:tc>
        <w:tc>
          <w:tcPr>
            <w:tcW w:w="141" w:type="dxa"/>
            <w:tcBorders/>
            <w:shd w:fill="CCEEFF" w:val="clear"/>
            <w:tcMar>
              <w:bottom w:w="0" w:type="dxa"/>
            </w:tcMar>
            <w:vAlign w:val="bottom"/>
          </w:tcPr>
          <w:p>
            <w:pPr>
              <w:pStyle w:val="TableContents"/>
              <w:spacing w:before="0" w:after="283"/>
              <w:jc w:val="left"/>
              <w:rPr/>
            </w:pPr>
            <w:r>
              <w:rPr/>
              <w:t> </w:t>
            </w:r>
          </w:p>
        </w:tc>
      </w:tr>
      <w:tr>
        <w:trPr/>
        <w:tc>
          <w:tcPr>
            <w:tcW w:w="490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Distributions to noncontrolling stockholders</w:t>
            </w:r>
          </w:p>
        </w:tc>
        <w:tc>
          <w:tcPr>
            <w:tcW w:w="106" w:type="dxa"/>
            <w:tcBorders/>
            <w:shd w:fill="FFFFFF" w:val="clear"/>
            <w:tcMar>
              <w:bottom w:w="0" w:type="dxa"/>
            </w:tcMar>
            <w:vAlign w:val="bottom"/>
          </w:tcPr>
          <w:p>
            <w:pPr>
              <w:pStyle w:val="TableContents"/>
              <w:spacing w:before="0" w:after="283"/>
              <w:rPr/>
            </w:pPr>
            <w:r>
              <w:rPr/>
              <w:t> </w:t>
            </w:r>
          </w:p>
        </w:tc>
        <w:tc>
          <w:tcPr>
            <w:tcW w:w="196" w:type="dxa"/>
            <w:tcBorders/>
            <w:shd w:fill="FFFFFF" w:val="clear"/>
            <w:tcMar>
              <w:bottom w:w="0" w:type="dxa"/>
            </w:tcMar>
            <w:vAlign w:val="bottom"/>
          </w:tcPr>
          <w:p>
            <w:pPr>
              <w:pStyle w:val="TableContents"/>
              <w:spacing w:before="0" w:after="283"/>
              <w:jc w:val="left"/>
              <w:rPr/>
            </w:pPr>
            <w:r>
              <w:rPr/>
              <w:t> </w:t>
            </w:r>
          </w:p>
        </w:tc>
        <w:tc>
          <w:tcPr>
            <w:tcW w:w="131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3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(1,585</w:t>
            </w:r>
          </w:p>
        </w:tc>
        <w:tc>
          <w:tcPr>
            <w:tcW w:w="12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30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(1,585</w:t>
            </w:r>
          </w:p>
        </w:tc>
        <w:tc>
          <w:tcPr>
            <w:tcW w:w="14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7"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Accumulated other comprehensive income</w:t>
            </w:r>
          </w:p>
        </w:tc>
        <w:tc>
          <w:tcPr>
            <w:tcW w:w="106" w:type="dxa"/>
            <w:tcBorders/>
            <w:shd w:fill="CCEEFF" w:val="clear"/>
            <w:tcMar>
              <w:bottom w:w="0" w:type="dxa"/>
            </w:tcMar>
            <w:vAlign w:val="bottom"/>
          </w:tcPr>
          <w:p>
            <w:pPr>
              <w:pStyle w:val="TableContents"/>
              <w:spacing w:before="0" w:after="283"/>
              <w:rPr/>
            </w:pPr>
            <w:r>
              <w:rPr/>
              <w:t> </w:t>
            </w:r>
          </w:p>
        </w:tc>
        <w:tc>
          <w:tcPr>
            <w:tcW w:w="196" w:type="dxa"/>
            <w:tcBorders>
              <w:bottom w:val="single" w:sz="12" w:space="0" w:color="000000"/>
            </w:tcBorders>
            <w:shd w:fill="CCEEFF" w:val="clear"/>
            <w:vAlign w:val="bottom"/>
          </w:tcPr>
          <w:p>
            <w:pPr>
              <w:pStyle w:val="TableContents"/>
              <w:spacing w:before="0" w:after="283"/>
              <w:jc w:val="left"/>
              <w:rPr/>
            </w:pPr>
            <w:r>
              <w:rPr/>
              <w:t> </w:t>
            </w:r>
          </w:p>
        </w:tc>
        <w:tc>
          <w:tcPr>
            <w:tcW w:w="131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(38,899</w:t>
            </w:r>
          </w:p>
        </w:tc>
        <w:tc>
          <w:tcPr>
            <w:tcW w:w="12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rPr/>
            </w:pPr>
            <w:r>
              <w:rPr/>
              <w:t> </w:t>
            </w:r>
          </w:p>
        </w:tc>
        <w:tc>
          <w:tcPr>
            <w:tcW w:w="244" w:type="dxa"/>
            <w:tcBorders>
              <w:bottom w:val="single" w:sz="12" w:space="0" w:color="000000"/>
            </w:tcBorders>
            <w:shd w:fill="CCEEFF" w:val="clear"/>
            <w:vAlign w:val="bottom"/>
          </w:tcPr>
          <w:p>
            <w:pPr>
              <w:pStyle w:val="TableContents"/>
              <w:spacing w:before="0" w:after="283"/>
              <w:jc w:val="left"/>
              <w:rPr/>
            </w:pPr>
            <w:r>
              <w:rPr/>
              <w:t> </w:t>
            </w:r>
          </w:p>
        </w:tc>
        <w:tc>
          <w:tcPr>
            <w:tcW w:w="135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rPr/>
            </w:pPr>
            <w:r>
              <w:rPr/>
              <w:t> </w:t>
            </w:r>
          </w:p>
        </w:tc>
        <w:tc>
          <w:tcPr>
            <w:tcW w:w="195" w:type="dxa"/>
            <w:tcBorders>
              <w:bottom w:val="single" w:sz="12" w:space="0" w:color="000000"/>
            </w:tcBorders>
            <w:shd w:fill="CCEEFF" w:val="clear"/>
            <w:vAlign w:val="bottom"/>
          </w:tcPr>
          <w:p>
            <w:pPr>
              <w:pStyle w:val="TableContents"/>
              <w:spacing w:before="0" w:after="283"/>
              <w:jc w:val="left"/>
              <w:rPr/>
            </w:pPr>
            <w:r>
              <w:rPr/>
              <w:t> </w:t>
            </w:r>
          </w:p>
        </w:tc>
        <w:tc>
          <w:tcPr>
            <w:tcW w:w="130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(38,952</w:t>
            </w:r>
          </w:p>
        </w:tc>
        <w:tc>
          <w:tcPr>
            <w:tcW w:w="14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7"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Equity at – December 31, 2008</w:t>
            </w:r>
          </w:p>
        </w:tc>
        <w:tc>
          <w:tcPr>
            <w:tcW w:w="106" w:type="dxa"/>
            <w:tcBorders/>
            <w:shd w:fill="FFFFFF" w:val="clear"/>
            <w:tcMar>
              <w:bottom w:w="0" w:type="dxa"/>
            </w:tcMar>
            <w:vAlign w:val="bottom"/>
          </w:tcPr>
          <w:p>
            <w:pPr>
              <w:pStyle w:val="TableContents"/>
              <w:spacing w:before="0" w:after="283"/>
              <w:rPr/>
            </w:pPr>
            <w:r>
              <w:rPr/>
              <w:t> </w:t>
            </w:r>
          </w:p>
        </w:tc>
        <w:tc>
          <w:tcPr>
            <w:tcW w:w="196"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0" w:type="dxa"/>
            <w:tcBorders>
              <w:bottom w:val="single" w:sz="12" w:space="0" w:color="000000"/>
            </w:tcBorders>
            <w:shd w:fill="FFFFFF" w:val="clear"/>
            <w:vAlign w:val="bottom"/>
          </w:tcPr>
          <w:p>
            <w:pPr>
              <w:pStyle w:val="TableContents"/>
              <w:spacing w:before="0" w:after="283"/>
              <w:ind w:left="97" w:right="0" w:hanging="0"/>
              <w:jc w:val="right"/>
              <w:rPr>
                <w:rFonts w:ascii="times new roman" w:hAnsi="times new roman"/>
                <w:sz w:val="20"/>
              </w:rPr>
            </w:pPr>
            <w:bookmarkStart w:id="2852" w:name="TAB11454"/>
            <w:bookmarkEnd w:id="2852"/>
            <w:r>
              <w:rPr>
                <w:rFonts w:ascii="times new roman" w:hAnsi="times new roman"/>
                <w:sz w:val="20"/>
              </w:rPr>
              <w:t>67,630</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244"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2" w:type="dxa"/>
            <w:tcBorders>
              <w:bottom w:val="single" w:sz="12" w:space="0" w:color="000000"/>
            </w:tcBorders>
            <w:shd w:fill="FFFFFF" w:val="clear"/>
            <w:vAlign w:val="bottom"/>
          </w:tcPr>
          <w:p>
            <w:pPr>
              <w:pStyle w:val="TableContents"/>
              <w:spacing w:before="0" w:after="283"/>
              <w:ind w:left="97" w:right="0" w:hanging="0"/>
              <w:jc w:val="right"/>
              <w:rPr>
                <w:rFonts w:ascii="times new roman" w:hAnsi="times new roman"/>
                <w:sz w:val="20"/>
              </w:rPr>
            </w:pPr>
            <w:bookmarkStart w:id="2853" w:name="TAB11455"/>
            <w:bookmarkEnd w:id="2853"/>
            <w:r>
              <w:rPr>
                <w:rFonts w:ascii="times new roman" w:hAnsi="times new roman"/>
                <w:sz w:val="20"/>
              </w:rPr>
              <w:t>1,817</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9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0" w:type="dxa"/>
            <w:tcBorders>
              <w:bottom w:val="single" w:sz="12" w:space="0" w:color="000000"/>
            </w:tcBorders>
            <w:shd w:fill="FFFFFF" w:val="clear"/>
            <w:vAlign w:val="bottom"/>
          </w:tcPr>
          <w:p>
            <w:pPr>
              <w:pStyle w:val="TableContents"/>
              <w:spacing w:before="0" w:after="283"/>
              <w:ind w:left="97" w:right="0" w:hanging="0"/>
              <w:jc w:val="right"/>
              <w:rPr>
                <w:rFonts w:ascii="times new roman" w:hAnsi="times new roman"/>
                <w:sz w:val="20"/>
              </w:rPr>
            </w:pPr>
            <w:bookmarkStart w:id="2854" w:name="TAB11456"/>
            <w:bookmarkEnd w:id="2854"/>
            <w:r>
              <w:rPr>
                <w:rFonts w:ascii="times new roman" w:hAnsi="times new roman"/>
                <w:sz w:val="20"/>
              </w:rPr>
              <w:t>69,447</w:t>
            </w:r>
          </w:p>
        </w:tc>
        <w:tc>
          <w:tcPr>
            <w:tcW w:w="141" w:type="dxa"/>
            <w:tcBorders/>
            <w:shd w:fill="FFFFFF" w:val="clear"/>
            <w:tcMar>
              <w:bottom w:w="0" w:type="dxa"/>
            </w:tcMar>
            <w:vAlign w:val="bottom"/>
          </w:tcPr>
          <w:p>
            <w:pPr>
              <w:pStyle w:val="TableContents"/>
              <w:spacing w:before="0" w:after="283"/>
              <w:jc w:val="left"/>
              <w:rPr/>
            </w:pPr>
            <w:r>
              <w:rPr/>
              <w:t> </w:t>
            </w:r>
          </w:p>
        </w:tc>
      </w:tr>
      <w:tr>
        <w:trPr/>
        <w:tc>
          <w:tcPr>
            <w:tcW w:w="490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w:t>
            </w:r>
          </w:p>
        </w:tc>
        <w:tc>
          <w:tcPr>
            <w:tcW w:w="106" w:type="dxa"/>
            <w:tcBorders/>
            <w:shd w:fill="CCEEFF" w:val="clear"/>
            <w:tcMar>
              <w:bottom w:w="0" w:type="dxa"/>
            </w:tcMar>
            <w:vAlign w:val="bottom"/>
          </w:tcPr>
          <w:p>
            <w:pPr>
              <w:pStyle w:val="TableContents"/>
              <w:spacing w:before="0" w:after="283"/>
              <w:rPr/>
            </w:pPr>
            <w:r>
              <w:rPr/>
              <w:t> </w:t>
            </w:r>
          </w:p>
        </w:tc>
        <w:tc>
          <w:tcPr>
            <w:tcW w:w="196" w:type="dxa"/>
            <w:tcBorders/>
            <w:shd w:fill="CCEEFF" w:val="clear"/>
            <w:tcMar>
              <w:bottom w:w="0" w:type="dxa"/>
            </w:tcMar>
            <w:vAlign w:val="bottom"/>
          </w:tcPr>
          <w:p>
            <w:pPr>
              <w:pStyle w:val="TableContents"/>
              <w:spacing w:before="0" w:after="283"/>
              <w:jc w:val="left"/>
              <w:rPr/>
            </w:pPr>
            <w:r>
              <w:rPr/>
              <w:t> </w:t>
            </w:r>
          </w:p>
        </w:tc>
        <w:tc>
          <w:tcPr>
            <w:tcW w:w="131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13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jc w:val="left"/>
              <w:rPr/>
            </w:pPr>
            <w:r>
              <w:rPr/>
              <w:t> </w:t>
            </w:r>
          </w:p>
        </w:tc>
        <w:tc>
          <w:tcPr>
            <w:tcW w:w="130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41" w:type="dxa"/>
            <w:tcBorders/>
            <w:shd w:fill="CCEEFF" w:val="clear"/>
            <w:tcMar>
              <w:bottom w:w="0" w:type="dxa"/>
            </w:tcMar>
            <w:vAlign w:val="bottom"/>
          </w:tcPr>
          <w:p>
            <w:pPr>
              <w:pStyle w:val="TableContents"/>
              <w:spacing w:before="0" w:after="283"/>
              <w:jc w:val="left"/>
              <w:rPr/>
            </w:pPr>
            <w:r>
              <w:rPr/>
              <w:t> </w:t>
            </w:r>
          </w:p>
        </w:tc>
      </w:tr>
      <w:tr>
        <w:trPr/>
        <w:tc>
          <w:tcPr>
            <w:tcW w:w="490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Increase in additional paid in capital</w:t>
            </w:r>
          </w:p>
        </w:tc>
        <w:tc>
          <w:tcPr>
            <w:tcW w:w="106" w:type="dxa"/>
            <w:tcBorders/>
            <w:shd w:fill="FFFFFF" w:val="clear"/>
            <w:tcMar>
              <w:bottom w:w="0" w:type="dxa"/>
            </w:tcMar>
            <w:vAlign w:val="bottom"/>
          </w:tcPr>
          <w:p>
            <w:pPr>
              <w:pStyle w:val="TableContents"/>
              <w:spacing w:before="0" w:after="283"/>
              <w:rPr/>
            </w:pPr>
            <w:r>
              <w:rPr/>
              <w:t> </w:t>
            </w:r>
          </w:p>
        </w:tc>
        <w:tc>
          <w:tcPr>
            <w:tcW w:w="196" w:type="dxa"/>
            <w:tcBorders/>
            <w:shd w:fill="FFFFFF" w:val="clear"/>
            <w:tcMar>
              <w:bottom w:w="0" w:type="dxa"/>
            </w:tcMar>
            <w:vAlign w:val="bottom"/>
          </w:tcPr>
          <w:p>
            <w:pPr>
              <w:pStyle w:val="TableContents"/>
              <w:spacing w:before="0" w:after="283"/>
              <w:jc w:val="left"/>
              <w:rPr/>
            </w:pPr>
            <w:r>
              <w:rPr/>
              <w:t> </w:t>
            </w:r>
          </w:p>
        </w:tc>
        <w:tc>
          <w:tcPr>
            <w:tcW w:w="131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929</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3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30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1,104</w:t>
            </w:r>
          </w:p>
        </w:tc>
        <w:tc>
          <w:tcPr>
            <w:tcW w:w="141" w:type="dxa"/>
            <w:tcBorders/>
            <w:shd w:fill="FFFFFF" w:val="clear"/>
            <w:tcMar>
              <w:bottom w:w="0" w:type="dxa"/>
            </w:tcMar>
            <w:vAlign w:val="bottom"/>
          </w:tcPr>
          <w:p>
            <w:pPr>
              <w:pStyle w:val="TableContents"/>
              <w:spacing w:before="0" w:after="283"/>
              <w:jc w:val="left"/>
              <w:rPr/>
            </w:pPr>
            <w:r>
              <w:rPr/>
              <w:t> </w:t>
            </w:r>
          </w:p>
        </w:tc>
      </w:tr>
      <w:tr>
        <w:trPr/>
        <w:tc>
          <w:tcPr>
            <w:tcW w:w="490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Distributions to noncontrolling stockholders</w:t>
            </w:r>
          </w:p>
        </w:tc>
        <w:tc>
          <w:tcPr>
            <w:tcW w:w="106" w:type="dxa"/>
            <w:tcBorders/>
            <w:shd w:fill="CCEEFF" w:val="clear"/>
            <w:tcMar>
              <w:bottom w:w="0" w:type="dxa"/>
            </w:tcMar>
            <w:vAlign w:val="bottom"/>
          </w:tcPr>
          <w:p>
            <w:pPr>
              <w:pStyle w:val="TableContents"/>
              <w:spacing w:before="0" w:after="283"/>
              <w:rPr/>
            </w:pPr>
            <w:r>
              <w:rPr/>
              <w:t> </w:t>
            </w:r>
          </w:p>
        </w:tc>
        <w:tc>
          <w:tcPr>
            <w:tcW w:w="196" w:type="dxa"/>
            <w:tcBorders/>
            <w:shd w:fill="CCEEFF" w:val="clear"/>
            <w:tcMar>
              <w:bottom w:w="0" w:type="dxa"/>
            </w:tcMar>
            <w:vAlign w:val="bottom"/>
          </w:tcPr>
          <w:p>
            <w:pPr>
              <w:pStyle w:val="TableContents"/>
              <w:spacing w:before="0" w:after="283"/>
              <w:jc w:val="left"/>
              <w:rPr/>
            </w:pPr>
            <w:r>
              <w:rPr/>
              <w:t> </w:t>
            </w:r>
          </w:p>
        </w:tc>
        <w:tc>
          <w:tcPr>
            <w:tcW w:w="131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4" w:type="dxa"/>
            <w:tcBorders/>
            <w:shd w:fill="CCEEFF" w:val="clear"/>
            <w:tcMar>
              <w:bottom w:w="0" w:type="dxa"/>
            </w:tcMar>
            <w:vAlign w:val="bottom"/>
          </w:tcPr>
          <w:p>
            <w:pPr>
              <w:pStyle w:val="TableContents"/>
              <w:spacing w:before="0" w:after="283"/>
              <w:jc w:val="left"/>
              <w:rPr/>
            </w:pPr>
            <w:r>
              <w:rPr/>
              <w:t> </w:t>
            </w:r>
          </w:p>
        </w:tc>
        <w:tc>
          <w:tcPr>
            <w:tcW w:w="13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12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jc w:val="left"/>
              <w:rPr/>
            </w:pPr>
            <w:r>
              <w:rPr/>
              <w:t> </w:t>
            </w:r>
          </w:p>
        </w:tc>
        <w:tc>
          <w:tcPr>
            <w:tcW w:w="130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14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7"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Accumulated other comprehensive income</w:t>
            </w:r>
          </w:p>
        </w:tc>
        <w:tc>
          <w:tcPr>
            <w:tcW w:w="106" w:type="dxa"/>
            <w:tcBorders/>
            <w:shd w:fill="FFFFFF" w:val="clear"/>
            <w:tcMar>
              <w:bottom w:w="0" w:type="dxa"/>
            </w:tcMar>
            <w:vAlign w:val="bottom"/>
          </w:tcPr>
          <w:p>
            <w:pPr>
              <w:pStyle w:val="TableContents"/>
              <w:spacing w:before="0" w:after="283"/>
              <w:rPr/>
            </w:pPr>
            <w:r>
              <w:rPr/>
              <w:t> </w:t>
            </w:r>
          </w:p>
        </w:tc>
        <w:tc>
          <w:tcPr>
            <w:tcW w:w="196" w:type="dxa"/>
            <w:tcBorders>
              <w:bottom w:val="single" w:sz="12" w:space="0" w:color="000000"/>
            </w:tcBorders>
            <w:shd w:fill="FFFFFF" w:val="clear"/>
            <w:vAlign w:val="bottom"/>
          </w:tcPr>
          <w:p>
            <w:pPr>
              <w:pStyle w:val="TableContents"/>
              <w:spacing w:before="0" w:after="283"/>
              <w:jc w:val="left"/>
              <w:rPr/>
            </w:pPr>
            <w:r>
              <w:rPr/>
              <w:t> </w:t>
            </w:r>
          </w:p>
        </w:tc>
        <w:tc>
          <w:tcPr>
            <w:tcW w:w="131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34,236</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244" w:type="dxa"/>
            <w:tcBorders>
              <w:bottom w:val="single" w:sz="12" w:space="0" w:color="000000"/>
            </w:tcBorders>
            <w:shd w:fill="FFFFFF" w:val="clear"/>
            <w:vAlign w:val="bottom"/>
          </w:tcPr>
          <w:p>
            <w:pPr>
              <w:pStyle w:val="TableContents"/>
              <w:spacing w:before="0" w:after="283"/>
              <w:jc w:val="left"/>
              <w:rPr/>
            </w:pPr>
            <w:r>
              <w:rPr/>
              <w:t> </w:t>
            </w:r>
          </w:p>
        </w:tc>
        <w:tc>
          <w:tcPr>
            <w:tcW w:w="135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2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95" w:type="dxa"/>
            <w:tcBorders>
              <w:bottom w:val="single" w:sz="12" w:space="0" w:color="000000"/>
            </w:tcBorders>
            <w:shd w:fill="FFFFFF" w:val="clear"/>
            <w:vAlign w:val="bottom"/>
          </w:tcPr>
          <w:p>
            <w:pPr>
              <w:pStyle w:val="TableContents"/>
              <w:spacing w:before="0" w:after="283"/>
              <w:jc w:val="left"/>
              <w:rPr/>
            </w:pPr>
            <w:r>
              <w:rPr/>
              <w:t> </w:t>
            </w:r>
          </w:p>
        </w:tc>
        <w:tc>
          <w:tcPr>
            <w:tcW w:w="130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34,377</w:t>
            </w:r>
          </w:p>
        </w:tc>
        <w:tc>
          <w:tcPr>
            <w:tcW w:w="141" w:type="dxa"/>
            <w:tcBorders/>
            <w:shd w:fill="FFFFFF" w:val="clear"/>
            <w:tcMar>
              <w:bottom w:w="0" w:type="dxa"/>
            </w:tcMar>
            <w:vAlign w:val="bottom"/>
          </w:tcPr>
          <w:p>
            <w:pPr>
              <w:pStyle w:val="TableContents"/>
              <w:spacing w:before="0" w:after="283"/>
              <w:jc w:val="left"/>
              <w:rPr/>
            </w:pPr>
            <w:r>
              <w:rPr/>
              <w:t> </w:t>
            </w:r>
          </w:p>
        </w:tc>
      </w:tr>
      <w:tr>
        <w:trPr/>
        <w:tc>
          <w:tcPr>
            <w:tcW w:w="4907"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Equity at – December 31, 2009</w:t>
            </w:r>
          </w:p>
        </w:tc>
        <w:tc>
          <w:tcPr>
            <w:tcW w:w="106" w:type="dxa"/>
            <w:tcBorders/>
            <w:shd w:fill="CCEEFF" w:val="clear"/>
            <w:tcMar>
              <w:bottom w:w="0" w:type="dxa"/>
            </w:tcMar>
            <w:vAlign w:val="bottom"/>
          </w:tcPr>
          <w:p>
            <w:pPr>
              <w:pStyle w:val="TableContents"/>
              <w:spacing w:before="0" w:after="283"/>
              <w:rPr/>
            </w:pPr>
            <w:r>
              <w:rPr/>
              <w:t> </w:t>
            </w:r>
          </w:p>
        </w:tc>
        <w:tc>
          <w:tcPr>
            <w:tcW w:w="196"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0" w:type="dxa"/>
            <w:tcBorders>
              <w:bottom w:val="double" w:sz="8"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855" w:name="TAB11457"/>
            <w:bookmarkEnd w:id="2855"/>
            <w:r>
              <w:rPr>
                <w:rFonts w:ascii="times new roman" w:hAnsi="times new roman"/>
                <w:sz w:val="20"/>
              </w:rPr>
              <w:t>108,889</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24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2" w:type="dxa"/>
            <w:tcBorders>
              <w:bottom w:val="double" w:sz="8"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856" w:name="TAB11458"/>
            <w:bookmarkEnd w:id="2856"/>
            <w:r>
              <w:rPr>
                <w:rFonts w:ascii="times new roman" w:hAnsi="times new roman"/>
                <w:sz w:val="20"/>
              </w:rPr>
              <w:t>1,374</w:t>
            </w:r>
          </w:p>
        </w:tc>
        <w:tc>
          <w:tcPr>
            <w:tcW w:w="12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9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0" w:type="dxa"/>
            <w:tcBorders>
              <w:bottom w:val="double" w:sz="8" w:space="0" w:color="000000"/>
            </w:tcBorders>
            <w:shd w:fill="CCEEFF" w:val="clear"/>
            <w:vAlign w:val="bottom"/>
          </w:tcPr>
          <w:p>
            <w:pPr>
              <w:pStyle w:val="TableContents"/>
              <w:spacing w:before="0" w:after="283"/>
              <w:ind w:left="97" w:right="0" w:hanging="0"/>
              <w:jc w:val="right"/>
              <w:rPr>
                <w:rFonts w:ascii="times new roman" w:hAnsi="times new roman"/>
                <w:sz w:val="20"/>
              </w:rPr>
            </w:pPr>
            <w:bookmarkStart w:id="2857" w:name="TAB11459"/>
            <w:bookmarkEnd w:id="2857"/>
            <w:r>
              <w:rPr>
                <w:rFonts w:ascii="times new roman" w:hAnsi="times new roman"/>
                <w:sz w:val="20"/>
              </w:rPr>
              <w:t>110,263</w:t>
            </w:r>
          </w:p>
        </w:tc>
        <w:tc>
          <w:tcPr>
            <w:tcW w:w="141"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Landplan Property Partners, Ltd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2006, we formed Landplan Property Partners, Ltd, referred to as “Reading Landplan,” to identify, acquire and develop or redevelop properties on an opportunistic basis.  In connection with the formation of Reading Landplan, we entered into an agreement with Mr. Doug Osborne pursuant to which (i) Mr. Osborne will serve as the chief executive officer of Reading Landplan and (ii) Mr. Osborne’s affiliate, Landplan Property Group, Ltd (“LPG”), will perform certain property management services for Reading Landplan.  The agreement provides for Mr. Osborne to hold an equity interest in the entities formed to hold these properties; such equity interest to be (i) subordinate to our right to an 11% compounded return on investment and (ii) subject to adjustment depending upon various factors inc luding the term of the investment and the amount invested.  Generally speaking, this equity interest will range from 27.5% to 15%.  During 2006, Reading Landplan acquired one property in Indooroopilly, Brisbane, Australia.  During 2007, Reading Landplan acquired two properties in New Zealand; the first called the Lake Taupo Motel and the other is a parcel of land called the Manukau property.  During 2008, Reading Landplan acquired or entered into agreements to acquire four contiguous properties of approximately 50,000 square feet, which we intend to develop.  During 2009, Reading Landplan entered into an agreement to acquire an adjoining parcel of land to our Manukau property.  Due to the impact of the economic downturn in New Zealand, the value of Mr. Osborne’s equity interest was determined to be zero at December 31, 2009.</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58" w:name="PGBRK99"/>
      <w:bookmarkStart w:id="2859" w:name="PGBRK99"/>
      <w:bookmarkEnd w:id="28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60" w:name="FTR99"/>
      <w:bookmarkStart w:id="2861" w:name="FTR99"/>
      <w:bookmarkEnd w:id="28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62" w:name="GLFTR99"/>
      <w:bookmarkEnd w:id="28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863" w:name="PN99"/>
      <w:bookmarkEnd w:id="2863"/>
      <w:r>
        <w:rPr>
          <w:rFonts w:eastAsia="Times New Roman" w:cs="Times New Roman" w:ascii="Times New Roman" w:hAnsi="Times New Roman"/>
          <w:sz w:val="20"/>
          <w:szCs w:val="20"/>
        </w:rPr>
        <w:t>-99-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864" w:name="HDR99"/>
      <w:bookmarkStart w:id="2865" w:name="HDR99"/>
      <w:bookmarkEnd w:id="28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866" w:name="GLHDR99"/>
        <w:bookmarkEnd w:id="286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21 -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common stock trades on the NASDAQ under the symbols RDI and RDIB which are our Class A (non-voting) and Class B (voting) stock, respectively.  Our Class A (non-voting) has preference over our Class B (voting) share upon liquidation.  No dividends have ever been issued for either share class.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2009 Common Stock Activity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2009, we issued 146,017 shares of Class A Stock to certain executive employees associated with their prior years’ stock bonuses.  Additionally, 98,949 shares of Class A Stock which were previously held as treasury shares were canceled during 2009.</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867" w:name="TAB11460"/>
      <w:bookmarkEnd w:id="2867"/>
      <w:r>
        <w:rPr>
          <w:rFonts w:ascii="Times New Roman" w:hAnsi="Times New Roman"/>
          <w:sz w:val="20"/>
        </w:rPr>
        <w:t>For the stock options exercised during 2009, we issued for cash to an employee of the corporation under our employee stock option plan 3,000 shares of Class A Stock at an exercise price of $3.80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2007 Common Stock Activity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868" w:name="TAB11461"/>
      <w:bookmarkEnd w:id="2868"/>
      <w:r>
        <w:rPr>
          <w:rFonts w:ascii="Times New Roman" w:hAnsi="Times New Roman"/>
          <w:sz w:val="20"/>
        </w:rPr>
        <w:t>On December 31, 2007, in recognition of the vesting of one-half of his 2006 and one-half of his 2005 stock grants, we issued to Mr. Cotter 15,133 and 16,047 shares, respectively, of Class A Stock, which had a stock grant price of $8.26 and $7.79 per share and fair market values of $151,000 and $160,000,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the stock options exercised during 2007, we issued for cash to an employee of the corporation under our employee stock option plan 6,250 shares of Class A Stock at an exercise price of $4.01 per share.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22 – Business Segments and Geographic Area Information</w:t>
      </w:r>
    </w:p>
    <w:p>
      <w:pPr>
        <w:pStyle w:val="TextBody"/>
        <w:spacing w:before="0" w:after="0"/>
        <w:ind w:left="0" w:right="0" w:hanging="0"/>
        <w:rPr/>
      </w:pPr>
      <w:r>
        <w:rPr/>
      </w:r>
    </w:p>
    <w:p>
      <w:pPr>
        <w:pStyle w:val="TextBody"/>
        <w:spacing w:before="0" w:after="0"/>
        <w:ind w:left="741" w:right="0" w:hanging="0"/>
        <w:jc w:val="both"/>
        <w:rPr>
          <w:rFonts w:ascii="Times New Roman" w:hAnsi="Times New Roman"/>
          <w:sz w:val="20"/>
        </w:rPr>
      </w:pPr>
      <w:bookmarkStart w:id="2869" w:name="TAB11462"/>
      <w:bookmarkEnd w:id="2869"/>
      <w:r>
        <w:rPr>
          <w:rFonts w:ascii="Times New Roman" w:hAnsi="Times New Roman"/>
          <w:sz w:val="20"/>
        </w:rPr>
        <w:t>The table below sets forth certain information concerning our cinema operations and our real estate operations (which includes information relating to both our real estate development, retail rental and live theater rental activities) for the three years ended December 31, 2009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2009</w:t>
            </w:r>
          </w:p>
        </w:tc>
        <w:tc>
          <w:tcPr>
            <w:tcW w:w="105" w:type="dxa"/>
            <w:tcBorders/>
            <w:shd w:fill="auto" w:val="clear"/>
            <w:tcMar>
              <w:bottom w:w="0" w:type="dxa"/>
            </w:tcMar>
            <w:vAlign w:val="bottom"/>
          </w:tcPr>
          <w:p>
            <w:pPr>
              <w:pStyle w:val="TableContents"/>
              <w:spacing w:before="0" w:after="283"/>
              <w:rPr/>
            </w:pPr>
            <w:r>
              <w:rPr/>
              <w:t> </w:t>
            </w:r>
          </w:p>
        </w:tc>
        <w:tc>
          <w:tcPr>
            <w:tcW w:w="127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 Exhibition</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3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42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 Eliminations</w:t>
            </w:r>
          </w:p>
        </w:tc>
        <w:tc>
          <w:tcPr>
            <w:tcW w:w="119"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0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Revenue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201,388</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25,269</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(9,643</w:t>
            </w:r>
          </w:p>
        </w:tc>
        <w:tc>
          <w:tcPr>
            <w:tcW w:w="1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217,014</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165,707</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11,994</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(9,643</w:t>
            </w:r>
          </w:p>
        </w:tc>
        <w:tc>
          <w:tcPr>
            <w:tcW w:w="1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168,058</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Depreciation &amp; amortization</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10,816</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3,686</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pPr>
            <w:r>
              <w:rPr/>
              <w:t> </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14,502</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Loss on transfer of real estate held for sale to continuing operations</w:t>
            </w:r>
          </w:p>
        </w:tc>
        <w:tc>
          <w:tcPr>
            <w:tcW w:w="105" w:type="dxa"/>
            <w:tcBorders/>
            <w:shd w:fill="FFFFFF" w:val="clear"/>
            <w:tcMar>
              <w:bottom w:w="0" w:type="dxa"/>
            </w:tcMar>
            <w:vAlign w:val="bottom"/>
          </w:tcPr>
          <w:p>
            <w:pPr>
              <w:pStyle w:val="TableContents"/>
              <w:spacing w:before="0" w:after="283"/>
              <w:jc w:val="left"/>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Impairment expense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pPr>
            <w:r>
              <w:rPr/>
              <w:t> </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Contractual commitment loss</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General &amp; administrative expense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bottom w:val="single" w:sz="12" w:space="0" w:color="000000"/>
            </w:tcBorders>
            <w:shd w:fill="CCEEFF" w:val="clear"/>
            <w:vAlign w:val="bottom"/>
          </w:tcPr>
          <w:p>
            <w:pPr>
              <w:pStyle w:val="TableContents"/>
              <w:spacing w:before="0" w:after="283"/>
              <w:jc w:val="left"/>
              <w:rPr/>
            </w:pPr>
            <w:r>
              <w:rPr/>
              <w:t> </w:t>
            </w:r>
          </w:p>
        </w:tc>
        <w:tc>
          <w:tcPr>
            <w:tcW w:w="111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2,645</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98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bottom w:val="single" w:sz="12" w:space="0" w:color="000000"/>
            </w:tcBorders>
            <w:shd w:fill="CCEEFF" w:val="clear"/>
            <w:vAlign w:val="bottom"/>
          </w:tcPr>
          <w:p>
            <w:pPr>
              <w:pStyle w:val="TableContents"/>
              <w:spacing w:before="0" w:after="283"/>
              <w:jc w:val="left"/>
              <w:rPr/>
            </w:pPr>
            <w:r>
              <w:rPr/>
              <w:t> </w:t>
            </w:r>
          </w:p>
        </w:tc>
        <w:tc>
          <w:tcPr>
            <w:tcW w:w="1215" w:type="dxa"/>
            <w:tcBorders>
              <w:bottom w:val="single" w:sz="12" w:space="0" w:color="000000"/>
            </w:tcBorders>
            <w:shd w:fill="CCEEFF" w:val="clear"/>
            <w:vAlign w:val="bottom"/>
          </w:tcPr>
          <w:p>
            <w:pPr>
              <w:pStyle w:val="TableContents"/>
              <w:spacing w:before="0" w:after="283"/>
              <w:jc w:val="righ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105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3,708</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operating income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22,220</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3,668</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25,888</w:t>
            </w:r>
          </w:p>
        </w:tc>
        <w:tc>
          <w:tcPr>
            <w:tcW w:w="125" w:type="dxa"/>
            <w:tcBorders/>
            <w:shd w:fill="FFFFFF" w:val="clear"/>
            <w:tcMar>
              <w:bottom w:w="0" w:type="dxa"/>
            </w:tcM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870" w:name="PGBRK100"/>
      <w:bookmarkStart w:id="2871" w:name="PGBRK100"/>
      <w:bookmarkEnd w:id="28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872" w:name="FTR100"/>
      <w:bookmarkStart w:id="2873" w:name="FTR100"/>
      <w:bookmarkEnd w:id="28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874" w:name="GLFTR100"/>
      <w:bookmarkEnd w:id="28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875" w:name="PN100"/>
      <w:bookmarkEnd w:id="2875"/>
      <w:r>
        <w:rPr>
          <w:rFonts w:eastAsia="Times New Roman" w:cs="Times New Roman" w:ascii="Times New Roman" w:hAnsi="Times New Roman"/>
          <w:sz w:val="20"/>
          <w:szCs w:val="20"/>
        </w:rPr>
        <w:t>-100-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876" w:name="HDR100"/>
      <w:bookmarkStart w:id="2877" w:name="HDR100"/>
      <w:bookmarkEnd w:id="28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ableofcontents">
        <w:bookmarkStart w:id="2878" w:name="GLHDR100"/>
        <w:bookmarkEnd w:id="287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W w:w="5000" w:type="pct"/>
        <w:jc w:val="left"/>
        <w:tblInd w:w="0" w:type="dxa"/>
        <w:tblCellMar>
          <w:top w:w="0" w:type="dxa"/>
          <w:left w:w="0" w:type="dxa"/>
          <w:bottom w:w="28"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2008</w:t>
            </w:r>
          </w:p>
        </w:tc>
        <w:tc>
          <w:tcPr>
            <w:tcW w:w="105" w:type="dxa"/>
            <w:tcBorders/>
            <w:shd w:fill="auto" w:val="clear"/>
            <w:tcMar>
              <w:bottom w:w="0" w:type="dxa"/>
            </w:tcMar>
            <w:vAlign w:val="bottom"/>
          </w:tcPr>
          <w:p>
            <w:pPr>
              <w:pStyle w:val="TableContents"/>
              <w:spacing w:before="0" w:after="283"/>
              <w:rPr/>
            </w:pPr>
            <w:r>
              <w:rPr/>
              <w:t> </w:t>
            </w:r>
          </w:p>
        </w:tc>
        <w:tc>
          <w:tcPr>
            <w:tcW w:w="127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 Exhibition</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3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42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 Eliminations</w:t>
            </w:r>
          </w:p>
        </w:tc>
        <w:tc>
          <w:tcPr>
            <w:tcW w:w="119"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0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Revenue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181,188</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23,694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(7,828</w:t>
            </w:r>
          </w:p>
        </w:tc>
        <w:tc>
          <w:tcPr>
            <w:tcW w:w="1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197,054</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153,064</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9,791</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(7,828</w:t>
            </w:r>
          </w:p>
        </w:tc>
        <w:tc>
          <w:tcPr>
            <w:tcW w:w="1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155,027</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Depreciation &amp; amortization</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13,702</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pPr>
            <w:r>
              <w:rPr/>
              <w:t> </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17,902</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Impairment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351</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3,968</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4,319</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General &amp; administrative expense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bottom w:val="single" w:sz="12" w:space="0" w:color="000000"/>
            </w:tcBorders>
            <w:shd w:fill="CCEEFF" w:val="clear"/>
            <w:vAlign w:val="bottom"/>
          </w:tcPr>
          <w:p>
            <w:pPr>
              <w:pStyle w:val="TableContents"/>
              <w:spacing w:before="0" w:after="283"/>
              <w:jc w:val="left"/>
              <w:rPr/>
            </w:pPr>
            <w:r>
              <w:rPr/>
              <w:t> </w:t>
            </w:r>
          </w:p>
        </w:tc>
        <w:tc>
          <w:tcPr>
            <w:tcW w:w="111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98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1,121</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bottom w:val="single" w:sz="12" w:space="0" w:color="000000"/>
            </w:tcBorders>
            <w:shd w:fill="CCEEFF" w:val="clear"/>
            <w:vAlign w:val="bottom"/>
          </w:tcPr>
          <w:p>
            <w:pPr>
              <w:pStyle w:val="TableContents"/>
              <w:spacing w:before="0" w:after="283"/>
              <w:jc w:val="left"/>
              <w:rPr/>
            </w:pPr>
            <w:r>
              <w:rPr/>
              <w:t> </w:t>
            </w:r>
          </w:p>
        </w:tc>
        <w:tc>
          <w:tcPr>
            <w:tcW w:w="121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105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4,955</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operating income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10,237</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4,614</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14,851</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Year Ended December 31, 2007</w:t>
            </w:r>
          </w:p>
        </w:tc>
        <w:tc>
          <w:tcPr>
            <w:tcW w:w="105" w:type="dxa"/>
            <w:tcBorders/>
            <w:shd w:fill="FFFFFF" w:val="clear"/>
            <w:tcMar>
              <w:bottom w:w="0" w:type="dxa"/>
            </w:tcMar>
            <w:vAlign w:val="bottom"/>
          </w:tcPr>
          <w:p>
            <w:pPr>
              <w:pStyle w:val="TableContents"/>
              <w:spacing w:before="0" w:after="283"/>
              <w:rPr/>
            </w:pPr>
            <w:r>
              <w:rPr/>
              <w:t> </w:t>
            </w:r>
          </w:p>
        </w:tc>
        <w:tc>
          <w:tcPr>
            <w:tcW w:w="1278"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 Exhibition</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134"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425"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 Eliminations</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333" w:type="dxa"/>
            <w:gridSpan w:val="3"/>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Revenue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103,467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21,887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(6,119</w:t>
            </w:r>
          </w:p>
        </w:tc>
        <w:tc>
          <w:tcPr>
            <w:tcW w:w="1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119,235</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1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83,875</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98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8,324</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(6,119</w:t>
            </w:r>
          </w:p>
        </w:tc>
        <w:tc>
          <w:tcPr>
            <w:tcW w:w="1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05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86,080</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Depreciation &amp; amortization</w:t>
            </w:r>
          </w:p>
        </w:tc>
        <w:tc>
          <w:tcPr>
            <w:tcW w:w="105" w:type="dxa"/>
            <w:tcBorders/>
            <w:shd w:fill="CCEEFF" w:val="clear"/>
            <w:tcMar>
              <w:bottom w:w="0" w:type="dxa"/>
            </w:tcMar>
            <w:vAlign w:val="bottom"/>
          </w:tcPr>
          <w:p>
            <w:pPr>
              <w:pStyle w:val="TableContents"/>
              <w:spacing w:before="0" w:after="283"/>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1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6,942</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98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4,418</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shd w:fill="CCEEFF" w:val="clear"/>
            <w:tcMar>
              <w:bottom w:w="0" w:type="dxa"/>
            </w:tcMar>
            <w:vAlign w:val="bottom"/>
          </w:tcPr>
          <w:p>
            <w:pPr>
              <w:pStyle w:val="TableContents"/>
              <w:spacing w:before="0" w:after="283"/>
              <w:jc w:val="left"/>
              <w:rPr/>
            </w:pPr>
            <w:r>
              <w:rPr/>
              <w:t> </w:t>
            </w:r>
          </w:p>
        </w:tc>
        <w:tc>
          <w:tcPr>
            <w:tcW w:w="12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0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11,360</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286"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General &amp; administrative expense</w:t>
            </w:r>
          </w:p>
        </w:tc>
        <w:tc>
          <w:tcPr>
            <w:tcW w:w="105" w:type="dxa"/>
            <w:tcBorders/>
            <w:shd w:fill="FFFFFF" w:val="clear"/>
            <w:tcMar>
              <w:bottom w:w="0" w:type="dxa"/>
            </w:tcMar>
            <w:vAlign w:val="bottom"/>
          </w:tcPr>
          <w:p>
            <w:pPr>
              <w:pStyle w:val="TableContents"/>
              <w:spacing w:before="0" w:after="283"/>
              <w:rPr/>
            </w:pPr>
            <w:r>
              <w:rPr/>
              <w:t> </w:t>
            </w:r>
          </w:p>
        </w:tc>
        <w:tc>
          <w:tcPr>
            <w:tcW w:w="161" w:type="dxa"/>
            <w:tcBorders>
              <w:bottom w:val="single" w:sz="12" w:space="0" w:color="000000"/>
            </w:tcBorders>
            <w:shd w:fill="FFFFFF" w:val="clear"/>
            <w:vAlign w:val="bottom"/>
          </w:tcPr>
          <w:p>
            <w:pPr>
              <w:pStyle w:val="TableContents"/>
              <w:spacing w:before="0" w:after="283"/>
              <w:jc w:val="left"/>
              <w:rPr/>
            </w:pPr>
            <w:r>
              <w:rPr/>
              <w:t> </w:t>
            </w:r>
          </w:p>
        </w:tc>
        <w:tc>
          <w:tcPr>
            <w:tcW w:w="111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3,195</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single" w:sz="12" w:space="0" w:color="000000"/>
            </w:tcBorders>
            <w:shd w:fill="FFFFFF" w:val="clear"/>
            <w:vAlign w:val="bottom"/>
          </w:tcPr>
          <w:p>
            <w:pPr>
              <w:pStyle w:val="TableContents"/>
              <w:spacing w:before="0" w:after="283"/>
              <w:jc w:val="left"/>
              <w:rPr/>
            </w:pPr>
            <w:r>
              <w:rPr/>
              <w:t> </w:t>
            </w:r>
          </w:p>
        </w:tc>
        <w:tc>
          <w:tcPr>
            <w:tcW w:w="98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10" w:type="dxa"/>
            <w:tcBorders>
              <w:bottom w:val="single" w:sz="12" w:space="0" w:color="000000"/>
            </w:tcBorders>
            <w:shd w:fill="FFFFFF" w:val="clear"/>
            <w:vAlign w:val="bottom"/>
          </w:tcPr>
          <w:p>
            <w:pPr>
              <w:pStyle w:val="TableContents"/>
              <w:spacing w:before="0" w:after="283"/>
              <w:jc w:val="left"/>
              <w:rPr/>
            </w:pPr>
            <w:r>
              <w:rPr/>
              <w:t> </w:t>
            </w:r>
          </w:p>
        </w:tc>
        <w:tc>
          <w:tcPr>
            <w:tcW w:w="121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50" w:type="dxa"/>
            <w:tcBorders>
              <w:bottom w:val="single" w:sz="12" w:space="0" w:color="000000"/>
            </w:tcBorders>
            <w:shd w:fill="FFFFFF" w:val="clear"/>
            <w:vAlign w:val="bottom"/>
          </w:tcPr>
          <w:p>
            <w:pPr>
              <w:pStyle w:val="TableContents"/>
              <w:spacing w:before="0" w:after="283"/>
              <w:jc w:val="left"/>
              <w:rPr/>
            </w:pPr>
            <w:r>
              <w:rPr/>
              <w:t> </w:t>
            </w:r>
          </w:p>
        </w:tc>
        <w:tc>
          <w:tcPr>
            <w:tcW w:w="105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4,026</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286"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operating income</w:t>
            </w:r>
          </w:p>
        </w:tc>
        <w:tc>
          <w:tcPr>
            <w:tcW w:w="105" w:type="dxa"/>
            <w:tcBorders/>
            <w:shd w:fill="CCEEFF" w:val="clear"/>
            <w:tcMar>
              <w:bottom w:w="0" w:type="dxa"/>
            </w:tcMar>
            <w:vAlign w:val="bottom"/>
          </w:tcPr>
          <w:p>
            <w:pPr>
              <w:pStyle w:val="TableContents"/>
              <w:spacing w:before="0" w:after="283"/>
              <w:rPr/>
            </w:pPr>
            <w:r>
              <w:rPr/>
              <w:t> </w:t>
            </w:r>
          </w:p>
        </w:tc>
        <w:tc>
          <w:tcPr>
            <w:tcW w:w="16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9,455</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8,314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21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rPr/>
            </w:pPr>
            <w:r>
              <w:rPr/>
              <w:t> </w:t>
            </w:r>
          </w:p>
        </w:tc>
        <w:tc>
          <w:tcPr>
            <w:tcW w:w="15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17,769</w:t>
            </w:r>
          </w:p>
        </w:tc>
        <w:tc>
          <w:tcPr>
            <w:tcW w:w="125"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190"/>
        <w:gridCol w:w="107"/>
        <w:gridCol w:w="125"/>
        <w:gridCol w:w="996"/>
        <w:gridCol w:w="112"/>
        <w:gridCol w:w="107"/>
        <w:gridCol w:w="125"/>
        <w:gridCol w:w="996"/>
        <w:gridCol w:w="112"/>
        <w:gridCol w:w="107"/>
        <w:gridCol w:w="125"/>
        <w:gridCol w:w="980"/>
        <w:gridCol w:w="123"/>
      </w:tblGrid>
      <w:tr>
        <w:trPr/>
        <w:tc>
          <w:tcPr>
            <w:tcW w:w="619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Reconciliation to net income (loss):</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0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3" w:type="dxa"/>
            <w:tcBorders/>
            <w:shd w:fill="auto" w:val="clear"/>
            <w:tcMar>
              <w:bottom w:w="0" w:type="dxa"/>
            </w:tcMar>
            <w:vAlign w:val="bottom"/>
          </w:tcPr>
          <w:p>
            <w:pPr>
              <w:pStyle w:val="TableContents"/>
              <w:spacing w:before="0" w:after="283"/>
              <w:jc w:val="left"/>
              <w:rPr/>
            </w:pPr>
            <w:r>
              <w:rPr/>
              <w:t> </w:t>
            </w:r>
          </w:p>
        </w:tc>
      </w:tr>
      <w:tr>
        <w:trPr/>
        <w:tc>
          <w:tcPr>
            <w:tcW w:w="6190"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segment operating income</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25,888</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14,851</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17,769</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150" w:right="0" w:hanging="0"/>
              <w:jc w:val="both"/>
              <w:rPr>
                <w:rFonts w:ascii="times new roman" w:hAnsi="times new roman"/>
                <w:sz w:val="20"/>
              </w:rPr>
            </w:pPr>
            <w:bookmarkStart w:id="2879" w:name="TAB11463"/>
            <w:bookmarkEnd w:id="2879"/>
            <w:r>
              <w:rPr>
                <w:rFonts w:ascii="times new roman" w:hAnsi="times new roman"/>
                <w:sz w:val="20"/>
              </w:rPr>
              <w:t>Non-segment: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0" w:type="dxa"/>
            <w:tcBorders/>
            <w:shd w:fill="CCEEFF" w:val="clear"/>
            <w:tcMar>
              <w:bottom w:w="0" w:type="dxa"/>
            </w:tcMar>
            <w:vAlign w:val="bottom"/>
          </w:tcPr>
          <w:p>
            <w:pPr>
              <w:pStyle w:val="TableContents"/>
              <w:spacing w:before="0" w:after="0"/>
              <w:ind w:left="419" w:right="0" w:hanging="0"/>
              <w:jc w:val="both"/>
              <w:rPr>
                <w:rFonts w:ascii="times new roman" w:hAnsi="times new roman"/>
                <w:sz w:val="20"/>
              </w:rPr>
            </w:pPr>
            <w:bookmarkStart w:id="2880" w:name="TAB11464"/>
            <w:bookmarkEnd w:id="2880"/>
            <w:r>
              <w:rPr>
                <w:rFonts w:ascii="times new roman" w:hAnsi="times new roman"/>
                <w:sz w:val="20"/>
              </w:rPr>
              <w:t>Depreciation and amortization expense</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666</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656</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561</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419" w:right="0" w:hanging="0"/>
              <w:jc w:val="both"/>
              <w:rPr>
                <w:rFonts w:ascii="times new roman" w:hAnsi="times new roman"/>
                <w:sz w:val="20"/>
              </w:rPr>
            </w:pPr>
            <w:bookmarkStart w:id="2881" w:name="TAB11465"/>
            <w:bookmarkEnd w:id="2881"/>
            <w:r>
              <w:rPr>
                <w:rFonts w:ascii="times new roman" w:hAnsi="times new roman"/>
                <w:sz w:val="20"/>
              </w:rPr>
              <w:t>General and administrative expense</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13,851</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16,483</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12,059</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0" w:type="dxa"/>
            <w:tcBorders>
              <w:bottom w:val="single" w:sz="12" w:space="0" w:color="000000"/>
            </w:tcBorders>
            <w:shd w:fill="CCEEFF" w:val="clear"/>
            <w:vAlign w:val="bottom"/>
          </w:tcPr>
          <w:p>
            <w:pPr>
              <w:pStyle w:val="TableContents"/>
              <w:spacing w:before="0" w:after="0"/>
              <w:ind w:left="419" w:right="0" w:hanging="0"/>
              <w:jc w:val="both"/>
              <w:rPr>
                <w:rFonts w:ascii="times new roman" w:hAnsi="times new roman"/>
                <w:sz w:val="20"/>
              </w:rPr>
            </w:pPr>
            <w:bookmarkStart w:id="2882" w:name="TAB11466"/>
            <w:bookmarkEnd w:id="2882"/>
            <w:r>
              <w:rPr>
                <w:rFonts w:ascii="times new roman" w:hAnsi="times new roman"/>
                <w:sz w:val="20"/>
              </w:rPr>
              <w:t>Other operating income</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(2,551</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8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Operating income (loss)</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13,922</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(2,288</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5,149</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0" w:type="dxa"/>
            <w:tcBorders/>
            <w:shd w:fill="CCEEFF" w:val="clear"/>
            <w:tcMar>
              <w:bottom w:w="0" w:type="dxa"/>
            </w:tcMar>
            <w:vAlign w:val="bottom"/>
          </w:tcPr>
          <w:p>
            <w:pPr>
              <w:pStyle w:val="TableContents"/>
              <w:spacing w:before="0" w:after="0"/>
              <w:ind w:left="150" w:right="0" w:hanging="0"/>
              <w:jc w:val="both"/>
              <w:rPr>
                <w:rFonts w:ascii="times new roman" w:hAnsi="times new roman"/>
                <w:sz w:val="20"/>
              </w:rPr>
            </w:pPr>
            <w:bookmarkStart w:id="2883" w:name="TAB11467"/>
            <w:bookmarkEnd w:id="2883"/>
            <w:r>
              <w:rPr>
                <w:rFonts w:ascii="times new roman" w:hAnsi="times new roman"/>
                <w:sz w:val="20"/>
              </w:rPr>
              <w:t>Interest expense, net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(14,572</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(15,740</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(8,163</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shd w:fill="FFFFFF" w:val="clear"/>
            <w:tcMar>
              <w:bottom w:w="0" w:type="dxa"/>
            </w:tcMar>
            <w:vAlign w:val="bottom"/>
          </w:tcPr>
          <w:p>
            <w:pPr>
              <w:pStyle w:val="TableContents"/>
              <w:spacing w:before="0" w:after="0"/>
              <w:ind w:left="150" w:right="0" w:hanging="0"/>
              <w:jc w:val="both"/>
              <w:rPr>
                <w:rFonts w:ascii="times new roman" w:hAnsi="times new roman"/>
                <w:sz w:val="20"/>
              </w:rPr>
            </w:pPr>
            <w:bookmarkStart w:id="2884" w:name="TAB11468"/>
            <w:bookmarkEnd w:id="2884"/>
            <w:r>
              <w:rPr>
                <w:rFonts w:ascii="times new roman" w:hAnsi="times new roman"/>
                <w:sz w:val="20"/>
              </w:rPr>
              <w:t>Other income (expense)</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(2,015</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991</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shd w:fill="CCEEFF" w:val="clear"/>
            <w:tcMar>
              <w:bottom w:w="0" w:type="dxa"/>
            </w:tcMar>
            <w:vAlign w:val="bottom"/>
          </w:tcPr>
          <w:p>
            <w:pPr>
              <w:pStyle w:val="TableContents"/>
              <w:spacing w:before="0" w:after="0"/>
              <w:ind w:left="150" w:right="0" w:hanging="0"/>
              <w:jc w:val="both"/>
              <w:rPr>
                <w:rFonts w:ascii="times new roman" w:hAnsi="times new roman"/>
                <w:sz w:val="20"/>
              </w:rPr>
            </w:pPr>
            <w:bookmarkStart w:id="2885" w:name="TAB11469"/>
            <w:bookmarkEnd w:id="2885"/>
            <w:r>
              <w:rPr>
                <w:rFonts w:ascii="times new roman" w:hAnsi="times new roman"/>
                <w:sz w:val="20"/>
              </w:rPr>
              <w:t>Gain on disposal of discontinued operations</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1,912</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150" w:right="0" w:hanging="0"/>
              <w:jc w:val="both"/>
              <w:rPr>
                <w:rFonts w:ascii="times new roman" w:hAnsi="times new roman"/>
                <w:sz w:val="20"/>
              </w:rPr>
            </w:pPr>
            <w:bookmarkStart w:id="2886" w:name="TAB11470"/>
            <w:bookmarkEnd w:id="2886"/>
            <w:r>
              <w:rPr>
                <w:rFonts w:ascii="times new roman" w:hAnsi="times new roman"/>
                <w:sz w:val="20"/>
              </w:rPr>
              <w:t>Income tax expense</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(2,099</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(2,038</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shd w:fill="CCEEFF" w:val="clear"/>
            <w:tcMar>
              <w:bottom w:w="0" w:type="dxa"/>
            </w:tcMar>
            <w:vAlign w:val="bottom"/>
          </w:tcPr>
          <w:p>
            <w:pPr>
              <w:pStyle w:val="TableContents"/>
              <w:spacing w:before="0" w:after="0"/>
              <w:ind w:left="336" w:right="0" w:hanging="180"/>
              <w:jc w:val="both"/>
              <w:rPr>
                <w:rFonts w:ascii="times new roman" w:hAnsi="times new roman"/>
                <w:sz w:val="20"/>
              </w:rPr>
            </w:pPr>
            <w:bookmarkStart w:id="2887" w:name="TAB11471"/>
            <w:bookmarkEnd w:id="2887"/>
            <w:r>
              <w:rPr>
                <w:rFonts w:ascii="times new roman" w:hAnsi="times new roman"/>
                <w:sz w:val="20"/>
              </w:rPr>
              <w:t>Equity earnings of unconsolidated joint ventures  and entities</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497</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2,545</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150" w:right="0" w:hanging="0"/>
              <w:jc w:val="both"/>
              <w:rPr>
                <w:rFonts w:ascii="times new roman" w:hAnsi="times new roman"/>
                <w:sz w:val="20"/>
              </w:rPr>
            </w:pPr>
            <w:bookmarkStart w:id="2888" w:name="TAB11472"/>
            <w:bookmarkEnd w:id="2888"/>
            <w:r>
              <w:rPr>
                <w:rFonts w:ascii="times new roman" w:hAnsi="times new roman"/>
                <w:sz w:val="20"/>
              </w:rPr>
              <w:t>Gain on sale of unconsolidated joint venture</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2,450</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0" w:type="dxa"/>
            <w:tcBorders>
              <w:bottom w:val="single" w:sz="12" w:space="0" w:color="000000"/>
            </w:tcBorders>
            <w:shd w:fill="CCEEFF" w:val="clear"/>
            <w:vAlign w:val="bottom"/>
          </w:tcPr>
          <w:p>
            <w:pPr>
              <w:pStyle w:val="TableContents"/>
              <w:spacing w:before="0" w:after="0"/>
              <w:ind w:left="150" w:right="0" w:hanging="0"/>
              <w:jc w:val="both"/>
              <w:rPr>
                <w:rFonts w:ascii="times new roman" w:hAnsi="times new roman"/>
                <w:sz w:val="20"/>
              </w:rPr>
            </w:pPr>
            <w:bookmarkStart w:id="2889" w:name="TAB11473"/>
            <w:bookmarkEnd w:id="2889"/>
            <w:r>
              <w:rPr>
                <w:rFonts w:ascii="times new roman" w:hAnsi="times new roman"/>
                <w:sz w:val="20"/>
              </w:rPr>
              <w:t>Gain on extinguishment of debt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10,714</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8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(loss)</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(16,189</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bottom w:val="single" w:sz="12" w:space="0" w:color="000000"/>
            </w:tcBorders>
            <w:shd w:fill="CCEEFF" w:val="clear"/>
            <w:vAlign w:val="bottom"/>
          </w:tcPr>
          <w:p>
            <w:pPr>
              <w:pStyle w:val="TableContents"/>
              <w:spacing w:before="0" w:after="0"/>
              <w:ind w:left="150" w:right="0" w:hanging="0"/>
              <w:jc w:val="both"/>
              <w:rPr>
                <w:rFonts w:ascii="times new roman" w:hAnsi="times new roman"/>
                <w:sz w:val="20"/>
              </w:rPr>
            </w:pPr>
            <w:bookmarkStart w:id="2890" w:name="TAB11474"/>
            <w:bookmarkEnd w:id="2890"/>
            <w:r>
              <w:rPr>
                <w:rFonts w:ascii="times new roman" w:hAnsi="times new roman"/>
                <w:sz w:val="20"/>
              </w:rPr>
              <w:t>Net income attributable to noncontrolling interests</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ind w:left="228" w:right="0" w:hanging="0"/>
              <w:jc w:val="right"/>
              <w:rPr>
                <w:rFonts w:ascii="times new roman" w:hAnsi="times new roman"/>
                <w:sz w:val="20"/>
              </w:rPr>
            </w:pPr>
            <w:bookmarkStart w:id="2891" w:name="TAB11475"/>
            <w:bookmarkEnd w:id="2891"/>
            <w:r>
              <w:rPr>
                <w:rFonts w:ascii="times new roman" w:hAnsi="times new roman"/>
                <w:sz w:val="20"/>
              </w:rPr>
              <w:t>(388</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ind w:left="228" w:right="0" w:hanging="0"/>
              <w:jc w:val="right"/>
              <w:rPr>
                <w:rFonts w:ascii="times new roman" w:hAnsi="times new roman"/>
                <w:sz w:val="20"/>
              </w:rPr>
            </w:pPr>
            <w:bookmarkStart w:id="2892" w:name="TAB11476"/>
            <w:bookmarkEnd w:id="2892"/>
            <w:r>
              <w:rPr>
                <w:rFonts w:ascii="times new roman" w:hAnsi="times new roman"/>
                <w:sz w:val="20"/>
              </w:rPr>
              <w:t>(620</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80" w:type="dxa"/>
            <w:tcBorders>
              <w:bottom w:val="single" w:sz="12" w:space="0" w:color="000000"/>
            </w:tcBorders>
            <w:shd w:fill="CCEEFF" w:val="clear"/>
            <w:vAlign w:val="bottom"/>
          </w:tcPr>
          <w:p>
            <w:pPr>
              <w:pStyle w:val="TableContents"/>
              <w:spacing w:before="0" w:after="283"/>
              <w:ind w:left="28" w:right="0" w:hanging="0"/>
              <w:jc w:val="right"/>
              <w:rPr>
                <w:rFonts w:ascii="times new roman" w:hAnsi="times new roman"/>
                <w:sz w:val="20"/>
              </w:rPr>
            </w:pPr>
            <w:bookmarkStart w:id="2893" w:name="TAB11477"/>
            <w:bookmarkEnd w:id="2893"/>
            <w:r>
              <w:rPr>
                <w:rFonts w:ascii="times new roman" w:hAnsi="times new roman"/>
                <w:sz w:val="20"/>
              </w:rPr>
              <w:t>(1,003</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0" w:type="dxa"/>
            <w:tcBorders>
              <w:bottom w:val="double" w:sz="8" w:space="0" w:color="000000"/>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 (loss) attributable to Reading International, Inc. common shareholders</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(16,809</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(2,103</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459"/>
        <w:gridCol w:w="109"/>
        <w:gridCol w:w="125"/>
        <w:gridCol w:w="1026"/>
        <w:gridCol w:w="109"/>
        <w:gridCol w:w="109"/>
        <w:gridCol w:w="125"/>
        <w:gridCol w:w="1026"/>
        <w:gridCol w:w="117"/>
      </w:tblGrid>
      <w:tr>
        <w:trPr/>
        <w:tc>
          <w:tcPr>
            <w:tcW w:w="745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Summary of assets:</w:t>
            </w:r>
          </w:p>
        </w:tc>
        <w:tc>
          <w:tcPr>
            <w:tcW w:w="109" w:type="dxa"/>
            <w:tcBorders/>
            <w:shd w:fill="auto" w:val="clear"/>
            <w:tcMar>
              <w:bottom w:w="0" w:type="dxa"/>
            </w:tcMar>
            <w:vAlign w:val="bottom"/>
          </w:tcPr>
          <w:p>
            <w:pPr>
              <w:pStyle w:val="TableContents"/>
              <w:spacing w:before="0" w:after="283"/>
              <w:rPr/>
            </w:pPr>
            <w:r>
              <w:rPr/>
              <w:t> </w:t>
            </w:r>
          </w:p>
        </w:tc>
        <w:tc>
          <w:tcPr>
            <w:tcW w:w="115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115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7" w:type="dxa"/>
            <w:tcBorders/>
            <w:shd w:fill="auto" w:val="clear"/>
            <w:tcMar>
              <w:bottom w:w="0" w:type="dxa"/>
            </w:tcMar>
            <w:vAlign w:val="bottom"/>
          </w:tcPr>
          <w:p>
            <w:pPr>
              <w:pStyle w:val="TableContents"/>
              <w:spacing w:before="0" w:after="283"/>
              <w:jc w:val="left"/>
              <w:rPr/>
            </w:pPr>
            <w:r>
              <w:rPr/>
              <w:t> </w:t>
            </w:r>
          </w:p>
        </w:tc>
      </w:tr>
      <w:tr>
        <w:trPr/>
        <w:tc>
          <w:tcPr>
            <w:tcW w:w="745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assets</w:t>
            </w:r>
          </w:p>
        </w:tc>
        <w:tc>
          <w:tcPr>
            <w:tcW w:w="109"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375,628</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345,585</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7459"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Corporate assets</w:t>
            </w:r>
          </w:p>
        </w:tc>
        <w:tc>
          <w:tcPr>
            <w:tcW w:w="109" w:type="dxa"/>
            <w:tcBorders/>
            <w:shd w:fill="FFFFFF" w:val="clear"/>
            <w:tcMar>
              <w:bottom w:w="0" w:type="dxa"/>
            </w:tcMar>
            <w:vAlign w:val="bottom"/>
          </w:tcPr>
          <w:p>
            <w:pPr>
              <w:pStyle w:val="TableContents"/>
              <w:spacing w:before="0" w:after="283"/>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2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30,789</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2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26,285</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7459"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Assets</w:t>
            </w:r>
          </w:p>
        </w:tc>
        <w:tc>
          <w:tcPr>
            <w:tcW w:w="109" w:type="dxa"/>
            <w:tcBorders/>
            <w:shd w:fill="CCEEFF" w:val="clear"/>
            <w:tcMar>
              <w:bottom w:w="0" w:type="dxa"/>
            </w:tcMar>
            <w:vAlign w:val="bottom"/>
          </w:tcPr>
          <w:p>
            <w:pPr>
              <w:pStyle w:val="TableContents"/>
              <w:spacing w:before="0" w:after="283"/>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406,417</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371,870</w:t>
            </w:r>
          </w:p>
        </w:tc>
        <w:tc>
          <w:tcPr>
            <w:tcW w:w="117"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228"/>
        <w:gridCol w:w="108"/>
        <w:gridCol w:w="125"/>
        <w:gridCol w:w="962"/>
        <w:gridCol w:w="108"/>
        <w:gridCol w:w="108"/>
        <w:gridCol w:w="125"/>
        <w:gridCol w:w="990"/>
        <w:gridCol w:w="108"/>
        <w:gridCol w:w="107"/>
        <w:gridCol w:w="125"/>
        <w:gridCol w:w="990"/>
        <w:gridCol w:w="121"/>
      </w:tblGrid>
      <w:tr>
        <w:trPr/>
        <w:tc>
          <w:tcPr>
            <w:tcW w:w="622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Summary of capital expenditures:</w:t>
            </w:r>
          </w:p>
        </w:tc>
        <w:tc>
          <w:tcPr>
            <w:tcW w:w="108" w:type="dxa"/>
            <w:tcBorders/>
            <w:shd w:fill="auto" w:val="clear"/>
            <w:tcMar>
              <w:bottom w:w="0" w:type="dxa"/>
            </w:tcMar>
            <w:vAlign w:val="bottom"/>
          </w:tcPr>
          <w:p>
            <w:pPr>
              <w:pStyle w:val="TableContents"/>
              <w:spacing w:before="0" w:after="283"/>
              <w:rPr/>
            </w:pPr>
            <w:r>
              <w:rPr/>
              <w:t> </w:t>
            </w:r>
          </w:p>
        </w:tc>
        <w:tc>
          <w:tcPr>
            <w:tcW w:w="108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1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8"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1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1" w:type="dxa"/>
            <w:tcBorders/>
            <w:shd w:fill="auto" w:val="clear"/>
            <w:tcMar>
              <w:bottom w:w="0" w:type="dxa"/>
            </w:tcMar>
            <w:vAlign w:val="bottom"/>
          </w:tcPr>
          <w:p>
            <w:pPr>
              <w:pStyle w:val="TableContents"/>
              <w:spacing w:before="0" w:after="283"/>
              <w:jc w:val="left"/>
              <w:rPr/>
            </w:pPr>
            <w:r>
              <w:rPr/>
              <w:t> </w:t>
            </w:r>
          </w:p>
        </w:tc>
      </w:tr>
      <w:tr>
        <w:trPr/>
        <w:tc>
          <w:tcPr>
            <w:tcW w:w="6228"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capital expenditures</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5,584</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74,951</w:t>
            </w:r>
          </w:p>
        </w:tc>
        <w:tc>
          <w:tcPr>
            <w:tcW w:w="108"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42,244</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6228"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Corporate capital expenditures</w:t>
            </w:r>
          </w:p>
        </w:tc>
        <w:tc>
          <w:tcPr>
            <w:tcW w:w="108" w:type="dxa"/>
            <w:tcBorders/>
            <w:shd w:fill="FFFFFF" w:val="clear"/>
            <w:tcMar>
              <w:bottom w:w="0" w:type="dxa"/>
            </w:tcMar>
            <w:vAlign w:val="bottom"/>
          </w:tcPr>
          <w:p>
            <w:pPr>
              <w:pStyle w:val="TableContents"/>
              <w:spacing w:before="0" w:after="283"/>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6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08"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228"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capital expenditures</w:t>
            </w:r>
          </w:p>
        </w:tc>
        <w:tc>
          <w:tcPr>
            <w:tcW w:w="108" w:type="dxa"/>
            <w:tcBorders/>
            <w:shd w:fill="CCEEFF" w:val="clear"/>
            <w:tcMar>
              <w:bottom w:w="0" w:type="dxa"/>
            </w:tcMar>
            <w:vAlign w:val="bottom"/>
          </w:tcPr>
          <w:p>
            <w:pPr>
              <w:pStyle w:val="TableContents"/>
              <w:spacing w:before="0" w:after="283"/>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5,686</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0"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75,167</w:t>
            </w:r>
          </w:p>
        </w:tc>
        <w:tc>
          <w:tcPr>
            <w:tcW w:w="108"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0"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42,414</w:t>
            </w:r>
          </w:p>
        </w:tc>
        <w:tc>
          <w:tcPr>
            <w:tcW w:w="121"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94" w:name="PGBRK101"/>
      <w:bookmarkStart w:id="2895" w:name="PGBRK101"/>
      <w:bookmarkEnd w:id="28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96" w:name="FTR101"/>
      <w:bookmarkStart w:id="2897" w:name="FTR101"/>
      <w:bookmarkEnd w:id="28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98" w:name="GLFTR101"/>
      <w:bookmarkEnd w:id="28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899" w:name="PN101"/>
      <w:bookmarkEnd w:id="2899"/>
      <w:r>
        <w:rPr>
          <w:rFonts w:eastAsia="Times New Roman" w:cs="Times New Roman" w:ascii="Times New Roman" w:hAnsi="Times New Roman"/>
          <w:sz w:val="20"/>
          <w:szCs w:val="20"/>
        </w:rPr>
        <w:t>-101-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900" w:name="HDR101"/>
      <w:bookmarkStart w:id="2901" w:name="HDR101"/>
      <w:bookmarkEnd w:id="29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902" w:name="GLHDR101"/>
        <w:bookmarkEnd w:id="290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720" w:right="0" w:hanging="0"/>
        <w:jc w:val="both"/>
        <w:rPr>
          <w:rFonts w:ascii="Times New Roman" w:hAnsi="Times New Roman"/>
          <w:sz w:val="20"/>
        </w:rPr>
      </w:pPr>
      <w:bookmarkStart w:id="2903" w:name="TAB11478"/>
      <w:bookmarkEnd w:id="2903"/>
      <w:r>
        <w:rPr>
          <w:rFonts w:ascii="Times New Roman" w:hAnsi="Times New Roman"/>
          <w:sz w:val="20"/>
        </w:rPr>
        <w:t>The cinema results shown above include revenue and operating expense directly linked to our cinema assets.  The real estate results include rental income from our properties and live theaters and operating expense directly linked to our property assets.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04" w:name="TAB11479"/>
      <w:bookmarkEnd w:id="2904"/>
      <w:r>
        <w:rPr>
          <w:rFonts w:ascii="Times New Roman" w:hAnsi="Times New Roman"/>
          <w:sz w:val="20"/>
        </w:rPr>
        <w:t>The following table sets forth the book value of our property and equipment by geographical area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45"/>
        <w:gridCol w:w="109"/>
        <w:gridCol w:w="126"/>
        <w:gridCol w:w="1030"/>
        <w:gridCol w:w="109"/>
        <w:gridCol w:w="109"/>
        <w:gridCol w:w="126"/>
        <w:gridCol w:w="1030"/>
        <w:gridCol w:w="121"/>
      </w:tblGrid>
      <w:tr>
        <w:trPr/>
        <w:tc>
          <w:tcPr>
            <w:tcW w:w="7445"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5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1" w:type="dxa"/>
            <w:tcBorders/>
            <w:shd w:fill="auto" w:val="clear"/>
            <w:vAlign w:val="bottom"/>
          </w:tcPr>
          <w:p>
            <w:pPr>
              <w:pStyle w:val="TableContents"/>
              <w:spacing w:before="0" w:after="283"/>
              <w:jc w:val="left"/>
              <w:rPr/>
            </w:pPr>
            <w:r>
              <w:rPr/>
              <w:t> </w:t>
            </w:r>
          </w:p>
        </w:tc>
      </w:tr>
      <w:tr>
        <w:trPr/>
        <w:tc>
          <w:tcPr>
            <w:tcW w:w="7445"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1" w:type="dxa"/>
            <w:tcBorders/>
            <w:shd w:fill="auto" w:val="clear"/>
            <w:vAlign w:val="bottom"/>
          </w:tcPr>
          <w:p>
            <w:pPr>
              <w:pStyle w:val="TableContents"/>
              <w:spacing w:before="0" w:after="283"/>
              <w:jc w:val="left"/>
              <w:rPr/>
            </w:pPr>
            <w:r>
              <w:rPr/>
              <w:t> </w:t>
            </w:r>
          </w:p>
        </w:tc>
      </w:tr>
      <w:tr>
        <w:trPr/>
        <w:tc>
          <w:tcPr>
            <w:tcW w:w="7445"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Australia</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spacing w:before="0" w:after="283"/>
              <w:ind w:left="104" w:right="0" w:hanging="0"/>
              <w:jc w:val="right"/>
              <w:rPr>
                <w:rFonts w:ascii="times new roman" w:hAnsi="times new roman"/>
                <w:sz w:val="20"/>
              </w:rPr>
            </w:pPr>
            <w:bookmarkStart w:id="2905" w:name="TAB11480"/>
            <w:bookmarkEnd w:id="2905"/>
            <w:r>
              <w:rPr>
                <w:rFonts w:ascii="times new roman" w:hAnsi="times new roman"/>
                <w:sz w:val="20"/>
              </w:rPr>
              <w:t>101,918</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spacing w:before="0" w:after="283"/>
              <w:ind w:left="104" w:right="0" w:hanging="0"/>
              <w:jc w:val="right"/>
              <w:rPr>
                <w:rFonts w:ascii="times new roman" w:hAnsi="times new roman"/>
                <w:sz w:val="20"/>
              </w:rPr>
            </w:pPr>
            <w:bookmarkStart w:id="2906" w:name="TAB11481"/>
            <w:bookmarkEnd w:id="2906"/>
            <w:r>
              <w:rPr>
                <w:rFonts w:ascii="times new roman" w:hAnsi="times new roman"/>
                <w:sz w:val="20"/>
              </w:rPr>
              <w:t>73,637</w:t>
            </w:r>
          </w:p>
        </w:tc>
        <w:tc>
          <w:tcPr>
            <w:tcW w:w="121" w:type="dxa"/>
            <w:tcBorders/>
            <w:shd w:fill="CCEEFF" w:val="clear"/>
            <w:vAlign w:val="bottom"/>
          </w:tcPr>
          <w:p>
            <w:pPr>
              <w:pStyle w:val="TableContents"/>
              <w:spacing w:before="0" w:after="283"/>
              <w:jc w:val="left"/>
              <w:rPr/>
            </w:pPr>
            <w:r>
              <w:rPr/>
              <w:t> </w:t>
            </w:r>
          </w:p>
        </w:tc>
      </w:tr>
      <w:tr>
        <w:trPr/>
        <w:tc>
          <w:tcPr>
            <w:tcW w:w="7445"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New Zealand</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3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36,278</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3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33,869</w:t>
            </w:r>
          </w:p>
        </w:tc>
        <w:tc>
          <w:tcPr>
            <w:tcW w:w="121" w:type="dxa"/>
            <w:tcBorders/>
            <w:shd w:fill="FFFFFF" w:val="clear"/>
            <w:vAlign w:val="bottom"/>
          </w:tcPr>
          <w:p>
            <w:pPr>
              <w:pStyle w:val="TableContents"/>
              <w:spacing w:before="0" w:after="283"/>
              <w:jc w:val="left"/>
              <w:rPr/>
            </w:pPr>
            <w:r>
              <w:rPr/>
              <w:t> </w:t>
            </w:r>
          </w:p>
        </w:tc>
      </w:tr>
      <w:tr>
        <w:trPr/>
        <w:tc>
          <w:tcPr>
            <w:tcW w:w="7445"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United States</w:t>
            </w:r>
          </w:p>
        </w:tc>
        <w:tc>
          <w:tcPr>
            <w:tcW w:w="109"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62,553</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66,156</w:t>
            </w:r>
          </w:p>
        </w:tc>
        <w:tc>
          <w:tcPr>
            <w:tcW w:w="121" w:type="dxa"/>
            <w:tcBorders/>
            <w:shd w:fill="CCEEFF" w:val="clear"/>
            <w:vAlign w:val="bottom"/>
          </w:tcPr>
          <w:p>
            <w:pPr>
              <w:pStyle w:val="TableContents"/>
              <w:spacing w:before="0" w:after="283"/>
              <w:jc w:val="left"/>
              <w:rPr/>
            </w:pPr>
            <w:r>
              <w:rPr/>
              <w:t> </w:t>
            </w:r>
          </w:p>
        </w:tc>
      </w:tr>
      <w:tr>
        <w:trPr/>
        <w:tc>
          <w:tcPr>
            <w:tcW w:w="7445" w:type="dxa"/>
            <w:tcBorders>
              <w:bottom w:val="double" w:sz="8"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property and equipment</w:t>
            </w:r>
          </w:p>
        </w:tc>
        <w:tc>
          <w:tcPr>
            <w:tcW w:w="109"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bottom w:val="double" w:sz="8" w:space="0" w:color="000000"/>
            </w:tcBorders>
            <w:shd w:fill="FFFFFF" w:val="clear"/>
            <w:tcMar>
              <w:bottom w:w="28" w:type="dxa"/>
            </w:tcMar>
            <w:vAlign w:val="bottom"/>
          </w:tcPr>
          <w:p>
            <w:pPr>
              <w:pStyle w:val="TableContents"/>
              <w:spacing w:before="0" w:after="283"/>
              <w:ind w:left="104" w:right="0" w:hanging="0"/>
              <w:jc w:val="right"/>
              <w:rPr>
                <w:rFonts w:ascii="times new roman" w:hAnsi="times new roman"/>
                <w:sz w:val="20"/>
              </w:rPr>
            </w:pPr>
            <w:bookmarkStart w:id="2907" w:name="TAB11482"/>
            <w:bookmarkEnd w:id="2907"/>
            <w:r>
              <w:rPr>
                <w:rFonts w:ascii="times new roman" w:hAnsi="times new roman"/>
                <w:sz w:val="20"/>
              </w:rPr>
              <w:t>200,749</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bottom w:val="double" w:sz="8" w:space="0" w:color="000000"/>
            </w:tcBorders>
            <w:shd w:fill="FFFFFF" w:val="clear"/>
            <w:tcMar>
              <w:bottom w:w="28" w:type="dxa"/>
            </w:tcMar>
            <w:vAlign w:val="bottom"/>
          </w:tcPr>
          <w:p>
            <w:pPr>
              <w:pStyle w:val="TableContents"/>
              <w:spacing w:before="0" w:after="283"/>
              <w:ind w:left="104" w:right="0" w:hanging="0"/>
              <w:jc w:val="right"/>
              <w:rPr>
                <w:rFonts w:ascii="times new roman" w:hAnsi="times new roman"/>
                <w:sz w:val="20"/>
              </w:rPr>
            </w:pPr>
            <w:bookmarkStart w:id="2908" w:name="TAB11483"/>
            <w:bookmarkEnd w:id="2908"/>
            <w:r>
              <w:rPr>
                <w:rFonts w:ascii="times new roman" w:hAnsi="times new roman"/>
                <w:sz w:val="20"/>
              </w:rPr>
              <w:t>173,662</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our revenue by geographical area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092"/>
        <w:gridCol w:w="108"/>
        <w:gridCol w:w="127"/>
        <w:gridCol w:w="1024"/>
        <w:gridCol w:w="108"/>
        <w:gridCol w:w="108"/>
        <w:gridCol w:w="127"/>
        <w:gridCol w:w="1024"/>
        <w:gridCol w:w="108"/>
        <w:gridCol w:w="108"/>
        <w:gridCol w:w="126"/>
        <w:gridCol w:w="1024"/>
        <w:gridCol w:w="121"/>
      </w:tblGrid>
      <w:tr>
        <w:trPr/>
        <w:tc>
          <w:tcPr>
            <w:tcW w:w="6092"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3884"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1" w:type="dxa"/>
            <w:tcBorders/>
            <w:shd w:fill="auto" w:val="clear"/>
            <w:vAlign w:val="bottom"/>
          </w:tcPr>
          <w:p>
            <w:pPr>
              <w:pStyle w:val="TableContents"/>
              <w:spacing w:before="0" w:after="283"/>
              <w:jc w:val="left"/>
              <w:rPr/>
            </w:pPr>
            <w:r>
              <w:rPr/>
              <w:t> </w:t>
            </w:r>
          </w:p>
        </w:tc>
      </w:tr>
      <w:tr>
        <w:trPr/>
        <w:tc>
          <w:tcPr>
            <w:tcW w:w="6092"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5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5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5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1" w:type="dxa"/>
            <w:tcBorders/>
            <w:shd w:fill="auto" w:val="clear"/>
            <w:vAlign w:val="bottom"/>
          </w:tcPr>
          <w:p>
            <w:pPr>
              <w:pStyle w:val="TableContents"/>
              <w:spacing w:before="0" w:after="283"/>
              <w:jc w:val="left"/>
              <w:rPr/>
            </w:pPr>
            <w:r>
              <w:rPr/>
              <w:t> </w:t>
            </w:r>
          </w:p>
        </w:tc>
      </w:tr>
      <w:tr>
        <w:trPr/>
        <w:tc>
          <w:tcPr>
            <w:tcW w:w="609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Australia</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spacing w:before="0" w:after="283"/>
              <w:ind w:left="43" w:right="0" w:hanging="0"/>
              <w:jc w:val="right"/>
              <w:rPr>
                <w:rFonts w:ascii="times new roman" w:hAnsi="times new roman"/>
                <w:sz w:val="20"/>
              </w:rPr>
            </w:pPr>
            <w:bookmarkStart w:id="2909" w:name="TAB11484"/>
            <w:bookmarkEnd w:id="2909"/>
            <w:r>
              <w:rPr>
                <w:rFonts w:ascii="times new roman" w:hAnsi="times new roman"/>
                <w:sz w:val="20"/>
              </w:rPr>
              <w:t>80,848</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spacing w:before="0" w:after="283"/>
              <w:ind w:left="158" w:right="0" w:hanging="0"/>
              <w:jc w:val="right"/>
              <w:rPr>
                <w:rFonts w:ascii="times new roman" w:hAnsi="times new roman"/>
                <w:sz w:val="20"/>
              </w:rPr>
            </w:pPr>
            <w:bookmarkStart w:id="2910" w:name="TAB11485"/>
            <w:bookmarkEnd w:id="2910"/>
            <w:r>
              <w:rPr>
                <w:rFonts w:ascii="times new roman" w:hAnsi="times new roman"/>
                <w:sz w:val="20"/>
              </w:rPr>
              <w:t>73,527</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spacing w:before="0" w:after="283"/>
              <w:ind w:left="158" w:right="0" w:hanging="0"/>
              <w:jc w:val="right"/>
              <w:rPr>
                <w:rFonts w:ascii="times new roman" w:hAnsi="times new roman"/>
                <w:sz w:val="20"/>
              </w:rPr>
            </w:pPr>
            <w:bookmarkStart w:id="2911" w:name="TAB11486"/>
            <w:bookmarkEnd w:id="2911"/>
            <w:r>
              <w:rPr>
                <w:rFonts w:ascii="times new roman" w:hAnsi="times new roman"/>
                <w:sz w:val="20"/>
              </w:rPr>
              <w:t>63,657</w:t>
            </w:r>
          </w:p>
        </w:tc>
        <w:tc>
          <w:tcPr>
            <w:tcW w:w="121" w:type="dxa"/>
            <w:tcBorders/>
            <w:shd w:fill="CCEEFF" w:val="clear"/>
            <w:vAlign w:val="bottom"/>
          </w:tcPr>
          <w:p>
            <w:pPr>
              <w:pStyle w:val="TableContents"/>
              <w:spacing w:before="0" w:after="283"/>
              <w:jc w:val="left"/>
              <w:rPr/>
            </w:pPr>
            <w:r>
              <w:rPr/>
              <w:t> </w:t>
            </w:r>
          </w:p>
        </w:tc>
      </w:tr>
      <w:tr>
        <w:trPr/>
        <w:tc>
          <w:tcPr>
            <w:tcW w:w="609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New Zealand</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22,775</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23,739</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24,371</w:t>
            </w:r>
          </w:p>
        </w:tc>
        <w:tc>
          <w:tcPr>
            <w:tcW w:w="121" w:type="dxa"/>
            <w:tcBorders/>
            <w:shd w:fill="FFFFFF" w:val="clear"/>
            <w:vAlign w:val="bottom"/>
          </w:tcPr>
          <w:p>
            <w:pPr>
              <w:pStyle w:val="TableContents"/>
              <w:spacing w:before="0" w:after="283"/>
              <w:jc w:val="left"/>
              <w:rPr/>
            </w:pPr>
            <w:r>
              <w:rPr/>
              <w:t> </w:t>
            </w:r>
          </w:p>
        </w:tc>
      </w:tr>
      <w:tr>
        <w:trPr/>
        <w:tc>
          <w:tcPr>
            <w:tcW w:w="6092"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United States</w:t>
            </w:r>
          </w:p>
        </w:tc>
        <w:tc>
          <w:tcPr>
            <w:tcW w:w="108"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113,391</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99,788</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31,207</w:t>
            </w:r>
          </w:p>
        </w:tc>
        <w:tc>
          <w:tcPr>
            <w:tcW w:w="121" w:type="dxa"/>
            <w:tcBorders/>
            <w:shd w:fill="CCEEFF" w:val="clear"/>
            <w:vAlign w:val="bottom"/>
          </w:tcPr>
          <w:p>
            <w:pPr>
              <w:pStyle w:val="TableContents"/>
              <w:spacing w:before="0" w:after="283"/>
              <w:jc w:val="left"/>
              <w:rPr/>
            </w:pPr>
            <w:r>
              <w:rPr/>
              <w:t> </w:t>
            </w:r>
          </w:p>
        </w:tc>
      </w:tr>
      <w:tr>
        <w:trPr/>
        <w:tc>
          <w:tcPr>
            <w:tcW w:w="6092" w:type="dxa"/>
            <w:tcBorders>
              <w:bottom w:val="double" w:sz="8"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Revenue</w:t>
            </w:r>
          </w:p>
        </w:tc>
        <w:tc>
          <w:tcPr>
            <w:tcW w:w="108"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ind w:left="43" w:right="0" w:hanging="0"/>
              <w:jc w:val="right"/>
              <w:rPr>
                <w:rFonts w:ascii="times new roman" w:hAnsi="times new roman"/>
                <w:sz w:val="20"/>
              </w:rPr>
            </w:pPr>
            <w:bookmarkStart w:id="2912" w:name="TAB11487"/>
            <w:bookmarkEnd w:id="2912"/>
            <w:r>
              <w:rPr>
                <w:rFonts w:ascii="times new roman" w:hAnsi="times new roman"/>
                <w:sz w:val="20"/>
              </w:rPr>
              <w:t>217,014</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ind w:left="158" w:right="0" w:hanging="0"/>
              <w:jc w:val="right"/>
              <w:rPr>
                <w:rFonts w:ascii="times new roman" w:hAnsi="times new roman"/>
                <w:sz w:val="20"/>
              </w:rPr>
            </w:pPr>
            <w:bookmarkStart w:id="2913" w:name="TAB11488"/>
            <w:bookmarkEnd w:id="2913"/>
            <w:r>
              <w:rPr>
                <w:rFonts w:ascii="times new roman" w:hAnsi="times new roman"/>
                <w:sz w:val="20"/>
              </w:rPr>
              <w:t>197,054</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ind w:left="158" w:right="0" w:hanging="0"/>
              <w:jc w:val="right"/>
              <w:rPr>
                <w:rFonts w:ascii="times new roman" w:hAnsi="times new roman"/>
                <w:sz w:val="20"/>
              </w:rPr>
            </w:pPr>
            <w:bookmarkStart w:id="2914" w:name="TAB11489"/>
            <w:bookmarkEnd w:id="2914"/>
            <w:r>
              <w:rPr>
                <w:rFonts w:ascii="times new roman" w:hAnsi="times new roman"/>
                <w:sz w:val="20"/>
              </w:rPr>
              <w:t>119,235</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23 – Unaudited Quarterly Financial Information (dollars in thousands, except per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867"/>
        <w:gridCol w:w="107"/>
        <w:gridCol w:w="127"/>
        <w:gridCol w:w="982"/>
        <w:gridCol w:w="113"/>
        <w:gridCol w:w="107"/>
        <w:gridCol w:w="127"/>
        <w:gridCol w:w="982"/>
        <w:gridCol w:w="107"/>
        <w:gridCol w:w="107"/>
        <w:gridCol w:w="127"/>
        <w:gridCol w:w="982"/>
        <w:gridCol w:w="113"/>
        <w:gridCol w:w="107"/>
        <w:gridCol w:w="127"/>
        <w:gridCol w:w="1001"/>
        <w:gridCol w:w="122"/>
      </w:tblGrid>
      <w:tr>
        <w:trPr/>
        <w:tc>
          <w:tcPr>
            <w:tcW w:w="486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10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First</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0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Second</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0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Third(1)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Fourth(1)</w:t>
            </w:r>
          </w:p>
        </w:tc>
        <w:tc>
          <w:tcPr>
            <w:tcW w:w="122" w:type="dxa"/>
            <w:tcBorders/>
            <w:shd w:fill="auto" w:val="clear"/>
            <w:vAlign w:val="bottom"/>
          </w:tcPr>
          <w:p>
            <w:pPr>
              <w:pStyle w:val="TableContents"/>
              <w:spacing w:before="0" w:after="283"/>
              <w:jc w:val="left"/>
              <w:rPr/>
            </w:pPr>
            <w:r>
              <w:rPr/>
              <w:t> </w:t>
            </w:r>
          </w:p>
        </w:tc>
      </w:tr>
      <w:tr>
        <w:trPr/>
        <w:tc>
          <w:tcPr>
            <w:tcW w:w="4867" w:type="dxa"/>
            <w:tcBorders>
              <w:bottom w:val="double" w:sz="8" w:space="0" w:color="000000"/>
            </w:tcBorders>
            <w:shd w:fill="auto" w:val="clear"/>
            <w:tcMar>
              <w:bottom w:w="28" w:type="dxa"/>
            </w:tcM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2009</w:t>
            </w:r>
          </w:p>
        </w:tc>
        <w:tc>
          <w:tcPr>
            <w:tcW w:w="107" w:type="dxa"/>
            <w:tcBorders/>
            <w:shd w:fill="auto" w:val="clear"/>
            <w:vAlign w:val="bottom"/>
          </w:tcPr>
          <w:p>
            <w:pPr>
              <w:pStyle w:val="TableContents"/>
              <w:spacing w:before="0" w:after="283"/>
              <w:rPr/>
            </w:pPr>
            <w:r>
              <w:rPr/>
              <w:t> </w:t>
            </w:r>
          </w:p>
        </w:tc>
        <w:tc>
          <w:tcPr>
            <w:tcW w:w="110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0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0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2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w:t>
            </w:r>
          </w:p>
        </w:tc>
        <w:tc>
          <w:tcPr>
            <w:tcW w:w="122" w:type="dxa"/>
            <w:tcBorders/>
            <w:shd w:fill="auto" w:val="clear"/>
            <w:vAlign w:val="bottom"/>
          </w:tcPr>
          <w:p>
            <w:pPr>
              <w:pStyle w:val="TableContents"/>
              <w:spacing w:before="0" w:after="283"/>
              <w:jc w:val="left"/>
              <w:rPr/>
            </w:pPr>
            <w:r>
              <w:rPr/>
              <w:t> </w:t>
            </w:r>
          </w:p>
        </w:tc>
      </w:tr>
      <w:tr>
        <w:trPr/>
        <w:tc>
          <w:tcPr>
            <w:tcW w:w="4867"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Revenue</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15" w:name="TAB11490"/>
            <w:bookmarkEnd w:id="2915"/>
            <w:r>
              <w:rPr>
                <w:rFonts w:ascii="times new roman" w:hAnsi="times new roman"/>
                <w:sz w:val="20"/>
              </w:rPr>
              <w:t>47,078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16" w:name="TAB11491"/>
            <w:bookmarkEnd w:id="2916"/>
            <w:r>
              <w:rPr>
                <w:rFonts w:ascii="times new roman" w:hAnsi="times new roman"/>
                <w:sz w:val="20"/>
              </w:rPr>
              <w:t>54,422</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17" w:name="TAB11492"/>
            <w:bookmarkEnd w:id="2917"/>
            <w:r>
              <w:rPr>
                <w:rFonts w:ascii="times new roman" w:hAnsi="times new roman"/>
                <w:sz w:val="20"/>
              </w:rPr>
              <w:t>56,067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ind w:left="72" w:right="0" w:hanging="0"/>
              <w:jc w:val="right"/>
              <w:rPr>
                <w:rFonts w:ascii="times new roman" w:hAnsi="times new roman"/>
                <w:sz w:val="20"/>
              </w:rPr>
            </w:pPr>
            <w:bookmarkStart w:id="2918" w:name="TAB11493"/>
            <w:bookmarkEnd w:id="2918"/>
            <w:r>
              <w:rPr>
                <w:rFonts w:ascii="times new roman" w:hAnsi="times new roman"/>
                <w:sz w:val="20"/>
              </w:rPr>
              <w:t>59,447</w:t>
            </w:r>
          </w:p>
        </w:tc>
        <w:tc>
          <w:tcPr>
            <w:tcW w:w="122" w:type="dxa"/>
            <w:tcBorders/>
            <w:shd w:fill="CCEEFF" w:val="clear"/>
            <w:vAlign w:val="bottom"/>
          </w:tcPr>
          <w:p>
            <w:pPr>
              <w:pStyle w:val="TableContents"/>
              <w:spacing w:before="0" w:after="283"/>
              <w:jc w:val="left"/>
              <w:rPr/>
            </w:pPr>
            <w:r>
              <w:rPr/>
              <w:t> </w:t>
            </w:r>
          </w:p>
        </w:tc>
      </w:tr>
      <w:tr>
        <w:trPr/>
        <w:tc>
          <w:tcPr>
            <w:tcW w:w="48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19" w:name="TAB11494"/>
            <w:bookmarkEnd w:id="2919"/>
            <w:r>
              <w:rPr>
                <w:rFonts w:ascii="times new roman" w:hAnsi="times new roman"/>
                <w:sz w:val="20"/>
              </w:rPr>
              <w:t>(3,155</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20" w:name="TAB11495"/>
            <w:bookmarkEnd w:id="2920"/>
            <w:r>
              <w:rPr>
                <w:rFonts w:ascii="times new roman" w:hAnsi="times new roman"/>
                <w:sz w:val="20"/>
              </w:rPr>
              <w:t>9,980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21" w:name="TAB11496"/>
            <w:bookmarkEnd w:id="2921"/>
            <w:r>
              <w:rPr>
                <w:rFonts w:ascii="times new roman" w:hAnsi="times new roman"/>
                <w:sz w:val="20"/>
              </w:rPr>
              <w:t>3,276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FFFFFF" w:val="clear"/>
            <w:vAlign w:val="bottom"/>
          </w:tcPr>
          <w:p>
            <w:pPr>
              <w:pStyle w:val="TableContents"/>
              <w:spacing w:before="0" w:after="283"/>
              <w:ind w:left="72" w:right="0" w:hanging="0"/>
              <w:jc w:val="right"/>
              <w:rPr>
                <w:rFonts w:ascii="times new roman" w:hAnsi="times new roman"/>
                <w:sz w:val="20"/>
              </w:rPr>
            </w:pPr>
            <w:bookmarkStart w:id="2922" w:name="TAB11497"/>
            <w:bookmarkEnd w:id="2922"/>
            <w:r>
              <w:rPr>
                <w:rFonts w:ascii="times new roman" w:hAnsi="times new roman"/>
                <w:sz w:val="20"/>
              </w:rPr>
              <w:t>(3,619</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67"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income (loss) attributable to Reading International, Inc. shareholders</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23" w:name="TAB11498"/>
            <w:bookmarkEnd w:id="2923"/>
            <w:r>
              <w:rPr>
                <w:rFonts w:ascii="times new roman" w:hAnsi="times new roman"/>
                <w:sz w:val="20"/>
              </w:rPr>
              <w:t>(3,393</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24" w:name="TAB11499"/>
            <w:bookmarkEnd w:id="2924"/>
            <w:r>
              <w:rPr>
                <w:rFonts w:ascii="times new roman" w:hAnsi="times new roman"/>
                <w:sz w:val="20"/>
              </w:rPr>
              <w:t>9,890</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25" w:name="TAB11500"/>
            <w:bookmarkEnd w:id="2925"/>
            <w:r>
              <w:rPr>
                <w:rFonts w:ascii="times new roman" w:hAnsi="times new roman"/>
                <w:sz w:val="20"/>
              </w:rPr>
              <w:t>3,143</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ind w:left="72" w:right="0" w:hanging="0"/>
              <w:jc w:val="right"/>
              <w:rPr>
                <w:rFonts w:ascii="times new roman" w:hAnsi="times new roman"/>
                <w:sz w:val="20"/>
              </w:rPr>
            </w:pPr>
            <w:bookmarkStart w:id="2926" w:name="TAB11501"/>
            <w:bookmarkEnd w:id="2926"/>
            <w:r>
              <w:rPr>
                <w:rFonts w:ascii="times new roman" w:hAnsi="times new roman"/>
                <w:sz w:val="20"/>
              </w:rPr>
              <w:t>(3,546</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67" w:type="dxa"/>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Basic earnings (loss) per share</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27" w:name="TAB11502"/>
            <w:bookmarkEnd w:id="2927"/>
            <w:r>
              <w:rPr>
                <w:rFonts w:ascii="times new roman" w:hAnsi="times new roman"/>
                <w:sz w:val="20"/>
              </w:rPr>
              <w:t>(0.15</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28" w:name="TAB11503"/>
            <w:bookmarkEnd w:id="2928"/>
            <w:r>
              <w:rPr>
                <w:rFonts w:ascii="times new roman" w:hAnsi="times new roman"/>
                <w:sz w:val="20"/>
              </w:rPr>
              <w:t>0.44</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29" w:name="TAB11504"/>
            <w:bookmarkEnd w:id="2929"/>
            <w:r>
              <w:rPr>
                <w:rFonts w:ascii="times new roman" w:hAnsi="times new roman"/>
                <w:sz w:val="20"/>
              </w:rPr>
              <w:t>0.14</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FFFFFF" w:val="clear"/>
            <w:vAlign w:val="bottom"/>
          </w:tcPr>
          <w:p>
            <w:pPr>
              <w:pStyle w:val="TableContents"/>
              <w:spacing w:before="0" w:after="283"/>
              <w:ind w:left="72" w:right="0" w:hanging="0"/>
              <w:jc w:val="right"/>
              <w:rPr>
                <w:rFonts w:ascii="times new roman" w:hAnsi="times new roman"/>
                <w:sz w:val="20"/>
              </w:rPr>
            </w:pPr>
            <w:bookmarkStart w:id="2930" w:name="TAB11505"/>
            <w:bookmarkEnd w:id="2930"/>
            <w:r>
              <w:rPr>
                <w:rFonts w:ascii="times new roman" w:hAnsi="times new roman"/>
                <w:sz w:val="20"/>
              </w:rPr>
              <w:t>(0.16</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67"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Diluted earnings (loss) per share</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31" w:name="TAB11506"/>
            <w:bookmarkEnd w:id="2931"/>
            <w:r>
              <w:rPr>
                <w:rFonts w:ascii="times new roman" w:hAnsi="times new roman"/>
                <w:sz w:val="20"/>
              </w:rPr>
              <w:t>(0.15</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32" w:name="TAB11507"/>
            <w:bookmarkEnd w:id="2932"/>
            <w:r>
              <w:rPr>
                <w:rFonts w:ascii="times new roman" w:hAnsi="times new roman"/>
                <w:sz w:val="20"/>
              </w:rPr>
              <w:t>0.44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33" w:name="TAB11508"/>
            <w:bookmarkEnd w:id="2933"/>
            <w:r>
              <w:rPr>
                <w:rFonts w:ascii="times new roman" w:hAnsi="times new roman"/>
                <w:sz w:val="20"/>
              </w:rPr>
              <w:t>0.14</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ind w:left="72" w:right="0" w:hanging="0"/>
              <w:jc w:val="right"/>
              <w:rPr>
                <w:rFonts w:ascii="times new roman" w:hAnsi="times new roman"/>
                <w:sz w:val="20"/>
              </w:rPr>
            </w:pPr>
            <w:bookmarkStart w:id="2934" w:name="TAB11509"/>
            <w:bookmarkEnd w:id="2934"/>
            <w:r>
              <w:rPr>
                <w:rFonts w:ascii="times new roman" w:hAnsi="times new roman"/>
                <w:sz w:val="20"/>
              </w:rPr>
              <w:t>(0.16</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67"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4867" w:type="dxa"/>
            <w:tcBorders>
              <w:bottom w:val="double" w:sz="8" w:space="0" w:color="000000"/>
            </w:tcBorders>
            <w:shd w:fill="FFFFFF" w:val="clear"/>
            <w:tcMar>
              <w:bottom w:w="28" w:type="dxa"/>
            </w:tcM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2008</w:t>
            </w:r>
          </w:p>
        </w:tc>
        <w:tc>
          <w:tcPr>
            <w:tcW w:w="107"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4867"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Revenue</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35" w:name="TAB11510"/>
            <w:bookmarkEnd w:id="2935"/>
            <w:r>
              <w:rPr>
                <w:rFonts w:ascii="times new roman" w:hAnsi="times new roman"/>
                <w:sz w:val="20"/>
              </w:rPr>
              <w:t>39,726</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36" w:name="TAB11511"/>
            <w:bookmarkEnd w:id="2936"/>
            <w:r>
              <w:rPr>
                <w:rFonts w:ascii="times new roman" w:hAnsi="times new roman"/>
                <w:sz w:val="20"/>
              </w:rPr>
              <w:t>53,752</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37" w:name="TAB11512"/>
            <w:bookmarkEnd w:id="2937"/>
            <w:r>
              <w:rPr>
                <w:rFonts w:ascii="times new roman" w:hAnsi="times new roman"/>
                <w:sz w:val="20"/>
              </w:rPr>
              <w:t>57,891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ind w:left="72" w:right="0" w:hanging="0"/>
              <w:jc w:val="right"/>
              <w:rPr>
                <w:rFonts w:ascii="times new roman" w:hAnsi="times new roman"/>
                <w:sz w:val="20"/>
              </w:rPr>
            </w:pPr>
            <w:bookmarkStart w:id="2938" w:name="TAB11513"/>
            <w:bookmarkEnd w:id="2938"/>
            <w:r>
              <w:rPr>
                <w:rFonts w:ascii="times new roman" w:hAnsi="times new roman"/>
                <w:sz w:val="20"/>
              </w:rPr>
              <w:t>45,685</w:t>
            </w:r>
          </w:p>
        </w:tc>
        <w:tc>
          <w:tcPr>
            <w:tcW w:w="122" w:type="dxa"/>
            <w:tcBorders/>
            <w:shd w:fill="CCEEFF" w:val="clear"/>
            <w:vAlign w:val="bottom"/>
          </w:tcPr>
          <w:p>
            <w:pPr>
              <w:pStyle w:val="TableContents"/>
              <w:spacing w:before="0" w:after="283"/>
              <w:jc w:val="left"/>
              <w:rPr/>
            </w:pPr>
            <w:r>
              <w:rPr/>
              <w:t> </w:t>
            </w:r>
          </w:p>
        </w:tc>
      </w:tr>
      <w:tr>
        <w:trPr/>
        <w:tc>
          <w:tcPr>
            <w:tcW w:w="48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39" w:name="TAB11514"/>
            <w:bookmarkEnd w:id="2939"/>
            <w:r>
              <w:rPr>
                <w:rFonts w:ascii="times new roman" w:hAnsi="times new roman"/>
                <w:sz w:val="20"/>
              </w:rPr>
              <w:t>116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40" w:name="TAB11515"/>
            <w:bookmarkEnd w:id="2940"/>
            <w:r>
              <w:rPr>
                <w:rFonts w:ascii="times new roman" w:hAnsi="times new roman"/>
                <w:sz w:val="20"/>
              </w:rPr>
              <w:t>102</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41" w:name="TAB11516"/>
            <w:bookmarkEnd w:id="2941"/>
            <w:r>
              <w:rPr>
                <w:rFonts w:ascii="times new roman" w:hAnsi="times new roman"/>
                <w:sz w:val="20"/>
              </w:rPr>
              <w:t>(1,977</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FFFFFF" w:val="clear"/>
            <w:vAlign w:val="bottom"/>
          </w:tcPr>
          <w:p>
            <w:pPr>
              <w:pStyle w:val="TableContents"/>
              <w:spacing w:before="0" w:after="283"/>
              <w:ind w:left="72" w:right="0" w:hanging="0"/>
              <w:jc w:val="right"/>
              <w:rPr>
                <w:rFonts w:ascii="times new roman" w:hAnsi="times new roman"/>
                <w:sz w:val="20"/>
              </w:rPr>
            </w:pPr>
            <w:bookmarkStart w:id="2942" w:name="TAB11517"/>
            <w:bookmarkEnd w:id="2942"/>
            <w:r>
              <w:rPr>
                <w:rFonts w:ascii="times new roman" w:hAnsi="times new roman"/>
                <w:sz w:val="20"/>
              </w:rPr>
              <w:t>(14,430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67"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Net income (loss) attributable to Reading International, Inc. shareholders</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43" w:name="TAB11518"/>
            <w:bookmarkEnd w:id="2943"/>
            <w:r>
              <w:rPr>
                <w:rFonts w:ascii="times new roman" w:hAnsi="times new roman"/>
                <w:sz w:val="20"/>
              </w:rPr>
              <w:t>(226</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44" w:name="TAB11519"/>
            <w:bookmarkEnd w:id="2944"/>
            <w:r>
              <w:rPr>
                <w:rFonts w:ascii="times new roman" w:hAnsi="times new roman"/>
                <w:sz w:val="20"/>
              </w:rPr>
              <w:t>284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45" w:name="TAB11520"/>
            <w:bookmarkEnd w:id="2945"/>
            <w:r>
              <w:rPr>
                <w:rFonts w:ascii="times new roman" w:hAnsi="times new roman"/>
                <w:sz w:val="20"/>
              </w:rPr>
              <w:t>(2,061</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ind w:left="72" w:right="0" w:hanging="0"/>
              <w:jc w:val="right"/>
              <w:rPr>
                <w:rFonts w:ascii="times new roman" w:hAnsi="times new roman"/>
                <w:sz w:val="20"/>
              </w:rPr>
            </w:pPr>
            <w:bookmarkStart w:id="2946" w:name="TAB11521"/>
            <w:bookmarkEnd w:id="2946"/>
            <w:r>
              <w:rPr>
                <w:rFonts w:ascii="times new roman" w:hAnsi="times new roman"/>
                <w:sz w:val="20"/>
              </w:rPr>
              <w:t>(14,806</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67" w:type="dxa"/>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Basic earnings (loss) per share</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47" w:name="TAB11522"/>
            <w:bookmarkEnd w:id="2947"/>
            <w:r>
              <w:rPr>
                <w:rFonts w:ascii="times new roman" w:hAnsi="times new roman"/>
                <w:sz w:val="20"/>
              </w:rPr>
              <w:t>(0.01</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48" w:name="TAB11523"/>
            <w:bookmarkEnd w:id="2948"/>
            <w:r>
              <w:rPr>
                <w:rFonts w:ascii="times new roman" w:hAnsi="times new roman"/>
                <w:sz w:val="20"/>
              </w:rPr>
              <w:t>0.01</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FFFFFF" w:val="clear"/>
            <w:vAlign w:val="bottom"/>
          </w:tcPr>
          <w:p>
            <w:pPr>
              <w:pStyle w:val="TableContents"/>
              <w:spacing w:before="0" w:after="283"/>
              <w:ind w:left="72" w:right="0" w:hanging="0"/>
              <w:jc w:val="right"/>
              <w:rPr>
                <w:rFonts w:ascii="times new roman" w:hAnsi="times new roman"/>
                <w:sz w:val="20"/>
              </w:rPr>
            </w:pPr>
            <w:bookmarkStart w:id="2949" w:name="TAB11524"/>
            <w:bookmarkEnd w:id="2949"/>
            <w:r>
              <w:rPr>
                <w:rFonts w:ascii="times new roman" w:hAnsi="times new roman"/>
                <w:sz w:val="20"/>
              </w:rPr>
              <w:t>(0.09</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FFFFFF" w:val="clear"/>
            <w:vAlign w:val="bottom"/>
          </w:tcPr>
          <w:p>
            <w:pPr>
              <w:pStyle w:val="TableContents"/>
              <w:spacing w:before="0" w:after="283"/>
              <w:ind w:left="72" w:right="0" w:hanging="0"/>
              <w:jc w:val="right"/>
              <w:rPr>
                <w:rFonts w:ascii="times new roman" w:hAnsi="times new roman"/>
                <w:sz w:val="20"/>
              </w:rPr>
            </w:pPr>
            <w:bookmarkStart w:id="2950" w:name="TAB11525"/>
            <w:bookmarkEnd w:id="2950"/>
            <w:r>
              <w:rPr>
                <w:rFonts w:ascii="times new roman" w:hAnsi="times new roman"/>
                <w:sz w:val="20"/>
              </w:rPr>
              <w:t>(0.66</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67" w:type="dxa"/>
            <w:tcBorders/>
            <w:shd w:fill="CCEE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Diluted earnings (loss) per share</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51" w:name="TAB11526"/>
            <w:bookmarkEnd w:id="2951"/>
            <w:r>
              <w:rPr>
                <w:rFonts w:ascii="times new roman" w:hAnsi="times new roman"/>
                <w:sz w:val="20"/>
              </w:rPr>
              <w:t>(0.01</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52" w:name="TAB11527"/>
            <w:bookmarkEnd w:id="2952"/>
            <w:r>
              <w:rPr>
                <w:rFonts w:ascii="times new roman" w:hAnsi="times new roman"/>
                <w:sz w:val="20"/>
              </w:rPr>
              <w:t>0.01</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ind w:left="72" w:right="0" w:hanging="0"/>
              <w:jc w:val="right"/>
              <w:rPr>
                <w:rFonts w:ascii="times new roman" w:hAnsi="times new roman"/>
                <w:sz w:val="20"/>
              </w:rPr>
            </w:pPr>
            <w:bookmarkStart w:id="2953" w:name="TAB11528"/>
            <w:bookmarkEnd w:id="2953"/>
            <w:r>
              <w:rPr>
                <w:rFonts w:ascii="times new roman" w:hAnsi="times new roman"/>
                <w:sz w:val="20"/>
              </w:rPr>
              <w:t>(0.09</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ind w:left="72" w:right="0" w:hanging="0"/>
              <w:jc w:val="right"/>
              <w:rPr>
                <w:rFonts w:ascii="times new roman" w:hAnsi="times new roman"/>
                <w:sz w:val="20"/>
              </w:rPr>
            </w:pPr>
            <w:bookmarkStart w:id="2954" w:name="TAB11529"/>
            <w:bookmarkEnd w:id="2954"/>
            <w:r>
              <w:rPr>
                <w:rFonts w:ascii="times new roman" w:hAnsi="times new roman"/>
                <w:sz w:val="20"/>
              </w:rPr>
              <w:t>(0.66</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out of period adjustments noted in Note 2 – </w:t>
      </w:r>
      <w:r>
        <w:rPr>
          <w:rFonts w:ascii="Times New Roman" w:hAnsi="Times New Roman"/>
          <w:i/>
          <w:sz w:val="20"/>
        </w:rPr>
        <w:t>Summary of Significant Accounting Policies</w:t>
      </w:r>
      <w:r>
        <w:rPr>
          <w:rFonts w:ascii="Times New Roman" w:hAnsi="Times New Roman"/>
          <w:sz w:val="20"/>
        </w:rPr>
        <w:t xml:space="preserve"> and Note 6 –</w:t>
      </w:r>
      <w:r>
        <w:rPr>
          <w:rFonts w:ascii="Times New Roman" w:hAnsi="Times New Roman"/>
          <w:i/>
          <w:sz w:val="20"/>
        </w:rPr>
        <w:t>Property Held For and Under Development</w:t>
      </w:r>
      <w:r>
        <w:rPr>
          <w:rFonts w:ascii="Times New Roman" w:hAnsi="Times New Roman"/>
          <w:sz w:val="20"/>
        </w:rPr>
        <w:t xml:space="preserve"> results in a net immaterial change to both net income (loss) and to net income (loss) attributable to Reading International, Inc. shareholders for the third and fourth quarters of 2009.</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24 - Comprehensive Income (Loss)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55" w:name="TAB11530"/>
      <w:bookmarkEnd w:id="2955"/>
      <w:r>
        <w:rPr>
          <w:rFonts w:ascii="Times New Roman" w:hAnsi="Times New Roman"/>
          <w:sz w:val="20"/>
        </w:rPr>
        <w:t>US GAAP requires us to classify unrealized gains and losses on equity securities as well as our foreign currency adjustments as comprehensive income.  The following table sets forth our comprehensive income for the periods indicated (in thousands):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56" w:name="PGBRK102"/>
      <w:bookmarkStart w:id="2957" w:name="PGBRK102"/>
      <w:bookmarkEnd w:id="29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8" w:name="FTR102"/>
      <w:bookmarkStart w:id="2959" w:name="FTR102"/>
      <w:bookmarkEnd w:id="29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60" w:name="GLFTR102"/>
      <w:bookmarkEnd w:id="29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961" w:name="PN102"/>
      <w:bookmarkEnd w:id="2961"/>
      <w:r>
        <w:rPr>
          <w:rFonts w:eastAsia="Times New Roman" w:cs="Times New Roman" w:ascii="Times New Roman" w:hAnsi="Times New Roman"/>
          <w:sz w:val="20"/>
          <w:szCs w:val="20"/>
        </w:rPr>
        <w:t>-102-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962" w:name="HDR102"/>
      <w:bookmarkStart w:id="2963" w:name="HDR102"/>
      <w:bookmarkEnd w:id="29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964" w:name="GLHDR102"/>
        <w:bookmarkEnd w:id="296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tbl>
      <w:tblPr>
        <w:tblW w:w="5000" w:type="pct"/>
        <w:jc w:val="left"/>
        <w:tblInd w:w="0" w:type="dxa"/>
        <w:tblCellMar>
          <w:top w:w="0" w:type="dxa"/>
          <w:left w:w="0" w:type="dxa"/>
          <w:bottom w:w="0" w:type="dxa"/>
          <w:right w:w="0" w:type="dxa"/>
        </w:tblCellMar>
      </w:tblPr>
      <w:tblGrid>
        <w:gridCol w:w="6181"/>
        <w:gridCol w:w="107"/>
        <w:gridCol w:w="126"/>
        <w:gridCol w:w="985"/>
        <w:gridCol w:w="113"/>
        <w:gridCol w:w="107"/>
        <w:gridCol w:w="126"/>
        <w:gridCol w:w="1003"/>
        <w:gridCol w:w="113"/>
        <w:gridCol w:w="107"/>
        <w:gridCol w:w="126"/>
        <w:gridCol w:w="985"/>
        <w:gridCol w:w="126"/>
      </w:tblGrid>
      <w:tr>
        <w:trPr/>
        <w:tc>
          <w:tcPr>
            <w:tcW w:w="6181"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3791"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Years Ended December 31,</w:t>
            </w:r>
          </w:p>
        </w:tc>
        <w:tc>
          <w:tcPr>
            <w:tcW w:w="126" w:type="dxa"/>
            <w:tcBorders/>
            <w:shd w:fill="auto" w:val="clear"/>
            <w:vAlign w:val="bottom"/>
          </w:tcPr>
          <w:p>
            <w:pPr>
              <w:pStyle w:val="TableContents"/>
              <w:spacing w:before="0" w:after="283"/>
              <w:jc w:val="left"/>
              <w:rPr/>
            </w:pPr>
            <w:r>
              <w:rPr/>
              <w:t> </w:t>
            </w:r>
          </w:p>
        </w:tc>
      </w:tr>
      <w:tr>
        <w:trPr/>
        <w:tc>
          <w:tcPr>
            <w:tcW w:w="6181"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1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6" w:type="dxa"/>
            <w:tcBorders/>
            <w:shd w:fill="auto" w:val="clear"/>
            <w:vAlign w:val="bottom"/>
          </w:tcPr>
          <w:p>
            <w:pPr>
              <w:pStyle w:val="TableContents"/>
              <w:spacing w:before="0" w:after="283"/>
              <w:jc w:val="left"/>
              <w:rPr/>
            </w:pPr>
            <w:r>
              <w:rPr/>
              <w:t> </w:t>
            </w:r>
          </w:p>
        </w:tc>
      </w:tr>
      <w:tr>
        <w:trPr/>
        <w:tc>
          <w:tcPr>
            <w:tcW w:w="6181"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unrealized gains/(losses) on investments</w:t>
            </w:r>
          </w:p>
        </w:tc>
        <w:tc>
          <w:tcPr>
            <w:tcW w:w="107"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11"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181" w:type="dxa"/>
            <w:tcBorders/>
            <w:shd w:fill="CCEEFF" w:val="clear"/>
            <w:vAlign w:val="bottom"/>
          </w:tcPr>
          <w:p>
            <w:pPr>
              <w:pStyle w:val="TableContents"/>
              <w:spacing w:before="0" w:after="0"/>
              <w:ind w:left="540" w:right="0" w:hanging="180"/>
              <w:jc w:val="both"/>
              <w:rPr>
                <w:rFonts w:ascii="times new roman" w:hAnsi="times new roman"/>
                <w:sz w:val="20"/>
              </w:rPr>
            </w:pPr>
            <w:r>
              <w:rPr>
                <w:rFonts w:ascii="times new roman" w:hAnsi="times new roman"/>
                <w:sz w:val="20"/>
              </w:rPr>
              <w:t>Reclassification of realized gain on available for sale investments included in net income (loss)</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ind w:left="162" w:right="0" w:hanging="0"/>
              <w:jc w:val="right"/>
              <w:rPr>
                <w:rFonts w:ascii="times new roman" w:hAnsi="times new roman"/>
                <w:sz w:val="20"/>
              </w:rPr>
            </w:pPr>
            <w:bookmarkStart w:id="2965" w:name="TAB11531"/>
            <w:bookmarkEnd w:id="2965"/>
            <w:r>
              <w:rPr>
                <w:rFonts w:ascii="times new roman" w:hAnsi="times new roman"/>
                <w:sz w:val="20"/>
              </w:rPr>
              <w:t>1,047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ind w:left="181" w:right="0" w:hanging="0"/>
              <w:jc w:val="right"/>
              <w:rPr>
                <w:rFonts w:ascii="times new roman" w:hAnsi="times new roman"/>
                <w:sz w:val="20"/>
              </w:rPr>
            </w:pPr>
            <w:bookmarkStart w:id="2966" w:name="TAB11532"/>
            <w:bookmarkEnd w:id="2966"/>
            <w:r>
              <w:rPr>
                <w:rFonts w:ascii="times new roman" w:hAnsi="times new roman"/>
                <w:sz w:val="20"/>
              </w:rPr>
              <w:t>607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ind w:left="162" w:right="0" w:hanging="0"/>
              <w:jc w:val="right"/>
              <w:rPr>
                <w:rFonts w:ascii="times new roman" w:hAnsi="times new roman"/>
                <w:sz w:val="20"/>
              </w:rPr>
            </w:pPr>
            <w:bookmarkStart w:id="2967" w:name="TAB11533"/>
            <w:bookmarkEnd w:id="2967"/>
            <w:r>
              <w:rPr>
                <w:rFonts w:ascii="times new roman" w:hAnsi="times new roman"/>
                <w:sz w:val="20"/>
              </w:rPr>
              <w:t>779</w:t>
            </w:r>
          </w:p>
        </w:tc>
        <w:tc>
          <w:tcPr>
            <w:tcW w:w="126" w:type="dxa"/>
            <w:tcBorders/>
            <w:shd w:fill="CCEEFF" w:val="clear"/>
            <w:vAlign w:val="bottom"/>
          </w:tcPr>
          <w:p>
            <w:pPr>
              <w:pStyle w:val="TableContents"/>
              <w:spacing w:before="0" w:after="283"/>
              <w:jc w:val="left"/>
              <w:rPr/>
            </w:pPr>
            <w:r>
              <w:rPr/>
              <w:t> </w:t>
            </w:r>
          </w:p>
        </w:tc>
      </w:tr>
      <w:tr>
        <w:trPr/>
        <w:tc>
          <w:tcPr>
            <w:tcW w:w="6181" w:type="dxa"/>
            <w:tcBorders>
              <w:bottom w:val="single" w:sz="12" w:space="0" w:color="000000"/>
            </w:tcBorders>
            <w:shd w:fill="FFFFFF" w:val="clear"/>
            <w:tcMar>
              <w:bottom w:w="28" w:type="dxa"/>
            </w:tcMar>
            <w:vAlign w:val="bottom"/>
          </w:tcPr>
          <w:p>
            <w:pPr>
              <w:pStyle w:val="TableContents"/>
              <w:spacing w:before="0" w:after="0"/>
              <w:ind w:left="360" w:right="0" w:hanging="0"/>
              <w:jc w:val="both"/>
              <w:rPr>
                <w:rFonts w:ascii="times new roman" w:hAnsi="times new roman"/>
                <w:sz w:val="20"/>
              </w:rPr>
            </w:pPr>
            <w:r>
              <w:rPr>
                <w:rFonts w:ascii="times new roman" w:hAnsi="times new roman"/>
                <w:sz w:val="20"/>
              </w:rPr>
              <w:t>Unrealized gain/(loss) on available for sale investments</w:t>
            </w:r>
          </w:p>
        </w:tc>
        <w:tc>
          <w:tcPr>
            <w:tcW w:w="107"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5" w:type="dxa"/>
            <w:tcBorders>
              <w:bottom w:val="single" w:sz="12" w:space="0" w:color="000000"/>
            </w:tcBorders>
            <w:shd w:fill="FFFFFF" w:val="clear"/>
            <w:tcMar>
              <w:bottom w:w="28" w:type="dxa"/>
            </w:tcMar>
            <w:vAlign w:val="bottom"/>
          </w:tcPr>
          <w:p>
            <w:pPr>
              <w:pStyle w:val="TableContents"/>
              <w:spacing w:before="0" w:after="283"/>
              <w:ind w:left="503" w:right="0" w:hanging="0"/>
              <w:jc w:val="right"/>
              <w:rPr>
                <w:rFonts w:ascii="times new roman" w:hAnsi="times new roman"/>
                <w:sz w:val="20"/>
              </w:rPr>
            </w:pPr>
            <w:bookmarkStart w:id="2968" w:name="TAB11534"/>
            <w:bookmarkEnd w:id="2968"/>
            <w:r>
              <w:rPr>
                <w:rFonts w:ascii="times new roman" w:hAnsi="times new roman"/>
                <w:sz w:val="20"/>
              </w:rPr>
              <w:t>(523</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ind w:left="503" w:right="0" w:hanging="0"/>
              <w:jc w:val="right"/>
              <w:rPr>
                <w:rFonts w:ascii="times new roman" w:hAnsi="times new roman"/>
                <w:sz w:val="20"/>
              </w:rPr>
            </w:pPr>
            <w:bookmarkStart w:id="2969" w:name="TAB11535"/>
            <w:bookmarkEnd w:id="2969"/>
            <w:r>
              <w:rPr>
                <w:rFonts w:ascii="times new roman" w:hAnsi="times new roman"/>
                <w:sz w:val="20"/>
              </w:rPr>
              <w:t>(628</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5" w:type="dxa"/>
            <w:tcBorders>
              <w:bottom w:val="single" w:sz="12" w:space="0" w:color="000000"/>
            </w:tcBorders>
            <w:shd w:fill="FFFFFF" w:val="clear"/>
            <w:tcMar>
              <w:bottom w:w="28" w:type="dxa"/>
            </w:tcMar>
            <w:vAlign w:val="bottom"/>
          </w:tcPr>
          <w:p>
            <w:pPr>
              <w:pStyle w:val="TableContents"/>
              <w:spacing w:before="0" w:after="283"/>
              <w:ind w:left="503" w:right="0" w:hanging="0"/>
              <w:jc w:val="right"/>
              <w:rPr>
                <w:rFonts w:ascii="times new roman" w:hAnsi="times new roman"/>
                <w:sz w:val="20"/>
              </w:rPr>
            </w:pPr>
            <w:bookmarkStart w:id="2970" w:name="TAB11536"/>
            <w:bookmarkEnd w:id="2970"/>
            <w:r>
              <w:rPr>
                <w:rFonts w:ascii="times new roman" w:hAnsi="times new roman"/>
                <w:sz w:val="20"/>
              </w:rPr>
              <w:t>(663</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81" w:type="dxa"/>
            <w:tcBorders/>
            <w:shd w:fill="CCEEFF" w:val="clear"/>
            <w:vAlign w:val="bottom"/>
          </w:tcPr>
          <w:p>
            <w:pPr>
              <w:pStyle w:val="TableContents"/>
              <w:spacing w:before="0" w:after="0"/>
              <w:ind w:left="540" w:right="0" w:hanging="0"/>
              <w:jc w:val="both"/>
              <w:rPr>
                <w:rFonts w:ascii="times new roman" w:hAnsi="times new roman"/>
                <w:sz w:val="20"/>
              </w:rPr>
            </w:pPr>
            <w:r>
              <w:rPr>
                <w:rFonts w:ascii="times new roman" w:hAnsi="times new roman"/>
                <w:sz w:val="20"/>
              </w:rPr>
              <w:t>Net unrealized gains/(losses) on investments</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ind w:left="681" w:right="0" w:hanging="0"/>
              <w:jc w:val="right"/>
              <w:rPr>
                <w:rFonts w:ascii="times new roman" w:hAnsi="times new roman"/>
                <w:sz w:val="20"/>
              </w:rPr>
            </w:pPr>
            <w:bookmarkStart w:id="2971" w:name="TAB11537"/>
            <w:bookmarkEnd w:id="2971"/>
            <w:r>
              <w:rPr>
                <w:rFonts w:ascii="times new roman" w:hAnsi="times new roman"/>
                <w:sz w:val="20"/>
              </w:rPr>
              <w:t>524</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ind w:left="636" w:right="0" w:hanging="0"/>
              <w:jc w:val="right"/>
              <w:rPr>
                <w:rFonts w:ascii="times new roman" w:hAnsi="times new roman"/>
                <w:sz w:val="20"/>
              </w:rPr>
            </w:pPr>
            <w:bookmarkStart w:id="2972" w:name="TAB11538"/>
            <w:bookmarkEnd w:id="2972"/>
            <w:r>
              <w:rPr>
                <w:rFonts w:ascii="times new roman" w:hAnsi="times new roman"/>
                <w:sz w:val="20"/>
              </w:rPr>
              <w:t>(21</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ind w:left="681" w:right="0" w:hanging="0"/>
              <w:jc w:val="right"/>
              <w:rPr>
                <w:rFonts w:ascii="times new roman" w:hAnsi="times new roman"/>
                <w:sz w:val="20"/>
              </w:rPr>
            </w:pPr>
            <w:bookmarkStart w:id="2973" w:name="TAB11539"/>
            <w:bookmarkEnd w:id="2973"/>
            <w:r>
              <w:rPr>
                <w:rFonts w:ascii="times new roman" w:hAnsi="times new roman"/>
                <w:sz w:val="20"/>
              </w:rPr>
              <w:t>116</w:t>
            </w:r>
          </w:p>
        </w:tc>
        <w:tc>
          <w:tcPr>
            <w:tcW w:w="126" w:type="dxa"/>
            <w:tcBorders/>
            <w:shd w:fill="CCEEFF" w:val="clear"/>
            <w:vAlign w:val="bottom"/>
          </w:tcPr>
          <w:p>
            <w:pPr>
              <w:pStyle w:val="TableContents"/>
              <w:spacing w:before="0" w:after="283"/>
              <w:jc w:val="left"/>
              <w:rPr/>
            </w:pPr>
            <w:r>
              <w:rPr/>
              <w:t> </w:t>
            </w:r>
          </w:p>
        </w:tc>
      </w:tr>
      <w:tr>
        <w:trPr/>
        <w:tc>
          <w:tcPr>
            <w:tcW w:w="6181"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(loss)</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85" w:type="dxa"/>
            <w:tcBorders/>
            <w:shd w:fill="FFFFFF" w:val="clear"/>
            <w:vAlign w:val="bottom"/>
          </w:tcPr>
          <w:p>
            <w:pPr>
              <w:pStyle w:val="TableContents"/>
              <w:spacing w:before="0" w:after="283"/>
              <w:ind w:left="481" w:right="0" w:hanging="0"/>
              <w:jc w:val="right"/>
              <w:rPr>
                <w:rFonts w:ascii="times new roman" w:hAnsi="times new roman"/>
                <w:sz w:val="20"/>
              </w:rPr>
            </w:pPr>
            <w:bookmarkStart w:id="2974" w:name="TAB11540"/>
            <w:bookmarkEnd w:id="2974"/>
            <w:r>
              <w:rPr>
                <w:rFonts w:ascii="times new roman" w:hAnsi="times new roman"/>
                <w:sz w:val="20"/>
              </w:rPr>
              <w:t>6,482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ind w:left="170" w:right="0" w:hanging="0"/>
              <w:jc w:val="right"/>
              <w:rPr>
                <w:rFonts w:ascii="times new roman" w:hAnsi="times new roman"/>
                <w:sz w:val="20"/>
              </w:rPr>
            </w:pPr>
            <w:bookmarkStart w:id="2975" w:name="TAB11541"/>
            <w:bookmarkEnd w:id="2975"/>
            <w:r>
              <w:rPr>
                <w:rFonts w:ascii="times new roman" w:hAnsi="times new roman"/>
                <w:sz w:val="20"/>
              </w:rPr>
              <w:t>(16,189</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85" w:type="dxa"/>
            <w:tcBorders/>
            <w:shd w:fill="FFFFFF" w:val="clear"/>
            <w:vAlign w:val="bottom"/>
          </w:tcPr>
          <w:p>
            <w:pPr>
              <w:pStyle w:val="TableContents"/>
              <w:spacing w:before="0" w:after="283"/>
              <w:ind w:left="303" w:right="0" w:hanging="0"/>
              <w:jc w:val="right"/>
              <w:rPr>
                <w:rFonts w:ascii="times new roman" w:hAnsi="times new roman"/>
                <w:sz w:val="20"/>
              </w:rPr>
            </w:pPr>
            <w:bookmarkStart w:id="2976" w:name="TAB11542"/>
            <w:bookmarkEnd w:id="2976"/>
            <w:r>
              <w:rPr>
                <w:rFonts w:ascii="times new roman" w:hAnsi="times new roman"/>
                <w:sz w:val="20"/>
              </w:rPr>
              <w:t>(1,100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8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Cumulative foreign currency adjustment</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ind w:left="347" w:right="0" w:hanging="0"/>
              <w:jc w:val="right"/>
              <w:rPr>
                <w:rFonts w:ascii="times new roman" w:hAnsi="times new roman"/>
                <w:sz w:val="20"/>
              </w:rPr>
            </w:pPr>
            <w:bookmarkStart w:id="2977" w:name="TAB11543"/>
            <w:bookmarkEnd w:id="2977"/>
            <w:r>
              <w:rPr>
                <w:rFonts w:ascii="times new roman" w:hAnsi="times new roman"/>
                <w:sz w:val="20"/>
              </w:rPr>
              <w:t>34,271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ind w:left="170" w:right="0" w:hanging="0"/>
              <w:jc w:val="right"/>
              <w:rPr>
                <w:rFonts w:ascii="times new roman" w:hAnsi="times new roman"/>
                <w:sz w:val="20"/>
              </w:rPr>
            </w:pPr>
            <w:bookmarkStart w:id="2978" w:name="TAB11544"/>
            <w:bookmarkEnd w:id="2978"/>
            <w:r>
              <w:rPr>
                <w:rFonts w:ascii="times new roman" w:hAnsi="times new roman"/>
                <w:sz w:val="20"/>
              </w:rPr>
              <w:t>(39,249</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985" w:type="dxa"/>
            <w:tcBorders/>
            <w:shd w:fill="CCEEFF" w:val="clear"/>
            <w:vAlign w:val="bottom"/>
          </w:tcPr>
          <w:p>
            <w:pPr>
              <w:pStyle w:val="TableContents"/>
              <w:spacing w:before="0" w:after="283"/>
              <w:ind w:left="347" w:right="0" w:hanging="0"/>
              <w:jc w:val="right"/>
              <w:rPr>
                <w:rFonts w:ascii="times new roman" w:hAnsi="times new roman"/>
                <w:sz w:val="20"/>
              </w:rPr>
            </w:pPr>
            <w:bookmarkStart w:id="2979" w:name="TAB11545"/>
            <w:bookmarkEnd w:id="2979"/>
            <w:r>
              <w:rPr>
                <w:rFonts w:ascii="times new roman" w:hAnsi="times new roman"/>
                <w:sz w:val="20"/>
              </w:rPr>
              <w:t>14,780</w:t>
            </w:r>
          </w:p>
        </w:tc>
        <w:tc>
          <w:tcPr>
            <w:tcW w:w="126" w:type="dxa"/>
            <w:tcBorders/>
            <w:shd w:fill="CCEEFF" w:val="clear"/>
            <w:vAlign w:val="bottom"/>
          </w:tcPr>
          <w:p>
            <w:pPr>
              <w:pStyle w:val="TableContents"/>
              <w:spacing w:before="0" w:after="283"/>
              <w:jc w:val="left"/>
              <w:rPr/>
            </w:pPr>
            <w:r>
              <w:rPr/>
              <w:t> </w:t>
            </w:r>
          </w:p>
        </w:tc>
      </w:tr>
      <w:tr>
        <w:trPr/>
        <w:tc>
          <w:tcPr>
            <w:tcW w:w="6181"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Accrued pension service (benefit) costs</w:t>
            </w:r>
          </w:p>
        </w:tc>
        <w:tc>
          <w:tcPr>
            <w:tcW w:w="107"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5" w:type="dxa"/>
            <w:tcBorders>
              <w:bottom w:val="single" w:sz="12" w:space="0" w:color="000000"/>
            </w:tcBorders>
            <w:shd w:fill="FFFFFF" w:val="clear"/>
            <w:tcMar>
              <w:bottom w:w="28" w:type="dxa"/>
            </w:tcMar>
            <w:vAlign w:val="bottom"/>
          </w:tcPr>
          <w:p>
            <w:pPr>
              <w:pStyle w:val="TableContents"/>
              <w:spacing w:before="0" w:after="283"/>
              <w:ind w:left="503" w:right="0" w:hanging="0"/>
              <w:jc w:val="right"/>
              <w:rPr>
                <w:rFonts w:ascii="times new roman" w:hAnsi="times new roman"/>
                <w:sz w:val="20"/>
              </w:rPr>
            </w:pPr>
            <w:bookmarkStart w:id="2980" w:name="TAB11546"/>
            <w:bookmarkEnd w:id="2980"/>
            <w:r>
              <w:rPr>
                <w:rFonts w:ascii="times new roman" w:hAnsi="times new roman"/>
                <w:sz w:val="20"/>
              </w:rPr>
              <w:t>(418</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ind w:left="681" w:right="0" w:hanging="0"/>
              <w:jc w:val="right"/>
              <w:rPr>
                <w:rFonts w:ascii="times new roman" w:hAnsi="times new roman"/>
                <w:sz w:val="20"/>
              </w:rPr>
            </w:pPr>
            <w:bookmarkStart w:id="2981" w:name="TAB11547"/>
            <w:bookmarkEnd w:id="2981"/>
            <w:r>
              <w:rPr>
                <w:rFonts w:ascii="times new roman" w:hAnsi="times new roman"/>
                <w:sz w:val="20"/>
              </w:rPr>
              <w:t>318</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5" w:type="dxa"/>
            <w:tcBorders>
              <w:bottom w:val="single" w:sz="12" w:space="0" w:color="000000"/>
            </w:tcBorders>
            <w:shd w:fill="FFFFFF" w:val="clear"/>
            <w:tcMar>
              <w:bottom w:w="28" w:type="dxa"/>
            </w:tcMar>
            <w:vAlign w:val="bottom"/>
          </w:tcPr>
          <w:p>
            <w:pPr>
              <w:pStyle w:val="TableContents"/>
              <w:spacing w:before="0" w:after="283"/>
              <w:ind w:left="303" w:right="0" w:hanging="0"/>
              <w:jc w:val="right"/>
              <w:rPr>
                <w:rFonts w:ascii="times new roman" w:hAnsi="times new roman"/>
                <w:sz w:val="20"/>
              </w:rPr>
            </w:pPr>
            <w:bookmarkStart w:id="2982" w:name="TAB11548"/>
            <w:bookmarkEnd w:id="2982"/>
            <w:r>
              <w:rPr>
                <w:rFonts w:ascii="times new roman" w:hAnsi="times new roman"/>
                <w:sz w:val="20"/>
              </w:rPr>
              <w:t>(2,063</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8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Comprehensive income (loss)</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ind w:left="162" w:right="0" w:hanging="0"/>
              <w:jc w:val="right"/>
              <w:rPr>
                <w:rFonts w:ascii="times new roman" w:hAnsi="times new roman"/>
                <w:sz w:val="20"/>
              </w:rPr>
            </w:pPr>
            <w:bookmarkStart w:id="2983" w:name="TAB11549"/>
            <w:bookmarkEnd w:id="2983"/>
            <w:r>
              <w:rPr>
                <w:rFonts w:ascii="times new roman" w:hAnsi="times new roman"/>
                <w:sz w:val="20"/>
              </w:rPr>
              <w:t>40,859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ind w:left="181" w:right="0" w:hanging="0"/>
              <w:jc w:val="right"/>
              <w:rPr>
                <w:rFonts w:ascii="times new roman" w:hAnsi="times new roman"/>
                <w:sz w:val="20"/>
              </w:rPr>
            </w:pPr>
            <w:bookmarkStart w:id="2984" w:name="TAB11550"/>
            <w:bookmarkEnd w:id="2984"/>
            <w:r>
              <w:rPr>
                <w:rFonts w:ascii="times new roman" w:hAnsi="times new roman"/>
                <w:sz w:val="20"/>
              </w:rPr>
              <w:t>(55,141</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ind w:left="162" w:right="0" w:hanging="0"/>
              <w:jc w:val="right"/>
              <w:rPr>
                <w:rFonts w:ascii="times new roman" w:hAnsi="times new roman"/>
                <w:sz w:val="20"/>
              </w:rPr>
            </w:pPr>
            <w:bookmarkStart w:id="2985" w:name="TAB11551"/>
            <w:bookmarkEnd w:id="2985"/>
            <w:r>
              <w:rPr>
                <w:rFonts w:ascii="times new roman" w:hAnsi="times new roman"/>
                <w:sz w:val="20"/>
              </w:rPr>
              <w:t>11,733</w:t>
            </w:r>
          </w:p>
        </w:tc>
        <w:tc>
          <w:tcPr>
            <w:tcW w:w="126" w:type="dxa"/>
            <w:tcBorders/>
            <w:shd w:fill="CCEEFF" w:val="clear"/>
            <w:vAlign w:val="bottom"/>
          </w:tcPr>
          <w:p>
            <w:pPr>
              <w:pStyle w:val="TableContents"/>
              <w:spacing w:before="0" w:after="283"/>
              <w:jc w:val="left"/>
              <w:rPr/>
            </w:pPr>
            <w:r>
              <w:rPr/>
              <w:t> </w:t>
            </w:r>
          </w:p>
        </w:tc>
      </w:tr>
      <w:tr>
        <w:trPr/>
        <w:tc>
          <w:tcPr>
            <w:tcW w:w="6181" w:type="dxa"/>
            <w:tcBorders/>
            <w:shd w:fill="FFFFFF" w:val="clear"/>
            <w:vAlign w:val="bottom"/>
          </w:tcPr>
          <w:p>
            <w:pPr>
              <w:pStyle w:val="TableContents"/>
              <w:spacing w:before="0" w:after="0"/>
              <w:ind w:left="186" w:right="0" w:hanging="0"/>
              <w:jc w:val="both"/>
              <w:rPr>
                <w:rFonts w:ascii="times new roman" w:hAnsi="times new roman"/>
                <w:sz w:val="20"/>
              </w:rPr>
            </w:pPr>
            <w:bookmarkStart w:id="2986" w:name="TAB11552"/>
            <w:bookmarkEnd w:id="2986"/>
            <w:r>
              <w:rPr>
                <w:rFonts w:ascii="times new roman" w:hAnsi="times new roman"/>
                <w:sz w:val="20"/>
              </w:rPr>
              <w:t>Net income attributable to noncontrolling interests</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85" w:type="dxa"/>
            <w:tcBorders/>
            <w:shd w:fill="FFFFFF" w:val="clear"/>
            <w:vAlign w:val="bottom"/>
          </w:tcPr>
          <w:p>
            <w:pPr>
              <w:pStyle w:val="TableContents"/>
              <w:spacing w:before="0" w:after="283"/>
              <w:ind w:left="503" w:right="0" w:hanging="0"/>
              <w:jc w:val="right"/>
              <w:rPr>
                <w:rFonts w:ascii="times new roman" w:hAnsi="times new roman"/>
                <w:sz w:val="20"/>
              </w:rPr>
            </w:pPr>
            <w:bookmarkStart w:id="2987" w:name="TAB11553"/>
            <w:bookmarkEnd w:id="2987"/>
            <w:r>
              <w:rPr>
                <w:rFonts w:ascii="times new roman" w:hAnsi="times new roman"/>
                <w:sz w:val="20"/>
              </w:rPr>
              <w:t>(388</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ind w:left="503" w:right="0" w:hanging="0"/>
              <w:jc w:val="right"/>
              <w:rPr>
                <w:rFonts w:ascii="times new roman" w:hAnsi="times new roman"/>
                <w:sz w:val="20"/>
              </w:rPr>
            </w:pPr>
            <w:bookmarkStart w:id="2988" w:name="TAB11554"/>
            <w:bookmarkEnd w:id="2988"/>
            <w:r>
              <w:rPr>
                <w:rFonts w:ascii="times new roman" w:hAnsi="times new roman"/>
                <w:sz w:val="20"/>
              </w:rPr>
              <w:t>(620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85" w:type="dxa"/>
            <w:tcBorders/>
            <w:shd w:fill="FFFFFF" w:val="clear"/>
            <w:vAlign w:val="bottom"/>
          </w:tcPr>
          <w:p>
            <w:pPr>
              <w:pStyle w:val="TableContents"/>
              <w:spacing w:before="0" w:after="283"/>
              <w:ind w:left="303" w:right="0" w:hanging="0"/>
              <w:jc w:val="right"/>
              <w:rPr>
                <w:rFonts w:ascii="times new roman" w:hAnsi="times new roman"/>
                <w:sz w:val="20"/>
              </w:rPr>
            </w:pPr>
            <w:bookmarkStart w:id="2989" w:name="TAB11555"/>
            <w:bookmarkEnd w:id="2989"/>
            <w:r>
              <w:rPr>
                <w:rFonts w:ascii="times new roman" w:hAnsi="times new roman"/>
                <w:sz w:val="20"/>
              </w:rPr>
              <w:t>(1,003</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81" w:type="dxa"/>
            <w:tcBorders>
              <w:bottom w:val="single" w:sz="12" w:space="0" w:color="000000"/>
            </w:tcBorders>
            <w:shd w:fill="CCEEFF" w:val="clear"/>
            <w:tcMar>
              <w:bottom w:w="28" w:type="dxa"/>
            </w:tcMar>
            <w:vAlign w:val="bottom"/>
          </w:tcPr>
          <w:p>
            <w:pPr>
              <w:pStyle w:val="TableContents"/>
              <w:spacing w:before="0" w:after="0"/>
              <w:ind w:left="186" w:right="0" w:hanging="0"/>
              <w:jc w:val="both"/>
              <w:rPr>
                <w:rFonts w:ascii="times new roman" w:hAnsi="times new roman"/>
                <w:sz w:val="20"/>
              </w:rPr>
            </w:pPr>
            <w:bookmarkStart w:id="2990" w:name="TAB11556"/>
            <w:bookmarkEnd w:id="2990"/>
            <w:r>
              <w:rPr>
                <w:rFonts w:ascii="times new roman" w:hAnsi="times new roman"/>
                <w:sz w:val="20"/>
              </w:rPr>
              <w:t>Comprehensive income attributable to noncontrolling interests</w:t>
            </w:r>
          </w:p>
        </w:tc>
        <w:tc>
          <w:tcPr>
            <w:tcW w:w="107"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5" w:type="dxa"/>
            <w:tcBorders>
              <w:bottom w:val="single" w:sz="12" w:space="0" w:color="000000"/>
            </w:tcBorders>
            <w:shd w:fill="CCEEFF" w:val="clear"/>
            <w:tcMar>
              <w:bottom w:w="28" w:type="dxa"/>
            </w:tcMar>
            <w:vAlign w:val="bottom"/>
          </w:tcPr>
          <w:p>
            <w:pPr>
              <w:pStyle w:val="TableContents"/>
              <w:spacing w:before="0" w:after="283"/>
              <w:ind w:left="503" w:right="0" w:hanging="0"/>
              <w:jc w:val="right"/>
              <w:rPr>
                <w:rFonts w:ascii="times new roman" w:hAnsi="times new roman"/>
                <w:sz w:val="20"/>
              </w:rPr>
            </w:pPr>
            <w:bookmarkStart w:id="2991" w:name="TAB11557"/>
            <w:bookmarkEnd w:id="2991"/>
            <w:r>
              <w:rPr>
                <w:rFonts w:ascii="times new roman" w:hAnsi="times new roman"/>
                <w:sz w:val="20"/>
              </w:rPr>
              <w:t>(141</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ind w:left="814" w:right="0" w:hanging="0"/>
              <w:jc w:val="right"/>
              <w:rPr>
                <w:rFonts w:ascii="times new roman" w:hAnsi="times new roman"/>
                <w:sz w:val="20"/>
              </w:rPr>
            </w:pPr>
            <w:bookmarkStart w:id="2992" w:name="TAB11558"/>
            <w:bookmarkEnd w:id="2992"/>
            <w:r>
              <w:rPr>
                <w:rFonts w:ascii="times new roman" w:hAnsi="times new roman"/>
                <w:sz w:val="20"/>
              </w:rPr>
              <w:t>53</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5" w:type="dxa"/>
            <w:tcBorders>
              <w:bottom w:val="single" w:sz="12" w:space="0" w:color="000000"/>
            </w:tcBorders>
            <w:shd w:fill="CCEEFF" w:val="clear"/>
            <w:tcMar>
              <w:bottom w:w="28" w:type="dxa"/>
            </w:tcMar>
            <w:vAlign w:val="bottom"/>
          </w:tcPr>
          <w:p>
            <w:pPr>
              <w:pStyle w:val="TableContents"/>
              <w:spacing w:before="0" w:after="283"/>
              <w:ind w:left="636" w:right="0" w:hanging="0"/>
              <w:jc w:val="right"/>
              <w:rPr>
                <w:rFonts w:ascii="times new roman" w:hAnsi="times new roman"/>
                <w:sz w:val="20"/>
              </w:rPr>
            </w:pPr>
            <w:bookmarkStart w:id="2993" w:name="TAB11559"/>
            <w:bookmarkEnd w:id="2993"/>
            <w:r>
              <w:rPr>
                <w:rFonts w:ascii="times new roman" w:hAnsi="times new roman"/>
                <w:sz w:val="20"/>
              </w:rPr>
              <w:t>(49</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81" w:type="dxa"/>
            <w:tcBorders>
              <w:bottom w:val="double" w:sz="8"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Comprehensive income (loss) attributable to Reading International, Inc.</w:t>
            </w:r>
          </w:p>
        </w:tc>
        <w:tc>
          <w:tcPr>
            <w:tcW w:w="107"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bottom w:val="double" w:sz="8" w:space="0" w:color="000000"/>
            </w:tcBorders>
            <w:shd w:fill="FFFFFF" w:val="clear"/>
            <w:tcMar>
              <w:bottom w:w="28" w:type="dxa"/>
            </w:tcMar>
            <w:vAlign w:val="bottom"/>
          </w:tcPr>
          <w:p>
            <w:pPr>
              <w:pStyle w:val="TableContents"/>
              <w:spacing w:before="0" w:after="283"/>
              <w:ind w:left="162" w:right="0" w:hanging="0"/>
              <w:jc w:val="right"/>
              <w:rPr>
                <w:rFonts w:ascii="times new roman" w:hAnsi="times new roman"/>
                <w:sz w:val="20"/>
              </w:rPr>
            </w:pPr>
            <w:bookmarkStart w:id="2994" w:name="TAB11560"/>
            <w:bookmarkEnd w:id="2994"/>
            <w:r>
              <w:rPr>
                <w:rFonts w:ascii="times new roman" w:hAnsi="times new roman"/>
                <w:sz w:val="20"/>
              </w:rPr>
              <w:t>40,330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FFFFFF" w:val="clear"/>
            <w:tcMar>
              <w:bottom w:w="28" w:type="dxa"/>
            </w:tcMar>
            <w:vAlign w:val="bottom"/>
          </w:tcPr>
          <w:p>
            <w:pPr>
              <w:pStyle w:val="TableContents"/>
              <w:spacing w:before="0" w:after="283"/>
              <w:ind w:left="181" w:right="0" w:hanging="0"/>
              <w:jc w:val="right"/>
              <w:rPr>
                <w:rFonts w:ascii="times new roman" w:hAnsi="times new roman"/>
                <w:sz w:val="20"/>
              </w:rPr>
            </w:pPr>
            <w:bookmarkStart w:id="2995" w:name="TAB11561"/>
            <w:bookmarkEnd w:id="2995"/>
            <w:r>
              <w:rPr>
                <w:rFonts w:ascii="times new roman" w:hAnsi="times new roman"/>
                <w:sz w:val="20"/>
              </w:rPr>
              <w:t>(55,708</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bottom w:val="double" w:sz="8" w:space="0" w:color="000000"/>
            </w:tcBorders>
            <w:shd w:fill="FFFFFF" w:val="clear"/>
            <w:tcMar>
              <w:bottom w:w="28" w:type="dxa"/>
            </w:tcMar>
            <w:vAlign w:val="bottom"/>
          </w:tcPr>
          <w:p>
            <w:pPr>
              <w:pStyle w:val="TableContents"/>
              <w:spacing w:before="0" w:after="283"/>
              <w:ind w:left="162" w:right="0" w:hanging="0"/>
              <w:jc w:val="right"/>
              <w:rPr>
                <w:rFonts w:ascii="times new roman" w:hAnsi="times new roman"/>
                <w:sz w:val="20"/>
              </w:rPr>
            </w:pPr>
            <w:bookmarkStart w:id="2996" w:name="TAB11562"/>
            <w:bookmarkEnd w:id="2996"/>
            <w:r>
              <w:rPr>
                <w:rFonts w:ascii="times new roman" w:hAnsi="times new roman"/>
                <w:sz w:val="20"/>
              </w:rPr>
              <w:t>10,681</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25 - Future Minimum Rental Income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97" w:name="TAB11563"/>
      <w:bookmarkEnd w:id="2997"/>
      <w:r>
        <w:rPr>
          <w:rFonts w:ascii="Times New Roman" w:hAnsi="Times New Roman"/>
          <w:sz w:val="20"/>
        </w:rPr>
        <w:t>Real estate revenue amounted to $15.6 million, $15.9 million, and $15.8 million for the years ended December 31, 2009, 2008 and 2007, respectively.  For the year ended December 31, 2009, rental revenue includes the revenue from all of our Australia and New Zealand real estate properties and our U.S. properties of the Union Square Theatre and the Royal George Theatre.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98" w:name="TAB11564"/>
      <w:bookmarkEnd w:id="2998"/>
      <w:r>
        <w:rPr>
          <w:rFonts w:ascii="Times New Roman" w:hAnsi="Times New Roman"/>
          <w:sz w:val="20"/>
        </w:rPr>
        <w:t>Future minimum rental income under all contractual operating leases is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806"/>
        <w:gridCol w:w="113"/>
        <w:gridCol w:w="130"/>
        <w:gridCol w:w="1036"/>
        <w:gridCol w:w="120"/>
      </w:tblGrid>
      <w:tr>
        <w:trPr/>
        <w:tc>
          <w:tcPr>
            <w:tcW w:w="8806" w:type="dxa"/>
            <w:tcBorders>
              <w:bottom w:val="double" w:sz="8" w:space="0" w:color="000000"/>
            </w:tcBorders>
            <w:shd w:fill="auto" w:val="clear"/>
            <w:vAlign w:val="bottom"/>
          </w:tcPr>
          <w:p>
            <w:pPr>
              <w:pStyle w:val="TableContents"/>
              <w:spacing w:before="0" w:after="0"/>
              <w:ind w:left="0" w:right="0" w:hanging="0"/>
              <w:jc w:val="left"/>
              <w:rPr/>
            </w:pPr>
            <w:r>
              <w:rPr/>
              <w:t>  </w:t>
            </w:r>
            <w:r>
              <w:rPr>
                <w:rFonts w:ascii="times new roman" w:hAnsi="times new roman"/>
                <w:b/>
                <w:sz w:val="20"/>
              </w:rPr>
              <w:t>Year Ending December 31,</w:t>
            </w:r>
          </w:p>
        </w:tc>
        <w:tc>
          <w:tcPr>
            <w:tcW w:w="113" w:type="dxa"/>
            <w:tcBorders/>
            <w:shd w:fill="auto" w:val="clear"/>
            <w:tcMar>
              <w:bottom w:w="0" w:type="dxa"/>
            </w:tcMar>
            <w:vAlign w:val="bottom"/>
          </w:tcPr>
          <w:p>
            <w:pPr>
              <w:pStyle w:val="TableContents"/>
              <w:spacing w:before="0" w:after="283"/>
              <w:rPr/>
            </w:pPr>
            <w:r>
              <w:rPr/>
              <w:t> </w:t>
            </w:r>
          </w:p>
        </w:tc>
        <w:tc>
          <w:tcPr>
            <w:tcW w:w="1166" w:type="dxa"/>
            <w:gridSpan w:val="2"/>
            <w:tcBorders>
              <w:bottom w:val="double" w:sz="8" w:space="0" w:color="000000"/>
            </w:tcBorders>
            <w:shd w:fill="auto" w:val="clear"/>
            <w:vAlign w:val="bottom"/>
          </w:tcPr>
          <w:p>
            <w:pPr>
              <w:pStyle w:val="TableContents"/>
              <w:spacing w:before="0" w:after="283"/>
              <w:rPr/>
            </w:pPr>
            <w:r>
              <w:rPr/>
              <w:t> </w:t>
            </w:r>
          </w:p>
        </w:tc>
        <w:tc>
          <w:tcPr>
            <w:tcW w:w="120" w:type="dxa"/>
            <w:tcBorders/>
            <w:shd w:fill="auto" w:val="clear"/>
            <w:tcMar>
              <w:bottom w:w="0" w:type="dxa"/>
            </w:tcMar>
            <w:vAlign w:val="bottom"/>
          </w:tcPr>
          <w:p>
            <w:pPr>
              <w:pStyle w:val="TableContents"/>
              <w:spacing w:before="0" w:after="283"/>
              <w:jc w:val="left"/>
              <w:rPr/>
            </w:pPr>
            <w:r>
              <w:rPr/>
              <w:t> </w:t>
            </w:r>
          </w:p>
        </w:tc>
      </w:tr>
      <w:tr>
        <w:trPr/>
        <w:tc>
          <w:tcPr>
            <w:tcW w:w="8806" w:type="dxa"/>
            <w:tcBorders/>
            <w:shd w:fill="CCEE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2010</w:t>
            </w:r>
          </w:p>
        </w:tc>
        <w:tc>
          <w:tcPr>
            <w:tcW w:w="113" w:type="dxa"/>
            <w:tcBorders/>
            <w:shd w:fill="CCEEFF" w:val="clear"/>
            <w:tcMar>
              <w:bottom w:w="0" w:type="dxa"/>
            </w:tcMar>
            <w:vAlign w:val="bottom"/>
          </w:tcPr>
          <w:p>
            <w:pPr>
              <w:pStyle w:val="TableContents"/>
              <w:spacing w:before="0" w:after="283"/>
              <w:rPr/>
            </w:pPr>
            <w:r>
              <w:rPr/>
              <w:t> </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6" w:type="dxa"/>
            <w:tcBorders/>
            <w:shd w:fill="CCEEFF" w:val="clear"/>
            <w:tcMar>
              <w:bottom w:w="0" w:type="dxa"/>
            </w:tcMar>
            <w:vAlign w:val="bottom"/>
          </w:tcPr>
          <w:p>
            <w:pPr>
              <w:pStyle w:val="TableContents"/>
              <w:spacing w:before="0" w:after="283"/>
              <w:ind w:left="240" w:right="0" w:hanging="0"/>
              <w:jc w:val="right"/>
              <w:rPr>
                <w:rFonts w:ascii="times new roman" w:hAnsi="times new roman"/>
                <w:sz w:val="20"/>
              </w:rPr>
            </w:pPr>
            <w:bookmarkStart w:id="2999" w:name="TAB11565"/>
            <w:bookmarkEnd w:id="2999"/>
            <w:r>
              <w:rPr>
                <w:rFonts w:ascii="times new roman" w:hAnsi="times new roman"/>
                <w:sz w:val="20"/>
              </w:rPr>
              <w:t>9,095</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806" w:type="dxa"/>
            <w:tcBorders/>
            <w:shd w:fill="FFFF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2011</w:t>
            </w:r>
          </w:p>
        </w:tc>
        <w:tc>
          <w:tcPr>
            <w:tcW w:w="113" w:type="dxa"/>
            <w:tcBorders/>
            <w:shd w:fill="FFFFFF" w:val="clear"/>
            <w:tcMar>
              <w:bottom w:w="0" w:type="dxa"/>
            </w:tcMar>
            <w:vAlign w:val="bottom"/>
          </w:tcPr>
          <w:p>
            <w:pPr>
              <w:pStyle w:val="TableContents"/>
              <w:spacing w:before="0" w:after="283"/>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103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7,377</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806" w:type="dxa"/>
            <w:tcBorders/>
            <w:shd w:fill="CCEE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2012</w:t>
            </w:r>
          </w:p>
        </w:tc>
        <w:tc>
          <w:tcPr>
            <w:tcW w:w="113" w:type="dxa"/>
            <w:tcBorders/>
            <w:shd w:fill="CCEEFF" w:val="clear"/>
            <w:tcMar>
              <w:bottom w:w="0" w:type="dxa"/>
            </w:tcMar>
            <w:vAlign w:val="bottom"/>
          </w:tcPr>
          <w:p>
            <w:pPr>
              <w:pStyle w:val="TableContents"/>
              <w:spacing w:before="0" w:after="283"/>
              <w:rPr/>
            </w:pPr>
            <w:r>
              <w:rPr/>
              <w:t> </w:t>
            </w:r>
          </w:p>
        </w:tc>
        <w:tc>
          <w:tcPr>
            <w:tcW w:w="130" w:type="dxa"/>
            <w:tcBorders/>
            <w:shd w:fill="CCEEFF" w:val="clear"/>
            <w:tcMar>
              <w:bottom w:w="0" w:type="dxa"/>
            </w:tcMar>
            <w:vAlign w:val="bottom"/>
          </w:tcPr>
          <w:p>
            <w:pPr>
              <w:pStyle w:val="TableContents"/>
              <w:spacing w:before="0" w:after="283"/>
              <w:jc w:val="left"/>
              <w:rPr/>
            </w:pPr>
            <w:r>
              <w:rPr/>
              <w:t> </w:t>
            </w:r>
          </w:p>
        </w:tc>
        <w:tc>
          <w:tcPr>
            <w:tcW w:w="103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6,008</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806" w:type="dxa"/>
            <w:tcBorders/>
            <w:shd w:fill="FFFF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2013</w:t>
            </w:r>
          </w:p>
        </w:tc>
        <w:tc>
          <w:tcPr>
            <w:tcW w:w="113" w:type="dxa"/>
            <w:tcBorders/>
            <w:shd w:fill="FFFFFF" w:val="clear"/>
            <w:tcMar>
              <w:bottom w:w="0" w:type="dxa"/>
            </w:tcMar>
            <w:vAlign w:val="bottom"/>
          </w:tcPr>
          <w:p>
            <w:pPr>
              <w:pStyle w:val="TableContents"/>
              <w:spacing w:before="0" w:after="283"/>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103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4,344</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806" w:type="dxa"/>
            <w:tcBorders/>
            <w:shd w:fill="CCEEFF" w:val="clear"/>
            <w:tcMar>
              <w:bottom w:w="0" w:type="dxa"/>
            </w:tcM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2014</w:t>
            </w:r>
          </w:p>
        </w:tc>
        <w:tc>
          <w:tcPr>
            <w:tcW w:w="113" w:type="dxa"/>
            <w:tcBorders/>
            <w:shd w:fill="CCEEFF" w:val="clear"/>
            <w:tcMar>
              <w:bottom w:w="0" w:type="dxa"/>
            </w:tcMar>
            <w:vAlign w:val="bottom"/>
          </w:tcPr>
          <w:p>
            <w:pPr>
              <w:pStyle w:val="TableContents"/>
              <w:spacing w:before="0" w:after="283"/>
              <w:rPr/>
            </w:pPr>
            <w:r>
              <w:rPr/>
              <w:t> </w:t>
            </w:r>
          </w:p>
        </w:tc>
        <w:tc>
          <w:tcPr>
            <w:tcW w:w="130" w:type="dxa"/>
            <w:tcBorders/>
            <w:shd w:fill="CCEEFF" w:val="clear"/>
            <w:tcMar>
              <w:bottom w:w="0" w:type="dxa"/>
            </w:tcMar>
            <w:vAlign w:val="bottom"/>
          </w:tcPr>
          <w:p>
            <w:pPr>
              <w:pStyle w:val="TableContents"/>
              <w:spacing w:before="0" w:after="283"/>
              <w:jc w:val="left"/>
              <w:rPr/>
            </w:pPr>
            <w:r>
              <w:rPr/>
              <w:t> </w:t>
            </w:r>
          </w:p>
        </w:tc>
        <w:tc>
          <w:tcPr>
            <w:tcW w:w="103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3,164</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806" w:type="dxa"/>
            <w:tcBorders>
              <w:bottom w:val="single" w:sz="12" w:space="0" w:color="000000"/>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Thereafter</w:t>
            </w:r>
          </w:p>
        </w:tc>
        <w:tc>
          <w:tcPr>
            <w:tcW w:w="113" w:type="dxa"/>
            <w:tcBorders/>
            <w:shd w:fill="FFFFFF" w:val="clear"/>
            <w:tcMar>
              <w:bottom w:w="0" w:type="dxa"/>
            </w:tcMar>
            <w:vAlign w:val="bottom"/>
          </w:tcPr>
          <w:p>
            <w:pPr>
              <w:pStyle w:val="TableContents"/>
              <w:spacing w:before="0" w:after="283"/>
              <w:rPr/>
            </w:pPr>
            <w:r>
              <w:rPr/>
              <w:t> </w:t>
            </w:r>
          </w:p>
        </w:tc>
        <w:tc>
          <w:tcPr>
            <w:tcW w:w="130" w:type="dxa"/>
            <w:tcBorders>
              <w:bottom w:val="single" w:sz="12" w:space="0" w:color="000000"/>
            </w:tcBorders>
            <w:shd w:fill="FFFFFF" w:val="clear"/>
            <w:vAlign w:val="bottom"/>
          </w:tcPr>
          <w:p>
            <w:pPr>
              <w:pStyle w:val="TableContents"/>
              <w:spacing w:before="0" w:after="283"/>
              <w:jc w:val="left"/>
              <w:rPr/>
            </w:pPr>
            <w:r>
              <w:rPr/>
              <w:t> </w:t>
            </w:r>
          </w:p>
        </w:tc>
        <w:tc>
          <w:tcPr>
            <w:tcW w:w="103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25,608</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806" w:type="dxa"/>
            <w:tcBorders>
              <w:bottom w:val="double" w:sz="8" w:space="0" w:color="000000"/>
            </w:tcBorders>
            <w:shd w:fill="CCEEFF" w:val="clear"/>
            <w:vAlign w:val="bottom"/>
          </w:tcPr>
          <w:p>
            <w:pPr>
              <w:pStyle w:val="TableContents"/>
              <w:spacing w:before="0" w:after="0"/>
              <w:ind w:left="211" w:right="0" w:hanging="0"/>
              <w:jc w:val="left"/>
              <w:rPr>
                <w:rFonts w:ascii="times new roman" w:hAnsi="times new roman"/>
                <w:sz w:val="20"/>
              </w:rPr>
            </w:pPr>
            <w:bookmarkStart w:id="3000" w:name="TAB11566"/>
            <w:bookmarkEnd w:id="3000"/>
            <w:r>
              <w:rPr>
                <w:rFonts w:ascii="times new roman" w:hAnsi="times new roman"/>
                <w:sz w:val="20"/>
              </w:rPr>
              <w:t>Total future minimum rental income</w:t>
            </w:r>
          </w:p>
        </w:tc>
        <w:tc>
          <w:tcPr>
            <w:tcW w:w="113" w:type="dxa"/>
            <w:tcBorders/>
            <w:shd w:fill="CCEEFF" w:val="clear"/>
            <w:tcMar>
              <w:bottom w:w="0" w:type="dxa"/>
            </w:tcMar>
            <w:vAlign w:val="bottom"/>
          </w:tcPr>
          <w:p>
            <w:pPr>
              <w:pStyle w:val="TableContents"/>
              <w:spacing w:before="0" w:after="283"/>
              <w:rPr/>
            </w:pPr>
            <w:r>
              <w:rPr/>
              <w:t> </w:t>
            </w:r>
          </w:p>
        </w:tc>
        <w:tc>
          <w:tcPr>
            <w:tcW w:w="13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55,596</w:t>
            </w:r>
          </w:p>
        </w:tc>
        <w:tc>
          <w:tcPr>
            <w:tcW w:w="12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26 – Related Parties and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Sutton Hill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2001, we entered into a transaction with Sutton Hill Capital, LLC (“SHC”) regarding the leasing with an option to purchase of certain cinemas located in Manhattan.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and Michael Forman and of which Mr. Cotter is the managing member.  During 2009, 2008, and 2007, we paid rent to SHC in the amount of $487,000, $487,000 and $491,000, respectively, and we owed SHC $5.0 million (due December 31, 2010) with respect to the borrowing used principally to finance the acquisitio n of our interest in the limited liability company currently developing the Sutton Cinema site and $9.0 million on the Purchase Money Promissory Note (due December 31, 2010), for an aggregate liability of $14.0 million.  These two notes and their respective interest rates are further discussed in Note 12 – </w:t>
      </w:r>
      <w:r>
        <w:rPr>
          <w:rFonts w:ascii="Times New Roman" w:hAnsi="Times New Roman"/>
          <w:i/>
          <w:sz w:val="20"/>
        </w:rPr>
        <w:t>Notes Payable</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2005, we acquired from a third party the fee interest and from SHC its interest in the ground lease estate underlying the Cinemas 1, 2 &amp; 3 in Manhattan.  In connection with that transaction, we agreed to grant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01" w:name="PGBRK103"/>
      <w:bookmarkStart w:id="3002" w:name="PGBRK103"/>
      <w:bookmarkEnd w:id="30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3" w:name="FTR103"/>
      <w:bookmarkStart w:id="3004" w:name="FTR103"/>
      <w:bookmarkEnd w:id="30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05" w:name="GLFTR103"/>
      <w:bookmarkEnd w:id="30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006" w:name="PN103"/>
      <w:bookmarkEnd w:id="3006"/>
      <w:r>
        <w:rPr>
          <w:rFonts w:eastAsia="Times New Roman" w:cs="Times New Roman" w:ascii="Times New Roman" w:hAnsi="Times New Roman"/>
          <w:sz w:val="20"/>
          <w:szCs w:val="20"/>
        </w:rPr>
        <w:t>-103-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007" w:name="HDR103"/>
      <w:bookmarkStart w:id="3008" w:name="HDR103"/>
      <w:bookmarkEnd w:id="30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009" w:name="GLHDR103"/>
        <w:bookmarkEnd w:id="300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OBI Management Agreement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010" w:name="TAB11567"/>
      <w:bookmarkEnd w:id="3010"/>
      <w:r>
        <w:rPr>
          <w:rFonts w:ascii="Times New Roman" w:hAnsi="Times New Roman"/>
          <w:sz w:val="20"/>
        </w:rPr>
        <w:t>Pursuant to a Theater Management Agreement (the “Management Agreement”), our live theater operations are managed by OBI LLC (“OBI Management”), which is wholly owned by Ms. Margaret Cotter who is the daughter of James J. Cotter and a member of our Board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Management Agreement generally provides that we will pay OBI Management a combination of fixed and incentive fees, which historically have equated to approximately 20%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2009, OB I Management earned $325,000, which was 28.3% of net cash flows for the year.  In 2008, OBI Management earned $428,000, which was 23.8% of net cash flows for the year.  In 2007, OBI Management earned $377,000, which was 19.9% of net cash flows for the year.  In each year, we reimbursed travel related expenses for OBI Management personnel with respect to travel between New York City and Chicago in connection with the management of the Royal George complex.</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OBI Management conducts its operations from our office facilities on a rent-free basis, and we share the cost of one administrative employee of OBI Management.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Live Theater Play Investment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011" w:name="TAB11568"/>
      <w:bookmarkEnd w:id="3011"/>
      <w:r>
        <w:rPr>
          <w:rFonts w:ascii="Times New Roman" w:hAnsi="Times New Roman"/>
          <w:sz w:val="20"/>
        </w:rPr>
        <w:t xml:space="preserve">From time to time, our officers and directors may invest in plays that lease our live theaters.  During 2004, an affiliate of Mr. James J. Cotter and Michael Forman have a 25% investment in the play, </w:t>
      </w:r>
      <w:r>
        <w:rPr>
          <w:rFonts w:ascii="Times New Roman" w:hAnsi="Times New Roman"/>
          <w:i/>
          <w:sz w:val="20"/>
        </w:rPr>
        <w:t>I Love You, You’re Perfect, Now Change</w:t>
      </w:r>
      <w:r>
        <w:rPr>
          <w:rFonts w:ascii="Times New Roman" w:hAnsi="Times New Roman"/>
          <w:sz w:val="20"/>
        </w:rPr>
        <w:t>, playing in one of our auditoriums at our Royal George Theatre until March 2006.  We similarly had a 25% investment in the play.  The play has earned for us $0, $2,000, and, $27,000 during the years ended December 31, 2009, 2008 and 2007, respectively.  This investment received board approval from our Conflicts Committee on August 12, 2002.</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012" w:name="TAB11569"/>
      <w:bookmarkEnd w:id="3012"/>
      <w:r>
        <w:rPr>
          <w:rFonts w:ascii="Times New Roman" w:hAnsi="Times New Roman"/>
          <w:sz w:val="20"/>
        </w:rPr>
        <w:t>During 2008, we had a 37.4% investment in a show that played at our Minetta Lane Theatre from February to July 2008.  The operations from the play resulted in a net loss to us of $304,000.  No changes to this investment were recorded during 2009.</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play STOMP has been playing in our Orpheum Theatre since prior to the time we acquired the theater in 2001.  Messrs. James J. Cotter and Michael Forman own an approximately 5% interest in that play, an interest that they have held since prior to our acquisition of the theater.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27 –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Reading Stock Repurchase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Due to a perceived low price to our common shares, during the first quarter of 2010, we have purchased 62,375 shares for a total cost of $250,000.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Nationwide Note 1 Adjustment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February 12, 2010, Nationwide Theaters Corp. (the Sellers note above associated with the Consolidated Cinemas acquisition) and Reading agreed to reduce the seller’s note, Nationwide Note 1, by $4.2 million pursuant to the original sale and purchase agreement.  This reduction in the note effectively adjusts the original purchase price of the Consolidated Cinemas by $4.2 million.</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13" w:name="PGBRK104"/>
      <w:bookmarkStart w:id="3014" w:name="PGBRK104"/>
      <w:bookmarkEnd w:id="30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15" w:name="FTR104"/>
      <w:bookmarkStart w:id="3016" w:name="FTR104"/>
      <w:bookmarkEnd w:id="30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17" w:name="GLFTR104"/>
      <w:bookmarkEnd w:id="30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018" w:name="PN104"/>
      <w:bookmarkEnd w:id="3018"/>
      <w:r>
        <w:rPr>
          <w:rFonts w:eastAsia="Times New Roman" w:cs="Times New Roman" w:ascii="Times New Roman" w:hAnsi="Times New Roman"/>
          <w:sz w:val="20"/>
          <w:szCs w:val="20"/>
        </w:rPr>
        <w:t>-104-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019" w:name="HDR104"/>
      <w:bookmarkStart w:id="3020" w:name="HDR104"/>
      <w:bookmarkEnd w:id="30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021" w:name="GLHDR104"/>
        <w:bookmarkEnd w:id="302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Mosaic Lease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022" w:name="TAB11570"/>
      <w:bookmarkEnd w:id="3022"/>
      <w:r>
        <w:rPr>
          <w:rFonts w:ascii="Times New Roman" w:hAnsi="Times New Roman"/>
          <w:sz w:val="20"/>
        </w:rPr>
        <w:t>On February 12, 2010, we entered into a lease for an approximately 33,000 square foot 8-screen art cinema to be built as a part of the Mosaic District in the Greater Washington DC area.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23" w:name="PGBRK105"/>
      <w:bookmarkStart w:id="3024" w:name="PGBRK105"/>
      <w:bookmarkEnd w:id="30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25" w:name="FTR105"/>
      <w:bookmarkStart w:id="3026" w:name="FTR105"/>
      <w:bookmarkEnd w:id="30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27" w:name="GLFTR105"/>
      <w:bookmarkEnd w:id="30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028" w:name="PN105"/>
      <w:bookmarkEnd w:id="3028"/>
      <w:r>
        <w:rPr>
          <w:rFonts w:eastAsia="Times New Roman" w:cs="Times New Roman" w:ascii="Times New Roman" w:hAnsi="Times New Roman"/>
          <w:sz w:val="20"/>
          <w:szCs w:val="20"/>
        </w:rPr>
        <w:t>-105-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029" w:name="HDR105"/>
      <w:bookmarkStart w:id="3030" w:name="HDR105"/>
      <w:bookmarkEnd w:id="30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031" w:name="GLHDR105"/>
        <w:bookmarkEnd w:id="303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u w:val="single"/>
        </w:rPr>
      </w:pPr>
      <w:bookmarkStart w:id="3032" w:name="scheduleii"/>
      <w:bookmarkEnd w:id="3032"/>
      <w:r>
        <w:rPr>
          <w:rFonts w:ascii="Times New Roman" w:hAnsi="Times New Roman"/>
          <w:b/>
          <w:sz w:val="20"/>
          <w:u w:val="single"/>
        </w:rPr>
        <w:t>Schedule II – Valuation and Qualifying Accounts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068"/>
        <w:gridCol w:w="112"/>
        <w:gridCol w:w="179"/>
        <w:gridCol w:w="1141"/>
        <w:gridCol w:w="112"/>
        <w:gridCol w:w="112"/>
        <w:gridCol w:w="194"/>
        <w:gridCol w:w="1104"/>
        <w:gridCol w:w="112"/>
        <w:gridCol w:w="112"/>
        <w:gridCol w:w="260"/>
        <w:gridCol w:w="1128"/>
        <w:gridCol w:w="112"/>
        <w:gridCol w:w="112"/>
        <w:gridCol w:w="160"/>
        <w:gridCol w:w="1051"/>
        <w:gridCol w:w="136"/>
      </w:tblGrid>
      <w:tr>
        <w:trPr/>
        <w:tc>
          <w:tcPr>
            <w:tcW w:w="4068" w:type="dxa"/>
            <w:tcBorders>
              <w:bottom w:val="double" w:sz="8" w:space="0" w:color="000000"/>
            </w:tcBorders>
            <w:shd w:fill="auto" w:val="clear"/>
            <w:vAlign w:val="bottom"/>
          </w:tcPr>
          <w:p>
            <w:pPr>
              <w:pStyle w:val="TableContents"/>
              <w:spacing w:before="0" w:after="0"/>
              <w:ind w:left="360" w:right="0" w:hanging="360"/>
              <w:jc w:val="left"/>
              <w:rPr>
                <w:rFonts w:ascii="times new roman" w:hAnsi="times new roman"/>
                <w:b/>
                <w:sz w:val="20"/>
              </w:rPr>
            </w:pPr>
            <w:r>
              <w:rPr>
                <w:rFonts w:ascii="times new roman" w:hAnsi="times new roman"/>
                <w:b/>
                <w:sz w:val="20"/>
              </w:rPr>
              <w:t>Description</w:t>
            </w:r>
          </w:p>
        </w:tc>
        <w:tc>
          <w:tcPr>
            <w:tcW w:w="112" w:type="dxa"/>
            <w:tcBorders/>
            <w:shd w:fill="auto" w:val="clear"/>
            <w:tcMar>
              <w:bottom w:w="0" w:type="dxa"/>
            </w:tcMar>
            <w:vAlign w:val="bottom"/>
          </w:tcPr>
          <w:p>
            <w:pPr>
              <w:pStyle w:val="TableContents"/>
              <w:spacing w:before="0" w:after="283"/>
              <w:rPr/>
            </w:pPr>
            <w:r>
              <w:rPr/>
              <w:t> </w:t>
            </w:r>
          </w:p>
        </w:tc>
        <w:tc>
          <w:tcPr>
            <w:tcW w:w="132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 at beginning of year</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29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Additions charged to costs and expenses</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38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Deductions</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21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 at end of year</w:t>
            </w:r>
          </w:p>
        </w:tc>
        <w:tc>
          <w:tcPr>
            <w:tcW w:w="136" w:type="dxa"/>
            <w:tcBorders/>
            <w:shd w:fill="auto" w:val="clear"/>
            <w:tcMar>
              <w:bottom w:w="0" w:type="dxa"/>
            </w:tcMar>
            <w:vAlign w:val="bottom"/>
          </w:tcPr>
          <w:p>
            <w:pPr>
              <w:pStyle w:val="TableContents"/>
              <w:spacing w:before="0" w:after="283"/>
              <w:jc w:val="left"/>
              <w:rPr/>
            </w:pPr>
            <w:r>
              <w:rPr/>
              <w:t> </w:t>
            </w:r>
          </w:p>
        </w:tc>
      </w:tr>
      <w:tr>
        <w:trPr/>
        <w:tc>
          <w:tcPr>
            <w:tcW w:w="4068" w:type="dxa"/>
            <w:tcBorders/>
            <w:shd w:fill="auto" w:val="clear"/>
            <w:tcMar>
              <w:bottom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Allowance for doubtful accounts</w:t>
            </w:r>
          </w:p>
        </w:tc>
        <w:tc>
          <w:tcPr>
            <w:tcW w:w="112" w:type="dxa"/>
            <w:tcBorders/>
            <w:shd w:fill="auto" w:val="clear"/>
            <w:tcMar>
              <w:bottom w:w="0" w:type="dxa"/>
            </w:tcMar>
            <w:vAlign w:val="bottom"/>
          </w:tcPr>
          <w:p>
            <w:pPr>
              <w:pStyle w:val="TableContents"/>
              <w:spacing w:before="0" w:after="283"/>
              <w:rPr/>
            </w:pPr>
            <w:r>
              <w:rPr/>
              <w:t> </w:t>
            </w:r>
          </w:p>
        </w:tc>
        <w:tc>
          <w:tcPr>
            <w:tcW w:w="1320"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298"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388"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211" w:type="dxa"/>
            <w:gridSpan w:val="2"/>
            <w:tcBorders/>
            <w:shd w:fill="auto" w:val="clear"/>
            <w:tcMar>
              <w:bottom w:w="0" w:type="dxa"/>
            </w:tcMar>
            <w:vAlign w:val="bottom"/>
          </w:tcPr>
          <w:p>
            <w:pPr>
              <w:pStyle w:val="TableContents"/>
              <w:spacing w:before="0" w:after="283"/>
              <w:rPr/>
            </w:pPr>
            <w:r>
              <w:rPr/>
              <w:t> </w:t>
            </w:r>
          </w:p>
        </w:tc>
        <w:tc>
          <w:tcPr>
            <w:tcW w:w="136" w:type="dxa"/>
            <w:tcBorders/>
            <w:shd w:fill="auto" w:val="clear"/>
            <w:tcMar>
              <w:bottom w:w="0" w:type="dxa"/>
            </w:tcMar>
            <w:vAlign w:val="bottom"/>
          </w:tcPr>
          <w:p>
            <w:pPr>
              <w:pStyle w:val="TableContents"/>
              <w:spacing w:before="0" w:after="283"/>
              <w:jc w:val="left"/>
              <w:rPr/>
            </w:pPr>
            <w:r>
              <w:rPr/>
              <w:t> </w:t>
            </w:r>
          </w:p>
        </w:tc>
      </w:tr>
      <w:tr>
        <w:trPr/>
        <w:tc>
          <w:tcPr>
            <w:tcW w:w="4068" w:type="dxa"/>
            <w:tcBorders/>
            <w:shd w:fill="CCEEFF" w:val="clear"/>
            <w:tcMar>
              <w:bottom w:w="0" w:type="dxa"/>
            </w:tcMar>
            <w:vAlign w:val="bottom"/>
          </w:tcPr>
          <w:p>
            <w:pPr>
              <w:pStyle w:val="TableContents"/>
              <w:spacing w:before="0" w:after="0"/>
              <w:ind w:left="540" w:right="0" w:hanging="360"/>
              <w:jc w:val="left"/>
              <w:rPr>
                <w:rFonts w:ascii="times new roman" w:hAnsi="times new roman"/>
                <w:sz w:val="20"/>
              </w:rPr>
            </w:pPr>
            <w:bookmarkStart w:id="3033" w:name="TAB11571"/>
            <w:bookmarkEnd w:id="3033"/>
            <w:r>
              <w:rPr>
                <w:rFonts w:ascii="times new roman" w:hAnsi="times new roman"/>
                <w:sz w:val="20"/>
              </w:rPr>
              <w:t>Year-ended December 31, 2009 – Allowance for doubtful accounts</w:t>
            </w:r>
          </w:p>
        </w:tc>
        <w:tc>
          <w:tcPr>
            <w:tcW w:w="112"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tcMar>
              <w:bottom w:w="0" w:type="dxa"/>
            </w:tcMar>
            <w:vAlign w:val="bottom"/>
          </w:tcPr>
          <w:p>
            <w:pPr>
              <w:pStyle w:val="TableContents"/>
              <w:spacing w:before="0" w:after="283"/>
              <w:ind w:left="72" w:right="0" w:hanging="0"/>
              <w:jc w:val="right"/>
              <w:rPr>
                <w:rFonts w:ascii="times new roman" w:hAnsi="times new roman"/>
                <w:sz w:val="20"/>
              </w:rPr>
            </w:pPr>
            <w:bookmarkStart w:id="3034" w:name="TAB11572"/>
            <w:bookmarkEnd w:id="3034"/>
            <w:r>
              <w:rPr>
                <w:rFonts w:ascii="times new roman" w:hAnsi="times new roman"/>
                <w:sz w:val="20"/>
              </w:rPr>
              <w:t>397</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4"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035" w:name="TAB11573"/>
            <w:bookmarkEnd w:id="3035"/>
            <w:r>
              <w:rPr>
                <w:rFonts w:ascii="times new roman" w:hAnsi="times new roman"/>
                <w:sz w:val="20"/>
              </w:rPr>
              <w:t>142</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2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036" w:name="TAB11574"/>
            <w:bookmarkEnd w:id="3036"/>
            <w:r>
              <w:rPr>
                <w:rFonts w:ascii="times new roman" w:hAnsi="times new roman"/>
                <w:sz w:val="20"/>
              </w:rPr>
              <w:t>332</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tcMar>
              <w:bottom w:w="0" w:type="dxa"/>
            </w:tcMar>
            <w:vAlign w:val="bottom"/>
          </w:tcPr>
          <w:p>
            <w:pPr>
              <w:pStyle w:val="TableContents"/>
              <w:spacing w:before="0" w:after="283"/>
              <w:ind w:left="72" w:right="0" w:hanging="0"/>
              <w:jc w:val="right"/>
              <w:rPr>
                <w:rFonts w:ascii="times new roman" w:hAnsi="times new roman"/>
                <w:sz w:val="20"/>
              </w:rPr>
            </w:pPr>
            <w:bookmarkStart w:id="3037" w:name="TAB11575"/>
            <w:bookmarkEnd w:id="3037"/>
            <w:r>
              <w:rPr>
                <w:rFonts w:ascii="times new roman" w:hAnsi="times new roman"/>
                <w:sz w:val="20"/>
              </w:rPr>
              <w:t>207</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4068" w:type="dxa"/>
            <w:tcBorders/>
            <w:shd w:fill="FFFFFF" w:val="clear"/>
            <w:tcMar>
              <w:bottom w:w="0" w:type="dxa"/>
            </w:tcMar>
            <w:vAlign w:val="bottom"/>
          </w:tcPr>
          <w:p>
            <w:pPr>
              <w:pStyle w:val="TableContents"/>
              <w:spacing w:before="0" w:after="0"/>
              <w:ind w:left="540" w:right="0" w:hanging="360"/>
              <w:jc w:val="left"/>
              <w:rPr>
                <w:rFonts w:ascii="times new roman" w:hAnsi="times new roman"/>
                <w:sz w:val="20"/>
              </w:rPr>
            </w:pPr>
            <w:bookmarkStart w:id="3038" w:name="TAB11576"/>
            <w:bookmarkEnd w:id="3038"/>
            <w:r>
              <w:rPr>
                <w:rFonts w:ascii="times new roman" w:hAnsi="times new roman"/>
                <w:sz w:val="20"/>
              </w:rPr>
              <w:t>Year-ended December 31, 2008 – Allowance for doubtful accounts</w:t>
            </w:r>
          </w:p>
        </w:tc>
        <w:tc>
          <w:tcPr>
            <w:tcW w:w="112" w:type="dxa"/>
            <w:tcBorders/>
            <w:shd w:fill="FFFFFF" w:val="clear"/>
            <w:tcMar>
              <w:bottom w:w="0" w:type="dxa"/>
            </w:tcMar>
            <w:vAlign w:val="bottom"/>
          </w:tcPr>
          <w:p>
            <w:pPr>
              <w:pStyle w:val="TableContents"/>
              <w:spacing w:before="0" w:after="283"/>
              <w:jc w:val="left"/>
              <w:rPr/>
            </w:pPr>
            <w:r>
              <w:rPr/>
              <w:t> </w:t>
            </w:r>
          </w:p>
        </w:tc>
        <w:tc>
          <w:tcPr>
            <w:tcW w:w="17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FFFFFF" w:val="clear"/>
            <w:tcMar>
              <w:bottom w:w="0" w:type="dxa"/>
            </w:tcMar>
            <w:vAlign w:val="bottom"/>
          </w:tcPr>
          <w:p>
            <w:pPr>
              <w:pStyle w:val="TableContents"/>
              <w:spacing w:before="0" w:after="283"/>
              <w:ind w:left="72" w:right="0" w:hanging="0"/>
              <w:jc w:val="right"/>
              <w:rPr>
                <w:rFonts w:ascii="times new roman" w:hAnsi="times new roman"/>
                <w:sz w:val="20"/>
              </w:rPr>
            </w:pPr>
            <w:bookmarkStart w:id="3039" w:name="TAB11577"/>
            <w:bookmarkEnd w:id="3039"/>
            <w:r>
              <w:rPr>
                <w:rFonts w:ascii="times new roman" w:hAnsi="times new roman"/>
                <w:sz w:val="20"/>
              </w:rPr>
              <w:t>382</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4" w:type="dxa"/>
            <w:tcBorders/>
            <w:shd w:fill="FFFFFF" w:val="clear"/>
            <w:tcMar>
              <w:bottom w:w="0" w:type="dxa"/>
            </w:tcMar>
            <w:vAlign w:val="bottom"/>
          </w:tcPr>
          <w:p>
            <w:pPr>
              <w:pStyle w:val="TableContents"/>
              <w:spacing w:before="0" w:after="283"/>
              <w:ind w:left="162" w:right="0" w:hanging="0"/>
              <w:jc w:val="right"/>
              <w:rPr>
                <w:rFonts w:ascii="times new roman" w:hAnsi="times new roman"/>
                <w:sz w:val="20"/>
              </w:rPr>
            </w:pPr>
            <w:bookmarkStart w:id="3040" w:name="TAB11578"/>
            <w:bookmarkEnd w:id="3040"/>
            <w:r>
              <w:rPr>
                <w:rFonts w:ascii="times new roman" w:hAnsi="times new roman"/>
                <w:sz w:val="20"/>
              </w:rPr>
              <w:t>115</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26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FFFFFF" w:val="clear"/>
            <w:tcMar>
              <w:bottom w:w="0" w:type="dxa"/>
            </w:tcMar>
            <w:vAlign w:val="bottom"/>
          </w:tcPr>
          <w:p>
            <w:pPr>
              <w:pStyle w:val="TableContents"/>
              <w:spacing w:before="0" w:after="283"/>
              <w:ind w:left="162" w:right="0" w:hanging="0"/>
              <w:jc w:val="right"/>
              <w:rPr>
                <w:rFonts w:ascii="times new roman" w:hAnsi="times new roman"/>
                <w:sz w:val="20"/>
              </w:rPr>
            </w:pPr>
            <w:bookmarkStart w:id="3041" w:name="TAB11579"/>
            <w:bookmarkEnd w:id="3041"/>
            <w:r>
              <w:rPr>
                <w:rFonts w:ascii="times new roman" w:hAnsi="times new roman"/>
                <w:sz w:val="20"/>
              </w:rPr>
              <w:t>100</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6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tcMar>
              <w:bottom w:w="0" w:type="dxa"/>
            </w:tcMar>
            <w:vAlign w:val="bottom"/>
          </w:tcPr>
          <w:p>
            <w:pPr>
              <w:pStyle w:val="TableContents"/>
              <w:spacing w:before="0" w:after="283"/>
              <w:ind w:left="72" w:right="0" w:hanging="0"/>
              <w:jc w:val="right"/>
              <w:rPr>
                <w:rFonts w:ascii="times new roman" w:hAnsi="times new roman"/>
                <w:sz w:val="20"/>
              </w:rPr>
            </w:pPr>
            <w:bookmarkStart w:id="3042" w:name="TAB11580"/>
            <w:bookmarkEnd w:id="3042"/>
            <w:r>
              <w:rPr>
                <w:rFonts w:ascii="times new roman" w:hAnsi="times new roman"/>
                <w:sz w:val="20"/>
              </w:rPr>
              <w:t>397</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068" w:type="dxa"/>
            <w:tcBorders/>
            <w:shd w:fill="CCEEFF" w:val="clear"/>
            <w:tcMar>
              <w:bottom w:w="0" w:type="dxa"/>
            </w:tcMar>
            <w:vAlign w:val="bottom"/>
          </w:tcPr>
          <w:p>
            <w:pPr>
              <w:pStyle w:val="TableContents"/>
              <w:spacing w:before="0" w:after="0"/>
              <w:ind w:left="540" w:right="0" w:hanging="360"/>
              <w:jc w:val="left"/>
              <w:rPr>
                <w:rFonts w:ascii="times new roman" w:hAnsi="times new roman"/>
                <w:sz w:val="20"/>
              </w:rPr>
            </w:pPr>
            <w:bookmarkStart w:id="3043" w:name="TAB11581"/>
            <w:bookmarkEnd w:id="3043"/>
            <w:r>
              <w:rPr>
                <w:rFonts w:ascii="times new roman" w:hAnsi="times new roman"/>
                <w:sz w:val="20"/>
              </w:rPr>
              <w:t>Year-ended December 31, 2007 – Allowance for doubtful accounts</w:t>
            </w:r>
          </w:p>
        </w:tc>
        <w:tc>
          <w:tcPr>
            <w:tcW w:w="112"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tcMar>
              <w:bottom w:w="0" w:type="dxa"/>
            </w:tcMar>
            <w:vAlign w:val="bottom"/>
          </w:tcPr>
          <w:p>
            <w:pPr>
              <w:pStyle w:val="TableContents"/>
              <w:spacing w:before="0" w:after="283"/>
              <w:ind w:left="72" w:right="0" w:hanging="0"/>
              <w:jc w:val="right"/>
              <w:rPr>
                <w:rFonts w:ascii="times new roman" w:hAnsi="times new roman"/>
                <w:sz w:val="20"/>
              </w:rPr>
            </w:pPr>
            <w:bookmarkStart w:id="3044" w:name="TAB11582"/>
            <w:bookmarkEnd w:id="3044"/>
            <w:r>
              <w:rPr>
                <w:rFonts w:ascii="times new roman" w:hAnsi="times new roman"/>
                <w:sz w:val="20"/>
              </w:rPr>
              <w:t>473</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4"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045" w:name="TAB11583"/>
            <w:bookmarkEnd w:id="3045"/>
            <w:r>
              <w:rPr>
                <w:rFonts w:ascii="times new roman" w:hAnsi="times new roman"/>
                <w:sz w:val="20"/>
              </w:rPr>
              <w:t>62</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2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046" w:name="TAB11584"/>
            <w:bookmarkEnd w:id="3046"/>
            <w:r>
              <w:rPr>
                <w:rFonts w:ascii="times new roman" w:hAnsi="times new roman"/>
                <w:sz w:val="20"/>
              </w:rPr>
              <w:t>153</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tcMar>
              <w:bottom w:w="0" w:type="dxa"/>
            </w:tcMar>
            <w:vAlign w:val="bottom"/>
          </w:tcPr>
          <w:p>
            <w:pPr>
              <w:pStyle w:val="TableContents"/>
              <w:spacing w:before="0" w:after="283"/>
              <w:ind w:left="72" w:right="0" w:hanging="0"/>
              <w:jc w:val="right"/>
              <w:rPr>
                <w:rFonts w:ascii="times new roman" w:hAnsi="times new roman"/>
                <w:sz w:val="20"/>
              </w:rPr>
            </w:pPr>
            <w:bookmarkStart w:id="3047" w:name="TAB11585"/>
            <w:bookmarkEnd w:id="3047"/>
            <w:r>
              <w:rPr>
                <w:rFonts w:ascii="times new roman" w:hAnsi="times new roman"/>
                <w:sz w:val="20"/>
              </w:rPr>
              <w:t>382</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4068"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rPr/>
            </w:pPr>
            <w:r>
              <w:rPr/>
              <w:t> </w:t>
            </w:r>
          </w:p>
        </w:tc>
        <w:tc>
          <w:tcPr>
            <w:tcW w:w="179" w:type="dxa"/>
            <w:tcBorders/>
            <w:shd w:fill="FFFFFF" w:val="clear"/>
            <w:tcMar>
              <w:bottom w:w="0" w:type="dxa"/>
            </w:tcMar>
            <w:vAlign w:val="bottom"/>
          </w:tcPr>
          <w:p>
            <w:pPr>
              <w:pStyle w:val="TableContents"/>
              <w:spacing w:before="0" w:after="283"/>
              <w:jc w:val="left"/>
              <w:rPr/>
            </w:pPr>
            <w:r>
              <w:rPr/>
              <w:t> </w:t>
            </w:r>
          </w:p>
        </w:tc>
        <w:tc>
          <w:tcPr>
            <w:tcW w:w="1141"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104"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260" w:type="dxa"/>
            <w:tcBorders/>
            <w:shd w:fill="FFFFFF" w:val="clear"/>
            <w:tcMar>
              <w:bottom w:w="0" w:type="dxa"/>
            </w:tcMar>
            <w:vAlign w:val="bottom"/>
          </w:tcPr>
          <w:p>
            <w:pPr>
              <w:pStyle w:val="TableContents"/>
              <w:spacing w:before="0" w:after="283"/>
              <w:jc w:val="left"/>
              <w:rPr/>
            </w:pPr>
            <w:r>
              <w:rPr/>
              <w:t> </w:t>
            </w:r>
          </w:p>
        </w:tc>
        <w:tc>
          <w:tcPr>
            <w:tcW w:w="1128"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160"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068" w:type="dxa"/>
            <w:tcBorders/>
            <w:shd w:fill="FFFFFF" w:val="clear"/>
            <w:tcMar>
              <w:bottom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Tax valuation allowance</w:t>
            </w:r>
          </w:p>
        </w:tc>
        <w:tc>
          <w:tcPr>
            <w:tcW w:w="112" w:type="dxa"/>
            <w:tcBorders/>
            <w:shd w:fill="FFFFFF" w:val="clear"/>
            <w:tcMar>
              <w:bottom w:w="0" w:type="dxa"/>
            </w:tcMar>
            <w:vAlign w:val="bottom"/>
          </w:tcPr>
          <w:p>
            <w:pPr>
              <w:pStyle w:val="TableContents"/>
              <w:spacing w:before="0" w:after="283"/>
              <w:rPr/>
            </w:pPr>
            <w:r>
              <w:rPr/>
              <w:t> </w:t>
            </w:r>
          </w:p>
        </w:tc>
        <w:tc>
          <w:tcPr>
            <w:tcW w:w="179" w:type="dxa"/>
            <w:tcBorders/>
            <w:shd w:fill="FFFFFF" w:val="clear"/>
            <w:tcMar>
              <w:bottom w:w="0" w:type="dxa"/>
            </w:tcMar>
            <w:vAlign w:val="bottom"/>
          </w:tcPr>
          <w:p>
            <w:pPr>
              <w:pStyle w:val="TableContents"/>
              <w:spacing w:before="0" w:after="283"/>
              <w:jc w:val="left"/>
              <w:rPr/>
            </w:pPr>
            <w:r>
              <w:rPr/>
              <w:t> </w:t>
            </w:r>
          </w:p>
        </w:tc>
        <w:tc>
          <w:tcPr>
            <w:tcW w:w="1141"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104"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260" w:type="dxa"/>
            <w:tcBorders/>
            <w:shd w:fill="FFFFFF" w:val="clear"/>
            <w:tcMar>
              <w:bottom w:w="0" w:type="dxa"/>
            </w:tcMar>
            <w:vAlign w:val="bottom"/>
          </w:tcPr>
          <w:p>
            <w:pPr>
              <w:pStyle w:val="TableContents"/>
              <w:spacing w:before="0" w:after="283"/>
              <w:jc w:val="left"/>
              <w:rPr/>
            </w:pPr>
            <w:r>
              <w:rPr/>
              <w:t> </w:t>
            </w:r>
          </w:p>
        </w:tc>
        <w:tc>
          <w:tcPr>
            <w:tcW w:w="1128"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160"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068" w:type="dxa"/>
            <w:tcBorders/>
            <w:shd w:fill="CCEEFF" w:val="clear"/>
            <w:tcMar>
              <w:bottom w:w="0" w:type="dxa"/>
            </w:tcMar>
            <w:vAlign w:val="bottom"/>
          </w:tcPr>
          <w:p>
            <w:pPr>
              <w:pStyle w:val="TableContents"/>
              <w:spacing w:before="0" w:after="0"/>
              <w:ind w:left="540" w:right="0" w:hanging="360"/>
              <w:jc w:val="left"/>
              <w:rPr>
                <w:rFonts w:ascii="times new roman" w:hAnsi="times new roman"/>
                <w:sz w:val="20"/>
              </w:rPr>
            </w:pPr>
            <w:bookmarkStart w:id="3048" w:name="TAB11586"/>
            <w:bookmarkEnd w:id="3048"/>
            <w:r>
              <w:rPr>
                <w:rFonts w:ascii="times new roman" w:hAnsi="times new roman"/>
                <w:sz w:val="20"/>
              </w:rPr>
              <w:t>Year-ended December 31, 2009 – Tax valuation allowance</w:t>
            </w:r>
          </w:p>
        </w:tc>
        <w:tc>
          <w:tcPr>
            <w:tcW w:w="112"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tcMar>
              <w:bottom w:w="0" w:type="dxa"/>
            </w:tcMar>
            <w:vAlign w:val="bottom"/>
          </w:tcPr>
          <w:p>
            <w:pPr>
              <w:pStyle w:val="TableContents"/>
              <w:spacing w:before="0" w:after="283"/>
              <w:ind w:left="72" w:right="0" w:hanging="0"/>
              <w:jc w:val="right"/>
              <w:rPr>
                <w:rFonts w:ascii="times new roman" w:hAnsi="times new roman"/>
                <w:sz w:val="20"/>
              </w:rPr>
            </w:pPr>
            <w:bookmarkStart w:id="3049" w:name="TAB11587"/>
            <w:bookmarkEnd w:id="3049"/>
            <w:r>
              <w:rPr>
                <w:rFonts w:ascii="times new roman" w:hAnsi="times new roman"/>
                <w:sz w:val="20"/>
              </w:rPr>
              <w:t>59,938</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4"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050" w:name="TAB11588"/>
            <w:bookmarkEnd w:id="3050"/>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2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051" w:name="TAB11589"/>
            <w:bookmarkEnd w:id="3051"/>
            <w:r>
              <w:rPr>
                <w:rFonts w:ascii="times new roman" w:hAnsi="times new roman"/>
                <w:sz w:val="20"/>
              </w:rPr>
              <w:t>335</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tcMar>
              <w:bottom w:w="0" w:type="dxa"/>
            </w:tcMar>
            <w:vAlign w:val="bottom"/>
          </w:tcPr>
          <w:p>
            <w:pPr>
              <w:pStyle w:val="TableContents"/>
              <w:spacing w:before="0" w:after="283"/>
              <w:ind w:left="72" w:right="0" w:hanging="0"/>
              <w:jc w:val="right"/>
              <w:rPr>
                <w:rFonts w:ascii="times new roman" w:hAnsi="times new roman"/>
                <w:sz w:val="20"/>
              </w:rPr>
            </w:pPr>
            <w:bookmarkStart w:id="3052" w:name="TAB11590"/>
            <w:bookmarkEnd w:id="3052"/>
            <w:r>
              <w:rPr>
                <w:rFonts w:ascii="times new roman" w:hAnsi="times new roman"/>
                <w:sz w:val="20"/>
              </w:rPr>
              <w:t>59,603</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4068" w:type="dxa"/>
            <w:tcBorders/>
            <w:shd w:fill="FFFFFF" w:val="clear"/>
            <w:tcMar>
              <w:bottom w:w="0" w:type="dxa"/>
            </w:tcMar>
            <w:vAlign w:val="bottom"/>
          </w:tcPr>
          <w:p>
            <w:pPr>
              <w:pStyle w:val="TableContents"/>
              <w:spacing w:before="0" w:after="0"/>
              <w:ind w:left="540" w:right="0" w:hanging="360"/>
              <w:jc w:val="left"/>
              <w:rPr>
                <w:rFonts w:ascii="times new roman" w:hAnsi="times new roman"/>
                <w:sz w:val="20"/>
              </w:rPr>
            </w:pPr>
            <w:bookmarkStart w:id="3053" w:name="TAB11591"/>
            <w:bookmarkEnd w:id="3053"/>
            <w:r>
              <w:rPr>
                <w:rFonts w:ascii="times new roman" w:hAnsi="times new roman"/>
                <w:sz w:val="20"/>
              </w:rPr>
              <w:t>Year-ended December 31, 2008 – Tax valuation allowance</w:t>
            </w:r>
          </w:p>
        </w:tc>
        <w:tc>
          <w:tcPr>
            <w:tcW w:w="112" w:type="dxa"/>
            <w:tcBorders/>
            <w:shd w:fill="FFFFFF" w:val="clear"/>
            <w:tcMar>
              <w:bottom w:w="0" w:type="dxa"/>
            </w:tcMar>
            <w:vAlign w:val="bottom"/>
          </w:tcPr>
          <w:p>
            <w:pPr>
              <w:pStyle w:val="TableContents"/>
              <w:spacing w:before="0" w:after="283"/>
              <w:jc w:val="left"/>
              <w:rPr/>
            </w:pPr>
            <w:r>
              <w:rPr/>
              <w:t> </w:t>
            </w:r>
          </w:p>
        </w:tc>
        <w:tc>
          <w:tcPr>
            <w:tcW w:w="17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FFFFFF" w:val="clear"/>
            <w:tcMar>
              <w:bottom w:w="0" w:type="dxa"/>
            </w:tcMar>
            <w:vAlign w:val="bottom"/>
          </w:tcPr>
          <w:p>
            <w:pPr>
              <w:pStyle w:val="TableContents"/>
              <w:spacing w:before="0" w:after="283"/>
              <w:ind w:left="72" w:right="0" w:hanging="0"/>
              <w:jc w:val="right"/>
              <w:rPr>
                <w:rFonts w:ascii="times new roman" w:hAnsi="times new roman"/>
                <w:sz w:val="20"/>
              </w:rPr>
            </w:pPr>
            <w:bookmarkStart w:id="3054" w:name="TAB11592"/>
            <w:bookmarkEnd w:id="3054"/>
            <w:r>
              <w:rPr>
                <w:rFonts w:ascii="times new roman" w:hAnsi="times new roman"/>
                <w:sz w:val="20"/>
              </w:rPr>
              <w:t>57,210</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4" w:type="dxa"/>
            <w:tcBorders/>
            <w:shd w:fill="FFFFFF" w:val="clear"/>
            <w:tcMar>
              <w:bottom w:w="0" w:type="dxa"/>
            </w:tcMar>
            <w:vAlign w:val="bottom"/>
          </w:tcPr>
          <w:p>
            <w:pPr>
              <w:pStyle w:val="TableContents"/>
              <w:spacing w:before="0" w:after="283"/>
              <w:ind w:left="162" w:right="0" w:hanging="0"/>
              <w:jc w:val="right"/>
              <w:rPr>
                <w:rFonts w:ascii="times new roman" w:hAnsi="times new roman"/>
                <w:sz w:val="20"/>
              </w:rPr>
            </w:pPr>
            <w:bookmarkStart w:id="3055" w:name="TAB11593"/>
            <w:bookmarkEnd w:id="3055"/>
            <w:r>
              <w:rPr>
                <w:rFonts w:ascii="times new roman" w:hAnsi="times new roman"/>
                <w:sz w:val="20"/>
              </w:rPr>
              <w:t>2,728</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26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FFFFFF" w:val="clear"/>
            <w:tcMar>
              <w:bottom w:w="0" w:type="dxa"/>
            </w:tcMar>
            <w:vAlign w:val="bottom"/>
          </w:tcPr>
          <w:p>
            <w:pPr>
              <w:pStyle w:val="TableContents"/>
              <w:spacing w:before="0" w:after="283"/>
              <w:ind w:left="162" w:right="0" w:hanging="0"/>
              <w:jc w:val="right"/>
              <w:rPr>
                <w:rFonts w:ascii="times new roman" w:hAnsi="times new roman"/>
                <w:sz w:val="20"/>
              </w:rPr>
            </w:pPr>
            <w:bookmarkStart w:id="3056" w:name="TAB11594"/>
            <w:bookmarkEnd w:id="3056"/>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6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tcMar>
              <w:bottom w:w="0" w:type="dxa"/>
            </w:tcMar>
            <w:vAlign w:val="bottom"/>
          </w:tcPr>
          <w:p>
            <w:pPr>
              <w:pStyle w:val="TableContents"/>
              <w:spacing w:before="0" w:after="283"/>
              <w:ind w:left="72" w:right="0" w:hanging="0"/>
              <w:jc w:val="right"/>
              <w:rPr>
                <w:rFonts w:ascii="times new roman" w:hAnsi="times new roman"/>
                <w:sz w:val="20"/>
              </w:rPr>
            </w:pPr>
            <w:bookmarkStart w:id="3057" w:name="TAB11595"/>
            <w:bookmarkEnd w:id="3057"/>
            <w:r>
              <w:rPr>
                <w:rFonts w:ascii="times new roman" w:hAnsi="times new roman"/>
                <w:sz w:val="20"/>
              </w:rPr>
              <w:t>59,938</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068" w:type="dxa"/>
            <w:tcBorders/>
            <w:shd w:fill="CCEEFF" w:val="clear"/>
            <w:tcMar>
              <w:bottom w:w="0" w:type="dxa"/>
            </w:tcMar>
            <w:vAlign w:val="bottom"/>
          </w:tcPr>
          <w:p>
            <w:pPr>
              <w:pStyle w:val="TableContents"/>
              <w:spacing w:before="0" w:after="0"/>
              <w:ind w:left="540" w:right="0" w:hanging="360"/>
              <w:jc w:val="left"/>
              <w:rPr>
                <w:rFonts w:ascii="times new roman" w:hAnsi="times new roman"/>
                <w:sz w:val="20"/>
              </w:rPr>
            </w:pPr>
            <w:bookmarkStart w:id="3058" w:name="TAB11596"/>
            <w:bookmarkEnd w:id="3058"/>
            <w:r>
              <w:rPr>
                <w:rFonts w:ascii="times new roman" w:hAnsi="times new roman"/>
                <w:sz w:val="20"/>
              </w:rPr>
              <w:t>Year-ended December 31, 2007 – Tax valuation allowance</w:t>
            </w:r>
          </w:p>
        </w:tc>
        <w:tc>
          <w:tcPr>
            <w:tcW w:w="112"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tcMar>
              <w:bottom w:w="0" w:type="dxa"/>
            </w:tcMar>
            <w:vAlign w:val="bottom"/>
          </w:tcPr>
          <w:p>
            <w:pPr>
              <w:pStyle w:val="TableContents"/>
              <w:spacing w:before="0" w:after="283"/>
              <w:ind w:left="72" w:right="0" w:hanging="0"/>
              <w:jc w:val="right"/>
              <w:rPr>
                <w:rFonts w:ascii="times new roman" w:hAnsi="times new roman"/>
                <w:sz w:val="20"/>
              </w:rPr>
            </w:pPr>
            <w:bookmarkStart w:id="3059" w:name="TAB11597"/>
            <w:bookmarkEnd w:id="3059"/>
            <w:r>
              <w:rPr>
                <w:rFonts w:ascii="times new roman" w:hAnsi="times new roman"/>
                <w:sz w:val="20"/>
              </w:rPr>
              <w:t>56,218</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4"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060" w:name="TAB11598"/>
            <w:bookmarkEnd w:id="3060"/>
            <w:r>
              <w:rPr>
                <w:rFonts w:ascii="times new roman" w:hAnsi="times new roman"/>
                <w:sz w:val="20"/>
              </w:rPr>
              <w:t>992</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2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061" w:name="TAB11599"/>
            <w:bookmarkEnd w:id="3061"/>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tcMar>
              <w:bottom w:w="0" w:type="dxa"/>
            </w:tcMar>
            <w:vAlign w:val="bottom"/>
          </w:tcPr>
          <w:p>
            <w:pPr>
              <w:pStyle w:val="TableContents"/>
              <w:spacing w:before="0" w:after="283"/>
              <w:ind w:left="72" w:right="0" w:hanging="0"/>
              <w:jc w:val="right"/>
              <w:rPr>
                <w:rFonts w:ascii="times new roman" w:hAnsi="times new roman"/>
                <w:sz w:val="20"/>
              </w:rPr>
            </w:pPr>
            <w:bookmarkStart w:id="3062" w:name="TAB11600"/>
            <w:bookmarkEnd w:id="3062"/>
            <w:r>
              <w:rPr>
                <w:rFonts w:ascii="times new roman" w:hAnsi="times new roman"/>
                <w:sz w:val="20"/>
              </w:rPr>
              <w:t>57,210</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4068" w:type="dxa"/>
            <w:tcBorders/>
            <w:shd w:fill="FFFFFF" w:val="clear"/>
            <w:tcMar>
              <w:bottom w:w="0" w:type="dxa"/>
            </w:tcMar>
            <w:vAlign w:val="bottom"/>
          </w:tcPr>
          <w:p>
            <w:pPr>
              <w:pStyle w:val="TableContents"/>
              <w:spacing w:before="0" w:after="283"/>
              <w:rPr/>
            </w:pPr>
            <w:r>
              <w:rPr/>
              <w:t xml:space="preserve">  </w:t>
            </w:r>
          </w:p>
        </w:tc>
        <w:tc>
          <w:tcPr>
            <w:tcW w:w="112" w:type="dxa"/>
            <w:tcBorders/>
            <w:shd w:fill="FFFFFF" w:val="clear"/>
            <w:tcMar>
              <w:bottom w:w="0" w:type="dxa"/>
            </w:tcMar>
            <w:vAlign w:val="bottom"/>
          </w:tcPr>
          <w:p>
            <w:pPr>
              <w:pStyle w:val="TableContents"/>
              <w:spacing w:before="0" w:after="283"/>
              <w:rPr/>
            </w:pPr>
            <w:r>
              <w:rPr/>
              <w:t> </w:t>
            </w:r>
          </w:p>
        </w:tc>
        <w:tc>
          <w:tcPr>
            <w:tcW w:w="179" w:type="dxa"/>
            <w:tcBorders/>
            <w:shd w:fill="FFFFFF" w:val="clear"/>
            <w:tcMar>
              <w:bottom w:w="0" w:type="dxa"/>
            </w:tcMar>
            <w:vAlign w:val="bottom"/>
          </w:tcPr>
          <w:p>
            <w:pPr>
              <w:pStyle w:val="TableContents"/>
              <w:spacing w:before="0" w:after="283"/>
              <w:jc w:val="left"/>
              <w:rPr/>
            </w:pPr>
            <w:r>
              <w:rPr/>
              <w:t> </w:t>
            </w:r>
          </w:p>
        </w:tc>
        <w:tc>
          <w:tcPr>
            <w:tcW w:w="1141"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104"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260" w:type="dxa"/>
            <w:tcBorders/>
            <w:shd w:fill="FFFFFF" w:val="clear"/>
            <w:tcMar>
              <w:bottom w:w="0" w:type="dxa"/>
            </w:tcMar>
            <w:vAlign w:val="bottom"/>
          </w:tcPr>
          <w:p>
            <w:pPr>
              <w:pStyle w:val="TableContents"/>
              <w:spacing w:before="0" w:after="283"/>
              <w:jc w:val="left"/>
              <w:rPr/>
            </w:pPr>
            <w:r>
              <w:rPr/>
              <w:t> </w:t>
            </w:r>
          </w:p>
        </w:tc>
        <w:tc>
          <w:tcPr>
            <w:tcW w:w="1128"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rPr/>
            </w:pPr>
            <w:r>
              <w:rPr/>
              <w:t> </w:t>
            </w:r>
          </w:p>
        </w:tc>
        <w:tc>
          <w:tcPr>
            <w:tcW w:w="160"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068" w:type="dxa"/>
            <w:tcBorders/>
            <w:shd w:fill="FFFF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Non-current tax liability for the year ended December 31, 2009</w:t>
            </w:r>
          </w:p>
        </w:tc>
        <w:tc>
          <w:tcPr>
            <w:tcW w:w="112" w:type="dxa"/>
            <w:tcBorders/>
            <w:shd w:fill="FFFFFF" w:val="clear"/>
            <w:tcMar>
              <w:bottom w:w="0" w:type="dxa"/>
            </w:tcMar>
            <w:vAlign w:val="bottom"/>
          </w:tcPr>
          <w:p>
            <w:pPr>
              <w:pStyle w:val="TableContents"/>
              <w:spacing w:before="0" w:after="283"/>
              <w:jc w:val="left"/>
              <w:rPr/>
            </w:pPr>
            <w:r>
              <w:rPr/>
              <w:t> </w:t>
            </w:r>
          </w:p>
        </w:tc>
        <w:tc>
          <w:tcPr>
            <w:tcW w:w="17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FFFFFF" w:val="clear"/>
            <w:tcMar>
              <w:bottom w:w="0" w:type="dxa"/>
            </w:tcMar>
            <w:vAlign w:val="bottom"/>
          </w:tcPr>
          <w:p>
            <w:pPr>
              <w:pStyle w:val="TableContents"/>
              <w:spacing w:before="0" w:after="283"/>
              <w:ind w:left="72" w:right="0" w:hanging="0"/>
              <w:jc w:val="right"/>
              <w:rPr>
                <w:rFonts w:ascii="times new roman" w:hAnsi="times new roman"/>
                <w:sz w:val="20"/>
              </w:rPr>
            </w:pPr>
            <w:bookmarkStart w:id="3063" w:name="TAB11601"/>
            <w:bookmarkEnd w:id="3063"/>
            <w:r>
              <w:rPr>
                <w:rFonts w:ascii="times new roman" w:hAnsi="times new roman"/>
                <w:sz w:val="20"/>
              </w:rPr>
              <w:t>6,347</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4" w:type="dxa"/>
            <w:tcBorders/>
            <w:shd w:fill="FFFFFF" w:val="clear"/>
            <w:tcMar>
              <w:bottom w:w="0" w:type="dxa"/>
            </w:tcMar>
            <w:vAlign w:val="bottom"/>
          </w:tcPr>
          <w:p>
            <w:pPr>
              <w:pStyle w:val="TableContents"/>
              <w:spacing w:before="0" w:after="283"/>
              <w:ind w:left="162" w:right="0" w:hanging="0"/>
              <w:jc w:val="right"/>
              <w:rPr>
                <w:rFonts w:ascii="times new roman" w:hAnsi="times new roman"/>
                <w:sz w:val="20"/>
              </w:rPr>
            </w:pPr>
            <w:bookmarkStart w:id="3064" w:name="TAB11602"/>
            <w:bookmarkEnd w:id="3064"/>
            <w:r>
              <w:rPr>
                <w:rFonts w:ascii="times new roman" w:hAnsi="times new roman"/>
                <w:sz w:val="20"/>
              </w:rPr>
              <w:t>621</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26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shd w:fill="FFFFFF" w:val="clear"/>
            <w:tcMar>
              <w:bottom w:w="0" w:type="dxa"/>
            </w:tcMar>
            <w:vAlign w:val="bottom"/>
          </w:tcPr>
          <w:p>
            <w:pPr>
              <w:pStyle w:val="TableContents"/>
              <w:spacing w:before="0" w:after="283"/>
              <w:ind w:left="162" w:right="0" w:hanging="0"/>
              <w:jc w:val="right"/>
              <w:rPr>
                <w:rFonts w:ascii="times new roman" w:hAnsi="times new roman"/>
                <w:sz w:val="20"/>
              </w:rPr>
            </w:pPr>
            <w:bookmarkStart w:id="3065" w:name="TAB11603"/>
            <w:bookmarkEnd w:id="3065"/>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6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tcMar>
              <w:bottom w:w="0" w:type="dxa"/>
            </w:tcMar>
            <w:vAlign w:val="bottom"/>
          </w:tcPr>
          <w:p>
            <w:pPr>
              <w:pStyle w:val="TableContents"/>
              <w:spacing w:before="0" w:after="283"/>
              <w:ind w:left="72" w:right="0" w:hanging="0"/>
              <w:jc w:val="right"/>
              <w:rPr>
                <w:rFonts w:ascii="times new roman" w:hAnsi="times new roman"/>
                <w:sz w:val="20"/>
              </w:rPr>
            </w:pPr>
            <w:bookmarkStart w:id="3066" w:name="TAB11604"/>
            <w:bookmarkEnd w:id="3066"/>
            <w:r>
              <w:rPr>
                <w:rFonts w:ascii="times new roman" w:hAnsi="times new roman"/>
                <w:sz w:val="20"/>
              </w:rPr>
              <w:t>6,968</w:t>
            </w:r>
          </w:p>
        </w:tc>
        <w:tc>
          <w:tcPr>
            <w:tcW w:w="136"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67" w:name="PGBRK106"/>
      <w:bookmarkStart w:id="3068" w:name="PGBRK106"/>
      <w:bookmarkEnd w:id="30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69" w:name="FTR106"/>
      <w:bookmarkStart w:id="3070" w:name="FTR106"/>
      <w:bookmarkEnd w:id="30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71" w:name="GLFTR106"/>
      <w:bookmarkEnd w:id="30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072" w:name="PN106"/>
      <w:bookmarkEnd w:id="3072"/>
      <w:r>
        <w:rPr>
          <w:rFonts w:eastAsia="Times New Roman" w:cs="Times New Roman" w:ascii="Times New Roman" w:hAnsi="Times New Roman"/>
          <w:sz w:val="20"/>
          <w:szCs w:val="20"/>
        </w:rPr>
        <w:t>-106-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073" w:name="HDR106"/>
      <w:bookmarkStart w:id="3074" w:name="HDR106"/>
      <w:bookmarkEnd w:id="30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075" w:name="GLHDR106"/>
        <w:bookmarkEnd w:id="30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u w:val="single"/>
        </w:rPr>
      </w:pPr>
      <w:bookmarkStart w:id="3076" w:name="item9"/>
      <w:bookmarkEnd w:id="3076"/>
      <w:r>
        <w:rPr>
          <w:rFonts w:ascii="Times New Roman" w:hAnsi="Times New Roman"/>
          <w:b/>
          <w:sz w:val="20"/>
          <w:u w:val="single"/>
        </w:rPr>
        <w:t>Item 9 – Change in and Disagreements with Accountants on Accounting and Financial Disclosure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None.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77" w:name="PGBRK107"/>
      <w:bookmarkStart w:id="3078" w:name="PGBRK107"/>
      <w:bookmarkEnd w:id="30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79" w:name="FTR107"/>
      <w:bookmarkStart w:id="3080" w:name="FTR107"/>
      <w:bookmarkEnd w:id="30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81" w:name="GLFTR107"/>
      <w:bookmarkEnd w:id="30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082" w:name="PN107"/>
      <w:bookmarkEnd w:id="3082"/>
      <w:r>
        <w:rPr>
          <w:rFonts w:eastAsia="Times New Roman" w:cs="Times New Roman" w:ascii="Times New Roman" w:hAnsi="Times New Roman"/>
          <w:sz w:val="20"/>
          <w:szCs w:val="20"/>
        </w:rPr>
        <w:t>-107-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083" w:name="HDR107"/>
      <w:bookmarkStart w:id="3084" w:name="HDR107"/>
      <w:bookmarkEnd w:id="30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085" w:name="GLHDR107"/>
        <w:bookmarkEnd w:id="308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u w:val="single"/>
        </w:rPr>
      </w:pPr>
      <w:bookmarkStart w:id="3086" w:name="item9a"/>
      <w:bookmarkEnd w:id="3086"/>
      <w:r>
        <w:rPr>
          <w:rFonts w:ascii="Times New Roman" w:hAnsi="Times New Roman"/>
          <w:b/>
          <w:sz w:val="20"/>
          <w:u w:val="single"/>
        </w:rPr>
        <w:t>Item 9A — Controls and Procedures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Management’s Report on Internal Control Over Financial Reporting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as such term is defined in Securities Exchange Act Rules 13a-15(f),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 ave a material effect on the financial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 to the process safeguards to reduce, though not eliminate, this risk.</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087" w:name="TAB11605"/>
      <w:bookmarkEnd w:id="3087"/>
      <w:r>
        <w:rPr>
          <w:rFonts w:ascii="Times New Roman" w:hAnsi="Times New Roman"/>
          <w:sz w:val="20"/>
        </w:rPr>
        <w:t xml:space="preserve">Under the supervision and with the participation of our management, including our Chief Executive Officer and Chief Financial Officer, we conducted an evaluation of the effectiveness of our internal control over financial reporting based on the criteria established in </w:t>
      </w:r>
      <w:r>
        <w:rPr>
          <w:rFonts w:ascii="Times New Roman" w:hAnsi="Times New Roman"/>
          <w:i/>
          <w:sz w:val="20"/>
        </w:rPr>
        <w:t>Internal Control—Integrated Framework</w:t>
      </w:r>
      <w:r>
        <w:rPr>
          <w:rFonts w:ascii="Times New Roman" w:hAnsi="Times New Roman"/>
          <w:sz w:val="20"/>
        </w:rPr>
        <w:t>  issued by the Committee of Sponsoring Organizations (COSO) of the Treadway Commission.  Based on our evaluation under the COSO framework, our management concluded that our internal control over financial reporting was not effective as of December 31, 2009, due to a material weakness, as described below.</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088" w:name="TAB11606"/>
      <w:bookmarkEnd w:id="3088"/>
      <w:r>
        <w:rPr>
          <w:rFonts w:ascii="Times New Roman" w:hAnsi="Times New Roman"/>
          <w:sz w:val="20"/>
        </w:rPr>
        <w:t>Our controls related to the recording of infrequent and non-routine transactions in our foreign operations failed to prevent or detect errors in our accounts, which were identified by Deloitte &amp; Touche, LLP, our independent registered public accounting firm.  As a result, we identified the following material weakness in the operation of our internal control as of December 31, 2009:</w:t>
      </w:r>
    </w:p>
    <w:p>
      <w:pPr>
        <w:pStyle w:val="TextBody"/>
        <w:spacing w:before="0" w:after="0"/>
        <w:ind w:left="0" w:right="0" w:hanging="0"/>
        <w:rPr/>
      </w:pPr>
      <w:r>
        <w:rPr/>
      </w:r>
    </w:p>
    <w:p>
      <w:pPr>
        <w:pStyle w:val="Normal"/>
        <w:spacing w:before="0" w:after="0"/>
        <w:rPr>
          <w:sz w:val="4"/>
          <w:szCs w:val="4"/>
        </w:rPr>
      </w:pPr>
      <w:r>
        <w:rPr>
          <w:sz w:val="4"/>
          <w:szCs w:val="4"/>
        </w:rPr>
      </w:r>
      <w:bookmarkStart w:id="3089" w:name="list231"/>
      <w:bookmarkStart w:id="3090" w:name="list231"/>
      <w:bookmarkEnd w:id="309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did not effectively apply internal control procedures relating to the review and analysis of the supporting documentation for non-routine transactions which resulted in the misapplication of generally accepted accounting principles in the United States of America for two transactions.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091" w:name="TAB11607"/>
      <w:bookmarkEnd w:id="3091"/>
      <w:r>
        <w:rPr>
          <w:rFonts w:ascii="Times New Roman" w:hAnsi="Times New Roman"/>
          <w:sz w:val="20"/>
        </w:rPr>
        <w:t xml:space="preserve">This material weakness in internal control did not result in an actual misstatement of our consolidated financial statements at December 31, 2009 because the errors were detected and corrected prior to the issuance of our consolidated financial statements for the year ended December 31, 2009.  We plan to remediate this deficiency in the operating effectiveness of internal control over financial reporting by effectively applying our review and analysis controls over the supporting documentation of non-routine transactions as such transactions occur during 2010.  Our consolidated financial statements also disclose in Note 2 – </w:t>
      </w:r>
      <w:r>
        <w:rPr>
          <w:rFonts w:ascii="Times New Roman" w:hAnsi="Times New Roman"/>
          <w:i/>
          <w:sz w:val="20"/>
        </w:rPr>
        <w:t>Summary of Significant Accounting Policies</w:t>
      </w:r>
      <w:r>
        <w:rPr>
          <w:rFonts w:ascii="Times New Roman" w:hAnsi="Times New Roman"/>
          <w:sz w:val="20"/>
        </w:rPr>
        <w:t xml:space="preserve">, Note 6 – </w:t>
      </w:r>
      <w:r>
        <w:rPr>
          <w:rFonts w:ascii="Times New Roman" w:hAnsi="Times New Roman"/>
          <w:i/>
          <w:sz w:val="20"/>
        </w:rPr>
        <w:t>Property Held For and Under Development</w:t>
      </w:r>
      <w:r>
        <w:rPr>
          <w:rFonts w:ascii="Times New Roman" w:hAnsi="Times New Roman"/>
          <w:sz w:val="20"/>
        </w:rPr>
        <w:t xml:space="preserve">, and Note 23 – </w:t>
      </w:r>
      <w:r>
        <w:rPr>
          <w:rFonts w:ascii="Times New Roman" w:hAnsi="Times New Roman"/>
          <w:i/>
          <w:sz w:val="20"/>
        </w:rPr>
        <w:t>Unaudited Quarterly Financial Information</w:t>
      </w:r>
      <w:r>
        <w:rPr>
          <w:rFonts w:ascii="Times New Roman" w:hAnsi="Times New Roman"/>
          <w:sz w:val="20"/>
        </w:rPr>
        <w:t xml:space="preserve"> the out of period impact of recording these two transactions in the quarter ended December 31, 2009.</w:t>
      </w: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b/>
          <w:sz w:val="20"/>
          <w:u w:val="single"/>
        </w:rPr>
      </w:pPr>
      <w:r>
        <w:rPr>
          <w:rFonts w:ascii="Times New Roman" w:hAnsi="Times New Roman"/>
          <w:b/>
          <w:sz w:val="20"/>
          <w:u w:val="single"/>
        </w:rPr>
        <w:t>Disclosure Controls and Procedures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senior officers of each significant business line and other select employees assisted the Chief Executive Officer and the Chief Financial Officer in this evaluation.  Based upon that evaluation, as required by the Securities Exchange Act Rule 13a-15(c) as of the end of the period covered by this report, our Chief Executive Officer and Chief Financial Officer concluded that our disclosure controls and procedures were not effective due to a material weakness existing in our internal controls as of December 31, 2009.</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92" w:name="PGBRK108"/>
      <w:bookmarkStart w:id="3093" w:name="PGBRK108"/>
      <w:bookmarkEnd w:id="30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4" w:name="FTR108"/>
      <w:bookmarkStart w:id="3095" w:name="FTR108"/>
      <w:bookmarkEnd w:id="30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96" w:name="GLFTR108"/>
      <w:bookmarkEnd w:id="30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097" w:name="PN108"/>
      <w:bookmarkEnd w:id="3097"/>
      <w:r>
        <w:rPr>
          <w:rFonts w:eastAsia="Times New Roman" w:cs="Times New Roman" w:ascii="Times New Roman" w:hAnsi="Times New Roman"/>
          <w:sz w:val="20"/>
          <w:szCs w:val="20"/>
        </w:rPr>
        <w:t>-108-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098" w:name="HDR108"/>
      <w:bookmarkStart w:id="3099" w:name="HDR108"/>
      <w:bookmarkEnd w:id="30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00" w:name="GLHDR108"/>
        <w:bookmarkEnd w:id="310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Changes in Internal Controls Over Financial Reporting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 changes in internal control over financial reporting occurred during the last fiscal quarter that have materially affected, or are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01" w:name="PGBRK109"/>
      <w:bookmarkStart w:id="3102" w:name="PGBRK109"/>
      <w:bookmarkEnd w:id="3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03" w:name="FTR109"/>
      <w:bookmarkStart w:id="3104" w:name="FTR109"/>
      <w:bookmarkEnd w:id="3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05" w:name="GLFTR109"/>
      <w:bookmarkEnd w:id="31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106" w:name="PN109"/>
      <w:bookmarkEnd w:id="3106"/>
      <w:r>
        <w:rPr>
          <w:rFonts w:eastAsia="Times New Roman" w:cs="Times New Roman" w:ascii="Times New Roman" w:hAnsi="Times New Roman"/>
          <w:sz w:val="20"/>
          <w:szCs w:val="20"/>
        </w:rPr>
        <w:t>-109-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107" w:name="HDR109"/>
      <w:bookmarkStart w:id="3108" w:name="HDR109"/>
      <w:bookmarkEnd w:id="3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09" w:name="GLHDR109"/>
        <w:bookmarkEnd w:id="310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Report of Independent Registered Public Accounting Firm</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Board of Directors and Stockholders of</w:t>
      </w:r>
    </w:p>
    <w:p>
      <w:pPr>
        <w:pStyle w:val="TextBody"/>
        <w:spacing w:before="0" w:after="0"/>
        <w:ind w:left="0" w:right="0" w:hanging="0"/>
        <w:jc w:val="left"/>
        <w:rPr>
          <w:rFonts w:ascii="Times New Roman" w:hAnsi="Times New Roman"/>
          <w:sz w:val="20"/>
        </w:rPr>
      </w:pPr>
      <w:r>
        <w:rPr>
          <w:rFonts w:ascii="Times New Roman" w:hAnsi="Times New Roman"/>
          <w:sz w:val="20"/>
        </w:rPr>
        <w:t>Reading International, Inc.</w:t>
      </w:r>
    </w:p>
    <w:p>
      <w:pPr>
        <w:pStyle w:val="TextBody"/>
        <w:spacing w:before="0" w:after="0"/>
        <w:ind w:left="0" w:right="0" w:hanging="0"/>
        <w:jc w:val="left"/>
        <w:rPr>
          <w:rFonts w:ascii="Times New Roman" w:hAnsi="Times New Roman"/>
          <w:sz w:val="20"/>
        </w:rPr>
      </w:pPr>
      <w:r>
        <w:rPr>
          <w:rFonts w:ascii="Times New Roman" w:hAnsi="Times New Roman"/>
          <w:sz w:val="20"/>
        </w:rPr>
        <w:t>Commerce, California</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 xml:space="preserve">We have audited Reading International, Inc. and subsidiaries' (the "Company's") internal control over financial reporting as of December 31, 2009, based on criteria established in </w:t>
      </w:r>
      <w:r>
        <w:rPr>
          <w:rFonts w:ascii="Times New Roman" w:hAnsi="Times New Roman"/>
          <w:i/>
          <w:sz w:val="20"/>
        </w:rPr>
        <w:t xml:space="preserve">Internal Control — Integrated Framework </w:t>
      </w:r>
      <w:r>
        <w:rPr>
          <w:rFonts w:ascii="Times New Roman" w:hAnsi="Times New Roman"/>
          <w:sz w:val="20"/>
        </w:rPr>
        <w:t xml:space="preserve">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Times New Roman" w:hAnsi="Times New Roman"/>
          <w:i/>
          <w:sz w:val="20"/>
        </w:rPr>
        <w:t>Management's Report on Internal Control Over Financial Reporting</w:t>
      </w:r>
      <w:r>
        <w:rPr>
          <w:rFonts w:ascii="Times New Roman" w:hAnsi="Times New Roman"/>
          <w:sz w:val="20"/>
        </w:rPr>
        <w:t>.  Our responsibility is to express an opinion on the Company's internal control over financial reporting based on ou r audit.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that risk, and performing such other procedures as we considered necessary in the circumstances.  We believe that our audit provides a reasonable basis for our opinion.</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effectively apply internal control procedures relating to the review and analysis of the supporting documentation for non-routine transactions which resulted in the misapplication of generally accepted accounting principles in the United States of America for two transactions.  This material weakness was considered in determining the nature, timing, and extent of audit tests applied in our audit of the consolidated financial statements and financial statement schedule as of and for the year ended December 31, 2009, of the Company and this report does not affect our report on such financial statements and financial statement schedule.  In our opinion, because of the effect of the material weakness identified above on the achievement of the objectives of the control criteria, the Company has not maintained effective internal control over financial reporting as of December 31, 2009, based on the criteria established in </w:t>
      </w:r>
      <w:r>
        <w:rPr>
          <w:rFonts w:ascii="Times New Roman" w:hAnsi="Times New Roman"/>
          <w:i/>
          <w:sz w:val="20"/>
        </w:rPr>
        <w:t xml:space="preserve">Internal Control — Integrated Framework </w:t>
      </w:r>
      <w:r>
        <w:rPr>
          <w:rFonts w:ascii="Times New Roman" w:hAnsi="Times New Roman"/>
          <w:sz w:val="20"/>
        </w:rPr>
        <w:t>issued by the Committee of Sponsoring Organizations of the Treadway Commission.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10" w:name="PGBRK110"/>
      <w:bookmarkStart w:id="3111" w:name="PGBRK110"/>
      <w:bookmarkEnd w:id="3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12" w:name="FTR110"/>
      <w:bookmarkStart w:id="3113" w:name="FTR110"/>
      <w:bookmarkEnd w:id="3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14" w:name="GLFTR110"/>
      <w:bookmarkEnd w:id="31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115" w:name="PN110"/>
      <w:bookmarkEnd w:id="3115"/>
      <w:r>
        <w:rPr>
          <w:rFonts w:eastAsia="Times New Roman" w:cs="Times New Roman" w:ascii="Times New Roman" w:hAnsi="Times New Roman"/>
          <w:sz w:val="20"/>
          <w:szCs w:val="20"/>
        </w:rPr>
        <w:t>-110-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116" w:name="HDR110"/>
      <w:bookmarkStart w:id="3117" w:name="HDR110"/>
      <w:bookmarkEnd w:id="3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18" w:name="GLHDR110"/>
        <w:bookmarkEnd w:id="311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firstLine="720"/>
        <w:jc w:val="both"/>
        <w:rPr>
          <w:rFonts w:ascii="Times New Roman" w:hAnsi="Times New Roman"/>
          <w:sz w:val="20"/>
        </w:rPr>
      </w:pPr>
      <w:r>
        <w:rPr>
          <w:rFonts w:ascii="Times New Roman" w:hAnsi="Times New Roman"/>
          <w:sz w:val="20"/>
        </w:rPr>
        <w:t>We have also audited, in accordance with the standards of the Public Company Accounting Oversight Board (United States), the consolidated financial statements and financial statement schedule as of and for the year ended December 31, 2009, of the Company and our report dated March 12, 2010 expressed an unqualified opinion on those financial statements and financial statement schedule.</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DELOITTE &amp; TOUCHE LLP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before="0" w:after="0"/>
        <w:ind w:left="0" w:right="0" w:hanging="0"/>
        <w:jc w:val="left"/>
        <w:rPr>
          <w:rFonts w:ascii="Times New Roman" w:hAnsi="Times New Roman"/>
          <w:sz w:val="20"/>
        </w:rPr>
      </w:pPr>
      <w:r>
        <w:rPr>
          <w:rFonts w:ascii="Times New Roman" w:hAnsi="Times New Roman"/>
          <w:sz w:val="20"/>
        </w:rPr>
        <w:t>March 12, 2010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19" w:name="PGBRK111"/>
      <w:bookmarkStart w:id="3120" w:name="PGBRK111"/>
      <w:bookmarkEnd w:id="3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21" w:name="FTR111"/>
      <w:bookmarkStart w:id="3122" w:name="FTR111"/>
      <w:bookmarkEnd w:id="3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23" w:name="GLFTR111"/>
      <w:bookmarkEnd w:id="31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124" w:name="PN111"/>
      <w:bookmarkEnd w:id="3124"/>
      <w:r>
        <w:rPr>
          <w:rFonts w:eastAsia="Times New Roman" w:cs="Times New Roman" w:ascii="Times New Roman" w:hAnsi="Times New Roman"/>
          <w:sz w:val="20"/>
          <w:szCs w:val="20"/>
        </w:rPr>
        <w:t>-111-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125" w:name="HDR111"/>
      <w:bookmarkStart w:id="3126" w:name="HDR111"/>
      <w:bookmarkEnd w:id="3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27" w:name="GLHDR111"/>
        <w:bookmarkEnd w:id="312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center"/>
        <w:rPr>
          <w:rFonts w:ascii="Times New Roman" w:hAnsi="Times New Roman"/>
          <w:b/>
          <w:sz w:val="20"/>
          <w:u w:val="single"/>
        </w:rPr>
      </w:pPr>
      <w:bookmarkStart w:id="3128" w:name="part3"/>
      <w:bookmarkEnd w:id="3128"/>
      <w:r>
        <w:rPr>
          <w:rFonts w:ascii="Times New Roman" w:hAnsi="Times New Roman"/>
          <w:b/>
          <w:sz w:val="20"/>
          <w:u w:val="single"/>
        </w:rPr>
        <w:t>PART III</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Items 10, 11, 12, 13 and 14</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Information required by Part II (Items 10, 11, 12, 13 and 14) of this From 10-K is herby incorporated by reference from the Reading International, Inc.’s definitive Proxy Statement for its 2009 Annual Meeting of Stockholders, which will be filed with the Securities and Exchange Commission, pursuant to Regulation 14A, not later than 120 days after the end of the fiscal year.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29" w:name="PGBRK112"/>
      <w:bookmarkStart w:id="3130" w:name="PGBRK112"/>
      <w:bookmarkEnd w:id="3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1" w:name="FTR112"/>
      <w:bookmarkStart w:id="3132" w:name="FTR112"/>
      <w:bookmarkEnd w:id="3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33" w:name="GLFTR112"/>
      <w:bookmarkEnd w:id="3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134" w:name="PN112"/>
      <w:bookmarkEnd w:id="3134"/>
      <w:r>
        <w:rPr>
          <w:rFonts w:eastAsia="Times New Roman" w:cs="Times New Roman" w:ascii="Times New Roman" w:hAnsi="Times New Roman"/>
          <w:sz w:val="20"/>
          <w:szCs w:val="20"/>
        </w:rPr>
        <w:t>-112-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135" w:name="HDR112"/>
      <w:bookmarkStart w:id="3136" w:name="HDR112"/>
      <w:bookmarkEnd w:id="3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37" w:name="GLHDR112"/>
        <w:bookmarkEnd w:id="313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u w:val="single"/>
        </w:rPr>
      </w:pPr>
      <w:bookmarkStart w:id="3138" w:name="part4"/>
      <w:bookmarkEnd w:id="3138"/>
      <w:r>
        <w:rPr>
          <w:rFonts w:ascii="Times New Roman" w:hAnsi="Times New Roman"/>
          <w:b/>
          <w:sz w:val="20"/>
          <w:u w:val="single"/>
        </w:rPr>
        <w:t>PART IV</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Item 15 – Exhibits, Financial Statement Schedules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The following documents are filed as a part of this report:</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1.           </w:t>
      </w:r>
      <w:r>
        <w:rPr>
          <w:rFonts w:ascii="Times New Roman" w:hAnsi="Times New Roman"/>
          <w:i/>
          <w:sz w:val="20"/>
        </w:rPr>
        <w:t>Financial Statements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139" w:name="TAB11608"/>
      <w:bookmarkEnd w:id="3139"/>
      <w:r>
        <w:rPr>
          <w:rFonts w:ascii="Times New Roman" w:hAnsi="Times New Roman"/>
          <w:sz w:val="20"/>
        </w:rPr>
        <w:t xml:space="preserve">The following financial statements are filed as part of this report under Item 8 – </w:t>
      </w:r>
      <w:r>
        <w:rPr>
          <w:rFonts w:ascii="Times New Roman" w:hAnsi="Times New Roman"/>
          <w:i/>
          <w:sz w:val="20"/>
        </w:rPr>
        <w:t>Financial Statements and Supplementary Data</w:t>
      </w:r>
      <w:r>
        <w:rPr>
          <w:rFonts w:ascii="Times New Roman" w:hAnsi="Times New Roman"/>
          <w:sz w:val="20"/>
        </w:rPr>
        <w: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389"/>
        <w:gridCol w:w="816"/>
      </w:tblGrid>
      <w:tr>
        <w:trPr/>
        <w:tc>
          <w:tcPr>
            <w:tcW w:w="9389" w:type="dxa"/>
            <w:tcBorders/>
            <w:shd w:fill="auto" w:val="clear"/>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Description</w:t>
            </w:r>
          </w:p>
        </w:tc>
        <w:tc>
          <w:tcPr>
            <w:tcW w:w="816" w:type="dxa"/>
            <w:tcBorders/>
            <w:shd w:fill="auto" w:val="clear"/>
          </w:tcPr>
          <w:p>
            <w:pPr>
              <w:pStyle w:val="TableContents"/>
              <w:spacing w:before="0" w:after="0"/>
              <w:ind w:left="0" w:right="0" w:hanging="0"/>
              <w:jc w:val="right"/>
              <w:rPr>
                <w:rFonts w:ascii="times new roman" w:hAnsi="times new roman"/>
                <w:b/>
                <w:sz w:val="20"/>
                <w:u w:val="single"/>
              </w:rPr>
            </w:pPr>
            <w:r>
              <w:rPr>
                <w:rFonts w:ascii="times new roman" w:hAnsi="times new roman"/>
                <w:b/>
                <w:sz w:val="20"/>
                <w:u w:val="single"/>
              </w:rPr>
              <w:t>Page</w:t>
            </w:r>
          </w:p>
        </w:tc>
      </w:tr>
      <w:tr>
        <w:trPr/>
        <w:tc>
          <w:tcPr>
            <w:tcW w:w="9389" w:type="dxa"/>
            <w:tcBorders/>
            <w:shd w:fill="CCEEFF" w:val="clear"/>
          </w:tcPr>
          <w:p>
            <w:pPr>
              <w:pStyle w:val="TableContents"/>
              <w:spacing w:before="0" w:after="0"/>
              <w:ind w:left="0" w:right="0" w:hanging="0"/>
              <w:jc w:val="left"/>
              <w:rPr/>
            </w:pPr>
            <w:hyperlink w:anchor="reportofaccountingfirm">
              <w:r>
                <w:rPr>
                  <w:rStyle w:val="InternetLink"/>
                  <w:rFonts w:ascii="times new roman" w:hAnsi="times new roman"/>
                  <w:sz w:val="20"/>
                </w:rPr>
                <w:t>Report of Independent Registered Accounting Firm</w:t>
              </w:r>
            </w:hyperlink>
          </w:p>
        </w:tc>
        <w:tc>
          <w:tcPr>
            <w:tcW w:w="816" w:type="dxa"/>
            <w:tcBorders/>
            <w:shd w:fill="CCEEFF" w:val="clear"/>
          </w:tcPr>
          <w:p>
            <w:pPr>
              <w:pStyle w:val="TableContents"/>
              <w:spacing w:before="0" w:after="0"/>
              <w:ind w:left="0" w:right="0" w:hanging="0"/>
              <w:jc w:val="right"/>
              <w:rPr/>
            </w:pPr>
            <w:hyperlink w:anchor="reportofaccountingfirm">
              <w:r>
                <w:rPr>
                  <w:rStyle w:val="InternetLink"/>
                  <w:rFonts w:ascii="times new roman" w:hAnsi="times new roman"/>
                  <w:sz w:val="20"/>
                </w:rPr>
                <w:t>56</w:t>
              </w:r>
            </w:hyperlink>
          </w:p>
        </w:tc>
      </w:tr>
      <w:tr>
        <w:trPr/>
        <w:tc>
          <w:tcPr>
            <w:tcW w:w="9389" w:type="dxa"/>
            <w:tcBorders/>
            <w:shd w:fill="FFFFFF" w:val="clear"/>
          </w:tcPr>
          <w:p>
            <w:pPr>
              <w:pStyle w:val="TableContents"/>
              <w:spacing w:before="0" w:after="0"/>
              <w:ind w:left="0" w:right="0" w:hanging="0"/>
              <w:jc w:val="left"/>
              <w:rPr/>
            </w:pPr>
            <w:hyperlink w:anchor="balancesheets">
              <w:r>
                <w:rPr>
                  <w:rStyle w:val="InternetLink"/>
                  <w:rFonts w:ascii="times new roman" w:hAnsi="times new roman"/>
                  <w:sz w:val="20"/>
                </w:rPr>
                <w:t>Consolidated Balance Sheets as of December 31, 2009 and 2008</w:t>
              </w:r>
            </w:hyperlink>
          </w:p>
        </w:tc>
        <w:tc>
          <w:tcPr>
            <w:tcW w:w="816" w:type="dxa"/>
            <w:tcBorders/>
            <w:shd w:fill="FFFFFF" w:val="clear"/>
          </w:tcPr>
          <w:p>
            <w:pPr>
              <w:pStyle w:val="TableContents"/>
              <w:spacing w:before="0" w:after="0"/>
              <w:ind w:left="0" w:right="0" w:hanging="0"/>
              <w:jc w:val="right"/>
              <w:rPr/>
            </w:pPr>
            <w:hyperlink w:anchor="balancesheets">
              <w:r>
                <w:rPr>
                  <w:rStyle w:val="InternetLink"/>
                  <w:rFonts w:ascii="times new roman" w:hAnsi="times new roman"/>
                  <w:sz w:val="20"/>
                </w:rPr>
                <w:t>57</w:t>
              </w:r>
            </w:hyperlink>
          </w:p>
        </w:tc>
      </w:tr>
      <w:tr>
        <w:trPr/>
        <w:tc>
          <w:tcPr>
            <w:tcW w:w="9389" w:type="dxa"/>
            <w:tcBorders/>
            <w:shd w:fill="CCEEFF" w:val="clear"/>
          </w:tcPr>
          <w:p>
            <w:pPr>
              <w:pStyle w:val="TableContents"/>
              <w:spacing w:before="0" w:after="0"/>
              <w:ind w:left="0" w:right="0" w:hanging="0"/>
              <w:jc w:val="left"/>
              <w:rPr/>
            </w:pPr>
            <w:hyperlink w:anchor="statementofoperations">
              <w:r>
                <w:rPr>
                  <w:rStyle w:val="InternetLink"/>
                  <w:rFonts w:ascii="times new roman" w:hAnsi="times new roman"/>
                  <w:sz w:val="20"/>
                </w:rPr>
                <w:t>Consolidated Statements of Operations for the Three Years Ended December 31, 2009</w:t>
              </w:r>
            </w:hyperlink>
          </w:p>
        </w:tc>
        <w:tc>
          <w:tcPr>
            <w:tcW w:w="816" w:type="dxa"/>
            <w:tcBorders/>
            <w:shd w:fill="CCEEFF" w:val="clear"/>
          </w:tcPr>
          <w:p>
            <w:pPr>
              <w:pStyle w:val="TableContents"/>
              <w:spacing w:before="0" w:after="0"/>
              <w:ind w:left="0" w:right="0" w:hanging="0"/>
              <w:jc w:val="right"/>
              <w:rPr/>
            </w:pPr>
            <w:hyperlink w:anchor="statementofoperations">
              <w:r>
                <w:rPr>
                  <w:rStyle w:val="InternetLink"/>
                  <w:rFonts w:ascii="times new roman" w:hAnsi="times new roman"/>
                  <w:sz w:val="20"/>
                </w:rPr>
                <w:t>58</w:t>
              </w:r>
            </w:hyperlink>
          </w:p>
        </w:tc>
      </w:tr>
      <w:tr>
        <w:trPr/>
        <w:tc>
          <w:tcPr>
            <w:tcW w:w="9389" w:type="dxa"/>
            <w:tcBorders/>
            <w:shd w:fill="FFFFFF" w:val="clear"/>
          </w:tcPr>
          <w:p>
            <w:pPr>
              <w:pStyle w:val="TableContents"/>
              <w:spacing w:before="0" w:after="0"/>
              <w:ind w:left="0" w:right="0" w:hanging="0"/>
              <w:jc w:val="left"/>
              <w:rPr/>
            </w:pPr>
            <w:hyperlink w:anchor="statementsofstockholderequity">
              <w:r>
                <w:rPr>
                  <w:rStyle w:val="InternetLink"/>
                  <w:rFonts w:ascii="times new roman" w:hAnsi="times new roman"/>
                  <w:sz w:val="20"/>
                </w:rPr>
                <w:t>Consolidated Statements of Stockholders’ Equity for the Three Years Ended December 31, 2009</w:t>
              </w:r>
            </w:hyperlink>
          </w:p>
        </w:tc>
        <w:tc>
          <w:tcPr>
            <w:tcW w:w="816" w:type="dxa"/>
            <w:tcBorders/>
            <w:shd w:fill="FFFFFF" w:val="clear"/>
          </w:tcPr>
          <w:p>
            <w:pPr>
              <w:pStyle w:val="TableContents"/>
              <w:spacing w:before="0" w:after="0"/>
              <w:ind w:left="0" w:right="0" w:hanging="0"/>
              <w:jc w:val="right"/>
              <w:rPr/>
            </w:pPr>
            <w:hyperlink w:anchor="statementsofstockholderequity">
              <w:r>
                <w:rPr>
                  <w:rStyle w:val="InternetLink"/>
                  <w:rFonts w:ascii="times new roman" w:hAnsi="times new roman"/>
                  <w:sz w:val="20"/>
                </w:rPr>
                <w:t>59</w:t>
              </w:r>
            </w:hyperlink>
          </w:p>
        </w:tc>
      </w:tr>
      <w:tr>
        <w:trPr/>
        <w:tc>
          <w:tcPr>
            <w:tcW w:w="9389" w:type="dxa"/>
            <w:tcBorders/>
            <w:shd w:fill="CCEEFF" w:val="clear"/>
          </w:tcPr>
          <w:p>
            <w:pPr>
              <w:pStyle w:val="TableContents"/>
              <w:spacing w:before="0" w:after="0"/>
              <w:ind w:left="0" w:right="0" w:hanging="0"/>
              <w:jc w:val="left"/>
              <w:rPr/>
            </w:pPr>
            <w:hyperlink w:anchor="cashflows">
              <w:r>
                <w:rPr>
                  <w:rStyle w:val="InternetLink"/>
                  <w:rFonts w:ascii="times new roman" w:hAnsi="times new roman"/>
                  <w:sz w:val="20"/>
                </w:rPr>
                <w:t>Consolidated Statements of Cash Flows for the Three Years Ended December 31, 2009</w:t>
              </w:r>
            </w:hyperlink>
          </w:p>
        </w:tc>
        <w:tc>
          <w:tcPr>
            <w:tcW w:w="816" w:type="dxa"/>
            <w:tcBorders/>
            <w:shd w:fill="CCEEFF" w:val="clear"/>
          </w:tcPr>
          <w:p>
            <w:pPr>
              <w:pStyle w:val="TableContents"/>
              <w:spacing w:before="0" w:after="0"/>
              <w:ind w:left="0" w:right="0" w:hanging="0"/>
              <w:jc w:val="right"/>
              <w:rPr/>
            </w:pPr>
            <w:hyperlink w:anchor="cashflows">
              <w:r>
                <w:rPr>
                  <w:rStyle w:val="InternetLink"/>
                  <w:rFonts w:ascii="times new roman" w:hAnsi="times new roman"/>
                  <w:sz w:val="20"/>
                </w:rPr>
                <w:t>60</w:t>
              </w:r>
            </w:hyperlink>
          </w:p>
        </w:tc>
      </w:tr>
      <w:tr>
        <w:trPr/>
        <w:tc>
          <w:tcPr>
            <w:tcW w:w="9389" w:type="dxa"/>
            <w:tcBorders/>
            <w:shd w:fill="FFFFFF" w:val="clear"/>
          </w:tcPr>
          <w:p>
            <w:pPr>
              <w:pStyle w:val="TableContents"/>
              <w:spacing w:before="0" w:after="0"/>
              <w:ind w:left="0" w:right="0" w:hanging="0"/>
              <w:jc w:val="left"/>
              <w:rPr/>
            </w:pPr>
            <w:hyperlink w:anchor="notes">
              <w:r>
                <w:rPr>
                  <w:rStyle w:val="InternetLink"/>
                  <w:rFonts w:ascii="times new roman" w:hAnsi="times new roman"/>
                  <w:sz w:val="20"/>
                </w:rPr>
                <w:t>Notes to Consolidated Financial Statements</w:t>
              </w:r>
            </w:hyperlink>
          </w:p>
        </w:tc>
        <w:tc>
          <w:tcPr>
            <w:tcW w:w="816" w:type="dxa"/>
            <w:tcBorders/>
            <w:shd w:fill="FFFFFF" w:val="clear"/>
          </w:tcPr>
          <w:p>
            <w:pPr>
              <w:pStyle w:val="TableContents"/>
              <w:spacing w:before="0" w:after="0"/>
              <w:ind w:left="0" w:right="0" w:hanging="0"/>
              <w:jc w:val="right"/>
              <w:rPr/>
            </w:pPr>
            <w:hyperlink w:anchor="notes">
              <w:r>
                <w:rPr>
                  <w:rStyle w:val="InternetLink"/>
                  <w:rFonts w:ascii="times new roman" w:hAnsi="times new roman"/>
                  <w:sz w:val="20"/>
                </w:rPr>
                <w:t>61</w:t>
              </w:r>
            </w:hyperlink>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w:t>
      </w:r>
      <w:r>
        <w:rPr>
          <w:rFonts w:ascii="Times New Roman" w:hAnsi="Times New Roman"/>
          <w:i/>
          <w:sz w:val="20"/>
        </w:rPr>
        <w:t>Financial Statement Schedules for the years ended December 31, 2009, 2008 and 2007</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317"/>
        <w:gridCol w:w="888"/>
      </w:tblGrid>
      <w:tr>
        <w:trPr/>
        <w:tc>
          <w:tcPr>
            <w:tcW w:w="9317" w:type="dxa"/>
            <w:tcBorders/>
            <w:shd w:fill="auto" w:val="clear"/>
          </w:tcPr>
          <w:p>
            <w:pPr>
              <w:pStyle w:val="TableContents"/>
              <w:spacing w:before="0" w:after="283"/>
              <w:rPr/>
            </w:pPr>
            <w:r>
              <w:rPr/>
              <w:t xml:space="preserve">  </w:t>
            </w:r>
          </w:p>
        </w:tc>
        <w:tc>
          <w:tcPr>
            <w:tcW w:w="888" w:type="dxa"/>
            <w:tcBorders/>
            <w:shd w:fill="auto" w:val="clear"/>
          </w:tcPr>
          <w:p>
            <w:pPr>
              <w:pStyle w:val="TableContents"/>
              <w:spacing w:before="0" w:after="0"/>
              <w:ind w:left="0" w:right="0" w:hanging="0"/>
              <w:jc w:val="right"/>
              <w:rPr>
                <w:rFonts w:ascii="times new roman" w:hAnsi="times new roman"/>
                <w:b/>
                <w:sz w:val="20"/>
                <w:u w:val="single"/>
              </w:rPr>
            </w:pPr>
            <w:r>
              <w:rPr>
                <w:rFonts w:ascii="times new roman" w:hAnsi="times new roman"/>
                <w:b/>
                <w:sz w:val="20"/>
                <w:u w:val="single"/>
              </w:rPr>
              <w:t>Page</w:t>
            </w:r>
          </w:p>
        </w:tc>
      </w:tr>
      <w:tr>
        <w:trPr/>
        <w:tc>
          <w:tcPr>
            <w:tcW w:w="9317" w:type="dxa"/>
            <w:tcBorders/>
            <w:shd w:fill="CCEEFF" w:val="clear"/>
          </w:tcPr>
          <w:p>
            <w:pPr>
              <w:pStyle w:val="TableContents"/>
              <w:spacing w:before="0" w:after="0"/>
              <w:ind w:left="0" w:right="0" w:hanging="0"/>
              <w:jc w:val="left"/>
              <w:rPr/>
            </w:pPr>
            <w:hyperlink w:anchor="scheduleii">
              <w:r>
                <w:rPr>
                  <w:rStyle w:val="InternetLink"/>
                  <w:rFonts w:ascii="times new roman" w:hAnsi="times new roman"/>
                  <w:sz w:val="20"/>
                </w:rPr>
                <w:t>Schedule II – Valuation and Qualifying Accounts</w:t>
              </w:r>
            </w:hyperlink>
          </w:p>
        </w:tc>
        <w:tc>
          <w:tcPr>
            <w:tcW w:w="888" w:type="dxa"/>
            <w:tcBorders/>
            <w:shd w:fill="CCEEFF" w:val="clear"/>
          </w:tcPr>
          <w:p>
            <w:pPr>
              <w:pStyle w:val="TableContents"/>
              <w:spacing w:before="0" w:after="0"/>
              <w:ind w:left="0" w:right="0" w:hanging="0"/>
              <w:jc w:val="right"/>
              <w:rPr/>
            </w:pPr>
            <w:hyperlink w:anchor="scheduleii">
              <w:r>
                <w:rPr>
                  <w:rStyle w:val="InternetLink"/>
                  <w:rFonts w:ascii="times new roman" w:hAnsi="times new roman"/>
                  <w:sz w:val="20"/>
                </w:rPr>
                <w:t>104</w:t>
              </w:r>
            </w:hyperlink>
          </w:p>
        </w:tc>
      </w:tr>
      <w:tr>
        <w:trPr/>
        <w:tc>
          <w:tcPr>
            <w:tcW w:w="9317" w:type="dxa"/>
            <w:tcBorders/>
            <w:shd w:fill="FFFFFF" w:val="clear"/>
          </w:tcPr>
          <w:p>
            <w:pPr>
              <w:pStyle w:val="TableContents"/>
              <w:spacing w:before="0" w:after="0"/>
              <w:ind w:left="0" w:right="0" w:hanging="0"/>
              <w:jc w:val="left"/>
              <w:rPr/>
            </w:pPr>
            <w:hyperlink w:anchor="place57financials">
              <w:r>
                <w:rPr>
                  <w:rStyle w:val="InternetLink"/>
                  <w:rFonts w:ascii="times new roman" w:hAnsi="times new roman"/>
                  <w:sz w:val="20"/>
                </w:rPr>
                <w:t>Financial Statements of 205-209 EAST 57TH STREET ASSOCIATES, LLC</w:t>
              </w:r>
            </w:hyperlink>
          </w:p>
        </w:tc>
        <w:tc>
          <w:tcPr>
            <w:tcW w:w="888" w:type="dxa"/>
            <w:tcBorders/>
            <w:shd w:fill="FFFFFF" w:val="clear"/>
          </w:tcPr>
          <w:p>
            <w:pPr>
              <w:pStyle w:val="TableContents"/>
              <w:spacing w:before="0" w:after="0"/>
              <w:ind w:left="0" w:right="0" w:hanging="0"/>
              <w:jc w:val="right"/>
              <w:rPr/>
            </w:pPr>
            <w:hyperlink w:anchor="place57financials">
              <w:r>
                <w:rPr>
                  <w:rStyle w:val="InternetLink"/>
                  <w:rFonts w:ascii="times new roman" w:hAnsi="times new roman"/>
                  <w:sz w:val="20"/>
                </w:rPr>
                <w:t>114</w:t>
              </w:r>
            </w:hyperlink>
          </w:p>
        </w:tc>
      </w:tr>
      <w:tr>
        <w:trPr/>
        <w:tc>
          <w:tcPr>
            <w:tcW w:w="9317" w:type="dxa"/>
            <w:tcBorders/>
            <w:shd w:fill="CCEEFF" w:val="clear"/>
          </w:tcPr>
          <w:p>
            <w:pPr>
              <w:pStyle w:val="TableContents"/>
              <w:spacing w:before="0" w:after="0"/>
              <w:ind w:left="0" w:right="0" w:hanging="0"/>
              <w:jc w:val="left"/>
              <w:rPr/>
            </w:pPr>
            <w:hyperlink w:anchor="mtgravattfinancials">
              <w:r>
                <w:rPr>
                  <w:rStyle w:val="InternetLink"/>
                  <w:rFonts w:ascii="times new roman" w:hAnsi="times new roman"/>
                  <w:sz w:val="20"/>
                </w:rPr>
                <w:t>Financial statements of Mt. Gravatt Cinemas Joint Venture</w:t>
              </w:r>
            </w:hyperlink>
          </w:p>
        </w:tc>
        <w:tc>
          <w:tcPr>
            <w:tcW w:w="888" w:type="dxa"/>
            <w:tcBorders/>
            <w:shd w:fill="CCEEFF" w:val="clear"/>
          </w:tcPr>
          <w:p>
            <w:pPr>
              <w:pStyle w:val="TableContents"/>
              <w:spacing w:before="0" w:after="0"/>
              <w:ind w:left="0" w:right="0" w:hanging="0"/>
              <w:jc w:val="right"/>
              <w:rPr/>
            </w:pPr>
            <w:hyperlink w:anchor="mtgravattfinancials">
              <w:r>
                <w:rPr>
                  <w:rStyle w:val="InternetLink"/>
                  <w:rFonts w:ascii="times new roman" w:hAnsi="times new roman"/>
                  <w:sz w:val="20"/>
                </w:rPr>
                <w:t>125</w:t>
              </w:r>
            </w:hyperlink>
          </w:p>
        </w:tc>
      </w:tr>
      <w:tr>
        <w:trPr/>
        <w:tc>
          <w:tcPr>
            <w:tcW w:w="9317" w:type="dxa"/>
            <w:tcBorders/>
            <w:shd w:fill="FFFFFF" w:val="clear"/>
          </w:tcPr>
          <w:p>
            <w:pPr>
              <w:pStyle w:val="TableContents"/>
              <w:spacing w:before="0" w:after="0"/>
              <w:ind w:left="0" w:right="0" w:hanging="0"/>
              <w:jc w:val="left"/>
              <w:rPr/>
            </w:pPr>
            <w:r>
              <w:rPr/>
              <w:t> </w:t>
            </w:r>
          </w:p>
          <w:p>
            <w:pPr>
              <w:pStyle w:val="TableContents"/>
              <w:spacing w:before="0" w:after="0"/>
              <w:ind w:left="0" w:right="0" w:hanging="0"/>
              <w:jc w:val="left"/>
              <w:rPr/>
            </w:pPr>
            <w:r>
              <w:rPr>
                <w:rFonts w:ascii="times new roman" w:hAnsi="times new roman"/>
                <w:sz w:val="20"/>
              </w:rPr>
              <w:t>3.           </w:t>
            </w:r>
            <w:hyperlink w:anchor="exhibits">
              <w:r>
                <w:rPr>
                  <w:rStyle w:val="InternetLink"/>
                  <w:rFonts w:ascii="times new roman" w:hAnsi="times new roman"/>
                  <w:i/>
                  <w:sz w:val="20"/>
                </w:rPr>
                <w:t>Exhibits (Listed by numbers corresponding to Item 601 of Regulation S-K)</w:t>
              </w:r>
            </w:hyperlink>
          </w:p>
        </w:tc>
        <w:tc>
          <w:tcPr>
            <w:tcW w:w="888" w:type="dxa"/>
            <w:tcBorders/>
            <w:shd w:fill="FFFFFF" w:val="clear"/>
          </w:tcPr>
          <w:p>
            <w:pPr>
              <w:pStyle w:val="TableContents"/>
              <w:spacing w:before="0" w:after="0"/>
              <w:ind w:left="0" w:right="0" w:hanging="0"/>
              <w:jc w:val="right"/>
              <w:rPr/>
            </w:pPr>
            <w:r>
              <w:rPr/>
              <w:t> </w:t>
            </w:r>
          </w:p>
          <w:p>
            <w:pPr>
              <w:pStyle w:val="TableContents"/>
              <w:spacing w:before="0" w:after="0"/>
              <w:ind w:left="0" w:right="0" w:hanging="0"/>
              <w:jc w:val="right"/>
              <w:rPr/>
            </w:pPr>
            <w:hyperlink w:anchor="exhibits">
              <w:r>
                <w:rPr>
                  <w:rStyle w:val="InternetLink"/>
                  <w:rFonts w:ascii="times new roman" w:hAnsi="times new roman"/>
                  <w:sz w:val="20"/>
                </w:rPr>
                <w:t>144</w:t>
              </w:r>
            </w:hyperlink>
          </w:p>
        </w:tc>
      </w:tr>
    </w:tbl>
    <w:p>
      <w:pPr>
        <w:pStyle w:val="TextBody"/>
        <w:spacing w:before="0" w:after="0"/>
        <w:ind w:left="0" w:right="0" w:hanging="0"/>
        <w:jc w:val="left"/>
        <w:rPr/>
      </w:pPr>
      <w:r>
        <w:rPr/>
        <w:t> </w:t>
      </w:r>
    </w:p>
    <w:p>
      <w:pPr>
        <w:pStyle w:val="Normal"/>
        <w:spacing w:before="0" w:after="0"/>
        <w:rPr>
          <w:sz w:val="4"/>
          <w:szCs w:val="4"/>
        </w:rPr>
      </w:pPr>
      <w:r>
        <w:rPr>
          <w:sz w:val="4"/>
          <w:szCs w:val="4"/>
        </w:rPr>
      </w:r>
      <w:bookmarkStart w:id="3140" w:name="list232"/>
      <w:bookmarkStart w:id="3141" w:name="list232"/>
      <w:bookmarkEnd w:id="3141"/>
    </w:p>
    <w:tbl>
      <w:tblPr>
        <w:tblW w:w="5000" w:type="pct"/>
        <w:jc w:val="left"/>
        <w:tblInd w:w="0" w:type="dxa"/>
        <w:tblCellMar>
          <w:top w:w="0" w:type="dxa"/>
          <w:left w:w="0" w:type="dxa"/>
          <w:bottom w:w="0" w:type="dxa"/>
          <w:right w:w="0" w:type="dxa"/>
        </w:tblCellMar>
      </w:tblPr>
      <w:tblGrid>
        <w:gridCol w:w="819"/>
        <w:gridCol w:w="9386"/>
      </w:tblGrid>
      <w:tr>
        <w:trPr/>
        <w:tc>
          <w:tcPr>
            <w:tcW w:w="819" w:type="dxa"/>
            <w:tcBorders/>
            <w:shd w:fill="auto" w:val="clear"/>
          </w:tcPr>
          <w:p>
            <w:pPr>
              <w:pStyle w:val="TableContents"/>
              <w:spacing w:before="0" w:after="0"/>
              <w:jc w:val="right"/>
              <w:rPr>
                <w:rFonts w:ascii="Times New Roman" w:hAnsi="Times New Roman"/>
                <w:i/>
                <w:sz w:val="20"/>
              </w:rPr>
            </w:pPr>
            <w:r>
              <w:rPr>
                <w:rFonts w:ascii="Times New Roman" w:hAnsi="Times New Roman"/>
                <w:i/>
                <w:sz w:val="20"/>
              </w:rPr>
              <w:t>(b)  </w:t>
            </w:r>
          </w:p>
        </w:tc>
        <w:tc>
          <w:tcPr>
            <w:tcW w:w="9386"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Exhibits Required by Item 601 of Regulation S-K</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See Item (a)3. above.</w:t>
      </w:r>
    </w:p>
    <w:p>
      <w:pPr>
        <w:pStyle w:val="TextBody"/>
        <w:spacing w:before="0" w:after="0"/>
        <w:ind w:left="0" w:right="0" w:hanging="0"/>
        <w:rPr/>
      </w:pPr>
      <w:r>
        <w:rPr/>
      </w:r>
    </w:p>
    <w:p>
      <w:pPr>
        <w:pStyle w:val="Normal"/>
        <w:spacing w:before="0" w:after="0"/>
        <w:rPr>
          <w:sz w:val="4"/>
          <w:szCs w:val="4"/>
        </w:rPr>
      </w:pPr>
      <w:r>
        <w:rPr>
          <w:sz w:val="4"/>
          <w:szCs w:val="4"/>
        </w:rPr>
      </w:r>
      <w:bookmarkStart w:id="3142" w:name="list233"/>
      <w:bookmarkStart w:id="3143" w:name="list233"/>
      <w:bookmarkEnd w:id="3143"/>
    </w:p>
    <w:tbl>
      <w:tblPr>
        <w:tblW w:w="5000" w:type="pct"/>
        <w:jc w:val="left"/>
        <w:tblInd w:w="0" w:type="dxa"/>
        <w:tblCellMar>
          <w:top w:w="0" w:type="dxa"/>
          <w:left w:w="0" w:type="dxa"/>
          <w:bottom w:w="0" w:type="dxa"/>
          <w:right w:w="0" w:type="dxa"/>
        </w:tblCellMar>
      </w:tblPr>
      <w:tblGrid>
        <w:gridCol w:w="1207"/>
        <w:gridCol w:w="8998"/>
      </w:tblGrid>
      <w:tr>
        <w:trPr/>
        <w:tc>
          <w:tcPr>
            <w:tcW w:w="1207" w:type="dxa"/>
            <w:tcBorders/>
            <w:shd w:fill="auto" w:val="clear"/>
          </w:tcPr>
          <w:p>
            <w:pPr>
              <w:pStyle w:val="TableContents"/>
              <w:spacing w:before="0" w:after="0"/>
              <w:jc w:val="right"/>
              <w:rPr>
                <w:rFonts w:ascii="Times New Roman" w:hAnsi="Times New Roman"/>
                <w:i/>
                <w:sz w:val="20"/>
              </w:rPr>
            </w:pPr>
            <w:r>
              <w:rPr>
                <w:rFonts w:ascii="Times New Roman" w:hAnsi="Times New Roman"/>
                <w:i/>
                <w:sz w:val="20"/>
              </w:rPr>
              <w:t>(c)  </w:t>
            </w:r>
          </w:p>
        </w:tc>
        <w:tc>
          <w:tcPr>
            <w:tcW w:w="8998"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Financial Statement Schedule</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See Item (a)2. above.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44" w:name="PGBRK113"/>
      <w:bookmarkStart w:id="3145" w:name="PGBRK113"/>
      <w:bookmarkEnd w:id="3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6" w:name="FTR113"/>
      <w:bookmarkStart w:id="3147" w:name="FTR113"/>
      <w:bookmarkEnd w:id="3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48" w:name="GLFTR113"/>
      <w:bookmarkEnd w:id="31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149" w:name="PN113"/>
      <w:bookmarkEnd w:id="3149"/>
      <w:r>
        <w:rPr>
          <w:rFonts w:eastAsia="Times New Roman" w:cs="Times New Roman" w:ascii="Times New Roman" w:hAnsi="Times New Roman"/>
          <w:sz w:val="20"/>
          <w:szCs w:val="20"/>
        </w:rPr>
        <w:t>-113-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150" w:name="HDR113"/>
      <w:bookmarkStart w:id="3151" w:name="HDR113"/>
      <w:bookmarkEnd w:id="3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52" w:name="GLHDR113"/>
        <w:bookmarkEnd w:id="315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firstLine="720"/>
        <w:jc w:val="left"/>
        <w:rPr>
          <w:rFonts w:ascii="Times New Roman" w:hAnsi="Times New Roman"/>
          <w:sz w:val="20"/>
        </w:rPr>
      </w:pPr>
      <w:bookmarkStart w:id="3153" w:name="place57financials"/>
      <w:bookmarkEnd w:id="3153"/>
      <w:r>
        <w:rPr>
          <w:rFonts w:ascii="Times New Roman" w:hAnsi="Times New Roman"/>
          <w:sz w:val="20"/>
        </w:rPr>
        <w:t>Following are financial statements and notes of 205-209 EAST 57th STREET ASSOCIATES, LLC for the periods indicated.  We are required to include in our Report on Form 10-K unaudited financial statements for the years ended December 31, 2009 and 2008 and audited financial statements for the year ended December 31, 2007.</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205-209 East 57th Street Associates, LLC</w:t>
      </w:r>
    </w:p>
    <w:p>
      <w:pPr>
        <w:pStyle w:val="TextBody"/>
        <w:spacing w:before="0" w:after="0"/>
        <w:ind w:left="0" w:right="0" w:hanging="0"/>
        <w:jc w:val="left"/>
        <w:rPr>
          <w:rFonts w:ascii="Times New Roman" w:hAnsi="Times New Roman"/>
          <w:b/>
          <w:sz w:val="20"/>
        </w:rPr>
      </w:pPr>
      <w:r>
        <w:rPr>
          <w:rFonts w:ascii="Times New Roman" w:hAnsi="Times New Roman"/>
          <w:b/>
          <w:sz w:val="20"/>
        </w:rPr>
        <w:t>Balance Sheets</w:t>
      </w:r>
    </w:p>
    <w:p>
      <w:pPr>
        <w:pStyle w:val="TextBody"/>
        <w:spacing w:before="0" w:after="0"/>
        <w:ind w:left="0" w:right="0" w:hanging="0"/>
        <w:jc w:val="left"/>
        <w:rPr>
          <w:rFonts w:ascii="Times New Roman" w:hAnsi="Times New Roman"/>
          <w:b/>
          <w:sz w:val="20"/>
        </w:rPr>
      </w:pPr>
      <w:r>
        <w:rPr>
          <w:rFonts w:ascii="Times New Roman" w:hAnsi="Times New Roman"/>
          <w:b/>
          <w:sz w:val="20"/>
        </w:rPr>
        <w:t>December 31, 2009 and 2008</w:t>
      </w:r>
    </w:p>
    <w:p>
      <w:pPr>
        <w:pStyle w:val="TextBody"/>
        <w:spacing w:before="0" w:after="0"/>
        <w:ind w:left="0" w:right="0" w:hanging="0"/>
        <w:jc w:val="left"/>
        <w:rPr>
          <w:rFonts w:ascii="Times New Roman" w:hAnsi="Times New Roman"/>
          <w:b/>
          <w:sz w:val="20"/>
        </w:rPr>
      </w:pPr>
      <w:r>
        <w:rPr>
          <w:rFonts w:ascii="Times New Roman" w:hAnsi="Times New Roman"/>
          <w:b/>
          <w:sz w:val="20"/>
        </w:rPr>
        <w:t>(U.S.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026"/>
        <w:gridCol w:w="116"/>
        <w:gridCol w:w="190"/>
        <w:gridCol w:w="1160"/>
        <w:gridCol w:w="116"/>
        <w:gridCol w:w="116"/>
        <w:gridCol w:w="190"/>
        <w:gridCol w:w="1160"/>
        <w:gridCol w:w="131"/>
      </w:tblGrid>
      <w:tr>
        <w:trPr/>
        <w:tc>
          <w:tcPr>
            <w:tcW w:w="7026" w:type="dxa"/>
            <w:tcBorders/>
            <w:shd w:fill="auto" w:val="clear"/>
            <w:vAlign w:val="bottom"/>
          </w:tcPr>
          <w:p>
            <w:pPr>
              <w:pStyle w:val="TableContents"/>
              <w:spacing w:before="0" w:after="283"/>
              <w:rPr/>
            </w:pPr>
            <w:r>
              <w:rPr/>
              <w:t xml:space="preserve">  </w:t>
            </w:r>
          </w:p>
        </w:tc>
        <w:tc>
          <w:tcPr>
            <w:tcW w:w="116" w:type="dxa"/>
            <w:tcBorders/>
            <w:shd w:fill="auto" w:val="clear"/>
            <w:vAlign w:val="bottom"/>
          </w:tcPr>
          <w:p>
            <w:pPr>
              <w:pStyle w:val="TableContents"/>
              <w:spacing w:before="0" w:after="283"/>
              <w:rPr/>
            </w:pPr>
            <w:r>
              <w:rPr/>
              <w:t> </w:t>
            </w:r>
          </w:p>
        </w:tc>
        <w:tc>
          <w:tcPr>
            <w:tcW w:w="293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31" w:type="dxa"/>
            <w:tcBorders/>
            <w:shd w:fill="auto" w:val="clear"/>
            <w:vAlign w:val="bottom"/>
          </w:tcPr>
          <w:p>
            <w:pPr>
              <w:pStyle w:val="TableContents"/>
              <w:spacing w:before="0" w:after="283"/>
              <w:jc w:val="left"/>
              <w:rPr/>
            </w:pPr>
            <w:r>
              <w:rPr/>
              <w:t> </w:t>
            </w:r>
          </w:p>
        </w:tc>
      </w:tr>
      <w:tr>
        <w:trPr/>
        <w:tc>
          <w:tcPr>
            <w:tcW w:w="7026"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6" w:type="dxa"/>
            <w:tcBorders/>
            <w:shd w:fill="auto" w:val="clear"/>
            <w:vAlign w:val="bottom"/>
          </w:tcPr>
          <w:p>
            <w:pPr>
              <w:pStyle w:val="TableContents"/>
              <w:spacing w:before="0" w:after="283"/>
              <w:rPr/>
            </w:pPr>
            <w:r>
              <w:rPr/>
              <w:t> </w:t>
            </w:r>
          </w:p>
        </w:tc>
        <w:tc>
          <w:tcPr>
            <w:tcW w:w="135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 (unaudited)</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5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 (unaudited)</w:t>
            </w:r>
          </w:p>
        </w:tc>
        <w:tc>
          <w:tcPr>
            <w:tcW w:w="131" w:type="dxa"/>
            <w:tcBorders/>
            <w:shd w:fill="auto" w:val="clear"/>
            <w:vAlign w:val="bottom"/>
          </w:tcPr>
          <w:p>
            <w:pPr>
              <w:pStyle w:val="TableContents"/>
              <w:spacing w:before="0" w:after="283"/>
              <w:jc w:val="left"/>
              <w:rPr/>
            </w:pPr>
            <w:r>
              <w:rPr/>
              <w:t> </w:t>
            </w:r>
          </w:p>
        </w:tc>
      </w:tr>
      <w:tr>
        <w:trPr/>
        <w:tc>
          <w:tcPr>
            <w:tcW w:w="702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16"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702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Real Estate:</w:t>
            </w:r>
          </w:p>
        </w:tc>
        <w:tc>
          <w:tcPr>
            <w:tcW w:w="116"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Commercial unit (net of depreciation and amortization)</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CCEEFF" w:val="clear"/>
            <w:vAlign w:val="bottom"/>
          </w:tcPr>
          <w:p>
            <w:pPr>
              <w:pStyle w:val="TableContents"/>
              <w:spacing w:before="0" w:after="283"/>
              <w:ind w:left="277" w:right="0" w:hanging="0"/>
              <w:jc w:val="right"/>
              <w:rPr>
                <w:rFonts w:ascii="times new roman" w:hAnsi="times new roman"/>
                <w:sz w:val="20"/>
              </w:rPr>
            </w:pPr>
            <w:bookmarkStart w:id="3154" w:name="TAB11609"/>
            <w:bookmarkEnd w:id="3154"/>
            <w:r>
              <w:rPr>
                <w:rFonts w:ascii="times new roman" w:hAnsi="times new roman"/>
                <w:sz w:val="20"/>
              </w:rPr>
              <w:t>--</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CCEEFF" w:val="clear"/>
            <w:vAlign w:val="bottom"/>
          </w:tcPr>
          <w:p>
            <w:pPr>
              <w:pStyle w:val="TableContents"/>
              <w:spacing w:before="0" w:after="283"/>
              <w:ind w:left="277" w:right="0" w:hanging="0"/>
              <w:jc w:val="right"/>
              <w:rPr>
                <w:rFonts w:ascii="times new roman" w:hAnsi="times new roman"/>
                <w:sz w:val="20"/>
              </w:rPr>
            </w:pPr>
            <w:bookmarkStart w:id="3155" w:name="TAB11610"/>
            <w:bookmarkEnd w:id="3155"/>
            <w:r>
              <w:rPr>
                <w:rFonts w:ascii="times new roman" w:hAnsi="times new roman"/>
                <w:sz w:val="20"/>
              </w:rPr>
              <w:t>2,446</w:t>
            </w:r>
          </w:p>
        </w:tc>
        <w:tc>
          <w:tcPr>
            <w:tcW w:w="131"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Residential manager’s apartment (net of depreciation)</w:t>
            </w:r>
          </w:p>
        </w:tc>
        <w:tc>
          <w:tcPr>
            <w:tcW w:w="116"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634</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646</w:t>
            </w:r>
          </w:p>
        </w:tc>
        <w:tc>
          <w:tcPr>
            <w:tcW w:w="131"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firstLine="360"/>
              <w:jc w:val="left"/>
              <w:rPr>
                <w:rFonts w:ascii="times new roman" w:hAnsi="times new roman"/>
                <w:b/>
                <w:sz w:val="20"/>
              </w:rPr>
            </w:pPr>
            <w:r>
              <w:rPr>
                <w:rFonts w:ascii="times new roman" w:hAnsi="times new roman"/>
                <w:b/>
                <w:sz w:val="20"/>
              </w:rPr>
              <w:t>Total real estate</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3,092</w:t>
            </w:r>
          </w:p>
        </w:tc>
        <w:tc>
          <w:tcPr>
            <w:tcW w:w="131"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Assets:</w:t>
            </w:r>
          </w:p>
        </w:tc>
        <w:tc>
          <w:tcPr>
            <w:tcW w:w="116"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1,513</w:t>
            </w:r>
          </w:p>
        </w:tc>
        <w:tc>
          <w:tcPr>
            <w:tcW w:w="131"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leasing commissions</w:t>
            </w:r>
          </w:p>
        </w:tc>
        <w:tc>
          <w:tcPr>
            <w:tcW w:w="116"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267</w:t>
            </w:r>
          </w:p>
        </w:tc>
        <w:tc>
          <w:tcPr>
            <w:tcW w:w="131"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 recovery receivable</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31"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Security deposits</w:t>
            </w:r>
          </w:p>
        </w:tc>
        <w:tc>
          <w:tcPr>
            <w:tcW w:w="116"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31"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income taxes</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31" w:type="dxa"/>
            <w:tcBorders/>
            <w:shd w:fill="CCEEFF" w:val="clear"/>
            <w:vAlign w:val="bottom"/>
          </w:tcPr>
          <w:p>
            <w:pPr>
              <w:pStyle w:val="TableContents"/>
              <w:spacing w:before="0" w:after="283"/>
              <w:jc w:val="left"/>
              <w:rPr/>
            </w:pPr>
            <w:r>
              <w:rPr/>
              <w:t> </w:t>
            </w:r>
          </w:p>
        </w:tc>
      </w:tr>
      <w:tr>
        <w:trPr/>
        <w:tc>
          <w:tcPr>
            <w:tcW w:w="702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assets</w:t>
            </w:r>
          </w:p>
        </w:tc>
        <w:tc>
          <w:tcPr>
            <w:tcW w:w="116" w:type="dxa"/>
            <w:tcBorders/>
            <w:shd w:fill="FFFFFF" w:val="clear"/>
            <w:vAlign w:val="bottom"/>
          </w:tcPr>
          <w:p>
            <w:pPr>
              <w:pStyle w:val="TableContents"/>
              <w:spacing w:before="0" w:after="283"/>
              <w:jc w:val="lef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31" w:type="dxa"/>
            <w:tcBorders/>
            <w:shd w:fill="FFFFFF" w:val="clear"/>
            <w:vAlign w:val="bottom"/>
          </w:tcPr>
          <w:p>
            <w:pPr>
              <w:pStyle w:val="TableContents"/>
              <w:spacing w:before="0" w:after="283"/>
              <w:jc w:val="left"/>
              <w:rPr/>
            </w:pPr>
            <w:r>
              <w:rPr/>
              <w:t> </w:t>
            </w:r>
          </w:p>
        </w:tc>
      </w:tr>
      <w:tr>
        <w:trPr/>
        <w:tc>
          <w:tcPr>
            <w:tcW w:w="7026" w:type="dxa"/>
            <w:tcBorders>
              <w:bottom w:val="single" w:sz="12" w:space="0" w:color="000000"/>
            </w:tcBorders>
            <w:shd w:fill="CCEEFF" w:val="clear"/>
            <w:tcMar>
              <w:bottom w:w="28" w:type="dxa"/>
            </w:tcMar>
            <w:vAlign w:val="bottom"/>
          </w:tcPr>
          <w:p>
            <w:pPr>
              <w:pStyle w:val="TableContents"/>
              <w:spacing w:before="0" w:after="0"/>
              <w:ind w:left="0" w:right="0" w:firstLine="360"/>
              <w:jc w:val="left"/>
              <w:rPr>
                <w:rFonts w:ascii="times new roman" w:hAnsi="times new roman"/>
                <w:b/>
                <w:sz w:val="20"/>
              </w:rPr>
            </w:pPr>
            <w:r>
              <w:rPr>
                <w:rFonts w:ascii="times new roman" w:hAnsi="times new roman"/>
                <w:b/>
                <w:sz w:val="20"/>
              </w:rPr>
              <w:t>Total other assets</w:t>
            </w:r>
          </w:p>
        </w:tc>
        <w:tc>
          <w:tcPr>
            <w:tcW w:w="116" w:type="dxa"/>
            <w:tcBorders/>
            <w:shd w:fill="CCEEFF" w:val="clear"/>
            <w:vAlign w:val="bottom"/>
          </w:tcPr>
          <w:p>
            <w:pPr>
              <w:pStyle w:val="TableContents"/>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591</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2,198</w:t>
            </w:r>
          </w:p>
        </w:tc>
        <w:tc>
          <w:tcPr>
            <w:tcW w:w="131" w:type="dxa"/>
            <w:tcBorders/>
            <w:shd w:fill="CCEEFF" w:val="clear"/>
            <w:vAlign w:val="bottom"/>
          </w:tcPr>
          <w:p>
            <w:pPr>
              <w:pStyle w:val="TableContents"/>
              <w:spacing w:before="0" w:after="283"/>
              <w:jc w:val="left"/>
              <w:rPr/>
            </w:pPr>
            <w:r>
              <w:rPr/>
              <w:t> </w:t>
            </w:r>
          </w:p>
        </w:tc>
      </w:tr>
      <w:tr>
        <w:trPr/>
        <w:tc>
          <w:tcPr>
            <w:tcW w:w="7026" w:type="dxa"/>
            <w:tcBorders>
              <w:bottom w:val="double" w:sz="8" w:space="0" w:color="000000"/>
            </w:tcBorders>
            <w:shd w:fill="FFFFFF" w:val="clear"/>
            <w:tcMar>
              <w:bottom w:w="28" w:type="dxa"/>
            </w:tcMar>
            <w:vAlign w:val="bottom"/>
          </w:tcPr>
          <w:p>
            <w:pPr>
              <w:pStyle w:val="TableContents"/>
              <w:spacing w:before="0" w:after="0"/>
              <w:ind w:left="0" w:right="0" w:firstLine="900"/>
              <w:jc w:val="left"/>
              <w:rPr>
                <w:rFonts w:ascii="times new roman" w:hAnsi="times new roman"/>
                <w:b/>
                <w:sz w:val="20"/>
              </w:rPr>
            </w:pPr>
            <w:r>
              <w:rPr>
                <w:rFonts w:ascii="times new roman" w:hAnsi="times new roman"/>
                <w:b/>
                <w:sz w:val="20"/>
              </w:rPr>
              <w:t>Total assets</w:t>
            </w:r>
          </w:p>
        </w:tc>
        <w:tc>
          <w:tcPr>
            <w:tcW w:w="116" w:type="dxa"/>
            <w:tcBorders/>
            <w:shd w:fill="FFFFFF" w:val="clear"/>
            <w:vAlign w:val="bottom"/>
          </w:tcPr>
          <w:p>
            <w:pPr>
              <w:pStyle w:val="TableContents"/>
              <w:spacing w:before="0" w:after="283"/>
              <w:jc w:val="left"/>
              <w:rPr/>
            </w:pPr>
            <w:r>
              <w:rPr/>
              <w:t> </w:t>
            </w:r>
          </w:p>
        </w:tc>
        <w:tc>
          <w:tcPr>
            <w:tcW w:w="19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FFFFFF" w:val="clear"/>
            <w:tcMar>
              <w:bottom w:w="28" w:type="dxa"/>
            </w:tcMar>
            <w:vAlign w:val="bottom"/>
          </w:tcPr>
          <w:p>
            <w:pPr>
              <w:pStyle w:val="TableContents"/>
              <w:spacing w:before="0" w:after="283"/>
              <w:ind w:left="277" w:right="0" w:hanging="0"/>
              <w:jc w:val="right"/>
              <w:rPr>
                <w:rFonts w:ascii="times new roman" w:hAnsi="times new roman"/>
                <w:sz w:val="20"/>
              </w:rPr>
            </w:pPr>
            <w:bookmarkStart w:id="3156" w:name="TAB11611"/>
            <w:bookmarkEnd w:id="3156"/>
            <w:r>
              <w:rPr>
                <w:rFonts w:ascii="times new roman" w:hAnsi="times new roman"/>
                <w:sz w:val="20"/>
              </w:rPr>
              <w:t>1,225</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9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FFFFFF" w:val="clear"/>
            <w:tcMar>
              <w:bottom w:w="28" w:type="dxa"/>
            </w:tcMar>
            <w:vAlign w:val="bottom"/>
          </w:tcPr>
          <w:p>
            <w:pPr>
              <w:pStyle w:val="TableContents"/>
              <w:spacing w:before="0" w:after="283"/>
              <w:ind w:left="277" w:right="0" w:hanging="0"/>
              <w:jc w:val="right"/>
              <w:rPr>
                <w:rFonts w:ascii="times new roman" w:hAnsi="times new roman"/>
                <w:sz w:val="20"/>
              </w:rPr>
            </w:pPr>
            <w:bookmarkStart w:id="3157" w:name="TAB11612"/>
            <w:bookmarkEnd w:id="3157"/>
            <w:r>
              <w:rPr>
                <w:rFonts w:ascii="times new roman" w:hAnsi="times new roman"/>
                <w:sz w:val="20"/>
              </w:rPr>
              <w:t>5,290</w:t>
            </w:r>
          </w:p>
        </w:tc>
        <w:tc>
          <w:tcPr>
            <w:tcW w:w="131" w:type="dxa"/>
            <w:tcBorders/>
            <w:shd w:fill="FFFF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283"/>
              <w:rPr/>
            </w:pPr>
            <w:r>
              <w:rPr/>
              <w:t xml:space="preserve">  </w:t>
            </w:r>
          </w:p>
        </w:tc>
        <w:tc>
          <w:tcPr>
            <w:tcW w:w="116"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 AND MEMBERS' EQUITY</w:t>
            </w:r>
          </w:p>
        </w:tc>
        <w:tc>
          <w:tcPr>
            <w:tcW w:w="116"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w:t>
            </w:r>
          </w:p>
        </w:tc>
        <w:tc>
          <w:tcPr>
            <w:tcW w:w="116"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CCEEFF" w:val="clear"/>
            <w:vAlign w:val="bottom"/>
          </w:tcPr>
          <w:p>
            <w:pPr>
              <w:pStyle w:val="TableContents"/>
              <w:spacing w:before="0" w:after="283"/>
              <w:ind w:left="277" w:right="0" w:hanging="0"/>
              <w:jc w:val="right"/>
              <w:rPr>
                <w:rFonts w:ascii="times new roman" w:hAnsi="times new roman"/>
                <w:sz w:val="20"/>
              </w:rPr>
            </w:pPr>
            <w:bookmarkStart w:id="3158" w:name="TAB11613"/>
            <w:bookmarkEnd w:id="3158"/>
            <w:r>
              <w:rPr>
                <w:rFonts w:ascii="times new roman" w:hAnsi="times new roman"/>
                <w:sz w:val="20"/>
              </w:rPr>
              <w:t>25</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CCEEFF" w:val="clear"/>
            <w:vAlign w:val="bottom"/>
          </w:tcPr>
          <w:p>
            <w:pPr>
              <w:pStyle w:val="TableContents"/>
              <w:spacing w:before="0" w:after="283"/>
              <w:ind w:left="277" w:right="0" w:hanging="0"/>
              <w:jc w:val="right"/>
              <w:rPr>
                <w:rFonts w:ascii="times new roman" w:hAnsi="times new roman"/>
                <w:sz w:val="20"/>
              </w:rPr>
            </w:pPr>
            <w:bookmarkStart w:id="3159" w:name="TAB11614"/>
            <w:bookmarkEnd w:id="3159"/>
            <w:r>
              <w:rPr>
                <w:rFonts w:ascii="times new roman" w:hAnsi="times new roman"/>
                <w:sz w:val="20"/>
              </w:rPr>
              <w:t>155</w:t>
            </w:r>
          </w:p>
        </w:tc>
        <w:tc>
          <w:tcPr>
            <w:tcW w:w="131" w:type="dxa"/>
            <w:tcBorders/>
            <w:shd w:fill="CCEEFF" w:val="clear"/>
            <w:vAlign w:val="bottom"/>
          </w:tcPr>
          <w:p>
            <w:pPr>
              <w:pStyle w:val="TableContents"/>
              <w:spacing w:before="0" w:after="283"/>
              <w:jc w:val="left"/>
              <w:rPr/>
            </w:pPr>
            <w:r>
              <w:rPr/>
              <w:t> </w:t>
            </w:r>
          </w:p>
        </w:tc>
      </w:tr>
      <w:tr>
        <w:trPr/>
        <w:tc>
          <w:tcPr>
            <w:tcW w:w="70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Due to affiliate</w:t>
            </w:r>
          </w:p>
        </w:tc>
        <w:tc>
          <w:tcPr>
            <w:tcW w:w="116"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90" w:type="dxa"/>
            <w:tcBorders/>
            <w:shd w:fill="FFFFFF" w:val="clear"/>
            <w:vAlign w:val="bottom"/>
          </w:tcPr>
          <w:p>
            <w:pPr>
              <w:pStyle w:val="TableContents"/>
              <w:spacing w:before="0" w:after="283"/>
              <w:jc w:val="left"/>
              <w:rPr/>
            </w:pPr>
            <w:r>
              <w:rPr/>
              <w:t> </w:t>
            </w:r>
          </w:p>
        </w:tc>
        <w:tc>
          <w:tcPr>
            <w:tcW w:w="11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1" w:type="dxa"/>
            <w:tcBorders/>
            <w:shd w:fill="FFFFFF" w:val="clear"/>
            <w:vAlign w:val="bottom"/>
          </w:tcPr>
          <w:p>
            <w:pPr>
              <w:pStyle w:val="TableContents"/>
              <w:spacing w:before="0" w:after="283"/>
              <w:jc w:val="left"/>
              <w:rPr/>
            </w:pPr>
            <w:r>
              <w:rPr/>
              <w:t> </w:t>
            </w:r>
          </w:p>
        </w:tc>
      </w:tr>
      <w:tr>
        <w:trPr/>
        <w:tc>
          <w:tcPr>
            <w:tcW w:w="702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rent</w:t>
            </w:r>
          </w:p>
        </w:tc>
        <w:tc>
          <w:tcPr>
            <w:tcW w:w="116" w:type="dxa"/>
            <w:tcBorders/>
            <w:shd w:fill="CCEEFF" w:val="clear"/>
            <w:vAlign w:val="bottom"/>
          </w:tcPr>
          <w:p>
            <w:pPr>
              <w:pStyle w:val="TableContents"/>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31" w:type="dxa"/>
            <w:tcBorders/>
            <w:shd w:fill="CCEEFF" w:val="clear"/>
            <w:vAlign w:val="bottom"/>
          </w:tcPr>
          <w:p>
            <w:pPr>
              <w:pStyle w:val="TableContents"/>
              <w:spacing w:before="0" w:after="283"/>
              <w:jc w:val="left"/>
              <w:rPr/>
            </w:pPr>
            <w:r>
              <w:rPr/>
              <w:t> </w:t>
            </w:r>
          </w:p>
        </w:tc>
      </w:tr>
      <w:tr>
        <w:trPr/>
        <w:tc>
          <w:tcPr>
            <w:tcW w:w="7026" w:type="dxa"/>
            <w:tcBorders>
              <w:bottom w:val="single" w:sz="12" w:space="0" w:color="000000"/>
            </w:tcBorders>
            <w:shd w:fill="FFFFFF" w:val="clear"/>
            <w:tcMar>
              <w:bottom w:w="28" w:type="dxa"/>
            </w:tcMar>
            <w:vAlign w:val="bottom"/>
          </w:tcPr>
          <w:p>
            <w:pPr>
              <w:pStyle w:val="TableContents"/>
              <w:spacing w:before="0" w:after="0"/>
              <w:ind w:left="900" w:right="0" w:hanging="0"/>
              <w:jc w:val="left"/>
              <w:rPr>
                <w:rFonts w:ascii="times new roman" w:hAnsi="times new roman"/>
                <w:b/>
                <w:sz w:val="20"/>
              </w:rPr>
            </w:pPr>
            <w:bookmarkStart w:id="3160" w:name="TAB11615"/>
            <w:bookmarkEnd w:id="3160"/>
            <w:r>
              <w:rPr>
                <w:rFonts w:ascii="times new roman" w:hAnsi="times new roman"/>
                <w:b/>
                <w:sz w:val="20"/>
              </w:rPr>
              <w:t>Total liabilities</w:t>
            </w:r>
          </w:p>
        </w:tc>
        <w:tc>
          <w:tcPr>
            <w:tcW w:w="116" w:type="dxa"/>
            <w:tcBorders/>
            <w:shd w:fill="FFFFFF" w:val="clear"/>
            <w:vAlign w:val="bottom"/>
          </w:tcPr>
          <w:p>
            <w:pPr>
              <w:pStyle w:val="TableContents"/>
              <w:spacing w:before="0" w:after="283"/>
              <w:jc w:val="lef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177</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w:t>
            </w:r>
          </w:p>
        </w:tc>
        <w:tc>
          <w:tcPr>
            <w:tcW w:w="131" w:type="dxa"/>
            <w:tcBorders/>
            <w:shd w:fill="FFFFFF" w:val="clear"/>
            <w:vAlign w:val="bottom"/>
          </w:tcPr>
          <w:p>
            <w:pPr>
              <w:pStyle w:val="TableContents"/>
              <w:spacing w:before="0" w:after="283"/>
              <w:jc w:val="left"/>
              <w:rPr/>
            </w:pPr>
            <w:r>
              <w:rPr/>
              <w:t> </w:t>
            </w:r>
          </w:p>
        </w:tc>
      </w:tr>
      <w:tr>
        <w:trPr/>
        <w:tc>
          <w:tcPr>
            <w:tcW w:w="7026"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Commitments and Contingencies (Note 13)</w:t>
            </w:r>
          </w:p>
        </w:tc>
        <w:tc>
          <w:tcPr>
            <w:tcW w:w="11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pPr>
            <w:r>
              <w:rPr/>
              <w:t> </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r>
      <w:tr>
        <w:trPr/>
        <w:tc>
          <w:tcPr>
            <w:tcW w:w="702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Members’ Equity</w:t>
            </w:r>
          </w:p>
        </w:tc>
        <w:tc>
          <w:tcPr>
            <w:tcW w:w="116" w:type="dxa"/>
            <w:tcBorders/>
            <w:shd w:fill="FFFFFF" w:val="clear"/>
            <w:vAlign w:val="bottom"/>
          </w:tcPr>
          <w:p>
            <w:pPr>
              <w:pStyle w:val="TableContents"/>
              <w:spacing w:before="0" w:after="283"/>
              <w:jc w:val="lef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1,048</w:t>
            </w:r>
          </w:p>
        </w:tc>
        <w:tc>
          <w:tcPr>
            <w:tcW w:w="116"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jc w:val="left"/>
              <w:rPr/>
            </w:pPr>
            <w:r>
              <w:rPr/>
              <w:t> </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5,088</w:t>
            </w:r>
          </w:p>
        </w:tc>
        <w:tc>
          <w:tcPr>
            <w:tcW w:w="131" w:type="dxa"/>
            <w:tcBorders/>
            <w:shd w:fill="FFFFFF" w:val="clear"/>
            <w:vAlign w:val="bottom"/>
          </w:tcPr>
          <w:p>
            <w:pPr>
              <w:pStyle w:val="TableContents"/>
              <w:spacing w:before="0" w:after="283"/>
              <w:jc w:val="left"/>
              <w:rPr/>
            </w:pPr>
            <w:r>
              <w:rPr/>
              <w:t> </w:t>
            </w:r>
          </w:p>
        </w:tc>
      </w:tr>
      <w:tr>
        <w:trPr/>
        <w:tc>
          <w:tcPr>
            <w:tcW w:w="7026" w:type="dxa"/>
            <w:tcBorders>
              <w:bottom w:val="double" w:sz="8" w:space="0" w:color="000000"/>
            </w:tcBorders>
            <w:shd w:fill="CCEEFF" w:val="clear"/>
            <w:tcMar>
              <w:bottom w:w="28" w:type="dxa"/>
            </w:tcMar>
            <w:vAlign w:val="bottom"/>
          </w:tcPr>
          <w:p>
            <w:pPr>
              <w:pStyle w:val="TableContents"/>
              <w:spacing w:before="0" w:after="0"/>
              <w:ind w:left="900" w:right="0" w:hanging="0"/>
              <w:jc w:val="left"/>
              <w:rPr>
                <w:rFonts w:ascii="times new roman" w:hAnsi="times new roman"/>
                <w:b/>
                <w:sz w:val="20"/>
              </w:rPr>
            </w:pPr>
            <w:r>
              <w:rPr>
                <w:rFonts w:ascii="times new roman" w:hAnsi="times new roman"/>
                <w:b/>
                <w:sz w:val="20"/>
              </w:rPr>
              <w:t>Total Liabilities And Members’ Equity</w:t>
            </w:r>
          </w:p>
        </w:tc>
        <w:tc>
          <w:tcPr>
            <w:tcW w:w="116" w:type="dxa"/>
            <w:tcBorders/>
            <w:shd w:fill="CCEEFF" w:val="clear"/>
            <w:vAlign w:val="bottom"/>
          </w:tcPr>
          <w:p>
            <w:pPr>
              <w:pStyle w:val="TableContents"/>
              <w:spacing w:before="0" w:after="283"/>
              <w:jc w:val="left"/>
              <w:rPr/>
            </w:pPr>
            <w:r>
              <w:rPr/>
              <w:t> </w:t>
            </w:r>
          </w:p>
        </w:tc>
        <w:tc>
          <w:tcPr>
            <w:tcW w:w="19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CCEEFF" w:val="clear"/>
            <w:tcMar>
              <w:bottom w:w="28" w:type="dxa"/>
            </w:tcMar>
            <w:vAlign w:val="bottom"/>
          </w:tcPr>
          <w:p>
            <w:pPr>
              <w:pStyle w:val="TableContents"/>
              <w:spacing w:before="0" w:after="283"/>
              <w:ind w:left="277" w:right="0" w:hanging="0"/>
              <w:jc w:val="right"/>
              <w:rPr>
                <w:rFonts w:ascii="times new roman" w:hAnsi="times new roman"/>
                <w:sz w:val="20"/>
              </w:rPr>
            </w:pPr>
            <w:bookmarkStart w:id="3161" w:name="TAB11616"/>
            <w:bookmarkEnd w:id="3161"/>
            <w:r>
              <w:rPr>
                <w:rFonts w:ascii="times new roman" w:hAnsi="times new roman"/>
                <w:sz w:val="20"/>
              </w:rPr>
              <w:t>1,225</w:t>
            </w:r>
          </w:p>
        </w:tc>
        <w:tc>
          <w:tcPr>
            <w:tcW w:w="116"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jc w:val="left"/>
              <w:rPr/>
            </w:pPr>
            <w:r>
              <w:rPr/>
              <w:t> </w:t>
            </w:r>
          </w:p>
        </w:tc>
        <w:tc>
          <w:tcPr>
            <w:tcW w:w="19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CCEEFF" w:val="clear"/>
            <w:tcMar>
              <w:bottom w:w="28" w:type="dxa"/>
            </w:tcMar>
            <w:vAlign w:val="bottom"/>
          </w:tcPr>
          <w:p>
            <w:pPr>
              <w:pStyle w:val="TableContents"/>
              <w:spacing w:before="0" w:after="283"/>
              <w:ind w:left="277" w:right="0" w:hanging="0"/>
              <w:jc w:val="right"/>
              <w:rPr>
                <w:rFonts w:ascii="times new roman" w:hAnsi="times new roman"/>
                <w:sz w:val="20"/>
              </w:rPr>
            </w:pPr>
            <w:bookmarkStart w:id="3162" w:name="TAB11617"/>
            <w:bookmarkEnd w:id="3162"/>
            <w:r>
              <w:rPr>
                <w:rFonts w:ascii="times new roman" w:hAnsi="times new roman"/>
                <w:sz w:val="20"/>
              </w:rPr>
              <w:t>5,290</w:t>
            </w:r>
          </w:p>
        </w:tc>
        <w:tc>
          <w:tcPr>
            <w:tcW w:w="13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63" w:name="PGBRK114"/>
      <w:bookmarkStart w:id="3164" w:name="PGBRK114"/>
      <w:bookmarkEnd w:id="3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65" w:name="FTR114"/>
      <w:bookmarkStart w:id="3166" w:name="FTR114"/>
      <w:bookmarkEnd w:id="3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67" w:name="GLFTR114"/>
      <w:bookmarkEnd w:id="3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168" w:name="PN114"/>
      <w:bookmarkEnd w:id="3168"/>
      <w:r>
        <w:rPr>
          <w:rFonts w:eastAsia="Times New Roman" w:cs="Times New Roman" w:ascii="Times New Roman" w:hAnsi="Times New Roman"/>
          <w:sz w:val="20"/>
          <w:szCs w:val="20"/>
        </w:rPr>
        <w:t>-114-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169" w:name="HDR114"/>
      <w:bookmarkStart w:id="3170" w:name="HDR114"/>
      <w:bookmarkEnd w:id="3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71" w:name="GLHDR114"/>
        <w:bookmarkEnd w:id="31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rPr>
      </w:pPr>
      <w:r>
        <w:rPr>
          <w:rFonts w:ascii="Times New Roman" w:hAnsi="Times New Roman"/>
          <w:b/>
          <w:sz w:val="20"/>
        </w:rPr>
        <w:t>205-209 East 57th Street Associates, LLC</w:t>
      </w:r>
    </w:p>
    <w:p>
      <w:pPr>
        <w:pStyle w:val="TextBody"/>
        <w:spacing w:before="0" w:after="0"/>
        <w:ind w:left="0" w:right="0" w:hanging="0"/>
        <w:jc w:val="left"/>
        <w:rPr>
          <w:rFonts w:ascii="Times New Roman" w:hAnsi="Times New Roman"/>
          <w:b/>
          <w:sz w:val="20"/>
        </w:rPr>
      </w:pPr>
      <w:r>
        <w:rPr>
          <w:rFonts w:ascii="Times New Roman" w:hAnsi="Times New Roman"/>
          <w:b/>
          <w:sz w:val="20"/>
        </w:rPr>
        <w:t>Statements of Operations</w:t>
      </w:r>
    </w:p>
    <w:p>
      <w:pPr>
        <w:pStyle w:val="TextBody"/>
        <w:spacing w:before="0" w:after="0"/>
        <w:ind w:left="0" w:right="0" w:hanging="0"/>
        <w:jc w:val="left"/>
        <w:rPr>
          <w:rFonts w:ascii="Times New Roman" w:hAnsi="Times New Roman"/>
          <w:b/>
          <w:sz w:val="20"/>
        </w:rPr>
      </w:pPr>
      <w:r>
        <w:rPr>
          <w:rFonts w:ascii="Times New Roman" w:hAnsi="Times New Roman"/>
          <w:b/>
          <w:sz w:val="20"/>
        </w:rPr>
        <w:t>For The Three Years Ended December 31, 2009, 2008 and 2007</w:t>
      </w:r>
    </w:p>
    <w:p>
      <w:pPr>
        <w:pStyle w:val="TextBody"/>
        <w:spacing w:before="0" w:after="0"/>
        <w:ind w:left="0" w:right="0" w:hanging="0"/>
        <w:jc w:val="left"/>
        <w:rPr>
          <w:rFonts w:ascii="Times New Roman" w:hAnsi="Times New Roman"/>
          <w:b/>
          <w:sz w:val="20"/>
        </w:rPr>
      </w:pPr>
      <w:r>
        <w:rPr>
          <w:rFonts w:ascii="Times New Roman" w:hAnsi="Times New Roman"/>
          <w:b/>
          <w:sz w:val="20"/>
        </w:rPr>
        <w:t>(U.S.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541"/>
        <w:gridCol w:w="113"/>
        <w:gridCol w:w="204"/>
        <w:gridCol w:w="1168"/>
        <w:gridCol w:w="113"/>
        <w:gridCol w:w="113"/>
        <w:gridCol w:w="228"/>
        <w:gridCol w:w="1144"/>
        <w:gridCol w:w="127"/>
        <w:gridCol w:w="113"/>
        <w:gridCol w:w="157"/>
        <w:gridCol w:w="1053"/>
        <w:gridCol w:w="131"/>
      </w:tblGrid>
      <w:tr>
        <w:trPr/>
        <w:tc>
          <w:tcPr>
            <w:tcW w:w="5541"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4420"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Years Ended December 31,</w:t>
            </w:r>
          </w:p>
        </w:tc>
        <w:tc>
          <w:tcPr>
            <w:tcW w:w="131" w:type="dxa"/>
            <w:tcBorders/>
            <w:shd w:fill="auto" w:val="clear"/>
            <w:vAlign w:val="bottom"/>
          </w:tcPr>
          <w:p>
            <w:pPr>
              <w:pStyle w:val="TableContents"/>
              <w:spacing w:before="0" w:after="283"/>
              <w:jc w:val="left"/>
              <w:rPr/>
            </w:pPr>
            <w:r>
              <w:rPr/>
              <w:t> </w:t>
            </w:r>
          </w:p>
        </w:tc>
      </w:tr>
      <w:tr>
        <w:trPr/>
        <w:tc>
          <w:tcPr>
            <w:tcW w:w="5541"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137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3"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37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7"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2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31" w:type="dxa"/>
            <w:tcBorders/>
            <w:shd w:fill="auto" w:val="clear"/>
            <w:vAlign w:val="bottom"/>
          </w:tcPr>
          <w:p>
            <w:pPr>
              <w:pStyle w:val="TableContents"/>
              <w:spacing w:before="0" w:after="283"/>
              <w:jc w:val="left"/>
              <w:rPr/>
            </w:pPr>
            <w:r>
              <w:rPr/>
              <w:t> </w:t>
            </w:r>
          </w:p>
        </w:tc>
      </w:tr>
      <w:tr>
        <w:trPr/>
        <w:tc>
          <w:tcPr>
            <w:tcW w:w="5541" w:type="dxa"/>
            <w:tcBorders/>
            <w:shd w:fill="auto" w:val="clear"/>
            <w:vAlign w:val="bottom"/>
          </w:tcPr>
          <w:p>
            <w:pPr>
              <w:pStyle w:val="TableContents"/>
              <w:spacing w:before="0" w:after="0"/>
              <w:ind w:left="0" w:right="0" w:hanging="0"/>
              <w:jc w:val="left"/>
              <w:rPr/>
            </w:pPr>
            <w:r>
              <w:rPr/>
              <w:t> </w:t>
            </w:r>
          </w:p>
          <w:p>
            <w:pPr>
              <w:pStyle w:val="TableContents"/>
              <w:spacing w:before="0" w:after="0"/>
              <w:ind w:left="180" w:right="0" w:hanging="180"/>
              <w:jc w:val="left"/>
              <w:rPr>
                <w:rFonts w:ascii="times new roman" w:hAnsi="times new roman"/>
                <w:b/>
                <w:sz w:val="20"/>
              </w:rPr>
            </w:pPr>
            <w:r>
              <w:rPr>
                <w:rFonts w:ascii="times new roman" w:hAnsi="times new roman"/>
                <w:b/>
                <w:sz w:val="20"/>
              </w:rPr>
              <w:t>Revenue:</w:t>
            </w:r>
          </w:p>
        </w:tc>
        <w:tc>
          <w:tcPr>
            <w:tcW w:w="113"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210"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5541"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Sales – condominium units</w:t>
            </w:r>
          </w:p>
        </w:tc>
        <w:tc>
          <w:tcPr>
            <w:tcW w:w="113" w:type="dxa"/>
            <w:tcBorders/>
            <w:shd w:fill="CCEEFF" w:val="clear"/>
            <w:vAlign w:val="bottom"/>
          </w:tcPr>
          <w:p>
            <w:pPr>
              <w:pStyle w:val="TableContents"/>
              <w:spacing w:before="0" w:after="283"/>
              <w:jc w:val="left"/>
              <w:rPr/>
            </w:pPr>
            <w:r>
              <w:rPr/>
              <w:t> </w:t>
            </w:r>
          </w:p>
        </w:tc>
        <w:tc>
          <w:tcPr>
            <w:tcW w:w="2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shd w:fill="CCEEFF" w:val="clear"/>
            <w:vAlign w:val="bottom"/>
          </w:tcPr>
          <w:p>
            <w:pPr>
              <w:pStyle w:val="TableContents"/>
              <w:spacing w:before="0" w:after="283"/>
              <w:ind w:left="198" w:right="0" w:hanging="0"/>
              <w:jc w:val="right"/>
              <w:rPr>
                <w:rFonts w:ascii="times new roman" w:hAnsi="times new roman"/>
                <w:sz w:val="20"/>
              </w:rPr>
            </w:pPr>
            <w:bookmarkStart w:id="3172" w:name="TAB11618"/>
            <w:bookmarkEnd w:id="3172"/>
            <w:r>
              <w:rPr>
                <w:rFonts w:ascii="times new roman" w:hAnsi="times new roman"/>
                <w:sz w:val="20"/>
              </w:rPr>
              <w:t>3,900</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shd w:fill="CCEEFF" w:val="clear"/>
            <w:vAlign w:val="bottom"/>
          </w:tcPr>
          <w:p>
            <w:pPr>
              <w:pStyle w:val="TableContents"/>
              <w:spacing w:before="0" w:after="283"/>
              <w:ind w:left="198" w:right="0" w:hanging="0"/>
              <w:jc w:val="right"/>
              <w:rPr>
                <w:rFonts w:ascii="times new roman" w:hAnsi="times new roman"/>
                <w:sz w:val="20"/>
              </w:rPr>
            </w:pPr>
            <w:bookmarkStart w:id="3173" w:name="TAB11619"/>
            <w:bookmarkEnd w:id="3173"/>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ind w:left="198" w:right="0" w:hanging="0"/>
              <w:jc w:val="right"/>
              <w:rPr>
                <w:rFonts w:ascii="times new roman" w:hAnsi="times new roman"/>
                <w:sz w:val="20"/>
              </w:rPr>
            </w:pPr>
            <w:bookmarkStart w:id="3174" w:name="TAB11620"/>
            <w:bookmarkEnd w:id="3174"/>
            <w:r>
              <w:rPr>
                <w:rFonts w:ascii="times new roman" w:hAnsi="times new roman"/>
                <w:sz w:val="20"/>
              </w:rPr>
              <w:t>25,401</w:t>
            </w:r>
          </w:p>
        </w:tc>
        <w:tc>
          <w:tcPr>
            <w:tcW w:w="131" w:type="dxa"/>
            <w:tcBorders/>
            <w:shd w:fill="CCEEFF" w:val="clear"/>
            <w:vAlign w:val="bottom"/>
          </w:tcPr>
          <w:p>
            <w:pPr>
              <w:pStyle w:val="TableContents"/>
              <w:spacing w:before="0" w:after="283"/>
              <w:jc w:val="left"/>
              <w:rPr/>
            </w:pPr>
            <w:r>
              <w:rPr/>
              <w:t> </w:t>
            </w:r>
          </w:p>
        </w:tc>
      </w:tr>
      <w:tr>
        <w:trPr/>
        <w:tc>
          <w:tcPr>
            <w:tcW w:w="5541"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Contract termination income</w:t>
            </w:r>
          </w:p>
        </w:tc>
        <w:tc>
          <w:tcPr>
            <w:tcW w:w="113" w:type="dxa"/>
            <w:tcBorders/>
            <w:shd w:fill="FFFFFF" w:val="clear"/>
            <w:vAlign w:val="bottom"/>
          </w:tcPr>
          <w:p>
            <w:pPr>
              <w:pStyle w:val="TableContents"/>
              <w:spacing w:before="0" w:after="283"/>
              <w:jc w:val="left"/>
              <w:rPr/>
            </w:pPr>
            <w:r>
              <w:rPr/>
              <w:t> </w:t>
            </w:r>
          </w:p>
        </w:tc>
        <w:tc>
          <w:tcPr>
            <w:tcW w:w="204"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ind w:left="813" w:right="0" w:hanging="0"/>
              <w:jc w:val="right"/>
              <w:rPr>
                <w:rFonts w:ascii="times new roman" w:hAnsi="times new roman"/>
                <w:sz w:val="20"/>
              </w:rPr>
            </w:pPr>
            <w:bookmarkStart w:id="3175" w:name="TAB11621"/>
            <w:bookmarkEnd w:id="3175"/>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ind w:left="591" w:right="0" w:hanging="0"/>
              <w:jc w:val="right"/>
              <w:rPr>
                <w:rFonts w:ascii="times new roman" w:hAnsi="times new roman"/>
                <w:sz w:val="20"/>
              </w:rPr>
            </w:pPr>
            <w:bookmarkStart w:id="3176" w:name="TAB11622"/>
            <w:bookmarkEnd w:id="3176"/>
            <w:r>
              <w:rPr>
                <w:rFonts w:ascii="times new roman" w:hAnsi="times new roman"/>
                <w:sz w:val="20"/>
              </w:rPr>
              <w:t>340</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ind w:left="813" w:right="0" w:hanging="0"/>
              <w:jc w:val="right"/>
              <w:rPr>
                <w:rFonts w:ascii="times new roman" w:hAnsi="times new roman"/>
                <w:sz w:val="20"/>
              </w:rPr>
            </w:pPr>
            <w:bookmarkStart w:id="3177" w:name="TAB11623"/>
            <w:bookmarkEnd w:id="3177"/>
            <w:r>
              <w:rPr>
                <w:rFonts w:ascii="times new roman" w:hAnsi="times new roman"/>
                <w:sz w:val="20"/>
              </w:rPr>
              <w:t>--</w:t>
            </w:r>
          </w:p>
        </w:tc>
        <w:tc>
          <w:tcPr>
            <w:tcW w:w="131" w:type="dxa"/>
            <w:tcBorders/>
            <w:shd w:fill="FFFFFF" w:val="clear"/>
            <w:vAlign w:val="bottom"/>
          </w:tcPr>
          <w:p>
            <w:pPr>
              <w:pStyle w:val="TableContents"/>
              <w:spacing w:before="0" w:after="283"/>
              <w:jc w:val="left"/>
              <w:rPr/>
            </w:pPr>
            <w:r>
              <w:rPr/>
              <w:t> </w:t>
            </w:r>
          </w:p>
        </w:tc>
      </w:tr>
      <w:tr>
        <w:trPr/>
        <w:tc>
          <w:tcPr>
            <w:tcW w:w="5541"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Dividends and interest</w:t>
            </w:r>
          </w:p>
        </w:tc>
        <w:tc>
          <w:tcPr>
            <w:tcW w:w="113" w:type="dxa"/>
            <w:tcBorders/>
            <w:shd w:fill="CCEEFF" w:val="clear"/>
            <w:vAlign w:val="bottom"/>
          </w:tcPr>
          <w:p>
            <w:pPr>
              <w:pStyle w:val="TableContents"/>
              <w:spacing w:before="0" w:after="283"/>
              <w:jc w:val="left"/>
              <w:rPr/>
            </w:pPr>
            <w:r>
              <w:rPr/>
              <w:t> </w:t>
            </w:r>
          </w:p>
        </w:tc>
        <w:tc>
          <w:tcPr>
            <w:tcW w:w="204"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ind w:left="857" w:right="0" w:hanging="0"/>
              <w:jc w:val="right"/>
              <w:rPr>
                <w:rFonts w:ascii="times new roman" w:hAnsi="times new roman"/>
                <w:sz w:val="20"/>
              </w:rPr>
            </w:pPr>
            <w:bookmarkStart w:id="3178" w:name="TAB11624"/>
            <w:bookmarkEnd w:id="3178"/>
            <w:r>
              <w:rPr>
                <w:rFonts w:ascii="times new roman" w:hAnsi="times new roman"/>
                <w:sz w:val="20"/>
              </w:rPr>
              <w:t>9</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shd w:fill="CCEEFF" w:val="clear"/>
            <w:vAlign w:val="bottom"/>
          </w:tcPr>
          <w:p>
            <w:pPr>
              <w:pStyle w:val="TableContents"/>
              <w:spacing w:before="0" w:after="283"/>
              <w:jc w:val="left"/>
              <w:rPr/>
            </w:pPr>
            <w:r>
              <w:rPr/>
              <w:t> </w:t>
            </w:r>
          </w:p>
        </w:tc>
        <w:tc>
          <w:tcPr>
            <w:tcW w:w="1144" w:type="dxa"/>
            <w:tcBorders/>
            <w:shd w:fill="CCEEFF" w:val="clear"/>
            <w:vAlign w:val="bottom"/>
          </w:tcPr>
          <w:p>
            <w:pPr>
              <w:pStyle w:val="TableContents"/>
              <w:spacing w:before="0" w:after="283"/>
              <w:ind w:left="724" w:right="0" w:hanging="0"/>
              <w:jc w:val="right"/>
              <w:rPr>
                <w:rFonts w:ascii="times new roman" w:hAnsi="times new roman"/>
                <w:sz w:val="20"/>
              </w:rPr>
            </w:pPr>
            <w:bookmarkStart w:id="3179" w:name="TAB11625"/>
            <w:bookmarkEnd w:id="3179"/>
            <w:r>
              <w:rPr>
                <w:rFonts w:ascii="times new roman" w:hAnsi="times new roman"/>
                <w:sz w:val="20"/>
              </w:rPr>
              <w:t>74</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ind w:left="591" w:right="0" w:hanging="0"/>
              <w:jc w:val="right"/>
              <w:rPr>
                <w:rFonts w:ascii="times new roman" w:hAnsi="times new roman"/>
                <w:sz w:val="20"/>
              </w:rPr>
            </w:pPr>
            <w:bookmarkStart w:id="3180" w:name="TAB11626"/>
            <w:bookmarkEnd w:id="3180"/>
            <w:r>
              <w:rPr>
                <w:rFonts w:ascii="times new roman" w:hAnsi="times new roman"/>
                <w:sz w:val="20"/>
              </w:rPr>
              <w:t>168</w:t>
            </w:r>
          </w:p>
        </w:tc>
        <w:tc>
          <w:tcPr>
            <w:tcW w:w="131" w:type="dxa"/>
            <w:tcBorders/>
            <w:shd w:fill="CCEEFF" w:val="clear"/>
            <w:vAlign w:val="bottom"/>
          </w:tcPr>
          <w:p>
            <w:pPr>
              <w:pStyle w:val="TableContents"/>
              <w:spacing w:before="0" w:after="283"/>
              <w:jc w:val="left"/>
              <w:rPr/>
            </w:pPr>
            <w:r>
              <w:rPr/>
              <w:t> </w:t>
            </w:r>
          </w:p>
        </w:tc>
      </w:tr>
      <w:tr>
        <w:trPr/>
        <w:tc>
          <w:tcPr>
            <w:tcW w:w="5541"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Rental income – manager’s unit</w:t>
            </w:r>
          </w:p>
        </w:tc>
        <w:tc>
          <w:tcPr>
            <w:tcW w:w="113" w:type="dxa"/>
            <w:tcBorders/>
            <w:shd w:fill="FFFFFF" w:val="clear"/>
            <w:vAlign w:val="bottom"/>
          </w:tcPr>
          <w:p>
            <w:pPr>
              <w:pStyle w:val="TableContents"/>
              <w:spacing w:before="0" w:after="283"/>
              <w:jc w:val="left"/>
              <w:rPr/>
            </w:pPr>
            <w:r>
              <w:rPr/>
              <w:t> </w:t>
            </w:r>
          </w:p>
        </w:tc>
        <w:tc>
          <w:tcPr>
            <w:tcW w:w="204"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ind w:left="724" w:right="0" w:hanging="0"/>
              <w:jc w:val="right"/>
              <w:rPr>
                <w:rFonts w:ascii="times new roman" w:hAnsi="times new roman"/>
                <w:sz w:val="20"/>
              </w:rPr>
            </w:pPr>
            <w:bookmarkStart w:id="3181" w:name="TAB11627"/>
            <w:bookmarkEnd w:id="3181"/>
            <w:r>
              <w:rPr>
                <w:rFonts w:ascii="times new roman" w:hAnsi="times new roman"/>
                <w:sz w:val="20"/>
              </w:rPr>
              <w:t>86</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ind w:left="724" w:right="0" w:hanging="0"/>
              <w:jc w:val="right"/>
              <w:rPr>
                <w:rFonts w:ascii="times new roman" w:hAnsi="times new roman"/>
                <w:sz w:val="20"/>
              </w:rPr>
            </w:pPr>
            <w:bookmarkStart w:id="3182" w:name="TAB11628"/>
            <w:bookmarkEnd w:id="3182"/>
            <w:r>
              <w:rPr>
                <w:rFonts w:ascii="times new roman" w:hAnsi="times new roman"/>
                <w:sz w:val="20"/>
              </w:rPr>
              <w:t>82</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ind w:left="813" w:right="0" w:hanging="0"/>
              <w:jc w:val="right"/>
              <w:rPr>
                <w:rFonts w:ascii="times new roman" w:hAnsi="times new roman"/>
                <w:sz w:val="20"/>
              </w:rPr>
            </w:pPr>
            <w:bookmarkStart w:id="3183" w:name="TAB11629"/>
            <w:bookmarkEnd w:id="3183"/>
            <w:r>
              <w:rPr>
                <w:rFonts w:ascii="times new roman" w:hAnsi="times new roman"/>
                <w:sz w:val="20"/>
              </w:rPr>
              <w:t>--</w:t>
            </w:r>
          </w:p>
        </w:tc>
        <w:tc>
          <w:tcPr>
            <w:tcW w:w="131" w:type="dxa"/>
            <w:tcBorders/>
            <w:shd w:fill="FFFFFF" w:val="clear"/>
            <w:vAlign w:val="bottom"/>
          </w:tcPr>
          <w:p>
            <w:pPr>
              <w:pStyle w:val="TableContents"/>
              <w:spacing w:before="0" w:after="283"/>
              <w:jc w:val="left"/>
              <w:rPr/>
            </w:pPr>
            <w:r>
              <w:rPr/>
              <w:t> </w:t>
            </w:r>
          </w:p>
        </w:tc>
      </w:tr>
      <w:tr>
        <w:trPr/>
        <w:tc>
          <w:tcPr>
            <w:tcW w:w="5541" w:type="dxa"/>
            <w:tcBorders>
              <w:bottom w:val="single" w:sz="12" w:space="0" w:color="000000"/>
            </w:tcBorders>
            <w:shd w:fill="CCEEFF" w:val="clear"/>
            <w:tcMar>
              <w:bottom w:w="28"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Rental income – commercial unit</w:t>
            </w:r>
          </w:p>
        </w:tc>
        <w:tc>
          <w:tcPr>
            <w:tcW w:w="113" w:type="dxa"/>
            <w:tcBorders/>
            <w:shd w:fill="CCEEFF" w:val="clear"/>
            <w:vAlign w:val="bottom"/>
          </w:tcPr>
          <w:p>
            <w:pPr>
              <w:pStyle w:val="TableContents"/>
              <w:spacing w:before="0" w:after="283"/>
              <w:jc w:val="left"/>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8" w:type="dxa"/>
            <w:tcBorders>
              <w:bottom w:val="single" w:sz="12" w:space="0" w:color="000000"/>
            </w:tcBorders>
            <w:shd w:fill="CCEEFF" w:val="clear"/>
            <w:tcMar>
              <w:bottom w:w="28" w:type="dxa"/>
            </w:tcMar>
            <w:vAlign w:val="bottom"/>
          </w:tcPr>
          <w:p>
            <w:pPr>
              <w:pStyle w:val="TableContents"/>
              <w:spacing w:before="0" w:after="283"/>
              <w:ind w:left="724" w:right="0" w:hanging="0"/>
              <w:jc w:val="right"/>
              <w:rPr>
                <w:rFonts w:ascii="times new roman" w:hAnsi="times new roman"/>
                <w:sz w:val="20"/>
              </w:rPr>
            </w:pPr>
            <w:bookmarkStart w:id="3184" w:name="TAB11630"/>
            <w:bookmarkEnd w:id="3184"/>
            <w:r>
              <w:rPr>
                <w:rFonts w:ascii="times new roman" w:hAnsi="times new roman"/>
                <w:sz w:val="20"/>
              </w:rPr>
              <w:t>57</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bottom"/>
          </w:tcPr>
          <w:p>
            <w:pPr>
              <w:pStyle w:val="TableContents"/>
              <w:spacing w:before="0" w:after="283"/>
              <w:ind w:left="591" w:right="0" w:hanging="0"/>
              <w:jc w:val="right"/>
              <w:rPr>
                <w:rFonts w:ascii="times new roman" w:hAnsi="times new roman"/>
                <w:sz w:val="20"/>
              </w:rPr>
            </w:pPr>
            <w:bookmarkStart w:id="3185" w:name="TAB11631"/>
            <w:bookmarkEnd w:id="3185"/>
            <w:r>
              <w:rPr>
                <w:rFonts w:ascii="times new roman" w:hAnsi="times new roman"/>
                <w:sz w:val="20"/>
              </w:rPr>
              <w:t>232</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CCEEFF" w:val="clear"/>
            <w:tcMar>
              <w:bottom w:w="28" w:type="dxa"/>
            </w:tcMar>
            <w:vAlign w:val="bottom"/>
          </w:tcPr>
          <w:p>
            <w:pPr>
              <w:pStyle w:val="TableContents"/>
              <w:spacing w:before="0" w:after="283"/>
              <w:ind w:left="591" w:right="0" w:hanging="0"/>
              <w:jc w:val="right"/>
              <w:rPr>
                <w:rFonts w:ascii="times new roman" w:hAnsi="times new roman"/>
                <w:sz w:val="20"/>
              </w:rPr>
            </w:pPr>
            <w:bookmarkStart w:id="3186" w:name="TAB11632"/>
            <w:bookmarkEnd w:id="3186"/>
            <w:r>
              <w:rPr>
                <w:rFonts w:ascii="times new roman" w:hAnsi="times new roman"/>
                <w:sz w:val="20"/>
              </w:rPr>
              <w:t>104</w:t>
            </w:r>
          </w:p>
        </w:tc>
        <w:tc>
          <w:tcPr>
            <w:tcW w:w="131" w:type="dxa"/>
            <w:tcBorders/>
            <w:shd w:fill="CCEEFF" w:val="clear"/>
            <w:vAlign w:val="bottom"/>
          </w:tcPr>
          <w:p>
            <w:pPr>
              <w:pStyle w:val="TableContents"/>
              <w:spacing w:before="0" w:after="283"/>
              <w:jc w:val="left"/>
              <w:rPr/>
            </w:pPr>
            <w:r>
              <w:rPr/>
              <w:t> </w:t>
            </w:r>
          </w:p>
        </w:tc>
      </w:tr>
      <w:tr>
        <w:trPr/>
        <w:tc>
          <w:tcPr>
            <w:tcW w:w="5541" w:type="dxa"/>
            <w:tcBorders>
              <w:bottom w:val="single" w:sz="12" w:space="0" w:color="000000"/>
            </w:tcBorders>
            <w:shd w:fill="FFFFFF" w:val="clear"/>
            <w:tcMar>
              <w:bottom w:w="28" w:type="dxa"/>
            </w:tcMar>
            <w:vAlign w:val="bottom"/>
          </w:tcPr>
          <w:p>
            <w:pPr>
              <w:pStyle w:val="TableContents"/>
              <w:spacing w:before="0" w:after="0"/>
              <w:ind w:left="720" w:right="0" w:hanging="360"/>
              <w:jc w:val="left"/>
              <w:rPr>
                <w:rFonts w:ascii="times new roman" w:hAnsi="times new roman"/>
                <w:sz w:val="20"/>
              </w:rPr>
            </w:pPr>
            <w:bookmarkStart w:id="3187" w:name="TAB11633"/>
            <w:bookmarkEnd w:id="3187"/>
            <w:r>
              <w:rPr>
                <w:rFonts w:ascii="times new roman" w:hAnsi="times new roman"/>
                <w:sz w:val="20"/>
              </w:rPr>
              <w:t>Total revenue</w:t>
            </w:r>
          </w:p>
        </w:tc>
        <w:tc>
          <w:tcPr>
            <w:tcW w:w="113" w:type="dxa"/>
            <w:tcBorders/>
            <w:shd w:fill="FFFFFF" w:val="clear"/>
            <w:vAlign w:val="bottom"/>
          </w:tcPr>
          <w:p>
            <w:pPr>
              <w:pStyle w:val="TableContents"/>
              <w:spacing w:before="0" w:after="283"/>
              <w:jc w:val="left"/>
              <w:rPr/>
            </w:pPr>
            <w:r>
              <w:rPr/>
              <w:t> </w:t>
            </w:r>
          </w:p>
        </w:tc>
        <w:tc>
          <w:tcPr>
            <w:tcW w:w="2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8" w:type="dxa"/>
            <w:tcBorders>
              <w:bottom w:val="single" w:sz="12" w:space="0" w:color="000000"/>
            </w:tcBorders>
            <w:shd w:fill="FFFFFF" w:val="clear"/>
            <w:tcMar>
              <w:bottom w:w="28" w:type="dxa"/>
            </w:tcMar>
            <w:vAlign w:val="bottom"/>
          </w:tcPr>
          <w:p>
            <w:pPr>
              <w:pStyle w:val="TableContents"/>
              <w:spacing w:before="0" w:after="283"/>
              <w:ind w:left="391" w:right="0" w:hanging="0"/>
              <w:jc w:val="right"/>
              <w:rPr>
                <w:rFonts w:ascii="times new roman" w:hAnsi="times new roman"/>
                <w:sz w:val="20"/>
              </w:rPr>
            </w:pPr>
            <w:bookmarkStart w:id="3188" w:name="TAB11634"/>
            <w:bookmarkEnd w:id="3188"/>
            <w:r>
              <w:rPr>
                <w:rFonts w:ascii="times new roman" w:hAnsi="times new roman"/>
                <w:sz w:val="20"/>
              </w:rPr>
              <w:t>4,052</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bottom"/>
          </w:tcPr>
          <w:p>
            <w:pPr>
              <w:pStyle w:val="TableContents"/>
              <w:spacing w:before="0" w:after="283"/>
              <w:ind w:left="591" w:right="0" w:hanging="0"/>
              <w:jc w:val="right"/>
              <w:rPr>
                <w:rFonts w:ascii="times new roman" w:hAnsi="times new roman"/>
                <w:sz w:val="20"/>
              </w:rPr>
            </w:pPr>
            <w:bookmarkStart w:id="3189" w:name="TAB11635"/>
            <w:bookmarkEnd w:id="3189"/>
            <w:r>
              <w:rPr>
                <w:rFonts w:ascii="times new roman" w:hAnsi="times new roman"/>
                <w:sz w:val="20"/>
              </w:rPr>
              <w:t>728</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ind w:left="257" w:right="0" w:hanging="0"/>
              <w:jc w:val="right"/>
              <w:rPr>
                <w:rFonts w:ascii="times new roman" w:hAnsi="times new roman"/>
                <w:sz w:val="20"/>
              </w:rPr>
            </w:pPr>
            <w:bookmarkStart w:id="3190" w:name="TAB11636"/>
            <w:bookmarkEnd w:id="3190"/>
            <w:r>
              <w:rPr>
                <w:rFonts w:ascii="times new roman" w:hAnsi="times new roman"/>
                <w:sz w:val="20"/>
              </w:rPr>
              <w:t>25,673</w:t>
            </w:r>
          </w:p>
        </w:tc>
        <w:tc>
          <w:tcPr>
            <w:tcW w:w="131" w:type="dxa"/>
            <w:tcBorders/>
            <w:shd w:fill="FFFFFF" w:val="clear"/>
            <w:vAlign w:val="bottom"/>
          </w:tcPr>
          <w:p>
            <w:pPr>
              <w:pStyle w:val="TableContents"/>
              <w:spacing w:before="0" w:after="283"/>
              <w:jc w:val="left"/>
              <w:rPr/>
            </w:pPr>
            <w:r>
              <w:rPr/>
              <w:t> </w:t>
            </w:r>
          </w:p>
        </w:tc>
      </w:tr>
      <w:tr>
        <w:trPr/>
        <w:tc>
          <w:tcPr>
            <w:tcW w:w="5541" w:type="dxa"/>
            <w:tcBorders/>
            <w:shd w:fill="FFFFFF" w:val="clear"/>
            <w:vAlign w:val="bottom"/>
          </w:tcPr>
          <w:p>
            <w:pPr>
              <w:pStyle w:val="TableContents"/>
              <w:spacing w:before="0" w:after="0"/>
              <w:ind w:left="0" w:right="0" w:hanging="0"/>
              <w:jc w:val="left"/>
              <w:rPr/>
            </w:pPr>
            <w:r>
              <w:rPr/>
              <w:t> </w:t>
            </w:r>
          </w:p>
          <w:p>
            <w:pPr>
              <w:pStyle w:val="TableContents"/>
              <w:spacing w:before="0" w:after="0"/>
              <w:ind w:left="180" w:right="0" w:hanging="180"/>
              <w:jc w:val="left"/>
              <w:rPr>
                <w:rFonts w:ascii="times new roman" w:hAnsi="times new roman"/>
                <w:b/>
                <w:sz w:val="20"/>
              </w:rPr>
            </w:pPr>
            <w:r>
              <w:rPr>
                <w:rFonts w:ascii="times new roman" w:hAnsi="times new roman"/>
                <w:b/>
                <w:sz w:val="20"/>
              </w:rPr>
              <w:t>Expenses:</w:t>
            </w:r>
          </w:p>
        </w:tc>
        <w:tc>
          <w:tcPr>
            <w:tcW w:w="11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28"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r>
      <w:tr>
        <w:trPr/>
        <w:tc>
          <w:tcPr>
            <w:tcW w:w="5541"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Costs of sales of condominium units</w:t>
            </w:r>
          </w:p>
        </w:tc>
        <w:tc>
          <w:tcPr>
            <w:tcW w:w="113" w:type="dxa"/>
            <w:tcBorders/>
            <w:shd w:fill="CCEEFF" w:val="clear"/>
            <w:vAlign w:val="bottom"/>
          </w:tcPr>
          <w:p>
            <w:pPr>
              <w:pStyle w:val="TableContents"/>
              <w:spacing w:before="0" w:after="283"/>
              <w:jc w:val="left"/>
              <w:rPr/>
            </w:pPr>
            <w:r>
              <w:rPr/>
              <w:t> </w:t>
            </w:r>
          </w:p>
        </w:tc>
        <w:tc>
          <w:tcPr>
            <w:tcW w:w="204"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ind w:left="481" w:right="0" w:hanging="0"/>
              <w:jc w:val="right"/>
              <w:rPr>
                <w:rFonts w:ascii="times new roman" w:hAnsi="times new roman"/>
                <w:sz w:val="20"/>
              </w:rPr>
            </w:pPr>
            <w:bookmarkStart w:id="3191" w:name="TAB11637"/>
            <w:bookmarkEnd w:id="3191"/>
            <w:r>
              <w:rPr>
                <w:rFonts w:ascii="times new roman" w:hAnsi="times new roman"/>
                <w:sz w:val="20"/>
              </w:rPr>
              <w:t>3,125</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shd w:fill="CCEEFF" w:val="clear"/>
            <w:vAlign w:val="bottom"/>
          </w:tcPr>
          <w:p>
            <w:pPr>
              <w:pStyle w:val="TableContents"/>
              <w:spacing w:before="0" w:after="283"/>
              <w:jc w:val="left"/>
              <w:rPr/>
            </w:pPr>
            <w:r>
              <w:rPr/>
              <w:t> </w:t>
            </w:r>
          </w:p>
        </w:tc>
        <w:tc>
          <w:tcPr>
            <w:tcW w:w="1144" w:type="dxa"/>
            <w:tcBorders/>
            <w:shd w:fill="CCEEFF" w:val="clear"/>
            <w:vAlign w:val="bottom"/>
          </w:tcPr>
          <w:p>
            <w:pPr>
              <w:pStyle w:val="TableContents"/>
              <w:spacing w:before="0" w:after="283"/>
              <w:ind w:left="503" w:right="0" w:hanging="0"/>
              <w:jc w:val="right"/>
              <w:rPr>
                <w:rFonts w:ascii="times new roman" w:hAnsi="times new roman"/>
                <w:sz w:val="20"/>
              </w:rPr>
            </w:pPr>
            <w:bookmarkStart w:id="3192" w:name="TAB11638"/>
            <w:bookmarkEnd w:id="3192"/>
            <w:r>
              <w:rPr>
                <w:rFonts w:ascii="times new roman" w:hAnsi="times new roman"/>
                <w:sz w:val="20"/>
              </w:rPr>
              <w:t>(344</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ind w:left="347" w:right="0" w:hanging="0"/>
              <w:jc w:val="right"/>
              <w:rPr>
                <w:rFonts w:ascii="times new roman" w:hAnsi="times new roman"/>
                <w:sz w:val="20"/>
              </w:rPr>
            </w:pPr>
            <w:bookmarkStart w:id="3193" w:name="TAB11639"/>
            <w:bookmarkEnd w:id="3193"/>
            <w:r>
              <w:rPr>
                <w:rFonts w:ascii="times new roman" w:hAnsi="times new roman"/>
                <w:sz w:val="20"/>
              </w:rPr>
              <w:t>16,987</w:t>
            </w:r>
          </w:p>
        </w:tc>
        <w:tc>
          <w:tcPr>
            <w:tcW w:w="131" w:type="dxa"/>
            <w:tcBorders/>
            <w:shd w:fill="CCEEFF" w:val="clear"/>
            <w:vAlign w:val="bottom"/>
          </w:tcPr>
          <w:p>
            <w:pPr>
              <w:pStyle w:val="TableContents"/>
              <w:spacing w:before="0" w:after="283"/>
              <w:jc w:val="left"/>
              <w:rPr/>
            </w:pPr>
            <w:r>
              <w:rPr/>
              <w:t> </w:t>
            </w:r>
          </w:p>
        </w:tc>
      </w:tr>
      <w:tr>
        <w:trPr/>
        <w:tc>
          <w:tcPr>
            <w:tcW w:w="5541"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Selling costs</w:t>
            </w:r>
          </w:p>
        </w:tc>
        <w:tc>
          <w:tcPr>
            <w:tcW w:w="113" w:type="dxa"/>
            <w:tcBorders/>
            <w:shd w:fill="FFFFFF" w:val="clear"/>
            <w:vAlign w:val="bottom"/>
          </w:tcPr>
          <w:p>
            <w:pPr>
              <w:pStyle w:val="TableContents"/>
              <w:spacing w:before="0" w:after="283"/>
              <w:jc w:val="left"/>
              <w:rPr/>
            </w:pPr>
            <w:r>
              <w:rPr/>
              <w:t> </w:t>
            </w:r>
          </w:p>
        </w:tc>
        <w:tc>
          <w:tcPr>
            <w:tcW w:w="204"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ind w:left="591" w:right="0" w:hanging="0"/>
              <w:jc w:val="right"/>
              <w:rPr>
                <w:rFonts w:ascii="times new roman" w:hAnsi="times new roman"/>
                <w:sz w:val="20"/>
              </w:rPr>
            </w:pPr>
            <w:bookmarkStart w:id="3194" w:name="TAB11640"/>
            <w:bookmarkEnd w:id="3194"/>
            <w:r>
              <w:rPr>
                <w:rFonts w:ascii="times new roman" w:hAnsi="times new roman"/>
                <w:sz w:val="20"/>
              </w:rPr>
              <w:t>120</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ind w:left="813" w:right="0" w:hanging="0"/>
              <w:jc w:val="right"/>
              <w:rPr>
                <w:rFonts w:ascii="times new roman" w:hAnsi="times new roman"/>
                <w:sz w:val="20"/>
              </w:rPr>
            </w:pPr>
            <w:bookmarkStart w:id="3195" w:name="TAB11641"/>
            <w:bookmarkEnd w:id="3195"/>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ind w:left="391" w:right="0" w:hanging="0"/>
              <w:jc w:val="right"/>
              <w:rPr>
                <w:rFonts w:ascii="times new roman" w:hAnsi="times new roman"/>
                <w:sz w:val="20"/>
              </w:rPr>
            </w:pPr>
            <w:bookmarkStart w:id="3196" w:name="TAB11642"/>
            <w:bookmarkEnd w:id="3196"/>
            <w:r>
              <w:rPr>
                <w:rFonts w:ascii="times new roman" w:hAnsi="times new roman"/>
                <w:sz w:val="20"/>
              </w:rPr>
              <w:t>1,369</w:t>
            </w:r>
          </w:p>
        </w:tc>
        <w:tc>
          <w:tcPr>
            <w:tcW w:w="131" w:type="dxa"/>
            <w:tcBorders/>
            <w:shd w:fill="FFFFFF" w:val="clear"/>
            <w:vAlign w:val="bottom"/>
          </w:tcPr>
          <w:p>
            <w:pPr>
              <w:pStyle w:val="TableContents"/>
              <w:spacing w:before="0" w:after="283"/>
              <w:jc w:val="left"/>
              <w:rPr/>
            </w:pPr>
            <w:r>
              <w:rPr/>
              <w:t> </w:t>
            </w:r>
          </w:p>
        </w:tc>
      </w:tr>
      <w:tr>
        <w:trPr/>
        <w:tc>
          <w:tcPr>
            <w:tcW w:w="5541"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Marketing and advertising</w:t>
            </w:r>
          </w:p>
        </w:tc>
        <w:tc>
          <w:tcPr>
            <w:tcW w:w="113" w:type="dxa"/>
            <w:tcBorders/>
            <w:shd w:fill="CCEEFF" w:val="clear"/>
            <w:vAlign w:val="bottom"/>
          </w:tcPr>
          <w:p>
            <w:pPr>
              <w:pStyle w:val="TableContents"/>
              <w:spacing w:before="0" w:after="283"/>
              <w:jc w:val="left"/>
              <w:rPr/>
            </w:pPr>
            <w:r>
              <w:rPr/>
              <w:t> </w:t>
            </w:r>
          </w:p>
        </w:tc>
        <w:tc>
          <w:tcPr>
            <w:tcW w:w="204"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ind w:left="813" w:right="0" w:hanging="0"/>
              <w:jc w:val="right"/>
              <w:rPr>
                <w:rFonts w:ascii="times new roman" w:hAnsi="times new roman"/>
                <w:sz w:val="20"/>
              </w:rPr>
            </w:pPr>
            <w:bookmarkStart w:id="3197" w:name="TAB11643"/>
            <w:bookmarkEnd w:id="3197"/>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shd w:fill="CCEEFF" w:val="clear"/>
            <w:vAlign w:val="bottom"/>
          </w:tcPr>
          <w:p>
            <w:pPr>
              <w:pStyle w:val="TableContents"/>
              <w:spacing w:before="0" w:after="283"/>
              <w:jc w:val="left"/>
              <w:rPr/>
            </w:pPr>
            <w:r>
              <w:rPr/>
              <w:t> </w:t>
            </w:r>
          </w:p>
        </w:tc>
        <w:tc>
          <w:tcPr>
            <w:tcW w:w="1144" w:type="dxa"/>
            <w:tcBorders/>
            <w:shd w:fill="CCEEFF" w:val="clear"/>
            <w:vAlign w:val="bottom"/>
          </w:tcPr>
          <w:p>
            <w:pPr>
              <w:pStyle w:val="TableContents"/>
              <w:spacing w:before="0" w:after="283"/>
              <w:ind w:left="857" w:right="0" w:hanging="0"/>
              <w:jc w:val="right"/>
              <w:rPr>
                <w:rFonts w:ascii="times new roman" w:hAnsi="times new roman"/>
                <w:sz w:val="20"/>
              </w:rPr>
            </w:pPr>
            <w:bookmarkStart w:id="3198" w:name="TAB11644"/>
            <w:bookmarkEnd w:id="3198"/>
            <w:r>
              <w:rPr>
                <w:rFonts w:ascii="times new roman" w:hAnsi="times new roman"/>
                <w:sz w:val="20"/>
              </w:rPr>
              <w:t>1</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ind w:left="591" w:right="0" w:hanging="0"/>
              <w:jc w:val="right"/>
              <w:rPr>
                <w:rFonts w:ascii="times new roman" w:hAnsi="times new roman"/>
                <w:sz w:val="20"/>
              </w:rPr>
            </w:pPr>
            <w:bookmarkStart w:id="3199" w:name="TAB11645"/>
            <w:bookmarkEnd w:id="3199"/>
            <w:r>
              <w:rPr>
                <w:rFonts w:ascii="times new roman" w:hAnsi="times new roman"/>
                <w:sz w:val="20"/>
              </w:rPr>
              <w:t>184</w:t>
            </w:r>
          </w:p>
        </w:tc>
        <w:tc>
          <w:tcPr>
            <w:tcW w:w="131" w:type="dxa"/>
            <w:tcBorders/>
            <w:shd w:fill="CCEEFF" w:val="clear"/>
            <w:vAlign w:val="bottom"/>
          </w:tcPr>
          <w:p>
            <w:pPr>
              <w:pStyle w:val="TableContents"/>
              <w:spacing w:before="0" w:after="283"/>
              <w:jc w:val="left"/>
              <w:rPr/>
            </w:pPr>
            <w:r>
              <w:rPr/>
              <w:t> </w:t>
            </w:r>
          </w:p>
        </w:tc>
      </w:tr>
      <w:tr>
        <w:trPr/>
        <w:tc>
          <w:tcPr>
            <w:tcW w:w="5541"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Sponsor common charges</w:t>
            </w:r>
          </w:p>
        </w:tc>
        <w:tc>
          <w:tcPr>
            <w:tcW w:w="113" w:type="dxa"/>
            <w:tcBorders/>
            <w:shd w:fill="FFFFFF" w:val="clear"/>
            <w:vAlign w:val="bottom"/>
          </w:tcPr>
          <w:p>
            <w:pPr>
              <w:pStyle w:val="TableContents"/>
              <w:spacing w:before="0" w:after="283"/>
              <w:jc w:val="left"/>
              <w:rPr/>
            </w:pPr>
            <w:r>
              <w:rPr/>
              <w:t> </w:t>
            </w:r>
          </w:p>
        </w:tc>
        <w:tc>
          <w:tcPr>
            <w:tcW w:w="204"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ind w:left="813" w:right="0" w:hanging="0"/>
              <w:jc w:val="right"/>
              <w:rPr>
                <w:rFonts w:ascii="times new roman" w:hAnsi="times new roman"/>
                <w:sz w:val="20"/>
              </w:rPr>
            </w:pPr>
            <w:bookmarkStart w:id="3200" w:name="TAB11646"/>
            <w:bookmarkEnd w:id="3200"/>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ind w:left="724" w:right="0" w:hanging="0"/>
              <w:jc w:val="right"/>
              <w:rPr>
                <w:rFonts w:ascii="times new roman" w:hAnsi="times new roman"/>
                <w:sz w:val="20"/>
              </w:rPr>
            </w:pPr>
            <w:bookmarkStart w:id="3201" w:name="TAB11647"/>
            <w:bookmarkEnd w:id="3201"/>
            <w:r>
              <w:rPr>
                <w:rFonts w:ascii="times new roman" w:hAnsi="times new roman"/>
                <w:sz w:val="20"/>
              </w:rPr>
              <w:t>10</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ind w:left="724" w:right="0" w:hanging="0"/>
              <w:jc w:val="right"/>
              <w:rPr>
                <w:rFonts w:ascii="times new roman" w:hAnsi="times new roman"/>
                <w:sz w:val="20"/>
              </w:rPr>
            </w:pPr>
            <w:bookmarkStart w:id="3202" w:name="TAB11648"/>
            <w:bookmarkEnd w:id="3202"/>
            <w:r>
              <w:rPr>
                <w:rFonts w:ascii="times new roman" w:hAnsi="times new roman"/>
                <w:sz w:val="20"/>
              </w:rPr>
              <w:t>70</w:t>
            </w:r>
          </w:p>
        </w:tc>
        <w:tc>
          <w:tcPr>
            <w:tcW w:w="131" w:type="dxa"/>
            <w:tcBorders/>
            <w:shd w:fill="FFFFFF" w:val="clear"/>
            <w:vAlign w:val="bottom"/>
          </w:tcPr>
          <w:p>
            <w:pPr>
              <w:pStyle w:val="TableContents"/>
              <w:spacing w:before="0" w:after="283"/>
              <w:jc w:val="left"/>
              <w:rPr/>
            </w:pPr>
            <w:r>
              <w:rPr/>
              <w:t> </w:t>
            </w:r>
          </w:p>
        </w:tc>
      </w:tr>
      <w:tr>
        <w:trPr/>
        <w:tc>
          <w:tcPr>
            <w:tcW w:w="5541"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Utilities</w:t>
            </w:r>
          </w:p>
        </w:tc>
        <w:tc>
          <w:tcPr>
            <w:tcW w:w="113" w:type="dxa"/>
            <w:tcBorders/>
            <w:shd w:fill="CCEEFF" w:val="clear"/>
            <w:vAlign w:val="bottom"/>
          </w:tcPr>
          <w:p>
            <w:pPr>
              <w:pStyle w:val="TableContents"/>
              <w:spacing w:before="0" w:after="283"/>
              <w:jc w:val="left"/>
              <w:rPr/>
            </w:pPr>
            <w:r>
              <w:rPr/>
              <w:t> </w:t>
            </w:r>
          </w:p>
        </w:tc>
        <w:tc>
          <w:tcPr>
            <w:tcW w:w="204"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ind w:left="813" w:right="0" w:hanging="0"/>
              <w:jc w:val="right"/>
              <w:rPr>
                <w:rFonts w:ascii="times new roman" w:hAnsi="times new roman"/>
                <w:sz w:val="20"/>
              </w:rPr>
            </w:pPr>
            <w:bookmarkStart w:id="3203" w:name="TAB11649"/>
            <w:bookmarkEnd w:id="3203"/>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shd w:fill="CCEEFF" w:val="clear"/>
            <w:vAlign w:val="bottom"/>
          </w:tcPr>
          <w:p>
            <w:pPr>
              <w:pStyle w:val="TableContents"/>
              <w:spacing w:before="0" w:after="283"/>
              <w:jc w:val="left"/>
              <w:rPr/>
            </w:pPr>
            <w:r>
              <w:rPr/>
              <w:t> </w:t>
            </w:r>
          </w:p>
        </w:tc>
        <w:tc>
          <w:tcPr>
            <w:tcW w:w="1144" w:type="dxa"/>
            <w:tcBorders/>
            <w:shd w:fill="CCEEFF" w:val="clear"/>
            <w:vAlign w:val="bottom"/>
          </w:tcPr>
          <w:p>
            <w:pPr>
              <w:pStyle w:val="TableContents"/>
              <w:spacing w:before="0" w:after="283"/>
              <w:ind w:left="813" w:right="0" w:hanging="0"/>
              <w:jc w:val="right"/>
              <w:rPr>
                <w:rFonts w:ascii="times new roman" w:hAnsi="times new roman"/>
                <w:sz w:val="20"/>
              </w:rPr>
            </w:pPr>
            <w:bookmarkStart w:id="3204" w:name="TAB11650"/>
            <w:bookmarkEnd w:id="3204"/>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ind w:left="857" w:right="0" w:hanging="0"/>
              <w:jc w:val="right"/>
              <w:rPr>
                <w:rFonts w:ascii="times new roman" w:hAnsi="times new roman"/>
                <w:sz w:val="20"/>
              </w:rPr>
            </w:pPr>
            <w:bookmarkStart w:id="3205" w:name="TAB11651"/>
            <w:bookmarkEnd w:id="3205"/>
            <w:r>
              <w:rPr>
                <w:rFonts w:ascii="times new roman" w:hAnsi="times new roman"/>
                <w:sz w:val="20"/>
              </w:rPr>
              <w:t>9</w:t>
            </w:r>
          </w:p>
        </w:tc>
        <w:tc>
          <w:tcPr>
            <w:tcW w:w="131" w:type="dxa"/>
            <w:tcBorders/>
            <w:shd w:fill="CCEEFF" w:val="clear"/>
            <w:vAlign w:val="bottom"/>
          </w:tcPr>
          <w:p>
            <w:pPr>
              <w:pStyle w:val="TableContents"/>
              <w:spacing w:before="0" w:after="283"/>
              <w:jc w:val="left"/>
              <w:rPr/>
            </w:pPr>
            <w:r>
              <w:rPr/>
              <w:t> </w:t>
            </w:r>
          </w:p>
        </w:tc>
      </w:tr>
      <w:tr>
        <w:trPr/>
        <w:tc>
          <w:tcPr>
            <w:tcW w:w="5541"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Depreciation</w:t>
            </w:r>
          </w:p>
        </w:tc>
        <w:tc>
          <w:tcPr>
            <w:tcW w:w="113" w:type="dxa"/>
            <w:tcBorders/>
            <w:shd w:fill="FFFFFF" w:val="clear"/>
            <w:vAlign w:val="bottom"/>
          </w:tcPr>
          <w:p>
            <w:pPr>
              <w:pStyle w:val="TableContents"/>
              <w:spacing w:before="0" w:after="283"/>
              <w:jc w:val="left"/>
              <w:rPr/>
            </w:pPr>
            <w:r>
              <w:rPr/>
              <w:t> </w:t>
            </w:r>
          </w:p>
        </w:tc>
        <w:tc>
          <w:tcPr>
            <w:tcW w:w="204"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ind w:left="724" w:right="0" w:hanging="0"/>
              <w:jc w:val="right"/>
              <w:rPr>
                <w:rFonts w:ascii="times new roman" w:hAnsi="times new roman"/>
                <w:sz w:val="20"/>
              </w:rPr>
            </w:pPr>
            <w:bookmarkStart w:id="3206" w:name="TAB11652"/>
            <w:bookmarkEnd w:id="3206"/>
            <w:r>
              <w:rPr>
                <w:rFonts w:ascii="times new roman" w:hAnsi="times new roman"/>
                <w:sz w:val="20"/>
              </w:rPr>
              <w:t>16</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ind w:left="724" w:right="0" w:hanging="0"/>
              <w:jc w:val="right"/>
              <w:rPr>
                <w:rFonts w:ascii="times new roman" w:hAnsi="times new roman"/>
                <w:sz w:val="20"/>
              </w:rPr>
            </w:pPr>
            <w:bookmarkStart w:id="3207" w:name="TAB11653"/>
            <w:bookmarkEnd w:id="3207"/>
            <w:r>
              <w:rPr>
                <w:rFonts w:ascii="times new roman" w:hAnsi="times new roman"/>
                <w:sz w:val="20"/>
              </w:rPr>
              <w:t>33</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ind w:left="724" w:right="0" w:hanging="0"/>
              <w:jc w:val="right"/>
              <w:rPr>
                <w:rFonts w:ascii="times new roman" w:hAnsi="times new roman"/>
                <w:sz w:val="20"/>
              </w:rPr>
            </w:pPr>
            <w:bookmarkStart w:id="3208" w:name="TAB11654"/>
            <w:bookmarkEnd w:id="3208"/>
            <w:r>
              <w:rPr>
                <w:rFonts w:ascii="times new roman" w:hAnsi="times new roman"/>
                <w:sz w:val="20"/>
              </w:rPr>
              <w:t>21</w:t>
            </w:r>
          </w:p>
        </w:tc>
        <w:tc>
          <w:tcPr>
            <w:tcW w:w="131" w:type="dxa"/>
            <w:tcBorders/>
            <w:shd w:fill="FFFFFF" w:val="clear"/>
            <w:vAlign w:val="bottom"/>
          </w:tcPr>
          <w:p>
            <w:pPr>
              <w:pStyle w:val="TableContents"/>
              <w:spacing w:before="0" w:after="283"/>
              <w:jc w:val="left"/>
              <w:rPr/>
            </w:pPr>
            <w:r>
              <w:rPr/>
              <w:t> </w:t>
            </w:r>
          </w:p>
        </w:tc>
      </w:tr>
      <w:tr>
        <w:trPr/>
        <w:tc>
          <w:tcPr>
            <w:tcW w:w="5541"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Amortization</w:t>
            </w:r>
          </w:p>
        </w:tc>
        <w:tc>
          <w:tcPr>
            <w:tcW w:w="113" w:type="dxa"/>
            <w:tcBorders/>
            <w:shd w:fill="CCEEFF" w:val="clear"/>
            <w:vAlign w:val="bottom"/>
          </w:tcPr>
          <w:p>
            <w:pPr>
              <w:pStyle w:val="TableContents"/>
              <w:spacing w:before="0" w:after="283"/>
              <w:jc w:val="left"/>
              <w:rPr/>
            </w:pPr>
            <w:r>
              <w:rPr/>
              <w:t> </w:t>
            </w:r>
          </w:p>
        </w:tc>
        <w:tc>
          <w:tcPr>
            <w:tcW w:w="204"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ind w:left="857" w:right="0" w:hanging="0"/>
              <w:jc w:val="right"/>
              <w:rPr>
                <w:rFonts w:ascii="times new roman" w:hAnsi="times new roman"/>
                <w:sz w:val="20"/>
              </w:rPr>
            </w:pPr>
            <w:bookmarkStart w:id="3209" w:name="TAB11655"/>
            <w:bookmarkEnd w:id="3209"/>
            <w:r>
              <w:rPr>
                <w:rFonts w:ascii="times new roman" w:hAnsi="times new roman"/>
                <w:sz w:val="20"/>
              </w:rPr>
              <w:t>2</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shd w:fill="CCEEFF" w:val="clear"/>
            <w:vAlign w:val="bottom"/>
          </w:tcPr>
          <w:p>
            <w:pPr>
              <w:pStyle w:val="TableContents"/>
              <w:spacing w:before="0" w:after="283"/>
              <w:jc w:val="left"/>
              <w:rPr/>
            </w:pPr>
            <w:r>
              <w:rPr/>
              <w:t> </w:t>
            </w:r>
          </w:p>
        </w:tc>
        <w:tc>
          <w:tcPr>
            <w:tcW w:w="1144" w:type="dxa"/>
            <w:tcBorders/>
            <w:shd w:fill="CCEEFF" w:val="clear"/>
            <w:vAlign w:val="bottom"/>
          </w:tcPr>
          <w:p>
            <w:pPr>
              <w:pStyle w:val="TableContents"/>
              <w:spacing w:before="0" w:after="283"/>
              <w:ind w:left="724" w:right="0" w:hanging="0"/>
              <w:jc w:val="right"/>
              <w:rPr>
                <w:rFonts w:ascii="times new roman" w:hAnsi="times new roman"/>
                <w:sz w:val="20"/>
              </w:rPr>
            </w:pPr>
            <w:bookmarkStart w:id="3210" w:name="TAB11656"/>
            <w:bookmarkEnd w:id="3210"/>
            <w:r>
              <w:rPr>
                <w:rFonts w:ascii="times new roman" w:hAnsi="times new roman"/>
                <w:sz w:val="20"/>
              </w:rPr>
              <w:t>14</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ind w:left="813" w:right="0" w:hanging="0"/>
              <w:jc w:val="right"/>
              <w:rPr>
                <w:rFonts w:ascii="times new roman" w:hAnsi="times new roman"/>
                <w:sz w:val="20"/>
              </w:rPr>
            </w:pPr>
            <w:bookmarkStart w:id="3211" w:name="TAB11657"/>
            <w:bookmarkEnd w:id="3211"/>
            <w:r>
              <w:rPr>
                <w:rFonts w:ascii="times new roman" w:hAnsi="times new roman"/>
                <w:sz w:val="20"/>
              </w:rPr>
              <w:t>--</w:t>
            </w:r>
          </w:p>
        </w:tc>
        <w:tc>
          <w:tcPr>
            <w:tcW w:w="131" w:type="dxa"/>
            <w:tcBorders/>
            <w:shd w:fill="CCEEFF" w:val="clear"/>
            <w:vAlign w:val="bottom"/>
          </w:tcPr>
          <w:p>
            <w:pPr>
              <w:pStyle w:val="TableContents"/>
              <w:spacing w:before="0" w:after="283"/>
              <w:jc w:val="left"/>
              <w:rPr/>
            </w:pPr>
            <w:r>
              <w:rPr/>
              <w:t> </w:t>
            </w:r>
          </w:p>
        </w:tc>
      </w:tr>
      <w:tr>
        <w:trPr/>
        <w:tc>
          <w:tcPr>
            <w:tcW w:w="5541"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New York state filing fees</w:t>
            </w:r>
          </w:p>
        </w:tc>
        <w:tc>
          <w:tcPr>
            <w:tcW w:w="113" w:type="dxa"/>
            <w:tcBorders/>
            <w:shd w:fill="FFFFFF" w:val="clear"/>
            <w:vAlign w:val="bottom"/>
          </w:tcPr>
          <w:p>
            <w:pPr>
              <w:pStyle w:val="TableContents"/>
              <w:spacing w:before="0" w:after="283"/>
              <w:jc w:val="left"/>
              <w:rPr/>
            </w:pPr>
            <w:r>
              <w:rPr/>
              <w:t> </w:t>
            </w:r>
          </w:p>
        </w:tc>
        <w:tc>
          <w:tcPr>
            <w:tcW w:w="204"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ind w:left="857" w:right="0" w:hanging="0"/>
              <w:jc w:val="right"/>
              <w:rPr>
                <w:rFonts w:ascii="times new roman" w:hAnsi="times new roman"/>
                <w:sz w:val="20"/>
              </w:rPr>
            </w:pPr>
            <w:bookmarkStart w:id="3212" w:name="TAB11658"/>
            <w:bookmarkEnd w:id="3212"/>
            <w:r>
              <w:rPr>
                <w:rFonts w:ascii="times new roman" w:hAnsi="times new roman"/>
                <w:sz w:val="20"/>
              </w:rPr>
              <w:t>5</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ind w:left="857" w:right="0" w:hanging="0"/>
              <w:jc w:val="right"/>
              <w:rPr>
                <w:rFonts w:ascii="times new roman" w:hAnsi="times new roman"/>
                <w:sz w:val="20"/>
              </w:rPr>
            </w:pPr>
            <w:bookmarkStart w:id="3213" w:name="TAB11659"/>
            <w:bookmarkEnd w:id="3213"/>
            <w:r>
              <w:rPr>
                <w:rFonts w:ascii="times new roman" w:hAnsi="times new roman"/>
                <w:sz w:val="20"/>
              </w:rPr>
              <w:t>1</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ind w:left="813" w:right="0" w:hanging="0"/>
              <w:jc w:val="right"/>
              <w:rPr>
                <w:rFonts w:ascii="times new roman" w:hAnsi="times new roman"/>
                <w:sz w:val="20"/>
              </w:rPr>
            </w:pPr>
            <w:bookmarkStart w:id="3214" w:name="TAB11660"/>
            <w:bookmarkEnd w:id="3214"/>
            <w:r>
              <w:rPr>
                <w:rFonts w:ascii="times new roman" w:hAnsi="times new roman"/>
                <w:sz w:val="20"/>
              </w:rPr>
              <w:t>--</w:t>
            </w:r>
          </w:p>
        </w:tc>
        <w:tc>
          <w:tcPr>
            <w:tcW w:w="131" w:type="dxa"/>
            <w:tcBorders/>
            <w:shd w:fill="FFFFFF" w:val="clear"/>
            <w:vAlign w:val="bottom"/>
          </w:tcPr>
          <w:p>
            <w:pPr>
              <w:pStyle w:val="TableContents"/>
              <w:spacing w:before="0" w:after="283"/>
              <w:jc w:val="left"/>
              <w:rPr/>
            </w:pPr>
            <w:r>
              <w:rPr/>
              <w:t> </w:t>
            </w:r>
          </w:p>
        </w:tc>
      </w:tr>
      <w:tr>
        <w:trPr/>
        <w:tc>
          <w:tcPr>
            <w:tcW w:w="5541"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Miscellaneous</w:t>
            </w:r>
          </w:p>
        </w:tc>
        <w:tc>
          <w:tcPr>
            <w:tcW w:w="113" w:type="dxa"/>
            <w:tcBorders/>
            <w:shd w:fill="CCEEFF" w:val="clear"/>
            <w:vAlign w:val="bottom"/>
          </w:tcPr>
          <w:p>
            <w:pPr>
              <w:pStyle w:val="TableContents"/>
              <w:spacing w:before="0" w:after="283"/>
              <w:jc w:val="left"/>
              <w:rPr/>
            </w:pPr>
            <w:r>
              <w:rPr/>
              <w:t> </w:t>
            </w:r>
          </w:p>
        </w:tc>
        <w:tc>
          <w:tcPr>
            <w:tcW w:w="204"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ind w:left="857" w:right="0" w:hanging="0"/>
              <w:jc w:val="right"/>
              <w:rPr>
                <w:rFonts w:ascii="times new roman" w:hAnsi="times new roman"/>
                <w:sz w:val="20"/>
              </w:rPr>
            </w:pPr>
            <w:bookmarkStart w:id="3215" w:name="TAB11661"/>
            <w:bookmarkEnd w:id="3215"/>
            <w:r>
              <w:rPr>
                <w:rFonts w:ascii="times new roman" w:hAnsi="times new roman"/>
                <w:sz w:val="20"/>
              </w:rPr>
              <w:t>8</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shd w:fill="CCEEFF" w:val="clear"/>
            <w:vAlign w:val="bottom"/>
          </w:tcPr>
          <w:p>
            <w:pPr>
              <w:pStyle w:val="TableContents"/>
              <w:spacing w:before="0" w:after="283"/>
              <w:jc w:val="left"/>
              <w:rPr/>
            </w:pPr>
            <w:r>
              <w:rPr/>
              <w:t> </w:t>
            </w:r>
          </w:p>
        </w:tc>
        <w:tc>
          <w:tcPr>
            <w:tcW w:w="1144" w:type="dxa"/>
            <w:tcBorders/>
            <w:shd w:fill="CCEEFF" w:val="clear"/>
            <w:vAlign w:val="bottom"/>
          </w:tcPr>
          <w:p>
            <w:pPr>
              <w:pStyle w:val="TableContents"/>
              <w:spacing w:before="0" w:after="283"/>
              <w:ind w:left="813" w:right="0" w:hanging="0"/>
              <w:jc w:val="right"/>
              <w:rPr>
                <w:rFonts w:ascii="times new roman" w:hAnsi="times new roman"/>
                <w:sz w:val="20"/>
              </w:rPr>
            </w:pPr>
            <w:bookmarkStart w:id="3216" w:name="TAB11662"/>
            <w:bookmarkEnd w:id="3216"/>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ind w:left="724" w:right="0" w:hanging="0"/>
              <w:jc w:val="right"/>
              <w:rPr>
                <w:rFonts w:ascii="times new roman" w:hAnsi="times new roman"/>
                <w:sz w:val="20"/>
              </w:rPr>
            </w:pPr>
            <w:bookmarkStart w:id="3217" w:name="TAB11663"/>
            <w:bookmarkEnd w:id="3217"/>
            <w:r>
              <w:rPr>
                <w:rFonts w:ascii="times new roman" w:hAnsi="times new roman"/>
                <w:sz w:val="20"/>
              </w:rPr>
              <w:t>46</w:t>
            </w:r>
          </w:p>
        </w:tc>
        <w:tc>
          <w:tcPr>
            <w:tcW w:w="131" w:type="dxa"/>
            <w:tcBorders/>
            <w:shd w:fill="CCEEFF" w:val="clear"/>
            <w:vAlign w:val="bottom"/>
          </w:tcPr>
          <w:p>
            <w:pPr>
              <w:pStyle w:val="TableContents"/>
              <w:spacing w:before="0" w:after="283"/>
              <w:jc w:val="left"/>
              <w:rPr/>
            </w:pPr>
            <w:r>
              <w:rPr/>
              <w:t> </w:t>
            </w:r>
          </w:p>
        </w:tc>
      </w:tr>
      <w:tr>
        <w:trPr/>
        <w:tc>
          <w:tcPr>
            <w:tcW w:w="5541" w:type="dxa"/>
            <w:tcBorders/>
            <w:shd w:fill="FFFF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Professional fees</w:t>
            </w:r>
          </w:p>
        </w:tc>
        <w:tc>
          <w:tcPr>
            <w:tcW w:w="113" w:type="dxa"/>
            <w:tcBorders/>
            <w:shd w:fill="FFFFFF" w:val="clear"/>
            <w:vAlign w:val="bottom"/>
          </w:tcPr>
          <w:p>
            <w:pPr>
              <w:pStyle w:val="TableContents"/>
              <w:spacing w:before="0" w:after="283"/>
              <w:jc w:val="left"/>
              <w:rPr/>
            </w:pPr>
            <w:r>
              <w:rPr/>
              <w:t> </w:t>
            </w:r>
          </w:p>
        </w:tc>
        <w:tc>
          <w:tcPr>
            <w:tcW w:w="204"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ind w:left="591" w:right="0" w:hanging="0"/>
              <w:jc w:val="right"/>
              <w:rPr>
                <w:rFonts w:ascii="times new roman" w:hAnsi="times new roman"/>
                <w:sz w:val="20"/>
              </w:rPr>
            </w:pPr>
            <w:bookmarkStart w:id="3218" w:name="TAB11664"/>
            <w:bookmarkEnd w:id="3218"/>
            <w:r>
              <w:rPr>
                <w:rFonts w:ascii="times new roman" w:hAnsi="times new roman"/>
                <w:sz w:val="20"/>
              </w:rPr>
              <w:t>133</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ind w:left="591" w:right="0" w:hanging="0"/>
              <w:jc w:val="right"/>
              <w:rPr>
                <w:rFonts w:ascii="times new roman" w:hAnsi="times new roman"/>
                <w:sz w:val="20"/>
              </w:rPr>
            </w:pPr>
            <w:bookmarkStart w:id="3219" w:name="TAB11665"/>
            <w:bookmarkEnd w:id="3219"/>
            <w:r>
              <w:rPr>
                <w:rFonts w:ascii="times new roman" w:hAnsi="times new roman"/>
                <w:sz w:val="20"/>
              </w:rPr>
              <w:t>133</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ind w:left="813" w:right="0" w:hanging="0"/>
              <w:jc w:val="right"/>
              <w:rPr>
                <w:rFonts w:ascii="times new roman" w:hAnsi="times new roman"/>
                <w:sz w:val="20"/>
              </w:rPr>
            </w:pPr>
            <w:bookmarkStart w:id="3220" w:name="TAB11666"/>
            <w:bookmarkEnd w:id="3220"/>
            <w:r>
              <w:rPr>
                <w:rFonts w:ascii="times new roman" w:hAnsi="times new roman"/>
                <w:sz w:val="20"/>
              </w:rPr>
              <w:t>--</w:t>
            </w:r>
          </w:p>
        </w:tc>
        <w:tc>
          <w:tcPr>
            <w:tcW w:w="131" w:type="dxa"/>
            <w:tcBorders/>
            <w:shd w:fill="FFFFFF" w:val="clear"/>
            <w:vAlign w:val="bottom"/>
          </w:tcPr>
          <w:p>
            <w:pPr>
              <w:pStyle w:val="TableContents"/>
              <w:spacing w:before="0" w:after="283"/>
              <w:jc w:val="left"/>
              <w:rPr/>
            </w:pPr>
            <w:r>
              <w:rPr/>
              <w:t> </w:t>
            </w:r>
          </w:p>
        </w:tc>
      </w:tr>
      <w:tr>
        <w:trPr/>
        <w:tc>
          <w:tcPr>
            <w:tcW w:w="5541"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Real estate taxes</w:t>
            </w:r>
          </w:p>
        </w:tc>
        <w:tc>
          <w:tcPr>
            <w:tcW w:w="113" w:type="dxa"/>
            <w:tcBorders/>
            <w:shd w:fill="CCEEFF" w:val="clear"/>
            <w:vAlign w:val="bottom"/>
          </w:tcPr>
          <w:p>
            <w:pPr>
              <w:pStyle w:val="TableContents"/>
              <w:spacing w:before="0" w:after="283"/>
              <w:jc w:val="left"/>
              <w:rPr/>
            </w:pPr>
            <w:r>
              <w:rPr/>
              <w:t> </w:t>
            </w:r>
          </w:p>
        </w:tc>
        <w:tc>
          <w:tcPr>
            <w:tcW w:w="204" w:type="dxa"/>
            <w:tcBorders/>
            <w:shd w:fill="CCEEFF" w:val="clear"/>
            <w:vAlign w:val="bottom"/>
          </w:tcPr>
          <w:p>
            <w:pPr>
              <w:pStyle w:val="TableContents"/>
              <w:spacing w:before="0" w:after="283"/>
              <w:jc w:val="left"/>
              <w:rPr/>
            </w:pPr>
            <w:r>
              <w:rPr/>
              <w:t> </w:t>
            </w:r>
          </w:p>
        </w:tc>
        <w:tc>
          <w:tcPr>
            <w:tcW w:w="1168" w:type="dxa"/>
            <w:tcBorders/>
            <w:shd w:fill="CCEEFF" w:val="clear"/>
            <w:vAlign w:val="bottom"/>
          </w:tcPr>
          <w:p>
            <w:pPr>
              <w:pStyle w:val="TableContents"/>
              <w:spacing w:before="0" w:after="283"/>
              <w:ind w:left="857" w:right="0" w:hanging="0"/>
              <w:jc w:val="right"/>
              <w:rPr>
                <w:rFonts w:ascii="times new roman" w:hAnsi="times new roman"/>
                <w:sz w:val="20"/>
              </w:rPr>
            </w:pPr>
            <w:bookmarkStart w:id="3221" w:name="TAB11667"/>
            <w:bookmarkEnd w:id="3221"/>
            <w:r>
              <w:rPr>
                <w:rFonts w:ascii="times new roman" w:hAnsi="times new roman"/>
                <w:sz w:val="20"/>
              </w:rPr>
              <w:t>1</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shd w:fill="CCEEFF" w:val="clear"/>
            <w:vAlign w:val="bottom"/>
          </w:tcPr>
          <w:p>
            <w:pPr>
              <w:pStyle w:val="TableContents"/>
              <w:spacing w:before="0" w:after="283"/>
              <w:jc w:val="left"/>
              <w:rPr/>
            </w:pPr>
            <w:r>
              <w:rPr/>
              <w:t> </w:t>
            </w:r>
          </w:p>
        </w:tc>
        <w:tc>
          <w:tcPr>
            <w:tcW w:w="1144" w:type="dxa"/>
            <w:tcBorders/>
            <w:shd w:fill="CCEEFF" w:val="clear"/>
            <w:vAlign w:val="bottom"/>
          </w:tcPr>
          <w:p>
            <w:pPr>
              <w:pStyle w:val="TableContents"/>
              <w:spacing w:before="0" w:after="283"/>
              <w:ind w:left="857" w:right="0" w:hanging="0"/>
              <w:jc w:val="right"/>
              <w:rPr>
                <w:rFonts w:ascii="times new roman" w:hAnsi="times new roman"/>
                <w:sz w:val="20"/>
              </w:rPr>
            </w:pPr>
            <w:bookmarkStart w:id="3222" w:name="TAB11668"/>
            <w:bookmarkEnd w:id="3222"/>
            <w:r>
              <w:rPr>
                <w:rFonts w:ascii="times new roman" w:hAnsi="times new roman"/>
                <w:sz w:val="20"/>
              </w:rPr>
              <w:t>1</w:t>
            </w:r>
          </w:p>
        </w:tc>
        <w:tc>
          <w:tcPr>
            <w:tcW w:w="127"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57"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ind w:left="813" w:right="0" w:hanging="0"/>
              <w:jc w:val="right"/>
              <w:rPr>
                <w:rFonts w:ascii="times new roman" w:hAnsi="times new roman"/>
                <w:sz w:val="20"/>
              </w:rPr>
            </w:pPr>
            <w:bookmarkStart w:id="3223" w:name="TAB11669"/>
            <w:bookmarkEnd w:id="3223"/>
            <w:r>
              <w:rPr>
                <w:rFonts w:ascii="times new roman" w:hAnsi="times new roman"/>
                <w:sz w:val="20"/>
              </w:rPr>
              <w:t>--</w:t>
            </w:r>
          </w:p>
        </w:tc>
        <w:tc>
          <w:tcPr>
            <w:tcW w:w="131" w:type="dxa"/>
            <w:tcBorders/>
            <w:shd w:fill="CCEEFF" w:val="clear"/>
            <w:vAlign w:val="bottom"/>
          </w:tcPr>
          <w:p>
            <w:pPr>
              <w:pStyle w:val="TableContents"/>
              <w:spacing w:before="0" w:after="283"/>
              <w:jc w:val="left"/>
              <w:rPr/>
            </w:pPr>
            <w:r>
              <w:rPr/>
              <w:t> </w:t>
            </w:r>
          </w:p>
        </w:tc>
      </w:tr>
      <w:tr>
        <w:trPr/>
        <w:tc>
          <w:tcPr>
            <w:tcW w:w="5541" w:type="dxa"/>
            <w:tcBorders>
              <w:bottom w:val="single" w:sz="12" w:space="0" w:color="000000"/>
            </w:tcBorders>
            <w:shd w:fill="FFFFFF" w:val="clear"/>
            <w:tcMar>
              <w:bottom w:w="28"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New York City unincorporated business tax</w:t>
            </w:r>
          </w:p>
        </w:tc>
        <w:tc>
          <w:tcPr>
            <w:tcW w:w="113" w:type="dxa"/>
            <w:tcBorders/>
            <w:shd w:fill="FFFFFF" w:val="clear"/>
            <w:vAlign w:val="bottom"/>
          </w:tcPr>
          <w:p>
            <w:pPr>
              <w:pStyle w:val="TableContents"/>
              <w:spacing w:before="0" w:after="283"/>
              <w:jc w:val="left"/>
              <w:rPr/>
            </w:pPr>
            <w:r>
              <w:rPr/>
              <w:t> </w:t>
            </w:r>
          </w:p>
        </w:tc>
        <w:tc>
          <w:tcPr>
            <w:tcW w:w="2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8" w:type="dxa"/>
            <w:tcBorders>
              <w:bottom w:val="single" w:sz="12" w:space="0" w:color="000000"/>
            </w:tcBorders>
            <w:shd w:fill="FFFFFF" w:val="clear"/>
            <w:tcMar>
              <w:bottom w:w="28" w:type="dxa"/>
            </w:tcMar>
            <w:vAlign w:val="bottom"/>
          </w:tcPr>
          <w:p>
            <w:pPr>
              <w:pStyle w:val="TableContents"/>
              <w:spacing w:before="0" w:after="283"/>
              <w:ind w:left="724" w:right="0" w:hanging="0"/>
              <w:jc w:val="right"/>
              <w:rPr>
                <w:rFonts w:ascii="times new roman" w:hAnsi="times new roman"/>
                <w:sz w:val="20"/>
              </w:rPr>
            </w:pPr>
            <w:bookmarkStart w:id="3224" w:name="TAB11670"/>
            <w:bookmarkEnd w:id="3224"/>
            <w:r>
              <w:rPr>
                <w:rFonts w:ascii="times new roman" w:hAnsi="times new roman"/>
                <w:sz w:val="20"/>
              </w:rPr>
              <w:t>30</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bottom"/>
          </w:tcPr>
          <w:p>
            <w:pPr>
              <w:pStyle w:val="TableContents"/>
              <w:spacing w:before="0" w:after="283"/>
              <w:ind w:left="724" w:right="0" w:hanging="0"/>
              <w:jc w:val="right"/>
              <w:rPr>
                <w:rFonts w:ascii="times new roman" w:hAnsi="times new roman"/>
                <w:sz w:val="20"/>
              </w:rPr>
            </w:pPr>
            <w:bookmarkStart w:id="3225" w:name="TAB11671"/>
            <w:bookmarkEnd w:id="3225"/>
            <w:r>
              <w:rPr>
                <w:rFonts w:ascii="times new roman" w:hAnsi="times new roman"/>
                <w:sz w:val="20"/>
              </w:rPr>
              <w:t>46</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FFFFFF" w:val="clear"/>
            <w:tcMar>
              <w:bottom w:w="28" w:type="dxa"/>
            </w:tcMar>
            <w:vAlign w:val="bottom"/>
          </w:tcPr>
          <w:p>
            <w:pPr>
              <w:pStyle w:val="TableContents"/>
              <w:spacing w:before="0" w:after="283"/>
              <w:ind w:left="591" w:right="0" w:hanging="0"/>
              <w:jc w:val="right"/>
              <w:rPr>
                <w:rFonts w:ascii="times new roman" w:hAnsi="times new roman"/>
                <w:sz w:val="20"/>
              </w:rPr>
            </w:pPr>
            <w:bookmarkStart w:id="3226" w:name="TAB11672"/>
            <w:bookmarkEnd w:id="3226"/>
            <w:r>
              <w:rPr>
                <w:rFonts w:ascii="times new roman" w:hAnsi="times new roman"/>
                <w:sz w:val="20"/>
              </w:rPr>
              <w:t>182</w:t>
            </w:r>
          </w:p>
        </w:tc>
        <w:tc>
          <w:tcPr>
            <w:tcW w:w="131" w:type="dxa"/>
            <w:tcBorders/>
            <w:shd w:fill="FFFFFF" w:val="clear"/>
            <w:vAlign w:val="bottom"/>
          </w:tcPr>
          <w:p>
            <w:pPr>
              <w:pStyle w:val="TableContents"/>
              <w:spacing w:before="0" w:after="283"/>
              <w:jc w:val="left"/>
              <w:rPr/>
            </w:pPr>
            <w:r>
              <w:rPr/>
              <w:t> </w:t>
            </w:r>
          </w:p>
        </w:tc>
      </w:tr>
      <w:tr>
        <w:trPr/>
        <w:tc>
          <w:tcPr>
            <w:tcW w:w="5541" w:type="dxa"/>
            <w:tcBorders>
              <w:bottom w:val="single" w:sz="12" w:space="0" w:color="000000"/>
            </w:tcBorders>
            <w:shd w:fill="CCEEFF" w:val="clear"/>
            <w:tcMar>
              <w:bottom w:w="28" w:type="dxa"/>
            </w:tcMar>
            <w:vAlign w:val="bottom"/>
          </w:tcPr>
          <w:p>
            <w:pPr>
              <w:pStyle w:val="TableContents"/>
              <w:spacing w:before="0" w:after="0"/>
              <w:ind w:left="720" w:right="0" w:hanging="360"/>
              <w:jc w:val="left"/>
              <w:rPr>
                <w:rFonts w:ascii="times new roman" w:hAnsi="times new roman"/>
                <w:sz w:val="20"/>
              </w:rPr>
            </w:pPr>
            <w:bookmarkStart w:id="3227" w:name="TAB11673"/>
            <w:bookmarkEnd w:id="3227"/>
            <w:r>
              <w:rPr>
                <w:rFonts w:ascii="times new roman" w:hAnsi="times new roman"/>
                <w:sz w:val="20"/>
              </w:rPr>
              <w:t>Total expenses</w:t>
            </w:r>
          </w:p>
        </w:tc>
        <w:tc>
          <w:tcPr>
            <w:tcW w:w="113" w:type="dxa"/>
            <w:tcBorders/>
            <w:shd w:fill="CCEEFF" w:val="clear"/>
            <w:vAlign w:val="bottom"/>
          </w:tcPr>
          <w:p>
            <w:pPr>
              <w:pStyle w:val="TableContents"/>
              <w:spacing w:before="0" w:after="283"/>
              <w:jc w:val="left"/>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8" w:type="dxa"/>
            <w:tcBorders>
              <w:bottom w:val="single" w:sz="12" w:space="0" w:color="000000"/>
            </w:tcBorders>
            <w:shd w:fill="CCEEFF" w:val="clear"/>
            <w:tcMar>
              <w:bottom w:w="28" w:type="dxa"/>
            </w:tcMar>
            <w:vAlign w:val="bottom"/>
          </w:tcPr>
          <w:p>
            <w:pPr>
              <w:pStyle w:val="TableContents"/>
              <w:spacing w:before="0" w:after="283"/>
              <w:ind w:left="391" w:right="0" w:hanging="0"/>
              <w:jc w:val="right"/>
              <w:rPr>
                <w:rFonts w:ascii="times new roman" w:hAnsi="times new roman"/>
                <w:sz w:val="20"/>
              </w:rPr>
            </w:pPr>
            <w:bookmarkStart w:id="3228" w:name="TAB11674"/>
            <w:bookmarkEnd w:id="3228"/>
            <w:r>
              <w:rPr>
                <w:rFonts w:ascii="times new roman" w:hAnsi="times new roman"/>
                <w:sz w:val="20"/>
              </w:rPr>
              <w:t>3,440</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2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bottom"/>
          </w:tcPr>
          <w:p>
            <w:pPr>
              <w:pStyle w:val="TableContents"/>
              <w:spacing w:before="0" w:after="283"/>
              <w:ind w:left="413" w:right="0" w:hanging="0"/>
              <w:jc w:val="right"/>
              <w:rPr>
                <w:rFonts w:ascii="times new roman" w:hAnsi="times new roman"/>
                <w:sz w:val="20"/>
              </w:rPr>
            </w:pPr>
            <w:bookmarkStart w:id="3229" w:name="TAB11675"/>
            <w:bookmarkEnd w:id="3229"/>
            <w:r>
              <w:rPr>
                <w:rFonts w:ascii="times new roman" w:hAnsi="times new roman"/>
                <w:sz w:val="20"/>
              </w:rPr>
              <w:t>(105</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3" w:type="dxa"/>
            <w:tcBorders>
              <w:bottom w:val="single" w:sz="12" w:space="0" w:color="000000"/>
            </w:tcBorders>
            <w:shd w:fill="CCEEFF" w:val="clear"/>
            <w:tcMar>
              <w:bottom w:w="28" w:type="dxa"/>
            </w:tcMar>
            <w:vAlign w:val="bottom"/>
          </w:tcPr>
          <w:p>
            <w:pPr>
              <w:pStyle w:val="TableContents"/>
              <w:spacing w:before="0" w:after="283"/>
              <w:ind w:left="257" w:right="0" w:hanging="0"/>
              <w:jc w:val="right"/>
              <w:rPr>
                <w:rFonts w:ascii="times new roman" w:hAnsi="times new roman"/>
                <w:sz w:val="20"/>
              </w:rPr>
            </w:pPr>
            <w:bookmarkStart w:id="3230" w:name="TAB11676"/>
            <w:bookmarkEnd w:id="3230"/>
            <w:r>
              <w:rPr>
                <w:rFonts w:ascii="times new roman" w:hAnsi="times new roman"/>
                <w:sz w:val="20"/>
              </w:rPr>
              <w:t>18,868</w:t>
            </w:r>
          </w:p>
        </w:tc>
        <w:tc>
          <w:tcPr>
            <w:tcW w:w="131" w:type="dxa"/>
            <w:tcBorders/>
            <w:shd w:fill="CCEEFF" w:val="clear"/>
            <w:vAlign w:val="bottom"/>
          </w:tcPr>
          <w:p>
            <w:pPr>
              <w:pStyle w:val="TableContents"/>
              <w:spacing w:before="0" w:after="283"/>
              <w:jc w:val="left"/>
              <w:rPr/>
            </w:pPr>
            <w:r>
              <w:rPr/>
              <w:t> </w:t>
            </w:r>
          </w:p>
        </w:tc>
      </w:tr>
      <w:tr>
        <w:trPr/>
        <w:tc>
          <w:tcPr>
            <w:tcW w:w="5541"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13" w:type="dxa"/>
            <w:tcBorders/>
            <w:shd w:fill="FFFFFF" w:val="clear"/>
            <w:vAlign w:val="bottom"/>
          </w:tcPr>
          <w:p>
            <w:pPr>
              <w:pStyle w:val="TableContents"/>
              <w:spacing w:before="0" w:after="283"/>
              <w:jc w:val="left"/>
              <w:rPr/>
            </w:pPr>
            <w:r>
              <w:rPr/>
              <w:t> </w:t>
            </w:r>
          </w:p>
        </w:tc>
        <w:tc>
          <w:tcPr>
            <w:tcW w:w="20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8" w:type="dxa"/>
            <w:tcBorders>
              <w:bottom w:val="double" w:sz="8" w:space="0" w:color="000000"/>
            </w:tcBorders>
            <w:shd w:fill="FFFFFF" w:val="clear"/>
            <w:tcMar>
              <w:bottom w:w="28" w:type="dxa"/>
            </w:tcMar>
            <w:vAlign w:val="bottom"/>
          </w:tcPr>
          <w:p>
            <w:pPr>
              <w:pStyle w:val="TableContents"/>
              <w:spacing w:before="0" w:after="283"/>
              <w:ind w:left="198" w:right="0" w:hanging="0"/>
              <w:jc w:val="right"/>
              <w:rPr>
                <w:rFonts w:ascii="times new roman" w:hAnsi="times new roman"/>
                <w:sz w:val="20"/>
              </w:rPr>
            </w:pPr>
            <w:bookmarkStart w:id="3231" w:name="TAB11677"/>
            <w:bookmarkEnd w:id="3231"/>
            <w:r>
              <w:rPr>
                <w:rFonts w:ascii="times new roman" w:hAnsi="times new roman"/>
                <w:sz w:val="20"/>
              </w:rPr>
              <w:t>612</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22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FFFFFF" w:val="clear"/>
            <w:tcMar>
              <w:bottom w:w="28" w:type="dxa"/>
            </w:tcMar>
            <w:vAlign w:val="bottom"/>
          </w:tcPr>
          <w:p>
            <w:pPr>
              <w:pStyle w:val="TableContents"/>
              <w:spacing w:before="0" w:after="283"/>
              <w:ind w:left="198" w:right="0" w:hanging="0"/>
              <w:jc w:val="right"/>
              <w:rPr>
                <w:rFonts w:ascii="times new roman" w:hAnsi="times new roman"/>
                <w:sz w:val="20"/>
              </w:rPr>
            </w:pPr>
            <w:bookmarkStart w:id="3232" w:name="TAB11678"/>
            <w:bookmarkEnd w:id="3232"/>
            <w:r>
              <w:rPr>
                <w:rFonts w:ascii="times new roman" w:hAnsi="times new roman"/>
                <w:sz w:val="20"/>
              </w:rPr>
              <w:t>833</w:t>
            </w:r>
          </w:p>
        </w:tc>
        <w:tc>
          <w:tcPr>
            <w:tcW w:w="127"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5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bottom w:val="double" w:sz="8" w:space="0" w:color="000000"/>
            </w:tcBorders>
            <w:shd w:fill="FFFFFF" w:val="clear"/>
            <w:tcMar>
              <w:bottom w:w="28" w:type="dxa"/>
            </w:tcMar>
            <w:vAlign w:val="bottom"/>
          </w:tcPr>
          <w:p>
            <w:pPr>
              <w:pStyle w:val="TableContents"/>
              <w:spacing w:before="0" w:after="283"/>
              <w:ind w:left="198" w:right="0" w:hanging="0"/>
              <w:jc w:val="right"/>
              <w:rPr>
                <w:rFonts w:ascii="times new roman" w:hAnsi="times new roman"/>
                <w:sz w:val="20"/>
              </w:rPr>
            </w:pPr>
            <w:bookmarkStart w:id="3233" w:name="TAB11679"/>
            <w:bookmarkEnd w:id="3233"/>
            <w:r>
              <w:rPr>
                <w:rFonts w:ascii="times new roman" w:hAnsi="times new roman"/>
                <w:sz w:val="20"/>
              </w:rPr>
              <w:t>6,805</w:t>
            </w:r>
          </w:p>
        </w:tc>
        <w:tc>
          <w:tcPr>
            <w:tcW w:w="13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34" w:name="PGBRK115"/>
      <w:bookmarkStart w:id="3235" w:name="PGBRK115"/>
      <w:bookmarkEnd w:id="3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36" w:name="FTR115"/>
      <w:bookmarkStart w:id="3237" w:name="FTR115"/>
      <w:bookmarkEnd w:id="3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38" w:name="GLFTR115"/>
      <w:bookmarkEnd w:id="32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239" w:name="PN115"/>
      <w:bookmarkEnd w:id="3239"/>
      <w:r>
        <w:rPr>
          <w:rFonts w:eastAsia="Times New Roman" w:cs="Times New Roman" w:ascii="Times New Roman" w:hAnsi="Times New Roman"/>
          <w:sz w:val="20"/>
          <w:szCs w:val="20"/>
        </w:rPr>
        <w:t>-115-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240" w:name="HDR115"/>
      <w:bookmarkStart w:id="3241" w:name="HDR115"/>
      <w:bookmarkEnd w:id="3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242" w:name="GLHDR115"/>
        <w:bookmarkEnd w:id="324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rPr>
      </w:pPr>
      <w:r>
        <w:rPr>
          <w:rFonts w:ascii="Times New Roman" w:hAnsi="Times New Roman"/>
          <w:b/>
          <w:sz w:val="20"/>
        </w:rPr>
        <w:t>205-209 East 57th Street Associates, LLC</w:t>
      </w:r>
    </w:p>
    <w:p>
      <w:pPr>
        <w:pStyle w:val="TextBody"/>
        <w:spacing w:before="0" w:after="0"/>
        <w:ind w:left="0" w:right="0" w:hanging="0"/>
        <w:jc w:val="left"/>
        <w:rPr>
          <w:rFonts w:ascii="Times New Roman" w:hAnsi="Times New Roman"/>
          <w:b/>
          <w:sz w:val="20"/>
        </w:rPr>
      </w:pPr>
      <w:r>
        <w:rPr>
          <w:rFonts w:ascii="Times New Roman" w:hAnsi="Times New Roman"/>
          <w:b/>
          <w:sz w:val="20"/>
        </w:rPr>
        <w:t>Statements of Changes in Members’ Equity</w:t>
      </w:r>
    </w:p>
    <w:p>
      <w:pPr>
        <w:pStyle w:val="TextBody"/>
        <w:spacing w:before="0" w:after="0"/>
        <w:ind w:left="0" w:right="0" w:hanging="0"/>
        <w:jc w:val="left"/>
        <w:rPr>
          <w:rFonts w:ascii="Times New Roman" w:hAnsi="Times New Roman"/>
          <w:b/>
          <w:sz w:val="20"/>
        </w:rPr>
      </w:pPr>
      <w:r>
        <w:rPr>
          <w:rFonts w:ascii="Times New Roman" w:hAnsi="Times New Roman"/>
          <w:b/>
          <w:sz w:val="20"/>
        </w:rPr>
        <w:t>For the Three Years Ended December 31, 2009, 2008, and 2007</w:t>
      </w:r>
    </w:p>
    <w:p>
      <w:pPr>
        <w:pStyle w:val="TextBody"/>
        <w:spacing w:before="0" w:after="0"/>
        <w:ind w:left="0" w:right="0" w:hanging="0"/>
        <w:jc w:val="left"/>
        <w:rPr>
          <w:rFonts w:ascii="Times New Roman" w:hAnsi="Times New Roman"/>
          <w:b/>
          <w:sz w:val="20"/>
        </w:rPr>
      </w:pPr>
      <w:r>
        <w:rPr>
          <w:rFonts w:ascii="Times New Roman" w:hAnsi="Times New Roman"/>
          <w:b/>
          <w:sz w:val="20"/>
        </w:rPr>
        <w:t>(U.S. dollars in thousands)</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1620"/>
        <w:gridCol w:w="92"/>
        <w:gridCol w:w="148"/>
        <w:gridCol w:w="657"/>
        <w:gridCol w:w="106"/>
        <w:gridCol w:w="92"/>
        <w:gridCol w:w="148"/>
        <w:gridCol w:w="657"/>
        <w:gridCol w:w="106"/>
        <w:gridCol w:w="92"/>
        <w:gridCol w:w="172"/>
        <w:gridCol w:w="632"/>
        <w:gridCol w:w="106"/>
        <w:gridCol w:w="92"/>
        <w:gridCol w:w="148"/>
        <w:gridCol w:w="657"/>
        <w:gridCol w:w="106"/>
        <w:gridCol w:w="92"/>
        <w:gridCol w:w="144"/>
        <w:gridCol w:w="759"/>
        <w:gridCol w:w="106"/>
        <w:gridCol w:w="91"/>
        <w:gridCol w:w="154"/>
        <w:gridCol w:w="803"/>
        <w:gridCol w:w="106"/>
        <w:gridCol w:w="92"/>
        <w:gridCol w:w="151"/>
        <w:gridCol w:w="794"/>
        <w:gridCol w:w="106"/>
        <w:gridCol w:w="91"/>
        <w:gridCol w:w="138"/>
        <w:gridCol w:w="811"/>
        <w:gridCol w:w="136"/>
      </w:tblGrid>
      <w:tr>
        <w:trPr/>
        <w:tc>
          <w:tcPr>
            <w:tcW w:w="1620" w:type="dxa"/>
            <w:tcBorders>
              <w:top w:val="single" w:sz="4" w:space="0" w:color="000000"/>
              <w:bottom w:val="double" w:sz="8" w:space="0" w:color="000000"/>
            </w:tcBorders>
            <w:shd w:fill="auto" w:val="clear"/>
            <w:vAlign w:val="bottom"/>
          </w:tcPr>
          <w:p>
            <w:pPr>
              <w:pStyle w:val="TableContents"/>
              <w:spacing w:before="0" w:after="283"/>
              <w:rPr/>
            </w:pPr>
            <w:r>
              <w:rPr/>
              <w:t xml:space="preserve">  </w:t>
            </w:r>
          </w:p>
        </w:tc>
        <w:tc>
          <w:tcPr>
            <w:tcW w:w="92" w:type="dxa"/>
            <w:tcBorders>
              <w:top w:val="single" w:sz="4" w:space="0" w:color="000000"/>
            </w:tcBorders>
            <w:shd w:fill="auto" w:val="clear"/>
            <w:tcMar>
              <w:bottom w:w="0" w:type="dxa"/>
            </w:tcMar>
            <w:vAlign w:val="bottom"/>
          </w:tcPr>
          <w:p>
            <w:pPr>
              <w:pStyle w:val="TableContents"/>
              <w:spacing w:before="0" w:after="283"/>
              <w:rPr/>
            </w:pPr>
            <w:r>
              <w:rPr/>
              <w:t> </w:t>
            </w:r>
          </w:p>
        </w:tc>
        <w:tc>
          <w:tcPr>
            <w:tcW w:w="805" w:type="dxa"/>
            <w:gridSpan w:val="2"/>
            <w:tcBorders>
              <w:top w:val="single" w:sz="4"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PGA Clarett 1, LLC</w:t>
            </w:r>
          </w:p>
        </w:tc>
        <w:tc>
          <w:tcPr>
            <w:tcW w:w="106" w:type="dxa"/>
            <w:tcBorders>
              <w:top w:val="single" w:sz="4" w:space="0" w:color="000000"/>
            </w:tcBorders>
            <w:shd w:fill="auto" w:val="clear"/>
            <w:tcMar>
              <w:bottom w:w="0" w:type="dxa"/>
            </w:tcMar>
            <w:vAlign w:val="bottom"/>
          </w:tcPr>
          <w:p>
            <w:pPr>
              <w:pStyle w:val="TableContents"/>
              <w:spacing w:before="0" w:after="283"/>
              <w:jc w:val="left"/>
              <w:rPr/>
            </w:pPr>
            <w:r>
              <w:rPr/>
              <w:t> </w:t>
            </w:r>
          </w:p>
        </w:tc>
        <w:tc>
          <w:tcPr>
            <w:tcW w:w="92" w:type="dxa"/>
            <w:tcBorders>
              <w:top w:val="single" w:sz="4" w:space="0" w:color="000000"/>
            </w:tcBorders>
            <w:shd w:fill="auto" w:val="clear"/>
            <w:tcMar>
              <w:bottom w:w="0" w:type="dxa"/>
            </w:tcMar>
            <w:vAlign w:val="bottom"/>
          </w:tcPr>
          <w:p>
            <w:pPr>
              <w:pStyle w:val="TableContents"/>
              <w:spacing w:before="0" w:after="283"/>
              <w:rPr/>
            </w:pPr>
            <w:r>
              <w:rPr/>
              <w:t> </w:t>
            </w:r>
          </w:p>
        </w:tc>
        <w:tc>
          <w:tcPr>
            <w:tcW w:w="805" w:type="dxa"/>
            <w:gridSpan w:val="2"/>
            <w:tcBorders>
              <w:top w:val="single" w:sz="4"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PGA Clarett 2, LLC</w:t>
            </w:r>
          </w:p>
        </w:tc>
        <w:tc>
          <w:tcPr>
            <w:tcW w:w="106" w:type="dxa"/>
            <w:tcBorders>
              <w:top w:val="single" w:sz="4" w:space="0" w:color="000000"/>
            </w:tcBorders>
            <w:shd w:fill="auto" w:val="clear"/>
            <w:tcMar>
              <w:bottom w:w="0" w:type="dxa"/>
            </w:tcMar>
            <w:vAlign w:val="bottom"/>
          </w:tcPr>
          <w:p>
            <w:pPr>
              <w:pStyle w:val="TableContents"/>
              <w:spacing w:before="0" w:after="283"/>
              <w:jc w:val="left"/>
              <w:rPr/>
            </w:pPr>
            <w:r>
              <w:rPr/>
              <w:t> </w:t>
            </w:r>
          </w:p>
        </w:tc>
        <w:tc>
          <w:tcPr>
            <w:tcW w:w="92" w:type="dxa"/>
            <w:tcBorders>
              <w:top w:val="single" w:sz="4" w:space="0" w:color="000000"/>
            </w:tcBorders>
            <w:shd w:fill="auto" w:val="clear"/>
            <w:tcMar>
              <w:bottom w:w="0" w:type="dxa"/>
            </w:tcMar>
            <w:vAlign w:val="bottom"/>
          </w:tcPr>
          <w:p>
            <w:pPr>
              <w:pStyle w:val="TableContents"/>
              <w:spacing w:before="0" w:after="283"/>
              <w:rPr/>
            </w:pPr>
            <w:r>
              <w:rPr/>
              <w:t> </w:t>
            </w:r>
          </w:p>
        </w:tc>
        <w:tc>
          <w:tcPr>
            <w:tcW w:w="804" w:type="dxa"/>
            <w:gridSpan w:val="2"/>
            <w:tcBorders>
              <w:top w:val="single" w:sz="4"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PGA Clarett 3, LLC</w:t>
            </w:r>
          </w:p>
        </w:tc>
        <w:tc>
          <w:tcPr>
            <w:tcW w:w="106" w:type="dxa"/>
            <w:tcBorders>
              <w:top w:val="single" w:sz="4" w:space="0" w:color="000000"/>
            </w:tcBorders>
            <w:shd w:fill="auto" w:val="clear"/>
            <w:tcMar>
              <w:bottom w:w="0" w:type="dxa"/>
            </w:tcMar>
            <w:vAlign w:val="bottom"/>
          </w:tcPr>
          <w:p>
            <w:pPr>
              <w:pStyle w:val="TableContents"/>
              <w:spacing w:before="0" w:after="283"/>
              <w:jc w:val="left"/>
              <w:rPr/>
            </w:pPr>
            <w:r>
              <w:rPr/>
              <w:t> </w:t>
            </w:r>
          </w:p>
        </w:tc>
        <w:tc>
          <w:tcPr>
            <w:tcW w:w="92" w:type="dxa"/>
            <w:tcBorders>
              <w:top w:val="single" w:sz="4" w:space="0" w:color="000000"/>
            </w:tcBorders>
            <w:shd w:fill="auto" w:val="clear"/>
            <w:tcMar>
              <w:bottom w:w="0" w:type="dxa"/>
            </w:tcMar>
            <w:vAlign w:val="bottom"/>
          </w:tcPr>
          <w:p>
            <w:pPr>
              <w:pStyle w:val="TableContents"/>
              <w:spacing w:before="0" w:after="283"/>
              <w:rPr/>
            </w:pPr>
            <w:r>
              <w:rPr/>
              <w:t> </w:t>
            </w:r>
          </w:p>
        </w:tc>
        <w:tc>
          <w:tcPr>
            <w:tcW w:w="805" w:type="dxa"/>
            <w:gridSpan w:val="2"/>
            <w:tcBorders>
              <w:top w:val="single" w:sz="4"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PGA Clarett 4, LP</w:t>
            </w:r>
          </w:p>
        </w:tc>
        <w:tc>
          <w:tcPr>
            <w:tcW w:w="106" w:type="dxa"/>
            <w:tcBorders>
              <w:top w:val="single" w:sz="4" w:space="0" w:color="000000"/>
            </w:tcBorders>
            <w:shd w:fill="auto" w:val="clear"/>
            <w:tcMar>
              <w:bottom w:w="0" w:type="dxa"/>
            </w:tcMar>
            <w:vAlign w:val="bottom"/>
          </w:tcPr>
          <w:p>
            <w:pPr>
              <w:pStyle w:val="TableContents"/>
              <w:spacing w:before="0" w:after="283"/>
              <w:jc w:val="left"/>
              <w:rPr/>
            </w:pPr>
            <w:r>
              <w:rPr/>
              <w:t> </w:t>
            </w:r>
          </w:p>
        </w:tc>
        <w:tc>
          <w:tcPr>
            <w:tcW w:w="92" w:type="dxa"/>
            <w:tcBorders>
              <w:top w:val="single" w:sz="4" w:space="0" w:color="000000"/>
            </w:tcBorders>
            <w:shd w:fill="auto" w:val="clear"/>
            <w:tcMar>
              <w:bottom w:w="0" w:type="dxa"/>
            </w:tcMar>
            <w:vAlign w:val="bottom"/>
          </w:tcPr>
          <w:p>
            <w:pPr>
              <w:pStyle w:val="TableContents"/>
              <w:spacing w:before="0" w:after="283"/>
              <w:rPr/>
            </w:pPr>
            <w:r>
              <w:rPr/>
              <w:t> </w:t>
            </w:r>
          </w:p>
        </w:tc>
        <w:tc>
          <w:tcPr>
            <w:tcW w:w="903" w:type="dxa"/>
            <w:gridSpan w:val="2"/>
            <w:tcBorders>
              <w:top w:val="single" w:sz="4"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Clarett Partners, LLC</w:t>
            </w:r>
          </w:p>
        </w:tc>
        <w:tc>
          <w:tcPr>
            <w:tcW w:w="106" w:type="dxa"/>
            <w:tcBorders>
              <w:top w:val="single" w:sz="4" w:space="0" w:color="000000"/>
            </w:tcBorders>
            <w:shd w:fill="auto" w:val="clear"/>
            <w:tcMar>
              <w:bottom w:w="0" w:type="dxa"/>
            </w:tcMar>
            <w:vAlign w:val="bottom"/>
          </w:tcPr>
          <w:p>
            <w:pPr>
              <w:pStyle w:val="TableContents"/>
              <w:spacing w:before="0" w:after="283"/>
              <w:jc w:val="left"/>
              <w:rPr/>
            </w:pPr>
            <w:r>
              <w:rPr/>
              <w:t> </w:t>
            </w:r>
          </w:p>
        </w:tc>
        <w:tc>
          <w:tcPr>
            <w:tcW w:w="91" w:type="dxa"/>
            <w:tcBorders>
              <w:top w:val="single" w:sz="4" w:space="0" w:color="000000"/>
            </w:tcBorders>
            <w:shd w:fill="auto" w:val="clear"/>
            <w:tcMar>
              <w:bottom w:w="0" w:type="dxa"/>
            </w:tcMar>
            <w:vAlign w:val="bottom"/>
          </w:tcPr>
          <w:p>
            <w:pPr>
              <w:pStyle w:val="TableContents"/>
              <w:spacing w:before="0" w:after="283"/>
              <w:rPr/>
            </w:pPr>
            <w:r>
              <w:rPr/>
              <w:t> </w:t>
            </w:r>
          </w:p>
        </w:tc>
        <w:tc>
          <w:tcPr>
            <w:tcW w:w="957" w:type="dxa"/>
            <w:gridSpan w:val="2"/>
            <w:tcBorders>
              <w:top w:val="single" w:sz="4"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CC Sutton Manager, LLC</w:t>
            </w:r>
          </w:p>
        </w:tc>
        <w:tc>
          <w:tcPr>
            <w:tcW w:w="106" w:type="dxa"/>
            <w:tcBorders>
              <w:top w:val="single" w:sz="4" w:space="0" w:color="000000"/>
            </w:tcBorders>
            <w:shd w:fill="auto" w:val="clear"/>
            <w:tcMar>
              <w:bottom w:w="0" w:type="dxa"/>
            </w:tcMar>
            <w:vAlign w:val="bottom"/>
          </w:tcPr>
          <w:p>
            <w:pPr>
              <w:pStyle w:val="TableContents"/>
              <w:spacing w:before="0" w:after="283"/>
              <w:jc w:val="left"/>
              <w:rPr/>
            </w:pPr>
            <w:r>
              <w:rPr/>
              <w:t> </w:t>
            </w:r>
          </w:p>
        </w:tc>
        <w:tc>
          <w:tcPr>
            <w:tcW w:w="92" w:type="dxa"/>
            <w:tcBorders>
              <w:top w:val="single" w:sz="4" w:space="0" w:color="000000"/>
            </w:tcBorders>
            <w:shd w:fill="auto" w:val="clear"/>
            <w:tcMar>
              <w:bottom w:w="0" w:type="dxa"/>
            </w:tcMar>
            <w:vAlign w:val="bottom"/>
          </w:tcPr>
          <w:p>
            <w:pPr>
              <w:pStyle w:val="TableContents"/>
              <w:spacing w:before="0" w:after="283"/>
              <w:rPr/>
            </w:pPr>
            <w:r>
              <w:rPr/>
              <w:t> </w:t>
            </w:r>
          </w:p>
        </w:tc>
        <w:tc>
          <w:tcPr>
            <w:tcW w:w="945" w:type="dxa"/>
            <w:gridSpan w:val="2"/>
            <w:tcBorders>
              <w:top w:val="single" w:sz="4"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Citadel Cinemas, Inc.</w:t>
            </w:r>
          </w:p>
        </w:tc>
        <w:tc>
          <w:tcPr>
            <w:tcW w:w="106" w:type="dxa"/>
            <w:tcBorders>
              <w:top w:val="single" w:sz="4" w:space="0" w:color="000000"/>
            </w:tcBorders>
            <w:shd w:fill="auto" w:val="clear"/>
            <w:tcMar>
              <w:bottom w:w="0" w:type="dxa"/>
            </w:tcMar>
            <w:vAlign w:val="bottom"/>
          </w:tcPr>
          <w:p>
            <w:pPr>
              <w:pStyle w:val="TableContents"/>
              <w:spacing w:before="0" w:after="283"/>
              <w:jc w:val="left"/>
              <w:rPr/>
            </w:pPr>
            <w:r>
              <w:rPr/>
              <w:t> </w:t>
            </w:r>
          </w:p>
        </w:tc>
        <w:tc>
          <w:tcPr>
            <w:tcW w:w="91" w:type="dxa"/>
            <w:tcBorders>
              <w:top w:val="single" w:sz="4" w:space="0" w:color="000000"/>
            </w:tcBorders>
            <w:shd w:fill="auto" w:val="clear"/>
            <w:tcMar>
              <w:bottom w:w="0" w:type="dxa"/>
            </w:tcMar>
            <w:vAlign w:val="bottom"/>
          </w:tcPr>
          <w:p>
            <w:pPr>
              <w:pStyle w:val="TableContents"/>
              <w:spacing w:before="0" w:after="283"/>
              <w:rPr/>
            </w:pPr>
            <w:r>
              <w:rPr/>
              <w:t> </w:t>
            </w:r>
          </w:p>
        </w:tc>
        <w:tc>
          <w:tcPr>
            <w:tcW w:w="949" w:type="dxa"/>
            <w:gridSpan w:val="2"/>
            <w:tcBorders>
              <w:top w:val="single" w:sz="4"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36" w:type="dxa"/>
            <w:tcBorders>
              <w:top w:val="single" w:sz="4" w:space="0" w:color="000000"/>
            </w:tcBorders>
            <w:shd w:fill="auto" w:val="clear"/>
            <w:tcMar>
              <w:bottom w:w="0" w:type="dxa"/>
            </w:tcMar>
            <w:vAlign w:val="bottom"/>
          </w:tcPr>
          <w:p>
            <w:pPr>
              <w:pStyle w:val="TableContents"/>
              <w:spacing w:before="0" w:after="283"/>
              <w:jc w:val="left"/>
              <w:rPr/>
            </w:pPr>
            <w:r>
              <w:rPr/>
              <w:t> </w:t>
            </w:r>
          </w:p>
        </w:tc>
      </w:tr>
      <w:tr>
        <w:trPr/>
        <w:tc>
          <w:tcPr>
            <w:tcW w:w="1620" w:type="dxa"/>
            <w:tcBorders>
              <w:bottom w:val="double" w:sz="8" w:space="0" w:color="000000"/>
            </w:tcBorders>
            <w:shd w:fill="CCEEFF" w:val="clear"/>
            <w:tcMar>
              <w:top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Members equity – January 1, 2007</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CCEEFF" w:val="clear"/>
            <w:tcMar>
              <w:top w:w="0" w:type="dxa"/>
            </w:tcMar>
            <w:vAlign w:val="bottom"/>
          </w:tcPr>
          <w:p>
            <w:pPr>
              <w:pStyle w:val="TableContents"/>
              <w:spacing w:before="0" w:after="283"/>
              <w:ind w:left="240" w:right="0" w:hanging="0"/>
              <w:jc w:val="right"/>
              <w:rPr>
                <w:rFonts w:ascii="times new roman" w:hAnsi="times new roman"/>
                <w:sz w:val="20"/>
              </w:rPr>
            </w:pPr>
            <w:bookmarkStart w:id="3243" w:name="TAB11680"/>
            <w:bookmarkEnd w:id="3243"/>
            <w:r>
              <w:rPr>
                <w:rFonts w:ascii="times new roman" w:hAnsi="times new roman"/>
                <w:sz w:val="20"/>
              </w:rPr>
              <w:t>243</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72"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2" w:type="dxa"/>
            <w:tcBorders>
              <w:bottom w:val="double" w:sz="8" w:space="0" w:color="000000"/>
            </w:tcBorders>
            <w:shd w:fill="CCEEFF" w:val="clear"/>
            <w:tcMar>
              <w:top w:w="0" w:type="dxa"/>
            </w:tcMar>
            <w:vAlign w:val="bottom"/>
          </w:tcPr>
          <w:p>
            <w:pPr>
              <w:pStyle w:val="TableContents"/>
              <w:spacing w:before="0" w:after="283"/>
              <w:ind w:left="240" w:right="0" w:hanging="0"/>
              <w:jc w:val="right"/>
              <w:rPr>
                <w:rFonts w:ascii="times new roman" w:hAnsi="times new roman"/>
                <w:sz w:val="20"/>
              </w:rPr>
            </w:pPr>
            <w:bookmarkStart w:id="3244" w:name="TAB11681"/>
            <w:bookmarkEnd w:id="3244"/>
            <w:r>
              <w:rPr>
                <w:rFonts w:ascii="times new roman" w:hAnsi="times new roman"/>
                <w:sz w:val="20"/>
              </w:rPr>
              <w:t>26</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CCEEFF" w:val="clear"/>
            <w:tcMar>
              <w:top w:w="0" w:type="dxa"/>
            </w:tcMar>
            <w:vAlign w:val="bottom"/>
          </w:tcPr>
          <w:p>
            <w:pPr>
              <w:pStyle w:val="TableContents"/>
              <w:spacing w:before="0" w:after="283"/>
              <w:ind w:left="240" w:right="0" w:hanging="0"/>
              <w:jc w:val="right"/>
              <w:rPr>
                <w:rFonts w:ascii="times new roman" w:hAnsi="times new roman"/>
                <w:sz w:val="20"/>
              </w:rPr>
            </w:pPr>
            <w:bookmarkStart w:id="3245" w:name="TAB11682"/>
            <w:bookmarkEnd w:id="3245"/>
            <w:r>
              <w:rPr>
                <w:rFonts w:ascii="times new roman" w:hAnsi="times new roman"/>
                <w:sz w:val="20"/>
              </w:rPr>
              <w:t>210</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4"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9" w:type="dxa"/>
            <w:tcBorders>
              <w:bottom w:val="double" w:sz="8" w:space="0" w:color="000000"/>
            </w:tcBorders>
            <w:shd w:fill="CCEEFF" w:val="clear"/>
            <w:tcMar>
              <w:top w:w="0" w:type="dxa"/>
            </w:tcMar>
            <w:vAlign w:val="bottom"/>
          </w:tcPr>
          <w:p>
            <w:pPr>
              <w:pStyle w:val="TableContents"/>
              <w:spacing w:before="0" w:after="283"/>
              <w:ind w:left="240" w:right="0" w:hanging="0"/>
              <w:jc w:val="right"/>
              <w:rPr>
                <w:rFonts w:ascii="times new roman" w:hAnsi="times new roman"/>
                <w:sz w:val="20"/>
              </w:rPr>
            </w:pPr>
            <w:bookmarkStart w:id="3246" w:name="TAB11683"/>
            <w:bookmarkEnd w:id="3246"/>
            <w:r>
              <w:rPr>
                <w:rFonts w:ascii="times new roman" w:hAnsi="times new roman"/>
                <w:sz w:val="20"/>
              </w:rPr>
              <w:t>8,768</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54"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CCEEFF" w:val="clear"/>
            <w:tcMar>
              <w:top w:w="0" w:type="dxa"/>
            </w:tcMar>
            <w:vAlign w:val="bottom"/>
          </w:tcPr>
          <w:p>
            <w:pPr>
              <w:pStyle w:val="TableContents"/>
              <w:spacing w:before="0" w:after="283"/>
              <w:ind w:left="240" w:right="0" w:hanging="0"/>
              <w:jc w:val="right"/>
              <w:rPr>
                <w:rFonts w:ascii="times new roman" w:hAnsi="times new roman"/>
                <w:sz w:val="20"/>
              </w:rPr>
            </w:pPr>
            <w:bookmarkStart w:id="3247" w:name="TAB11684"/>
            <w:bookmarkEnd w:id="3247"/>
            <w:r>
              <w:rPr>
                <w:rFonts w:ascii="times new roman" w:hAnsi="times new roman"/>
                <w:sz w:val="20"/>
              </w:rPr>
              <w:t>6,072</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51"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CCEEFF" w:val="clear"/>
            <w:tcMar>
              <w:top w:w="0" w:type="dxa"/>
            </w:tcMar>
            <w:vAlign w:val="bottom"/>
          </w:tcPr>
          <w:p>
            <w:pPr>
              <w:pStyle w:val="TableContents"/>
              <w:spacing w:before="0" w:after="283"/>
              <w:ind w:left="240" w:right="0" w:hanging="0"/>
              <w:jc w:val="right"/>
              <w:rPr>
                <w:rFonts w:ascii="times new roman" w:hAnsi="times new roman"/>
                <w:sz w:val="20"/>
              </w:rPr>
            </w:pPr>
            <w:bookmarkStart w:id="3248" w:name="TAB11685"/>
            <w:bookmarkEnd w:id="3248"/>
            <w:r>
              <w:rPr>
                <w:rFonts w:ascii="times new roman" w:hAnsi="times new roman"/>
                <w:sz w:val="20"/>
              </w:rPr>
              <w:t>5,189</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38"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1" w:type="dxa"/>
            <w:tcBorders>
              <w:bottom w:val="double" w:sz="8" w:space="0" w:color="000000"/>
            </w:tcBorders>
            <w:shd w:fill="CCEEFF" w:val="clear"/>
            <w:tcMar>
              <w:top w:w="0" w:type="dxa"/>
            </w:tcMar>
            <w:vAlign w:val="bottom"/>
          </w:tcPr>
          <w:p>
            <w:pPr>
              <w:pStyle w:val="TableContents"/>
              <w:spacing w:before="0" w:after="283"/>
              <w:ind w:left="240" w:right="0" w:hanging="0"/>
              <w:jc w:val="right"/>
              <w:rPr>
                <w:rFonts w:ascii="times new roman" w:hAnsi="times new roman"/>
                <w:sz w:val="20"/>
              </w:rPr>
            </w:pPr>
            <w:bookmarkStart w:id="3249" w:name="TAB11686"/>
            <w:bookmarkEnd w:id="3249"/>
            <w:r>
              <w:rPr>
                <w:rFonts w:ascii="times new roman" w:hAnsi="times new roman"/>
                <w:sz w:val="20"/>
              </w:rPr>
              <w:t>20,757</w:t>
            </w:r>
          </w:p>
        </w:tc>
        <w:tc>
          <w:tcPr>
            <w:tcW w:w="136" w:type="dxa"/>
            <w:tcBorders/>
            <w:shd w:fill="CCEEFF" w:val="clear"/>
            <w:tcMar>
              <w:top w:w="0" w:type="dxa"/>
              <w:bottom w:w="0" w:type="dxa"/>
            </w:tcMar>
            <w:vAlign w:val="bottom"/>
          </w:tcPr>
          <w:p>
            <w:pPr>
              <w:pStyle w:val="TableContents"/>
              <w:spacing w:before="0" w:after="283"/>
              <w:jc w:val="left"/>
              <w:rPr/>
            </w:pPr>
            <w:r>
              <w:rPr/>
              <w:t> </w:t>
            </w:r>
          </w:p>
        </w:tc>
      </w:tr>
      <w:tr>
        <w:trPr/>
        <w:tc>
          <w:tcPr>
            <w:tcW w:w="1620" w:type="dxa"/>
            <w:tcBorders/>
            <w:shd w:fill="FFFFFF" w:val="clear"/>
            <w:tcMar>
              <w:top w:w="0" w:type="dxa"/>
              <w:bottom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Member distributions</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shd w:fill="FFFFFF" w:val="clear"/>
            <w:tcMar>
              <w:top w:w="0" w:type="dxa"/>
              <w:bottom w:w="0" w:type="dxa"/>
            </w:tcMar>
            <w:vAlign w:val="bottom"/>
          </w:tcPr>
          <w:p>
            <w:pPr>
              <w:pStyle w:val="TableContents"/>
              <w:spacing w:before="0" w:after="283"/>
              <w:jc w:val="left"/>
              <w:rPr/>
            </w:pPr>
            <w:r>
              <w:rPr/>
              <w:t> </w:t>
            </w:r>
          </w:p>
        </w:tc>
        <w:tc>
          <w:tcPr>
            <w:tcW w:w="657" w:type="dxa"/>
            <w:tcBorders/>
            <w:shd w:fill="FFFFFF" w:val="clear"/>
            <w:tcMar>
              <w:top w:w="0" w:type="dxa"/>
              <w:bottom w:w="0" w:type="dxa"/>
            </w:tcMar>
            <w:vAlign w:val="bottom"/>
          </w:tcPr>
          <w:p>
            <w:pPr>
              <w:pStyle w:val="TableContents"/>
              <w:spacing w:before="0" w:after="283"/>
              <w:ind w:left="215" w:right="0" w:hanging="0"/>
              <w:jc w:val="right"/>
              <w:rPr>
                <w:rFonts w:ascii="times new roman" w:hAnsi="times new roman"/>
                <w:sz w:val="20"/>
              </w:rPr>
            </w:pPr>
            <w:bookmarkStart w:id="3250" w:name="TAB11687"/>
            <w:bookmarkEnd w:id="3250"/>
            <w:r>
              <w:rPr>
                <w:rFonts w:ascii="times new roman" w:hAnsi="times new roman"/>
                <w:sz w:val="20"/>
              </w:rPr>
              <w:t>(280</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shd w:fill="FFFFFF" w:val="clear"/>
            <w:tcMar>
              <w:top w:w="0" w:type="dxa"/>
              <w:bottom w:w="0" w:type="dxa"/>
            </w:tcMar>
            <w:vAlign w:val="bottom"/>
          </w:tcPr>
          <w:p>
            <w:pPr>
              <w:pStyle w:val="TableContents"/>
              <w:spacing w:before="0" w:after="283"/>
              <w:jc w:val="left"/>
              <w:rPr/>
            </w:pPr>
            <w:r>
              <w:rPr/>
              <w:t> </w:t>
            </w:r>
          </w:p>
        </w:tc>
        <w:tc>
          <w:tcPr>
            <w:tcW w:w="657" w:type="dxa"/>
            <w:tcBorders/>
            <w:shd w:fill="FFFFFF" w:val="clear"/>
            <w:tcMar>
              <w:top w:w="0" w:type="dxa"/>
              <w:bottom w:w="0" w:type="dxa"/>
            </w:tcMar>
            <w:vAlign w:val="bottom"/>
          </w:tcPr>
          <w:p>
            <w:pPr>
              <w:pStyle w:val="TableContents"/>
              <w:spacing w:before="0" w:after="283"/>
              <w:ind w:left="215" w:right="0" w:hanging="0"/>
              <w:jc w:val="right"/>
              <w:rPr>
                <w:rFonts w:ascii="times new roman" w:hAnsi="times new roman"/>
                <w:sz w:val="20"/>
              </w:rPr>
            </w:pPr>
            <w:bookmarkStart w:id="3251" w:name="TAB11688"/>
            <w:bookmarkEnd w:id="3251"/>
            <w:r>
              <w:rPr>
                <w:rFonts w:ascii="times new roman" w:hAnsi="times new roman"/>
                <w:sz w:val="20"/>
              </w:rPr>
              <w:t>(272</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72" w:type="dxa"/>
            <w:tcBorders/>
            <w:shd w:fill="FFFFFF" w:val="clear"/>
            <w:tcMar>
              <w:top w:w="0" w:type="dxa"/>
              <w:bottom w:w="0" w:type="dxa"/>
            </w:tcMar>
            <w:vAlign w:val="bottom"/>
          </w:tcPr>
          <w:p>
            <w:pPr>
              <w:pStyle w:val="TableContents"/>
              <w:spacing w:before="0" w:after="283"/>
              <w:jc w:val="left"/>
              <w:rPr/>
            </w:pPr>
            <w:r>
              <w:rPr/>
              <w:t> </w:t>
            </w:r>
          </w:p>
        </w:tc>
        <w:tc>
          <w:tcPr>
            <w:tcW w:w="632" w:type="dxa"/>
            <w:tcBorders/>
            <w:shd w:fill="FFFFFF" w:val="clear"/>
            <w:tcMar>
              <w:top w:w="0" w:type="dxa"/>
              <w:bottom w:w="0" w:type="dxa"/>
            </w:tcMar>
            <w:vAlign w:val="bottom"/>
          </w:tcPr>
          <w:p>
            <w:pPr>
              <w:pStyle w:val="TableContents"/>
              <w:spacing w:before="0" w:after="283"/>
              <w:ind w:left="348" w:right="0" w:hanging="0"/>
              <w:jc w:val="right"/>
              <w:rPr>
                <w:rFonts w:ascii="times new roman" w:hAnsi="times new roman"/>
                <w:sz w:val="20"/>
              </w:rPr>
            </w:pPr>
            <w:bookmarkStart w:id="3252" w:name="TAB11689"/>
            <w:bookmarkEnd w:id="3252"/>
            <w:r>
              <w:rPr>
                <w:rFonts w:ascii="times new roman" w:hAnsi="times new roman"/>
                <w:sz w:val="20"/>
              </w:rPr>
              <w:t>(29</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shd w:fill="FFFFFF" w:val="clear"/>
            <w:tcMar>
              <w:top w:w="0" w:type="dxa"/>
              <w:bottom w:w="0" w:type="dxa"/>
            </w:tcMar>
            <w:vAlign w:val="bottom"/>
          </w:tcPr>
          <w:p>
            <w:pPr>
              <w:pStyle w:val="TableContents"/>
              <w:spacing w:before="0" w:after="283"/>
              <w:jc w:val="left"/>
              <w:rPr/>
            </w:pPr>
            <w:r>
              <w:rPr/>
              <w:t> </w:t>
            </w:r>
          </w:p>
        </w:tc>
        <w:tc>
          <w:tcPr>
            <w:tcW w:w="657" w:type="dxa"/>
            <w:tcBorders/>
            <w:shd w:fill="FFFFFF" w:val="clear"/>
            <w:tcMar>
              <w:top w:w="0" w:type="dxa"/>
              <w:bottom w:w="0" w:type="dxa"/>
            </w:tcMar>
            <w:vAlign w:val="bottom"/>
          </w:tcPr>
          <w:p>
            <w:pPr>
              <w:pStyle w:val="TableContents"/>
              <w:spacing w:before="0" w:after="283"/>
              <w:ind w:left="215" w:right="0" w:hanging="0"/>
              <w:jc w:val="right"/>
              <w:rPr>
                <w:rFonts w:ascii="times new roman" w:hAnsi="times new roman"/>
                <w:sz w:val="20"/>
              </w:rPr>
            </w:pPr>
            <w:bookmarkStart w:id="3253" w:name="TAB11690"/>
            <w:bookmarkEnd w:id="3253"/>
            <w:r>
              <w:rPr>
                <w:rFonts w:ascii="times new roman" w:hAnsi="times new roman"/>
                <w:sz w:val="20"/>
              </w:rPr>
              <w:t>(236</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4" w:type="dxa"/>
            <w:tcBorders/>
            <w:shd w:fill="FFFFFF" w:val="clear"/>
            <w:tcMar>
              <w:top w:w="0" w:type="dxa"/>
              <w:bottom w:w="0" w:type="dxa"/>
            </w:tcMar>
            <w:vAlign w:val="bottom"/>
          </w:tcPr>
          <w:p>
            <w:pPr>
              <w:pStyle w:val="TableContents"/>
              <w:spacing w:before="0" w:after="283"/>
              <w:jc w:val="left"/>
              <w:rPr/>
            </w:pPr>
            <w:r>
              <w:rPr/>
              <w:t> </w:t>
            </w:r>
          </w:p>
        </w:tc>
        <w:tc>
          <w:tcPr>
            <w:tcW w:w="759"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(9,846</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54" w:type="dxa"/>
            <w:tcBorders/>
            <w:shd w:fill="FFFFFF" w:val="clear"/>
            <w:tcMar>
              <w:top w:w="0" w:type="dxa"/>
              <w:bottom w:w="0" w:type="dxa"/>
            </w:tcMar>
            <w:vAlign w:val="bottom"/>
          </w:tcPr>
          <w:p>
            <w:pPr>
              <w:pStyle w:val="TableContents"/>
              <w:spacing w:before="0" w:after="283"/>
              <w:jc w:val="left"/>
              <w:rPr/>
            </w:pPr>
            <w:r>
              <w:rPr/>
              <w:t> </w:t>
            </w:r>
          </w:p>
        </w:tc>
        <w:tc>
          <w:tcPr>
            <w:tcW w:w="803" w:type="dxa"/>
            <w:tcBorders/>
            <w:shd w:fill="FFFFFF" w:val="clear"/>
            <w:tcMar>
              <w:top w:w="0" w:type="dxa"/>
              <w:bottom w:w="0" w:type="dxa"/>
            </w:tcMar>
            <w:vAlign w:val="bottom"/>
          </w:tcPr>
          <w:p>
            <w:pPr>
              <w:pStyle w:val="TableContents"/>
              <w:spacing w:before="0" w:after="283"/>
              <w:ind w:left="15" w:right="0" w:hanging="0"/>
              <w:jc w:val="right"/>
              <w:rPr>
                <w:rFonts w:ascii="times new roman" w:hAnsi="times new roman"/>
                <w:sz w:val="20"/>
              </w:rPr>
            </w:pPr>
            <w:bookmarkStart w:id="3254" w:name="TAB11691"/>
            <w:bookmarkEnd w:id="3254"/>
            <w:r>
              <w:rPr>
                <w:rFonts w:ascii="times new roman" w:hAnsi="times new roman"/>
                <w:sz w:val="20"/>
              </w:rPr>
              <w:t>(6,817</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51" w:type="dxa"/>
            <w:tcBorders/>
            <w:shd w:fill="FFFFFF" w:val="clear"/>
            <w:tcMar>
              <w:top w:w="0" w:type="dxa"/>
              <w:bottom w:w="0" w:type="dxa"/>
            </w:tcMar>
            <w:vAlign w:val="bottom"/>
          </w:tcPr>
          <w:p>
            <w:pPr>
              <w:pStyle w:val="TableContents"/>
              <w:spacing w:before="0" w:after="283"/>
              <w:jc w:val="left"/>
              <w:rPr/>
            </w:pPr>
            <w:r>
              <w:rPr/>
              <w:t> </w:t>
            </w:r>
          </w:p>
        </w:tc>
        <w:tc>
          <w:tcPr>
            <w:tcW w:w="794" w:type="dxa"/>
            <w:tcBorders/>
            <w:shd w:fill="FFFFFF" w:val="clear"/>
            <w:tcMar>
              <w:top w:w="0" w:type="dxa"/>
              <w:bottom w:w="0" w:type="dxa"/>
            </w:tcMar>
            <w:vAlign w:val="bottom"/>
          </w:tcPr>
          <w:p>
            <w:pPr>
              <w:pStyle w:val="TableContents"/>
              <w:spacing w:before="0" w:after="283"/>
              <w:ind w:left="15" w:right="0" w:hanging="0"/>
              <w:jc w:val="right"/>
              <w:rPr>
                <w:rFonts w:ascii="times new roman" w:hAnsi="times new roman"/>
                <w:sz w:val="20"/>
              </w:rPr>
            </w:pPr>
            <w:bookmarkStart w:id="3255" w:name="TAB11692"/>
            <w:bookmarkEnd w:id="3255"/>
            <w:r>
              <w:rPr>
                <w:rFonts w:ascii="times new roman" w:hAnsi="times new roman"/>
                <w:sz w:val="20"/>
              </w:rPr>
              <w:t>(5,827</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38" w:type="dxa"/>
            <w:tcBorders/>
            <w:shd w:fill="FFFFFF" w:val="clear"/>
            <w:tcMar>
              <w:top w:w="0" w:type="dxa"/>
              <w:bottom w:w="0" w:type="dxa"/>
            </w:tcMar>
            <w:vAlign w:val="bottom"/>
          </w:tcPr>
          <w:p>
            <w:pPr>
              <w:pStyle w:val="TableContents"/>
              <w:spacing w:before="0" w:after="283"/>
              <w:jc w:val="left"/>
              <w:rPr/>
            </w:pPr>
            <w:r>
              <w:rPr/>
              <w:t> </w:t>
            </w:r>
          </w:p>
        </w:tc>
        <w:tc>
          <w:tcPr>
            <w:tcW w:w="811"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(23,307</w:t>
            </w:r>
          </w:p>
        </w:tc>
        <w:tc>
          <w:tcPr>
            <w:tcW w:w="13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20" w:type="dxa"/>
            <w:tcBorders>
              <w:bottom w:val="single" w:sz="12" w:space="0" w:color="000000"/>
            </w:tcBorders>
            <w:shd w:fill="CCEEFF" w:val="clear"/>
            <w:tcMar>
              <w:top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657" w:type="dxa"/>
            <w:tcBorders>
              <w:bottom w:val="single" w:sz="12" w:space="0" w:color="000000"/>
            </w:tcBorders>
            <w:shd w:fill="CCEEFF" w:val="clear"/>
            <w:tcMar>
              <w:top w:w="0" w:type="dxa"/>
            </w:tcMar>
            <w:vAlign w:val="bottom"/>
          </w:tcPr>
          <w:p>
            <w:pPr>
              <w:pStyle w:val="TableContents"/>
              <w:spacing w:before="0" w:after="283"/>
              <w:ind w:left="526" w:right="0" w:hanging="0"/>
              <w:jc w:val="right"/>
              <w:rPr>
                <w:rFonts w:ascii="times new roman" w:hAnsi="times new roman"/>
                <w:sz w:val="20"/>
              </w:rPr>
            </w:pPr>
            <w:bookmarkStart w:id="3256" w:name="TAB11693"/>
            <w:bookmarkEnd w:id="3256"/>
            <w:r>
              <w:rPr>
                <w:rFonts w:ascii="times new roman" w:hAnsi="times new roman"/>
                <w:sz w:val="20"/>
              </w:rPr>
              <w:t>82</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657" w:type="dxa"/>
            <w:tcBorders>
              <w:bottom w:val="single" w:sz="12" w:space="0" w:color="000000"/>
            </w:tcBorders>
            <w:shd w:fill="CCEEFF" w:val="clear"/>
            <w:tcMar>
              <w:top w:w="0" w:type="dxa"/>
            </w:tcMar>
            <w:vAlign w:val="bottom"/>
          </w:tcPr>
          <w:p>
            <w:pPr>
              <w:pStyle w:val="TableContents"/>
              <w:spacing w:before="0" w:after="283"/>
              <w:ind w:left="526" w:right="0" w:hanging="0"/>
              <w:jc w:val="right"/>
              <w:rPr>
                <w:rFonts w:ascii="times new roman" w:hAnsi="times new roman"/>
                <w:sz w:val="20"/>
              </w:rPr>
            </w:pPr>
            <w:bookmarkStart w:id="3257" w:name="TAB11694"/>
            <w:bookmarkEnd w:id="3257"/>
            <w:r>
              <w:rPr>
                <w:rFonts w:ascii="times new roman" w:hAnsi="times new roman"/>
                <w:sz w:val="20"/>
              </w:rPr>
              <w:t>79</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72"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632" w:type="dxa"/>
            <w:tcBorders>
              <w:bottom w:val="single" w:sz="12" w:space="0" w:color="000000"/>
            </w:tcBorders>
            <w:shd w:fill="CCEEFF" w:val="clear"/>
            <w:tcMar>
              <w:top w:w="0" w:type="dxa"/>
            </w:tcMar>
            <w:vAlign w:val="bottom"/>
          </w:tcPr>
          <w:p>
            <w:pPr>
              <w:pStyle w:val="TableContents"/>
              <w:spacing w:before="0" w:after="283"/>
              <w:ind w:left="659" w:right="0" w:hanging="0"/>
              <w:jc w:val="right"/>
              <w:rPr>
                <w:rFonts w:ascii="times new roman" w:hAnsi="times new roman"/>
                <w:sz w:val="20"/>
              </w:rPr>
            </w:pPr>
            <w:bookmarkStart w:id="3258" w:name="TAB11695"/>
            <w:bookmarkEnd w:id="3258"/>
            <w:r>
              <w:rPr>
                <w:rFonts w:ascii="times new roman" w:hAnsi="times new roman"/>
                <w:sz w:val="20"/>
              </w:rPr>
              <w:t>8</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657" w:type="dxa"/>
            <w:tcBorders>
              <w:bottom w:val="single" w:sz="12" w:space="0" w:color="000000"/>
            </w:tcBorders>
            <w:shd w:fill="CCEEFF" w:val="clear"/>
            <w:tcMar>
              <w:top w:w="0" w:type="dxa"/>
            </w:tcMar>
            <w:vAlign w:val="bottom"/>
          </w:tcPr>
          <w:p>
            <w:pPr>
              <w:pStyle w:val="TableContents"/>
              <w:spacing w:before="0" w:after="283"/>
              <w:ind w:left="526" w:right="0" w:hanging="0"/>
              <w:jc w:val="right"/>
              <w:rPr>
                <w:rFonts w:ascii="times new roman" w:hAnsi="times new roman"/>
                <w:sz w:val="20"/>
              </w:rPr>
            </w:pPr>
            <w:bookmarkStart w:id="3259" w:name="TAB11696"/>
            <w:bookmarkEnd w:id="3259"/>
            <w:r>
              <w:rPr>
                <w:rFonts w:ascii="times new roman" w:hAnsi="times new roman"/>
                <w:sz w:val="20"/>
              </w:rPr>
              <w:t>69</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4"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759" w:type="dxa"/>
            <w:tcBorders>
              <w:bottom w:val="single" w:sz="12" w:space="0" w:color="000000"/>
            </w:tcBorders>
            <w:shd w:fill="CCEEFF" w:val="clear"/>
            <w:tcMar>
              <w:top w:w="0" w:type="dxa"/>
            </w:tcMar>
            <w:vAlign w:val="bottom"/>
          </w:tcPr>
          <w:p>
            <w:pPr>
              <w:pStyle w:val="TableContents"/>
              <w:spacing w:before="0" w:after="283"/>
              <w:ind w:left="171" w:right="0" w:hanging="0"/>
              <w:jc w:val="right"/>
              <w:rPr>
                <w:rFonts w:ascii="times new roman" w:hAnsi="times new roman"/>
                <w:sz w:val="20"/>
              </w:rPr>
            </w:pPr>
            <w:bookmarkStart w:id="3260" w:name="TAB11697"/>
            <w:bookmarkEnd w:id="3260"/>
            <w:r>
              <w:rPr>
                <w:rFonts w:ascii="times new roman" w:hAnsi="times new roman"/>
                <w:sz w:val="20"/>
              </w:rPr>
              <w:t>2,875</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54"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803" w:type="dxa"/>
            <w:tcBorders>
              <w:bottom w:val="single" w:sz="12" w:space="0" w:color="000000"/>
            </w:tcBorders>
            <w:shd w:fill="CCEEFF" w:val="clear"/>
            <w:tcMar>
              <w:top w:w="0" w:type="dxa"/>
            </w:tcMar>
            <w:vAlign w:val="bottom"/>
          </w:tcPr>
          <w:p>
            <w:pPr>
              <w:pStyle w:val="TableContents"/>
              <w:spacing w:before="0" w:after="283"/>
              <w:ind w:left="193" w:right="0" w:hanging="0"/>
              <w:jc w:val="right"/>
              <w:rPr>
                <w:rFonts w:ascii="times new roman" w:hAnsi="times new roman"/>
                <w:sz w:val="20"/>
              </w:rPr>
            </w:pPr>
            <w:bookmarkStart w:id="3261" w:name="TAB11698"/>
            <w:bookmarkEnd w:id="3261"/>
            <w:r>
              <w:rPr>
                <w:rFonts w:ascii="times new roman" w:hAnsi="times new roman"/>
                <w:sz w:val="20"/>
              </w:rPr>
              <w:t>1,990</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51"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794" w:type="dxa"/>
            <w:tcBorders>
              <w:bottom w:val="single" w:sz="12" w:space="0" w:color="000000"/>
            </w:tcBorders>
            <w:shd w:fill="CCEEFF" w:val="clear"/>
            <w:tcMar>
              <w:top w:w="0" w:type="dxa"/>
            </w:tcMar>
            <w:vAlign w:val="bottom"/>
          </w:tcPr>
          <w:p>
            <w:pPr>
              <w:pStyle w:val="TableContents"/>
              <w:spacing w:before="0" w:after="283"/>
              <w:ind w:left="193" w:right="0" w:hanging="0"/>
              <w:jc w:val="right"/>
              <w:rPr>
                <w:rFonts w:ascii="times new roman" w:hAnsi="times new roman"/>
                <w:sz w:val="20"/>
              </w:rPr>
            </w:pPr>
            <w:bookmarkStart w:id="3262" w:name="TAB11699"/>
            <w:bookmarkEnd w:id="3262"/>
            <w:r>
              <w:rPr>
                <w:rFonts w:ascii="times new roman" w:hAnsi="times new roman"/>
                <w:sz w:val="20"/>
              </w:rPr>
              <w:t>1,702</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38"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811"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6,805</w:t>
            </w:r>
          </w:p>
        </w:tc>
        <w:tc>
          <w:tcPr>
            <w:tcW w:w="136" w:type="dxa"/>
            <w:tcBorders/>
            <w:shd w:fill="CCEEFF" w:val="clear"/>
            <w:tcMar>
              <w:top w:w="0" w:type="dxa"/>
              <w:bottom w:w="0" w:type="dxa"/>
            </w:tcMar>
            <w:vAlign w:val="bottom"/>
          </w:tcPr>
          <w:p>
            <w:pPr>
              <w:pStyle w:val="TableContents"/>
              <w:spacing w:before="0" w:after="283"/>
              <w:jc w:val="left"/>
              <w:rPr/>
            </w:pPr>
            <w:r>
              <w:rPr/>
              <w:t> </w:t>
            </w:r>
          </w:p>
        </w:tc>
      </w:tr>
      <w:tr>
        <w:trPr/>
        <w:tc>
          <w:tcPr>
            <w:tcW w:w="1620" w:type="dxa"/>
            <w:tcBorders>
              <w:bottom w:val="double" w:sz="8" w:space="0" w:color="000000"/>
            </w:tcBorders>
            <w:shd w:fill="FFFFFF" w:val="clear"/>
            <w:tcMar>
              <w:top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Members equity – December 31, 2007</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FFFFFF" w:val="clear"/>
            <w:tcMar>
              <w:top w:w="0" w:type="dxa"/>
            </w:tcMar>
            <w:vAlign w:val="bottom"/>
          </w:tcPr>
          <w:p>
            <w:pPr>
              <w:pStyle w:val="TableContents"/>
              <w:spacing w:before="0" w:after="283"/>
              <w:jc w:val="left"/>
              <w:rPr/>
            </w:pPr>
            <w:r>
              <w:rPr/>
              <w:t> </w:t>
            </w:r>
          </w:p>
        </w:tc>
        <w:tc>
          <w:tcPr>
            <w:tcW w:w="657" w:type="dxa"/>
            <w:tcBorders>
              <w:bottom w:val="double" w:sz="8" w:space="0" w:color="000000"/>
            </w:tcBorders>
            <w:shd w:fill="FFFFFF" w:val="clear"/>
            <w:tcMar>
              <w:top w:w="0" w:type="dxa"/>
            </w:tcMar>
            <w:vAlign w:val="bottom"/>
          </w:tcPr>
          <w:p>
            <w:pPr>
              <w:pStyle w:val="TableContents"/>
              <w:spacing w:before="0" w:after="283"/>
              <w:ind w:left="526" w:right="0" w:hanging="0"/>
              <w:jc w:val="right"/>
              <w:rPr>
                <w:rFonts w:ascii="times new roman" w:hAnsi="times new roman"/>
                <w:sz w:val="20"/>
              </w:rPr>
            </w:pPr>
            <w:bookmarkStart w:id="3263" w:name="TAB11700"/>
            <w:bookmarkEnd w:id="3263"/>
            <w:r>
              <w:rPr>
                <w:rFonts w:ascii="times new roman" w:hAnsi="times new roman"/>
                <w:sz w:val="20"/>
              </w:rPr>
              <w:t>51</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FFFFFF" w:val="clear"/>
            <w:tcMar>
              <w:top w:w="0" w:type="dxa"/>
            </w:tcMar>
            <w:vAlign w:val="bottom"/>
          </w:tcPr>
          <w:p>
            <w:pPr>
              <w:pStyle w:val="TableContents"/>
              <w:spacing w:before="0" w:after="283"/>
              <w:jc w:val="left"/>
              <w:rPr/>
            </w:pPr>
            <w:r>
              <w:rPr/>
              <w:t> </w:t>
            </w:r>
          </w:p>
        </w:tc>
        <w:tc>
          <w:tcPr>
            <w:tcW w:w="657" w:type="dxa"/>
            <w:tcBorders>
              <w:bottom w:val="double" w:sz="8" w:space="0" w:color="000000"/>
            </w:tcBorders>
            <w:shd w:fill="FFFFFF" w:val="clear"/>
            <w:tcMar>
              <w:top w:w="0" w:type="dxa"/>
            </w:tcMar>
            <w:vAlign w:val="bottom"/>
          </w:tcPr>
          <w:p>
            <w:pPr>
              <w:pStyle w:val="TableContents"/>
              <w:spacing w:before="0" w:after="283"/>
              <w:ind w:left="526" w:right="0" w:hanging="0"/>
              <w:jc w:val="right"/>
              <w:rPr>
                <w:rFonts w:ascii="times new roman" w:hAnsi="times new roman"/>
                <w:sz w:val="20"/>
              </w:rPr>
            </w:pPr>
            <w:bookmarkStart w:id="3264" w:name="TAB11701"/>
            <w:bookmarkEnd w:id="3264"/>
            <w:r>
              <w:rPr>
                <w:rFonts w:ascii="times new roman" w:hAnsi="times new roman"/>
                <w:sz w:val="20"/>
              </w:rPr>
              <w:t>50</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72" w:type="dxa"/>
            <w:tcBorders>
              <w:bottom w:val="double" w:sz="8" w:space="0" w:color="000000"/>
            </w:tcBorders>
            <w:shd w:fill="FFFFFF" w:val="clear"/>
            <w:tcMar>
              <w:top w:w="0" w:type="dxa"/>
            </w:tcMar>
            <w:vAlign w:val="bottom"/>
          </w:tcPr>
          <w:p>
            <w:pPr>
              <w:pStyle w:val="TableContents"/>
              <w:spacing w:before="0" w:after="283"/>
              <w:jc w:val="left"/>
              <w:rPr/>
            </w:pPr>
            <w:r>
              <w:rPr/>
              <w:t> </w:t>
            </w:r>
          </w:p>
        </w:tc>
        <w:tc>
          <w:tcPr>
            <w:tcW w:w="632" w:type="dxa"/>
            <w:tcBorders>
              <w:bottom w:val="double" w:sz="8" w:space="0" w:color="000000"/>
            </w:tcBorders>
            <w:shd w:fill="FFFFFF" w:val="clear"/>
            <w:tcMar>
              <w:top w:w="0" w:type="dxa"/>
            </w:tcMar>
            <w:vAlign w:val="bottom"/>
          </w:tcPr>
          <w:p>
            <w:pPr>
              <w:pStyle w:val="TableContents"/>
              <w:spacing w:before="0" w:after="283"/>
              <w:ind w:left="659" w:right="0" w:hanging="0"/>
              <w:jc w:val="right"/>
              <w:rPr>
                <w:rFonts w:ascii="times new roman" w:hAnsi="times new roman"/>
                <w:sz w:val="20"/>
              </w:rPr>
            </w:pPr>
            <w:bookmarkStart w:id="3265" w:name="TAB11702"/>
            <w:bookmarkEnd w:id="3265"/>
            <w:r>
              <w:rPr>
                <w:rFonts w:ascii="times new roman" w:hAnsi="times new roman"/>
                <w:sz w:val="20"/>
              </w:rPr>
              <w:t>5</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FFFFFF" w:val="clear"/>
            <w:tcMar>
              <w:top w:w="0" w:type="dxa"/>
            </w:tcMar>
            <w:vAlign w:val="bottom"/>
          </w:tcPr>
          <w:p>
            <w:pPr>
              <w:pStyle w:val="TableContents"/>
              <w:spacing w:before="0" w:after="283"/>
              <w:jc w:val="left"/>
              <w:rPr/>
            </w:pPr>
            <w:r>
              <w:rPr/>
              <w:t> </w:t>
            </w:r>
          </w:p>
        </w:tc>
        <w:tc>
          <w:tcPr>
            <w:tcW w:w="657" w:type="dxa"/>
            <w:tcBorders>
              <w:bottom w:val="double" w:sz="8" w:space="0" w:color="000000"/>
            </w:tcBorders>
            <w:shd w:fill="FFFFFF" w:val="clear"/>
            <w:tcMar>
              <w:top w:w="0" w:type="dxa"/>
            </w:tcMar>
            <w:vAlign w:val="bottom"/>
          </w:tcPr>
          <w:p>
            <w:pPr>
              <w:pStyle w:val="TableContents"/>
              <w:spacing w:before="0" w:after="283"/>
              <w:ind w:left="526" w:right="0" w:hanging="0"/>
              <w:jc w:val="right"/>
              <w:rPr>
                <w:rFonts w:ascii="times new roman" w:hAnsi="times new roman"/>
                <w:sz w:val="20"/>
              </w:rPr>
            </w:pPr>
            <w:bookmarkStart w:id="3266" w:name="TAB11703"/>
            <w:bookmarkEnd w:id="3266"/>
            <w:r>
              <w:rPr>
                <w:rFonts w:ascii="times new roman" w:hAnsi="times new roman"/>
                <w:sz w:val="20"/>
              </w:rPr>
              <w:t>43</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4" w:type="dxa"/>
            <w:tcBorders>
              <w:bottom w:val="double" w:sz="8" w:space="0" w:color="000000"/>
            </w:tcBorders>
            <w:shd w:fill="FFFFFF" w:val="clear"/>
            <w:tcMar>
              <w:top w:w="0" w:type="dxa"/>
            </w:tcMar>
            <w:vAlign w:val="bottom"/>
          </w:tcPr>
          <w:p>
            <w:pPr>
              <w:pStyle w:val="TableContents"/>
              <w:spacing w:before="0" w:after="283"/>
              <w:jc w:val="left"/>
              <w:rPr/>
            </w:pPr>
            <w:r>
              <w:rPr/>
              <w:t> </w:t>
            </w:r>
          </w:p>
        </w:tc>
        <w:tc>
          <w:tcPr>
            <w:tcW w:w="759" w:type="dxa"/>
            <w:tcBorders>
              <w:bottom w:val="double" w:sz="8" w:space="0" w:color="000000"/>
            </w:tcBorders>
            <w:shd w:fill="FFFFFF" w:val="clear"/>
            <w:tcMar>
              <w:top w:w="0" w:type="dxa"/>
            </w:tcMar>
            <w:vAlign w:val="bottom"/>
          </w:tcPr>
          <w:p>
            <w:pPr>
              <w:pStyle w:val="TableContents"/>
              <w:spacing w:before="0" w:after="283"/>
              <w:ind w:left="171" w:right="0" w:hanging="0"/>
              <w:jc w:val="right"/>
              <w:rPr>
                <w:rFonts w:ascii="times new roman" w:hAnsi="times new roman"/>
                <w:sz w:val="20"/>
              </w:rPr>
            </w:pPr>
            <w:bookmarkStart w:id="3267" w:name="TAB11704"/>
            <w:bookmarkEnd w:id="3267"/>
            <w:r>
              <w:rPr>
                <w:rFonts w:ascii="times new roman" w:hAnsi="times new roman"/>
                <w:sz w:val="20"/>
              </w:rPr>
              <w:t>1,797</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54" w:type="dxa"/>
            <w:tcBorders>
              <w:bottom w:val="double" w:sz="8" w:space="0" w:color="000000"/>
            </w:tcBorders>
            <w:shd w:fill="FFFFFF" w:val="clear"/>
            <w:tcMar>
              <w:top w:w="0" w:type="dxa"/>
            </w:tcMar>
            <w:vAlign w:val="bottom"/>
          </w:tcPr>
          <w:p>
            <w:pPr>
              <w:pStyle w:val="TableContents"/>
              <w:spacing w:before="0" w:after="283"/>
              <w:jc w:val="left"/>
              <w:rPr/>
            </w:pPr>
            <w:r>
              <w:rPr/>
              <w:t> </w:t>
            </w:r>
          </w:p>
        </w:tc>
        <w:tc>
          <w:tcPr>
            <w:tcW w:w="803" w:type="dxa"/>
            <w:tcBorders>
              <w:bottom w:val="double" w:sz="8" w:space="0" w:color="000000"/>
            </w:tcBorders>
            <w:shd w:fill="FFFFFF" w:val="clear"/>
            <w:tcMar>
              <w:top w:w="0" w:type="dxa"/>
            </w:tcMar>
            <w:vAlign w:val="bottom"/>
          </w:tcPr>
          <w:p>
            <w:pPr>
              <w:pStyle w:val="TableContents"/>
              <w:spacing w:before="0" w:after="283"/>
              <w:ind w:left="193" w:right="0" w:hanging="0"/>
              <w:jc w:val="right"/>
              <w:rPr>
                <w:rFonts w:ascii="times new roman" w:hAnsi="times new roman"/>
                <w:sz w:val="20"/>
              </w:rPr>
            </w:pPr>
            <w:bookmarkStart w:id="3268" w:name="TAB11705"/>
            <w:bookmarkEnd w:id="3268"/>
            <w:r>
              <w:rPr>
                <w:rFonts w:ascii="times new roman" w:hAnsi="times new roman"/>
                <w:sz w:val="20"/>
              </w:rPr>
              <w:t>1,245</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51" w:type="dxa"/>
            <w:tcBorders>
              <w:bottom w:val="double" w:sz="8" w:space="0" w:color="000000"/>
            </w:tcBorders>
            <w:shd w:fill="FFFFFF" w:val="clear"/>
            <w:tcMar>
              <w:top w:w="0" w:type="dxa"/>
            </w:tcMar>
            <w:vAlign w:val="bottom"/>
          </w:tcPr>
          <w:p>
            <w:pPr>
              <w:pStyle w:val="TableContents"/>
              <w:spacing w:before="0" w:after="283"/>
              <w:jc w:val="left"/>
              <w:rPr/>
            </w:pPr>
            <w:r>
              <w:rPr/>
              <w:t> </w:t>
            </w:r>
          </w:p>
        </w:tc>
        <w:tc>
          <w:tcPr>
            <w:tcW w:w="794" w:type="dxa"/>
            <w:tcBorders>
              <w:bottom w:val="double" w:sz="8" w:space="0" w:color="000000"/>
            </w:tcBorders>
            <w:shd w:fill="FFFFFF" w:val="clear"/>
            <w:tcMar>
              <w:top w:w="0" w:type="dxa"/>
            </w:tcMar>
            <w:vAlign w:val="bottom"/>
          </w:tcPr>
          <w:p>
            <w:pPr>
              <w:pStyle w:val="TableContents"/>
              <w:spacing w:before="0" w:after="283"/>
              <w:ind w:left="193" w:right="0" w:hanging="0"/>
              <w:jc w:val="right"/>
              <w:rPr>
                <w:rFonts w:ascii="times new roman" w:hAnsi="times new roman"/>
                <w:sz w:val="20"/>
              </w:rPr>
            </w:pPr>
            <w:bookmarkStart w:id="3269" w:name="TAB11706"/>
            <w:bookmarkEnd w:id="3269"/>
            <w:r>
              <w:rPr>
                <w:rFonts w:ascii="times new roman" w:hAnsi="times new roman"/>
                <w:sz w:val="20"/>
              </w:rPr>
              <w:t>1,064</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38" w:type="dxa"/>
            <w:tcBorders>
              <w:bottom w:val="double" w:sz="8" w:space="0" w:color="000000"/>
            </w:tcBorders>
            <w:shd w:fill="FFFFFF" w:val="clear"/>
            <w:tcMar>
              <w:top w:w="0" w:type="dxa"/>
            </w:tcMar>
            <w:vAlign w:val="bottom"/>
          </w:tcPr>
          <w:p>
            <w:pPr>
              <w:pStyle w:val="TableContents"/>
              <w:spacing w:before="0" w:after="283"/>
              <w:jc w:val="left"/>
              <w:rPr/>
            </w:pPr>
            <w:r>
              <w:rPr/>
              <w:t> </w:t>
            </w:r>
          </w:p>
        </w:tc>
        <w:tc>
          <w:tcPr>
            <w:tcW w:w="811" w:type="dxa"/>
            <w:tcBorders>
              <w:bottom w:val="double" w:sz="8" w:space="0" w:color="000000"/>
            </w:tcBorders>
            <w:shd w:fill="FFFFFF" w:val="clear"/>
            <w:tcMar>
              <w:top w:w="0" w:type="dxa"/>
            </w:tcMar>
            <w:vAlign w:val="bottom"/>
          </w:tcPr>
          <w:p>
            <w:pPr>
              <w:pStyle w:val="TableContents"/>
              <w:spacing w:before="0" w:after="283"/>
              <w:ind w:left="227" w:right="0" w:hanging="0"/>
              <w:jc w:val="right"/>
              <w:rPr>
                <w:rFonts w:ascii="times new roman" w:hAnsi="times new roman"/>
                <w:sz w:val="20"/>
              </w:rPr>
            </w:pPr>
            <w:bookmarkStart w:id="3270" w:name="TAB11707"/>
            <w:bookmarkEnd w:id="3270"/>
            <w:r>
              <w:rPr>
                <w:rFonts w:ascii="times new roman" w:hAnsi="times new roman"/>
                <w:sz w:val="20"/>
              </w:rPr>
              <w:t>4,255</w:t>
            </w:r>
          </w:p>
        </w:tc>
        <w:tc>
          <w:tcPr>
            <w:tcW w:w="136" w:type="dxa"/>
            <w:tcBorders/>
            <w:shd w:fill="FFFFFF" w:val="clear"/>
            <w:tcMar>
              <w:top w:w="0" w:type="dxa"/>
              <w:bottom w:w="0" w:type="dxa"/>
            </w:tcMar>
            <w:vAlign w:val="bottom"/>
          </w:tcPr>
          <w:p>
            <w:pPr>
              <w:pStyle w:val="TableContents"/>
              <w:spacing w:before="0" w:after="283"/>
              <w:jc w:val="left"/>
              <w:rPr/>
            </w:pPr>
            <w:r>
              <w:rPr/>
              <w:t> </w:t>
            </w:r>
          </w:p>
        </w:tc>
      </w:tr>
      <w:tr>
        <w:trPr/>
        <w:tc>
          <w:tcPr>
            <w:tcW w:w="1620" w:type="dxa"/>
            <w:tcBorders/>
            <w:shd w:fill="CCEEFF" w:val="clear"/>
            <w:tcMar>
              <w:top w:w="0" w:type="dxa"/>
              <w:bottom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Member distributions (Unaudited)</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shd w:fill="CCEEFF" w:val="clear"/>
            <w:tcMar>
              <w:top w:w="0" w:type="dxa"/>
              <w:bottom w:w="0" w:type="dxa"/>
            </w:tcMar>
            <w:vAlign w:val="bottom"/>
          </w:tcPr>
          <w:p>
            <w:pPr>
              <w:pStyle w:val="TableContents"/>
              <w:spacing w:before="0" w:after="283"/>
              <w:jc w:val="left"/>
              <w:rPr/>
            </w:pPr>
            <w:r>
              <w:rPr/>
              <w:t> </w:t>
            </w:r>
          </w:p>
        </w:tc>
        <w:tc>
          <w:tcPr>
            <w:tcW w:w="657" w:type="dxa"/>
            <w:tcBorders/>
            <w:shd w:fill="CCEEFF" w:val="clear"/>
            <w:tcMar>
              <w:top w:w="0" w:type="dxa"/>
              <w:bottom w:w="0" w:type="dxa"/>
            </w:tcMar>
            <w:vAlign w:val="bottom"/>
          </w:tcPr>
          <w:p>
            <w:pPr>
              <w:pStyle w:val="TableContents"/>
              <w:spacing w:before="0" w:after="283"/>
              <w:ind w:left="615" w:right="0" w:hanging="0"/>
              <w:jc w:val="right"/>
              <w:rPr>
                <w:rFonts w:ascii="times new roman" w:hAnsi="times new roman"/>
                <w:sz w:val="20"/>
              </w:rPr>
            </w:pPr>
            <w:bookmarkStart w:id="3271" w:name="TAB11708"/>
            <w:bookmarkEnd w:id="3271"/>
            <w:r>
              <w:rPr>
                <w:rFonts w:ascii="times new roman" w:hAnsi="times new roman"/>
                <w:sz w:val="20"/>
              </w:rPr>
              <w:t>--</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shd w:fill="CCEEFF" w:val="clear"/>
            <w:tcMar>
              <w:top w:w="0" w:type="dxa"/>
              <w:bottom w:w="0" w:type="dxa"/>
            </w:tcMar>
            <w:vAlign w:val="bottom"/>
          </w:tcPr>
          <w:p>
            <w:pPr>
              <w:pStyle w:val="TableContents"/>
              <w:spacing w:before="0" w:after="283"/>
              <w:jc w:val="left"/>
              <w:rPr/>
            </w:pPr>
            <w:r>
              <w:rPr/>
              <w:t> </w:t>
            </w:r>
          </w:p>
        </w:tc>
        <w:tc>
          <w:tcPr>
            <w:tcW w:w="657" w:type="dxa"/>
            <w:tcBorders/>
            <w:shd w:fill="CCEEFF" w:val="clear"/>
            <w:tcMar>
              <w:top w:w="0" w:type="dxa"/>
              <w:bottom w:w="0" w:type="dxa"/>
            </w:tcMar>
            <w:vAlign w:val="bottom"/>
          </w:tcPr>
          <w:p>
            <w:pPr>
              <w:pStyle w:val="TableContents"/>
              <w:spacing w:before="0" w:after="283"/>
              <w:ind w:left="615" w:right="0" w:hanging="0"/>
              <w:jc w:val="right"/>
              <w:rPr>
                <w:rFonts w:ascii="times new roman" w:hAnsi="times new roman"/>
                <w:sz w:val="20"/>
              </w:rPr>
            </w:pPr>
            <w:bookmarkStart w:id="3272" w:name="TAB11709"/>
            <w:bookmarkEnd w:id="3272"/>
            <w:r>
              <w:rPr>
                <w:rFonts w:ascii="times new roman" w:hAnsi="times new roman"/>
                <w:sz w:val="20"/>
              </w:rPr>
              <w:t>--</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72" w:type="dxa"/>
            <w:tcBorders/>
            <w:shd w:fill="CCEEFF" w:val="clear"/>
            <w:tcMar>
              <w:top w:w="0" w:type="dxa"/>
              <w:bottom w:w="0" w:type="dxa"/>
            </w:tcMar>
            <w:vAlign w:val="bottom"/>
          </w:tcPr>
          <w:p>
            <w:pPr>
              <w:pStyle w:val="TableContents"/>
              <w:spacing w:before="0" w:after="283"/>
              <w:jc w:val="left"/>
              <w:rPr/>
            </w:pPr>
            <w:r>
              <w:rPr/>
              <w:t> </w:t>
            </w:r>
          </w:p>
        </w:tc>
        <w:tc>
          <w:tcPr>
            <w:tcW w:w="632" w:type="dxa"/>
            <w:tcBorders/>
            <w:shd w:fill="CCEEFF" w:val="clear"/>
            <w:tcMar>
              <w:top w:w="0" w:type="dxa"/>
              <w:bottom w:w="0" w:type="dxa"/>
            </w:tcMar>
            <w:vAlign w:val="bottom"/>
          </w:tcPr>
          <w:p>
            <w:pPr>
              <w:pStyle w:val="TableContents"/>
              <w:spacing w:before="0" w:after="283"/>
              <w:ind w:left="615" w:right="0" w:hanging="0"/>
              <w:jc w:val="right"/>
              <w:rPr>
                <w:rFonts w:ascii="times new roman" w:hAnsi="times new roman"/>
                <w:sz w:val="20"/>
              </w:rPr>
            </w:pPr>
            <w:bookmarkStart w:id="3273" w:name="TAB11710"/>
            <w:bookmarkEnd w:id="3273"/>
            <w:r>
              <w:rPr>
                <w:rFonts w:ascii="times new roman" w:hAnsi="times new roman"/>
                <w:sz w:val="20"/>
              </w:rPr>
              <w:t>--</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shd w:fill="CCEEFF" w:val="clear"/>
            <w:tcMar>
              <w:top w:w="0" w:type="dxa"/>
              <w:bottom w:w="0" w:type="dxa"/>
            </w:tcMar>
            <w:vAlign w:val="bottom"/>
          </w:tcPr>
          <w:p>
            <w:pPr>
              <w:pStyle w:val="TableContents"/>
              <w:spacing w:before="0" w:after="283"/>
              <w:jc w:val="left"/>
              <w:rPr/>
            </w:pPr>
            <w:r>
              <w:rPr/>
              <w:t> </w:t>
            </w:r>
          </w:p>
        </w:tc>
        <w:tc>
          <w:tcPr>
            <w:tcW w:w="657" w:type="dxa"/>
            <w:tcBorders/>
            <w:shd w:fill="CCEEFF" w:val="clear"/>
            <w:tcMar>
              <w:top w:w="0" w:type="dxa"/>
              <w:bottom w:w="0" w:type="dxa"/>
            </w:tcMar>
            <w:vAlign w:val="bottom"/>
          </w:tcPr>
          <w:p>
            <w:pPr>
              <w:pStyle w:val="TableContents"/>
              <w:spacing w:before="0" w:after="283"/>
              <w:ind w:left="615" w:right="0" w:hanging="0"/>
              <w:jc w:val="right"/>
              <w:rPr>
                <w:rFonts w:ascii="times new roman" w:hAnsi="times new roman"/>
                <w:sz w:val="20"/>
              </w:rPr>
            </w:pPr>
            <w:bookmarkStart w:id="3274" w:name="TAB11711"/>
            <w:bookmarkEnd w:id="3274"/>
            <w:r>
              <w:rPr>
                <w:rFonts w:ascii="times new roman" w:hAnsi="times new roman"/>
                <w:sz w:val="20"/>
              </w:rPr>
              <w:t>--</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4" w:type="dxa"/>
            <w:tcBorders/>
            <w:shd w:fill="CCEEFF" w:val="clear"/>
            <w:tcMar>
              <w:top w:w="0" w:type="dxa"/>
              <w:bottom w:w="0" w:type="dxa"/>
            </w:tcMar>
            <w:vAlign w:val="bottom"/>
          </w:tcPr>
          <w:p>
            <w:pPr>
              <w:pStyle w:val="TableContents"/>
              <w:spacing w:before="0" w:after="283"/>
              <w:jc w:val="left"/>
              <w:rPr/>
            </w:pPr>
            <w:r>
              <w:rPr/>
              <w:t> </w:t>
            </w:r>
          </w:p>
        </w:tc>
        <w:tc>
          <w:tcPr>
            <w:tcW w:w="759" w:type="dxa"/>
            <w:tcBorders/>
            <w:shd w:fill="CCEEFF" w:val="clear"/>
            <w:tcMar>
              <w:top w:w="0" w:type="dxa"/>
              <w:bottom w:w="0" w:type="dxa"/>
            </w:tcMar>
            <w:vAlign w:val="bottom"/>
          </w:tcPr>
          <w:p>
            <w:pPr>
              <w:pStyle w:val="TableContents"/>
              <w:spacing w:before="0" w:after="283"/>
              <w:ind w:left="559" w:right="0" w:hanging="0"/>
              <w:jc w:val="right"/>
              <w:rPr>
                <w:rFonts w:ascii="times new roman" w:hAnsi="times new roman"/>
                <w:sz w:val="20"/>
              </w:rPr>
            </w:pPr>
            <w:bookmarkStart w:id="3275" w:name="TAB11712"/>
            <w:bookmarkEnd w:id="3275"/>
            <w:r>
              <w:rPr>
                <w:rFonts w:ascii="times new roman" w:hAnsi="times new roman"/>
                <w:sz w:val="20"/>
              </w:rPr>
              <w:t>--</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54" w:type="dxa"/>
            <w:tcBorders/>
            <w:shd w:fill="CCEEFF" w:val="clear"/>
            <w:tcMar>
              <w:top w:w="0" w:type="dxa"/>
              <w:bottom w:w="0" w:type="dxa"/>
            </w:tcMar>
            <w:vAlign w:val="bottom"/>
          </w:tcPr>
          <w:p>
            <w:pPr>
              <w:pStyle w:val="TableContents"/>
              <w:spacing w:before="0" w:after="283"/>
              <w:jc w:val="left"/>
              <w:rPr/>
            </w:pPr>
            <w:r>
              <w:rPr/>
              <w:t> </w:t>
            </w:r>
          </w:p>
        </w:tc>
        <w:tc>
          <w:tcPr>
            <w:tcW w:w="803" w:type="dxa"/>
            <w:tcBorders/>
            <w:shd w:fill="CCEEFF" w:val="clear"/>
            <w:tcMar>
              <w:top w:w="0" w:type="dxa"/>
              <w:bottom w:w="0" w:type="dxa"/>
            </w:tcMar>
            <w:vAlign w:val="bottom"/>
          </w:tcPr>
          <w:p>
            <w:pPr>
              <w:pStyle w:val="TableContents"/>
              <w:spacing w:before="0" w:after="283"/>
              <w:ind w:left="615" w:right="0" w:hanging="0"/>
              <w:jc w:val="right"/>
              <w:rPr>
                <w:rFonts w:ascii="times new roman" w:hAnsi="times new roman"/>
                <w:sz w:val="20"/>
              </w:rPr>
            </w:pPr>
            <w:bookmarkStart w:id="3276" w:name="TAB11713"/>
            <w:bookmarkEnd w:id="3276"/>
            <w:r>
              <w:rPr>
                <w:rFonts w:ascii="times new roman" w:hAnsi="times new roman"/>
                <w:sz w:val="20"/>
              </w:rPr>
              <w:t>--</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51" w:type="dxa"/>
            <w:tcBorders/>
            <w:shd w:fill="CCEEFF" w:val="clear"/>
            <w:tcMar>
              <w:top w:w="0" w:type="dxa"/>
              <w:bottom w:w="0" w:type="dxa"/>
            </w:tcMar>
            <w:vAlign w:val="bottom"/>
          </w:tcPr>
          <w:p>
            <w:pPr>
              <w:pStyle w:val="TableContents"/>
              <w:spacing w:before="0" w:after="283"/>
              <w:jc w:val="left"/>
              <w:rPr/>
            </w:pPr>
            <w:r>
              <w:rPr/>
              <w:t> </w:t>
            </w:r>
          </w:p>
        </w:tc>
        <w:tc>
          <w:tcPr>
            <w:tcW w:w="794" w:type="dxa"/>
            <w:tcBorders/>
            <w:shd w:fill="CCEEFF" w:val="clear"/>
            <w:tcMar>
              <w:top w:w="0" w:type="dxa"/>
              <w:bottom w:w="0" w:type="dxa"/>
            </w:tcMar>
            <w:vAlign w:val="bottom"/>
          </w:tcPr>
          <w:p>
            <w:pPr>
              <w:pStyle w:val="TableContents"/>
              <w:spacing w:before="0" w:after="283"/>
              <w:ind w:left="615" w:right="0" w:hanging="0"/>
              <w:jc w:val="right"/>
              <w:rPr>
                <w:rFonts w:ascii="times new roman" w:hAnsi="times new roman"/>
                <w:sz w:val="20"/>
              </w:rPr>
            </w:pPr>
            <w:bookmarkStart w:id="3277" w:name="TAB11714"/>
            <w:bookmarkEnd w:id="3277"/>
            <w:r>
              <w:rPr>
                <w:rFonts w:ascii="times new roman" w:hAnsi="times new roman"/>
                <w:sz w:val="20"/>
              </w:rPr>
              <w:t>--</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38" w:type="dxa"/>
            <w:tcBorders/>
            <w:shd w:fill="CCEEFF" w:val="clear"/>
            <w:tcMar>
              <w:top w:w="0" w:type="dxa"/>
              <w:bottom w:w="0" w:type="dxa"/>
            </w:tcMar>
            <w:vAlign w:val="bottom"/>
          </w:tcPr>
          <w:p>
            <w:pPr>
              <w:pStyle w:val="TableContents"/>
              <w:spacing w:before="0" w:after="283"/>
              <w:jc w:val="left"/>
              <w:rPr/>
            </w:pPr>
            <w:r>
              <w:rPr/>
              <w:t> </w:t>
            </w:r>
          </w:p>
        </w:tc>
        <w:tc>
          <w:tcPr>
            <w:tcW w:w="811" w:type="dxa"/>
            <w:tcBorders/>
            <w:shd w:fill="CCEE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CEEFF" w:val="clear"/>
            <w:tcMar>
              <w:top w:w="0" w:type="dxa"/>
              <w:bottom w:w="0" w:type="dxa"/>
            </w:tcMar>
            <w:vAlign w:val="bottom"/>
          </w:tcPr>
          <w:p>
            <w:pPr>
              <w:pStyle w:val="TableContents"/>
              <w:spacing w:before="0" w:after="283"/>
              <w:jc w:val="left"/>
              <w:rPr/>
            </w:pPr>
            <w:r>
              <w:rPr/>
              <w:t> </w:t>
            </w:r>
          </w:p>
        </w:tc>
      </w:tr>
      <w:tr>
        <w:trPr/>
        <w:tc>
          <w:tcPr>
            <w:tcW w:w="1620" w:type="dxa"/>
            <w:tcBorders>
              <w:bottom w:val="single" w:sz="12" w:space="0" w:color="000000"/>
            </w:tcBorders>
            <w:shd w:fill="FFFFFF" w:val="clear"/>
            <w:tcMar>
              <w:top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 (Unaudited)</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bottom w:val="single" w:sz="12" w:space="0" w:color="000000"/>
            </w:tcBorders>
            <w:shd w:fill="FFFFFF" w:val="clear"/>
            <w:tcMar>
              <w:top w:w="0" w:type="dxa"/>
            </w:tcMar>
            <w:vAlign w:val="bottom"/>
          </w:tcPr>
          <w:p>
            <w:pPr>
              <w:pStyle w:val="TableContents"/>
              <w:spacing w:before="0" w:after="283"/>
              <w:jc w:val="left"/>
              <w:rPr/>
            </w:pPr>
            <w:r>
              <w:rPr/>
              <w:t> </w:t>
            </w:r>
          </w:p>
        </w:tc>
        <w:tc>
          <w:tcPr>
            <w:tcW w:w="657" w:type="dxa"/>
            <w:tcBorders>
              <w:bottom w:val="single" w:sz="12" w:space="0" w:color="000000"/>
            </w:tcBorders>
            <w:shd w:fill="FFFFFF" w:val="clear"/>
            <w:tcMar>
              <w:top w:w="0" w:type="dxa"/>
            </w:tcMar>
            <w:vAlign w:val="bottom"/>
          </w:tcPr>
          <w:p>
            <w:pPr>
              <w:pStyle w:val="TableContents"/>
              <w:spacing w:before="0" w:after="283"/>
              <w:ind w:left="393" w:right="0" w:hanging="0"/>
              <w:jc w:val="right"/>
              <w:rPr>
                <w:rFonts w:ascii="times new roman" w:hAnsi="times new roman"/>
                <w:sz w:val="20"/>
              </w:rPr>
            </w:pPr>
            <w:bookmarkStart w:id="3278" w:name="TAB11715"/>
            <w:bookmarkEnd w:id="3278"/>
            <w:r>
              <w:rPr>
                <w:rFonts w:ascii="times new roman" w:hAnsi="times new roman"/>
                <w:sz w:val="20"/>
              </w:rPr>
              <w:t>131</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bottom w:val="single" w:sz="12" w:space="0" w:color="000000"/>
            </w:tcBorders>
            <w:shd w:fill="FFFFFF" w:val="clear"/>
            <w:tcMar>
              <w:top w:w="0" w:type="dxa"/>
            </w:tcMar>
            <w:vAlign w:val="bottom"/>
          </w:tcPr>
          <w:p>
            <w:pPr>
              <w:pStyle w:val="TableContents"/>
              <w:spacing w:before="0" w:after="283"/>
              <w:jc w:val="left"/>
              <w:rPr/>
            </w:pPr>
            <w:r>
              <w:rPr/>
              <w:t> </w:t>
            </w:r>
          </w:p>
        </w:tc>
        <w:tc>
          <w:tcPr>
            <w:tcW w:w="657" w:type="dxa"/>
            <w:tcBorders>
              <w:bottom w:val="single" w:sz="12" w:space="0" w:color="000000"/>
            </w:tcBorders>
            <w:shd w:fill="FFFFFF" w:val="clear"/>
            <w:tcMar>
              <w:top w:w="0" w:type="dxa"/>
            </w:tcMar>
            <w:vAlign w:val="bottom"/>
          </w:tcPr>
          <w:p>
            <w:pPr>
              <w:pStyle w:val="TableContents"/>
              <w:spacing w:before="0" w:after="283"/>
              <w:ind w:left="393" w:right="0" w:hanging="0"/>
              <w:jc w:val="right"/>
              <w:rPr>
                <w:rFonts w:ascii="times new roman" w:hAnsi="times new roman"/>
                <w:sz w:val="20"/>
              </w:rPr>
            </w:pPr>
            <w:bookmarkStart w:id="3279" w:name="TAB11716"/>
            <w:bookmarkEnd w:id="3279"/>
            <w:r>
              <w:rPr>
                <w:rFonts w:ascii="times new roman" w:hAnsi="times new roman"/>
                <w:sz w:val="20"/>
              </w:rPr>
              <w:t>127</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72" w:type="dxa"/>
            <w:tcBorders>
              <w:bottom w:val="single" w:sz="12" w:space="0" w:color="000000"/>
            </w:tcBorders>
            <w:shd w:fill="FFFFFF" w:val="clear"/>
            <w:tcMar>
              <w:top w:w="0" w:type="dxa"/>
            </w:tcMar>
            <w:vAlign w:val="bottom"/>
          </w:tcPr>
          <w:p>
            <w:pPr>
              <w:pStyle w:val="TableContents"/>
              <w:spacing w:before="0" w:after="283"/>
              <w:jc w:val="left"/>
              <w:rPr/>
            </w:pPr>
            <w:r>
              <w:rPr/>
              <w:t> </w:t>
            </w:r>
          </w:p>
        </w:tc>
        <w:tc>
          <w:tcPr>
            <w:tcW w:w="632" w:type="dxa"/>
            <w:tcBorders>
              <w:bottom w:val="single" w:sz="12"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bottom w:val="single" w:sz="12" w:space="0" w:color="000000"/>
            </w:tcBorders>
            <w:shd w:fill="FFFFFF" w:val="clear"/>
            <w:tcMar>
              <w:top w:w="0" w:type="dxa"/>
            </w:tcMar>
            <w:vAlign w:val="bottom"/>
          </w:tcPr>
          <w:p>
            <w:pPr>
              <w:pStyle w:val="TableContents"/>
              <w:spacing w:before="0" w:after="283"/>
              <w:jc w:val="left"/>
              <w:rPr/>
            </w:pPr>
            <w:r>
              <w:rPr/>
              <w:t> </w:t>
            </w:r>
          </w:p>
        </w:tc>
        <w:tc>
          <w:tcPr>
            <w:tcW w:w="657" w:type="dxa"/>
            <w:tcBorders>
              <w:bottom w:val="single" w:sz="12"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4" w:type="dxa"/>
            <w:tcBorders>
              <w:bottom w:val="single" w:sz="12" w:space="0" w:color="000000"/>
            </w:tcBorders>
            <w:shd w:fill="FFFFFF" w:val="clear"/>
            <w:tcMar>
              <w:top w:w="0" w:type="dxa"/>
            </w:tcMar>
            <w:vAlign w:val="bottom"/>
          </w:tcPr>
          <w:p>
            <w:pPr>
              <w:pStyle w:val="TableContents"/>
              <w:spacing w:before="0" w:after="283"/>
              <w:jc w:val="left"/>
              <w:rPr/>
            </w:pPr>
            <w:r>
              <w:rPr/>
              <w:t> </w:t>
            </w:r>
          </w:p>
        </w:tc>
        <w:tc>
          <w:tcPr>
            <w:tcW w:w="759" w:type="dxa"/>
            <w:tcBorders>
              <w:bottom w:val="single" w:sz="12" w:space="0" w:color="000000"/>
            </w:tcBorders>
            <w:shd w:fill="FFFFFF" w:val="clear"/>
            <w:tcMar>
              <w:top w:w="0" w:type="dxa"/>
            </w:tcMar>
            <w:vAlign w:val="bottom"/>
          </w:tcPr>
          <w:p>
            <w:pPr>
              <w:pStyle w:val="TableContents"/>
              <w:spacing w:before="0" w:after="283"/>
              <w:ind w:left="230" w:right="0" w:hanging="0"/>
              <w:jc w:val="right"/>
              <w:rPr>
                <w:rFonts w:ascii="times new roman" w:hAnsi="times new roman"/>
                <w:sz w:val="20"/>
              </w:rPr>
            </w:pPr>
            <w:bookmarkStart w:id="3280" w:name="TAB11717"/>
            <w:bookmarkEnd w:id="3280"/>
            <w:r>
              <w:rPr>
                <w:rFonts w:ascii="times new roman" w:hAnsi="times new roman"/>
                <w:sz w:val="20"/>
              </w:rPr>
              <w:t>--</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54" w:type="dxa"/>
            <w:tcBorders>
              <w:bottom w:val="single" w:sz="12" w:space="0" w:color="000000"/>
            </w:tcBorders>
            <w:shd w:fill="FFFFFF" w:val="clear"/>
            <w:tcMar>
              <w:top w:w="0" w:type="dxa"/>
            </w:tcMar>
            <w:vAlign w:val="bottom"/>
          </w:tcPr>
          <w:p>
            <w:pPr>
              <w:pStyle w:val="TableContents"/>
              <w:spacing w:before="0" w:after="283"/>
              <w:jc w:val="left"/>
              <w:rPr/>
            </w:pPr>
            <w:r>
              <w:rPr/>
              <w:t> </w:t>
            </w:r>
          </w:p>
        </w:tc>
        <w:tc>
          <w:tcPr>
            <w:tcW w:w="803" w:type="dxa"/>
            <w:tcBorders>
              <w:bottom w:val="single" w:sz="12" w:space="0" w:color="000000"/>
            </w:tcBorders>
            <w:shd w:fill="FFFFFF" w:val="clear"/>
            <w:tcMar>
              <w:top w:w="0" w:type="dxa"/>
            </w:tcMar>
            <w:vAlign w:val="bottom"/>
          </w:tcPr>
          <w:p>
            <w:pPr>
              <w:pStyle w:val="TableContents"/>
              <w:spacing w:before="0" w:after="283"/>
              <w:ind w:left="427" w:right="0" w:hanging="0"/>
              <w:jc w:val="right"/>
              <w:rPr>
                <w:rFonts w:ascii="times new roman" w:hAnsi="times new roman"/>
                <w:sz w:val="20"/>
              </w:rPr>
            </w:pPr>
            <w:bookmarkStart w:id="3281" w:name="TAB11718"/>
            <w:bookmarkEnd w:id="3281"/>
            <w:r>
              <w:rPr>
                <w:rFonts w:ascii="times new roman" w:hAnsi="times new roman"/>
                <w:sz w:val="20"/>
              </w:rPr>
              <w:t>243</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51" w:type="dxa"/>
            <w:tcBorders>
              <w:bottom w:val="single" w:sz="12" w:space="0" w:color="000000"/>
            </w:tcBorders>
            <w:shd w:fill="FFFFFF" w:val="clear"/>
            <w:tcMar>
              <w:top w:w="0" w:type="dxa"/>
            </w:tcMar>
            <w:vAlign w:val="bottom"/>
          </w:tcPr>
          <w:p>
            <w:pPr>
              <w:pStyle w:val="TableContents"/>
              <w:spacing w:before="0" w:after="283"/>
              <w:jc w:val="left"/>
              <w:rPr/>
            </w:pPr>
            <w:r>
              <w:rPr/>
              <w:t> </w:t>
            </w:r>
          </w:p>
        </w:tc>
        <w:tc>
          <w:tcPr>
            <w:tcW w:w="794" w:type="dxa"/>
            <w:tcBorders>
              <w:bottom w:val="single" w:sz="12" w:space="0" w:color="000000"/>
            </w:tcBorders>
            <w:shd w:fill="FFFFFF" w:val="clear"/>
            <w:tcMar>
              <w:top w:w="0" w:type="dxa"/>
            </w:tcMar>
            <w:vAlign w:val="bottom"/>
          </w:tcPr>
          <w:p>
            <w:pPr>
              <w:pStyle w:val="TableContents"/>
              <w:spacing w:before="0" w:after="283"/>
              <w:ind w:left="393" w:right="0" w:hanging="0"/>
              <w:jc w:val="right"/>
              <w:rPr>
                <w:rFonts w:ascii="times new roman" w:hAnsi="times new roman"/>
                <w:sz w:val="20"/>
              </w:rPr>
            </w:pPr>
            <w:bookmarkStart w:id="3282" w:name="TAB11719"/>
            <w:bookmarkEnd w:id="3282"/>
            <w:r>
              <w:rPr>
                <w:rFonts w:ascii="times new roman" w:hAnsi="times new roman"/>
                <w:sz w:val="20"/>
              </w:rPr>
              <w:t>208</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38" w:type="dxa"/>
            <w:tcBorders>
              <w:bottom w:val="single" w:sz="12" w:space="0" w:color="000000"/>
            </w:tcBorders>
            <w:shd w:fill="FFFFFF" w:val="clear"/>
            <w:tcMar>
              <w:top w:w="0" w:type="dxa"/>
            </w:tcMar>
            <w:vAlign w:val="bottom"/>
          </w:tcPr>
          <w:p>
            <w:pPr>
              <w:pStyle w:val="TableContents"/>
              <w:spacing w:before="0" w:after="283"/>
              <w:jc w:val="left"/>
              <w:rPr/>
            </w:pPr>
            <w:r>
              <w:rPr/>
              <w:t> </w:t>
            </w:r>
          </w:p>
        </w:tc>
        <w:tc>
          <w:tcPr>
            <w:tcW w:w="811" w:type="dxa"/>
            <w:tcBorders>
              <w:bottom w:val="single" w:sz="12" w:space="0" w:color="000000"/>
            </w:tcBorders>
            <w:shd w:fill="FFFFFF" w:val="clear"/>
            <w:tcMar>
              <w:top w:w="0" w:type="dxa"/>
            </w:tcMar>
            <w:vAlign w:val="bottom"/>
          </w:tcPr>
          <w:p>
            <w:pPr>
              <w:pStyle w:val="TableContents"/>
              <w:spacing w:before="0" w:after="283"/>
              <w:ind w:left="427" w:right="0" w:hanging="0"/>
              <w:jc w:val="right"/>
              <w:rPr>
                <w:rFonts w:ascii="times new roman" w:hAnsi="times new roman"/>
                <w:sz w:val="20"/>
              </w:rPr>
            </w:pPr>
            <w:bookmarkStart w:id="3283" w:name="TAB11720"/>
            <w:bookmarkEnd w:id="3283"/>
            <w:r>
              <w:rPr>
                <w:rFonts w:ascii="times new roman" w:hAnsi="times new roman"/>
                <w:sz w:val="20"/>
              </w:rPr>
              <w:t>833</w:t>
            </w:r>
          </w:p>
        </w:tc>
        <w:tc>
          <w:tcPr>
            <w:tcW w:w="136" w:type="dxa"/>
            <w:tcBorders/>
            <w:shd w:fill="FFFFFF" w:val="clear"/>
            <w:tcMar>
              <w:top w:w="0" w:type="dxa"/>
              <w:bottom w:w="0" w:type="dxa"/>
            </w:tcMar>
            <w:vAlign w:val="bottom"/>
          </w:tcPr>
          <w:p>
            <w:pPr>
              <w:pStyle w:val="TableContents"/>
              <w:spacing w:before="0" w:after="283"/>
              <w:jc w:val="left"/>
              <w:rPr/>
            </w:pPr>
            <w:r>
              <w:rPr/>
              <w:t> </w:t>
            </w:r>
          </w:p>
        </w:tc>
      </w:tr>
      <w:tr>
        <w:trPr/>
        <w:tc>
          <w:tcPr>
            <w:tcW w:w="1620" w:type="dxa"/>
            <w:tcBorders>
              <w:bottom w:val="double" w:sz="8" w:space="0" w:color="000000"/>
            </w:tcBorders>
            <w:shd w:fill="CCEEFF" w:val="clear"/>
            <w:tcMar>
              <w:top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Members equity – December 31, 2008 (Unaudited)</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72"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2"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4"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9"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1,797</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54"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1,488</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51"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1,272</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38"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1"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5,088</w:t>
            </w:r>
          </w:p>
        </w:tc>
        <w:tc>
          <w:tcPr>
            <w:tcW w:w="136" w:type="dxa"/>
            <w:tcBorders/>
            <w:shd w:fill="CCEEFF" w:val="clear"/>
            <w:tcMar>
              <w:top w:w="0" w:type="dxa"/>
              <w:bottom w:w="0" w:type="dxa"/>
            </w:tcMar>
            <w:vAlign w:val="bottom"/>
          </w:tcPr>
          <w:p>
            <w:pPr>
              <w:pStyle w:val="TableContents"/>
              <w:spacing w:before="0" w:after="283"/>
              <w:jc w:val="left"/>
              <w:rPr/>
            </w:pPr>
            <w:r>
              <w:rPr/>
              <w:t> </w:t>
            </w:r>
          </w:p>
        </w:tc>
      </w:tr>
      <w:tr>
        <w:trPr/>
        <w:tc>
          <w:tcPr>
            <w:tcW w:w="1620" w:type="dxa"/>
            <w:tcBorders/>
            <w:shd w:fill="FFFFFF" w:val="clear"/>
            <w:tcMar>
              <w:top w:w="0" w:type="dxa"/>
              <w:bottom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Member distributions (Unaudited)</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shd w:fill="FFFFFF" w:val="clear"/>
            <w:tcMar>
              <w:top w:w="0" w:type="dxa"/>
              <w:bottom w:w="0" w:type="dxa"/>
            </w:tcMar>
            <w:vAlign w:val="bottom"/>
          </w:tcPr>
          <w:p>
            <w:pPr>
              <w:pStyle w:val="TableContents"/>
              <w:spacing w:before="0" w:after="283"/>
              <w:jc w:val="left"/>
              <w:rPr/>
            </w:pPr>
            <w:r>
              <w:rPr/>
              <w:t> </w:t>
            </w:r>
          </w:p>
        </w:tc>
        <w:tc>
          <w:tcPr>
            <w:tcW w:w="657" w:type="dxa"/>
            <w:tcBorders/>
            <w:shd w:fill="FFFFFF" w:val="clear"/>
            <w:tcMar>
              <w:top w:w="0" w:type="dxa"/>
              <w:bottom w:w="0" w:type="dxa"/>
            </w:tcMar>
            <w:vAlign w:val="bottom"/>
          </w:tcPr>
          <w:p>
            <w:pPr>
              <w:pStyle w:val="TableContents"/>
              <w:spacing w:before="0" w:after="283"/>
              <w:ind w:left="215" w:right="0" w:hanging="0"/>
              <w:jc w:val="right"/>
              <w:rPr>
                <w:rFonts w:ascii="times new roman" w:hAnsi="times new roman"/>
                <w:sz w:val="20"/>
              </w:rPr>
            </w:pPr>
            <w:bookmarkStart w:id="3284" w:name="TAB11721"/>
            <w:bookmarkEnd w:id="3284"/>
            <w:r>
              <w:rPr>
                <w:rFonts w:ascii="times new roman" w:hAnsi="times new roman"/>
                <w:sz w:val="20"/>
              </w:rPr>
              <w:t>(137</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shd w:fill="FFFFFF" w:val="clear"/>
            <w:tcMar>
              <w:top w:w="0" w:type="dxa"/>
              <w:bottom w:w="0" w:type="dxa"/>
            </w:tcMar>
            <w:vAlign w:val="bottom"/>
          </w:tcPr>
          <w:p>
            <w:pPr>
              <w:pStyle w:val="TableContents"/>
              <w:spacing w:before="0" w:after="283"/>
              <w:jc w:val="left"/>
              <w:rPr/>
            </w:pPr>
            <w:r>
              <w:rPr/>
              <w:t> </w:t>
            </w:r>
          </w:p>
        </w:tc>
        <w:tc>
          <w:tcPr>
            <w:tcW w:w="657" w:type="dxa"/>
            <w:tcBorders/>
            <w:shd w:fill="FFFFFF" w:val="clear"/>
            <w:tcMar>
              <w:top w:w="0" w:type="dxa"/>
              <w:bottom w:w="0" w:type="dxa"/>
            </w:tcMar>
            <w:vAlign w:val="bottom"/>
          </w:tcPr>
          <w:p>
            <w:pPr>
              <w:pStyle w:val="TableContents"/>
              <w:spacing w:before="0" w:after="283"/>
              <w:ind w:left="215" w:right="0" w:hanging="0"/>
              <w:jc w:val="right"/>
              <w:rPr>
                <w:rFonts w:ascii="times new roman" w:hAnsi="times new roman"/>
                <w:sz w:val="20"/>
              </w:rPr>
            </w:pPr>
            <w:bookmarkStart w:id="3285" w:name="TAB11722"/>
            <w:bookmarkEnd w:id="3285"/>
            <w:r>
              <w:rPr>
                <w:rFonts w:ascii="times new roman" w:hAnsi="times new roman"/>
                <w:sz w:val="20"/>
              </w:rPr>
              <w:t>(134</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72" w:type="dxa"/>
            <w:tcBorders/>
            <w:shd w:fill="FFFFFF" w:val="clear"/>
            <w:tcMar>
              <w:top w:w="0" w:type="dxa"/>
              <w:bottom w:w="0" w:type="dxa"/>
            </w:tcMar>
            <w:vAlign w:val="bottom"/>
          </w:tcPr>
          <w:p>
            <w:pPr>
              <w:pStyle w:val="TableContents"/>
              <w:spacing w:before="0" w:after="283"/>
              <w:jc w:val="left"/>
              <w:rPr/>
            </w:pPr>
            <w:r>
              <w:rPr/>
              <w:t> </w:t>
            </w:r>
          </w:p>
        </w:tc>
        <w:tc>
          <w:tcPr>
            <w:tcW w:w="632" w:type="dxa"/>
            <w:tcBorders/>
            <w:shd w:fill="FFFFFF" w:val="clear"/>
            <w:tcMar>
              <w:top w:w="0" w:type="dxa"/>
              <w:bottom w:w="0" w:type="dxa"/>
            </w:tcMar>
            <w:vAlign w:val="bottom"/>
          </w:tcPr>
          <w:p>
            <w:pPr>
              <w:pStyle w:val="TableContents"/>
              <w:spacing w:before="0" w:after="283"/>
              <w:ind w:left="348" w:right="0" w:hanging="0"/>
              <w:jc w:val="right"/>
              <w:rPr>
                <w:rFonts w:ascii="times new roman" w:hAnsi="times new roman"/>
                <w:sz w:val="20"/>
              </w:rPr>
            </w:pPr>
            <w:bookmarkStart w:id="3286" w:name="TAB11723"/>
            <w:bookmarkEnd w:id="3286"/>
            <w:r>
              <w:rPr>
                <w:rFonts w:ascii="times new roman" w:hAnsi="times new roman"/>
                <w:sz w:val="20"/>
              </w:rPr>
              <w:t>(14</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shd w:fill="FFFFFF" w:val="clear"/>
            <w:tcMar>
              <w:top w:w="0" w:type="dxa"/>
              <w:bottom w:w="0" w:type="dxa"/>
            </w:tcMar>
            <w:vAlign w:val="bottom"/>
          </w:tcPr>
          <w:p>
            <w:pPr>
              <w:pStyle w:val="TableContents"/>
              <w:spacing w:before="0" w:after="283"/>
              <w:jc w:val="left"/>
              <w:rPr/>
            </w:pPr>
            <w:r>
              <w:rPr/>
              <w:t> </w:t>
            </w:r>
          </w:p>
        </w:tc>
        <w:tc>
          <w:tcPr>
            <w:tcW w:w="657" w:type="dxa"/>
            <w:tcBorders/>
            <w:shd w:fill="FFFFFF" w:val="clear"/>
            <w:tcMar>
              <w:top w:w="0" w:type="dxa"/>
              <w:bottom w:w="0" w:type="dxa"/>
            </w:tcMar>
            <w:vAlign w:val="bottom"/>
          </w:tcPr>
          <w:p>
            <w:pPr>
              <w:pStyle w:val="TableContents"/>
              <w:spacing w:before="0" w:after="283"/>
              <w:ind w:left="215" w:right="0" w:hanging="0"/>
              <w:jc w:val="right"/>
              <w:rPr>
                <w:rFonts w:ascii="times new roman" w:hAnsi="times new roman"/>
                <w:sz w:val="20"/>
              </w:rPr>
            </w:pPr>
            <w:bookmarkStart w:id="3287" w:name="TAB11724"/>
            <w:bookmarkEnd w:id="3287"/>
            <w:r>
              <w:rPr>
                <w:rFonts w:ascii="times new roman" w:hAnsi="times new roman"/>
                <w:sz w:val="20"/>
              </w:rPr>
              <w:t>(116</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4" w:type="dxa"/>
            <w:tcBorders/>
            <w:shd w:fill="FFFFFF" w:val="clear"/>
            <w:tcMar>
              <w:top w:w="0" w:type="dxa"/>
              <w:bottom w:w="0" w:type="dxa"/>
            </w:tcMar>
            <w:vAlign w:val="bottom"/>
          </w:tcPr>
          <w:p>
            <w:pPr>
              <w:pStyle w:val="TableContents"/>
              <w:spacing w:before="0" w:after="283"/>
              <w:jc w:val="left"/>
              <w:rPr/>
            </w:pPr>
            <w:r>
              <w:rPr/>
              <w:t> </w:t>
            </w:r>
          </w:p>
        </w:tc>
        <w:tc>
          <w:tcPr>
            <w:tcW w:w="759"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(1,728</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54" w:type="dxa"/>
            <w:tcBorders/>
            <w:shd w:fill="FFFFFF" w:val="clear"/>
            <w:tcMar>
              <w:top w:w="0" w:type="dxa"/>
              <w:bottom w:w="0" w:type="dxa"/>
            </w:tcMar>
            <w:vAlign w:val="bottom"/>
          </w:tcPr>
          <w:p>
            <w:pPr>
              <w:pStyle w:val="TableContents"/>
              <w:spacing w:before="0" w:after="283"/>
              <w:jc w:val="left"/>
              <w:rPr/>
            </w:pPr>
            <w:r>
              <w:rPr/>
              <w:t> </w:t>
            </w:r>
          </w:p>
        </w:tc>
        <w:tc>
          <w:tcPr>
            <w:tcW w:w="803" w:type="dxa"/>
            <w:tcBorders/>
            <w:shd w:fill="FFFFFF" w:val="clear"/>
            <w:tcMar>
              <w:top w:w="0" w:type="dxa"/>
              <w:bottom w:w="0" w:type="dxa"/>
            </w:tcMar>
            <w:vAlign w:val="bottom"/>
          </w:tcPr>
          <w:p>
            <w:pPr>
              <w:pStyle w:val="TableContents"/>
              <w:spacing w:before="0" w:after="283"/>
              <w:ind w:left="15" w:right="0" w:hanging="0"/>
              <w:jc w:val="right"/>
              <w:rPr>
                <w:rFonts w:ascii="times new roman" w:hAnsi="times new roman"/>
                <w:sz w:val="20"/>
              </w:rPr>
            </w:pPr>
            <w:bookmarkStart w:id="3288" w:name="TAB11725"/>
            <w:bookmarkEnd w:id="3288"/>
            <w:r>
              <w:rPr>
                <w:rFonts w:ascii="times new roman" w:hAnsi="times new roman"/>
                <w:sz w:val="20"/>
              </w:rPr>
              <w:t>(1,360</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51" w:type="dxa"/>
            <w:tcBorders/>
            <w:shd w:fill="FFFFFF" w:val="clear"/>
            <w:tcMar>
              <w:top w:w="0" w:type="dxa"/>
              <w:bottom w:w="0" w:type="dxa"/>
            </w:tcMar>
            <w:vAlign w:val="bottom"/>
          </w:tcPr>
          <w:p>
            <w:pPr>
              <w:pStyle w:val="TableContents"/>
              <w:spacing w:before="0" w:after="283"/>
              <w:jc w:val="left"/>
              <w:rPr/>
            </w:pPr>
            <w:r>
              <w:rPr/>
              <w:t> </w:t>
            </w:r>
          </w:p>
        </w:tc>
        <w:tc>
          <w:tcPr>
            <w:tcW w:w="794" w:type="dxa"/>
            <w:tcBorders/>
            <w:shd w:fill="FFFFFF" w:val="clear"/>
            <w:tcMar>
              <w:top w:w="0" w:type="dxa"/>
              <w:bottom w:w="0" w:type="dxa"/>
            </w:tcMar>
            <w:vAlign w:val="bottom"/>
          </w:tcPr>
          <w:p>
            <w:pPr>
              <w:pStyle w:val="TableContents"/>
              <w:spacing w:before="0" w:after="283"/>
              <w:ind w:left="15" w:right="0" w:hanging="0"/>
              <w:jc w:val="right"/>
              <w:rPr>
                <w:rFonts w:ascii="times new roman" w:hAnsi="times new roman"/>
                <w:sz w:val="20"/>
              </w:rPr>
            </w:pPr>
            <w:bookmarkStart w:id="3289" w:name="TAB11726"/>
            <w:bookmarkEnd w:id="3289"/>
            <w:r>
              <w:rPr>
                <w:rFonts w:ascii="times new roman" w:hAnsi="times new roman"/>
                <w:sz w:val="20"/>
              </w:rPr>
              <w:t>(1,163</w:t>
            </w:r>
          </w:p>
        </w:tc>
        <w:tc>
          <w:tcPr>
            <w:tcW w:w="10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38" w:type="dxa"/>
            <w:tcBorders/>
            <w:shd w:fill="FFFFFF" w:val="clear"/>
            <w:tcMar>
              <w:top w:w="0" w:type="dxa"/>
              <w:bottom w:w="0" w:type="dxa"/>
            </w:tcMar>
            <w:vAlign w:val="bottom"/>
          </w:tcPr>
          <w:p>
            <w:pPr>
              <w:pStyle w:val="TableContents"/>
              <w:spacing w:before="0" w:after="283"/>
              <w:jc w:val="left"/>
              <w:rPr/>
            </w:pPr>
            <w:r>
              <w:rPr/>
              <w:t> </w:t>
            </w:r>
          </w:p>
        </w:tc>
        <w:tc>
          <w:tcPr>
            <w:tcW w:w="811"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(4,652</w:t>
            </w:r>
          </w:p>
        </w:tc>
        <w:tc>
          <w:tcPr>
            <w:tcW w:w="13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620" w:type="dxa"/>
            <w:tcBorders>
              <w:bottom w:val="single" w:sz="12" w:space="0" w:color="000000"/>
            </w:tcBorders>
            <w:shd w:fill="CCEEFF" w:val="clear"/>
            <w:tcMar>
              <w:top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 (Unaudited)</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657" w:type="dxa"/>
            <w:tcBorders>
              <w:bottom w:val="single" w:sz="12" w:space="0" w:color="000000"/>
            </w:tcBorders>
            <w:shd w:fill="CCEEFF" w:val="clear"/>
            <w:tcMar>
              <w:top w:w="0" w:type="dxa"/>
            </w:tcMar>
            <w:vAlign w:val="bottom"/>
          </w:tcPr>
          <w:p>
            <w:pPr>
              <w:pStyle w:val="TableContents"/>
              <w:spacing w:before="0" w:after="283"/>
              <w:ind w:left="526" w:right="0" w:hanging="0"/>
              <w:jc w:val="right"/>
              <w:rPr>
                <w:rFonts w:ascii="times new roman" w:hAnsi="times new roman"/>
                <w:sz w:val="20"/>
              </w:rPr>
            </w:pPr>
            <w:bookmarkStart w:id="3290" w:name="TAB11727"/>
            <w:bookmarkEnd w:id="3290"/>
            <w:r>
              <w:rPr>
                <w:rFonts w:ascii="times new roman" w:hAnsi="times new roman"/>
                <w:sz w:val="20"/>
              </w:rPr>
              <w:t>96</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657" w:type="dxa"/>
            <w:tcBorders>
              <w:bottom w:val="single" w:sz="12" w:space="0" w:color="000000"/>
            </w:tcBorders>
            <w:shd w:fill="CCEEFF" w:val="clear"/>
            <w:tcMar>
              <w:top w:w="0" w:type="dxa"/>
            </w:tcMar>
            <w:vAlign w:val="bottom"/>
          </w:tcPr>
          <w:p>
            <w:pPr>
              <w:pStyle w:val="TableContents"/>
              <w:spacing w:before="0" w:after="283"/>
              <w:ind w:left="526" w:right="0" w:hanging="0"/>
              <w:jc w:val="right"/>
              <w:rPr>
                <w:rFonts w:ascii="times new roman" w:hAnsi="times new roman"/>
                <w:sz w:val="20"/>
              </w:rPr>
            </w:pPr>
            <w:bookmarkStart w:id="3291" w:name="TAB11728"/>
            <w:bookmarkEnd w:id="3291"/>
            <w:r>
              <w:rPr>
                <w:rFonts w:ascii="times new roman" w:hAnsi="times new roman"/>
                <w:sz w:val="20"/>
              </w:rPr>
              <w:t>93</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72"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632"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8"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657"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44"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759" w:type="dxa"/>
            <w:tcBorders>
              <w:bottom w:val="single" w:sz="12" w:space="0" w:color="000000"/>
            </w:tcBorders>
            <w:shd w:fill="CCEEFF" w:val="clear"/>
            <w:tcMar>
              <w:top w:w="0" w:type="dxa"/>
            </w:tcMar>
            <w:vAlign w:val="bottom"/>
          </w:tcPr>
          <w:p>
            <w:pPr>
              <w:pStyle w:val="TableContents"/>
              <w:spacing w:before="0" w:after="283"/>
              <w:ind w:left="230" w:right="0" w:hanging="0"/>
              <w:jc w:val="right"/>
              <w:rPr>
                <w:rFonts w:ascii="times new roman" w:hAnsi="times new roman"/>
                <w:sz w:val="20"/>
              </w:rPr>
            </w:pPr>
            <w:bookmarkStart w:id="3292" w:name="TAB11729"/>
            <w:bookmarkEnd w:id="3292"/>
            <w:r>
              <w:rPr>
                <w:rFonts w:ascii="times new roman" w:hAnsi="times new roman"/>
                <w:sz w:val="20"/>
              </w:rPr>
              <w:t>--</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54"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803" w:type="dxa"/>
            <w:tcBorders>
              <w:bottom w:val="single" w:sz="12" w:space="0" w:color="000000"/>
            </w:tcBorders>
            <w:shd w:fill="CCEEFF" w:val="clear"/>
            <w:tcMar>
              <w:top w:w="0" w:type="dxa"/>
            </w:tcMar>
            <w:vAlign w:val="bottom"/>
          </w:tcPr>
          <w:p>
            <w:pPr>
              <w:pStyle w:val="TableContents"/>
              <w:spacing w:before="0" w:after="283"/>
              <w:ind w:left="427" w:right="0" w:hanging="0"/>
              <w:jc w:val="right"/>
              <w:rPr>
                <w:rFonts w:ascii="times new roman" w:hAnsi="times new roman"/>
                <w:sz w:val="20"/>
              </w:rPr>
            </w:pPr>
            <w:bookmarkStart w:id="3293" w:name="TAB11730"/>
            <w:bookmarkEnd w:id="3293"/>
            <w:r>
              <w:rPr>
                <w:rFonts w:ascii="times new roman" w:hAnsi="times new roman"/>
                <w:sz w:val="20"/>
              </w:rPr>
              <w:t>179</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2" w:type="dxa"/>
            <w:tcBorders/>
            <w:shd w:fill="CCEEFF" w:val="clear"/>
            <w:tcMar>
              <w:top w:w="0" w:type="dxa"/>
              <w:bottom w:w="0" w:type="dxa"/>
            </w:tcMar>
            <w:vAlign w:val="bottom"/>
          </w:tcPr>
          <w:p>
            <w:pPr>
              <w:pStyle w:val="TableContents"/>
              <w:spacing w:before="0" w:after="283"/>
              <w:jc w:val="left"/>
              <w:rPr/>
            </w:pPr>
            <w:r>
              <w:rPr/>
              <w:t> </w:t>
            </w:r>
          </w:p>
        </w:tc>
        <w:tc>
          <w:tcPr>
            <w:tcW w:w="151"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794" w:type="dxa"/>
            <w:tcBorders>
              <w:bottom w:val="single" w:sz="12" w:space="0" w:color="000000"/>
            </w:tcBorders>
            <w:shd w:fill="CCEEFF" w:val="clear"/>
            <w:tcMar>
              <w:top w:w="0" w:type="dxa"/>
            </w:tcMar>
            <w:vAlign w:val="bottom"/>
          </w:tcPr>
          <w:p>
            <w:pPr>
              <w:pStyle w:val="TableContents"/>
              <w:spacing w:before="0" w:after="283"/>
              <w:ind w:left="393" w:right="0" w:hanging="0"/>
              <w:jc w:val="right"/>
              <w:rPr>
                <w:rFonts w:ascii="times new roman" w:hAnsi="times new roman"/>
                <w:sz w:val="20"/>
              </w:rPr>
            </w:pPr>
            <w:bookmarkStart w:id="3294" w:name="TAB11731"/>
            <w:bookmarkEnd w:id="3294"/>
            <w:r>
              <w:rPr>
                <w:rFonts w:ascii="times new roman" w:hAnsi="times new roman"/>
                <w:sz w:val="20"/>
              </w:rPr>
              <w:t>153</w:t>
            </w:r>
          </w:p>
        </w:tc>
        <w:tc>
          <w:tcPr>
            <w:tcW w:w="106" w:type="dxa"/>
            <w:tcBorders/>
            <w:shd w:fill="CCEEFF" w:val="clear"/>
            <w:tcMar>
              <w:top w:w="0" w:type="dxa"/>
              <w:bottom w:w="0" w:type="dxa"/>
            </w:tcMar>
            <w:vAlign w:val="bottom"/>
          </w:tcPr>
          <w:p>
            <w:pPr>
              <w:pStyle w:val="TableContents"/>
              <w:spacing w:before="0" w:after="283"/>
              <w:jc w:val="left"/>
              <w:rPr/>
            </w:pPr>
            <w:r>
              <w:rPr/>
              <w:t> </w:t>
            </w:r>
          </w:p>
        </w:tc>
        <w:tc>
          <w:tcPr>
            <w:tcW w:w="91" w:type="dxa"/>
            <w:tcBorders/>
            <w:shd w:fill="CCEEFF" w:val="clear"/>
            <w:tcMar>
              <w:top w:w="0" w:type="dxa"/>
              <w:bottom w:w="0" w:type="dxa"/>
            </w:tcMar>
            <w:vAlign w:val="bottom"/>
          </w:tcPr>
          <w:p>
            <w:pPr>
              <w:pStyle w:val="TableContents"/>
              <w:spacing w:before="0" w:after="283"/>
              <w:jc w:val="left"/>
              <w:rPr/>
            </w:pPr>
            <w:r>
              <w:rPr/>
              <w:t> </w:t>
            </w:r>
          </w:p>
        </w:tc>
        <w:tc>
          <w:tcPr>
            <w:tcW w:w="138" w:type="dxa"/>
            <w:tcBorders>
              <w:bottom w:val="single" w:sz="12" w:space="0" w:color="000000"/>
            </w:tcBorders>
            <w:shd w:fill="CCEEFF" w:val="clear"/>
            <w:tcMar>
              <w:top w:w="0" w:type="dxa"/>
            </w:tcMar>
            <w:vAlign w:val="bottom"/>
          </w:tcPr>
          <w:p>
            <w:pPr>
              <w:pStyle w:val="TableContents"/>
              <w:spacing w:before="0" w:after="283"/>
              <w:jc w:val="left"/>
              <w:rPr/>
            </w:pPr>
            <w:r>
              <w:rPr/>
              <w:t> </w:t>
            </w:r>
          </w:p>
        </w:tc>
        <w:tc>
          <w:tcPr>
            <w:tcW w:w="811" w:type="dxa"/>
            <w:tcBorders>
              <w:bottom w:val="single" w:sz="12" w:space="0" w:color="000000"/>
            </w:tcBorders>
            <w:shd w:fill="CCEEFF" w:val="clear"/>
            <w:tcMar>
              <w:top w:w="0" w:type="dxa"/>
            </w:tcMar>
            <w:vAlign w:val="bottom"/>
          </w:tcPr>
          <w:p>
            <w:pPr>
              <w:pStyle w:val="TableContents"/>
              <w:spacing w:before="0" w:after="283"/>
              <w:ind w:left="427" w:right="0" w:hanging="0"/>
              <w:jc w:val="right"/>
              <w:rPr>
                <w:rFonts w:ascii="times new roman" w:hAnsi="times new roman"/>
                <w:sz w:val="20"/>
              </w:rPr>
            </w:pPr>
            <w:bookmarkStart w:id="3295" w:name="TAB11732"/>
            <w:bookmarkEnd w:id="3295"/>
            <w:r>
              <w:rPr>
                <w:rFonts w:ascii="times new roman" w:hAnsi="times new roman"/>
                <w:sz w:val="20"/>
              </w:rPr>
              <w:t>612</w:t>
            </w:r>
          </w:p>
        </w:tc>
        <w:tc>
          <w:tcPr>
            <w:tcW w:w="136" w:type="dxa"/>
            <w:tcBorders/>
            <w:shd w:fill="CCEEFF" w:val="clear"/>
            <w:tcMar>
              <w:top w:w="0" w:type="dxa"/>
              <w:bottom w:w="0" w:type="dxa"/>
            </w:tcMar>
            <w:vAlign w:val="bottom"/>
          </w:tcPr>
          <w:p>
            <w:pPr>
              <w:pStyle w:val="TableContents"/>
              <w:spacing w:before="0" w:after="283"/>
              <w:jc w:val="left"/>
              <w:rPr/>
            </w:pPr>
            <w:r>
              <w:rPr/>
              <w:t> </w:t>
            </w:r>
          </w:p>
        </w:tc>
      </w:tr>
      <w:tr>
        <w:trPr/>
        <w:tc>
          <w:tcPr>
            <w:tcW w:w="1620" w:type="dxa"/>
            <w:tcBorders>
              <w:bottom w:val="double" w:sz="8" w:space="0" w:color="000000"/>
            </w:tcBorders>
            <w:shd w:fill="FFFFFF" w:val="clear"/>
            <w:tcMar>
              <w:top w:w="0"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Members equity – December 31, 2009 (Unaudited)</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72" w:type="dxa"/>
            <w:tcBorders>
              <w:bottom w:val="double" w:sz="8"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2" w:type="dxa"/>
            <w:tcBorders>
              <w:bottom w:val="double" w:sz="8"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44" w:type="dxa"/>
            <w:tcBorders>
              <w:bottom w:val="double" w:sz="8"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9" w:type="dxa"/>
            <w:tcBorders>
              <w:bottom w:val="double" w:sz="8"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54" w:type="dxa"/>
            <w:tcBorders>
              <w:bottom w:val="double" w:sz="8"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2" w:type="dxa"/>
            <w:tcBorders/>
            <w:shd w:fill="FFFFFF" w:val="clear"/>
            <w:tcMar>
              <w:top w:w="0" w:type="dxa"/>
              <w:bottom w:w="0" w:type="dxa"/>
            </w:tcMar>
            <w:vAlign w:val="bottom"/>
          </w:tcPr>
          <w:p>
            <w:pPr>
              <w:pStyle w:val="TableContents"/>
              <w:spacing w:before="0" w:after="283"/>
              <w:jc w:val="left"/>
              <w:rPr/>
            </w:pPr>
            <w:r>
              <w:rPr/>
              <w:t> </w:t>
            </w:r>
          </w:p>
        </w:tc>
        <w:tc>
          <w:tcPr>
            <w:tcW w:w="151" w:type="dxa"/>
            <w:tcBorders>
              <w:bottom w:val="double" w:sz="8"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262</w:t>
            </w:r>
          </w:p>
        </w:tc>
        <w:tc>
          <w:tcPr>
            <w:tcW w:w="106" w:type="dxa"/>
            <w:tcBorders/>
            <w:shd w:fill="FFFFFF" w:val="clear"/>
            <w:tcMar>
              <w:top w:w="0" w:type="dxa"/>
              <w:bottom w:w="0" w:type="dxa"/>
            </w:tcMar>
            <w:vAlign w:val="bottom"/>
          </w:tcPr>
          <w:p>
            <w:pPr>
              <w:pStyle w:val="TableContents"/>
              <w:spacing w:before="0" w:after="283"/>
              <w:jc w:val="left"/>
              <w:rPr/>
            </w:pPr>
            <w:r>
              <w:rPr/>
              <w:t> </w:t>
            </w:r>
          </w:p>
        </w:tc>
        <w:tc>
          <w:tcPr>
            <w:tcW w:w="91" w:type="dxa"/>
            <w:tcBorders/>
            <w:shd w:fill="FFFFFF" w:val="clear"/>
            <w:tcMar>
              <w:top w:w="0" w:type="dxa"/>
              <w:bottom w:w="0" w:type="dxa"/>
            </w:tcMar>
            <w:vAlign w:val="bottom"/>
          </w:tcPr>
          <w:p>
            <w:pPr>
              <w:pStyle w:val="TableContents"/>
              <w:spacing w:before="0" w:after="283"/>
              <w:jc w:val="left"/>
              <w:rPr/>
            </w:pPr>
            <w:r>
              <w:rPr/>
              <w:t> </w:t>
            </w:r>
          </w:p>
        </w:tc>
        <w:tc>
          <w:tcPr>
            <w:tcW w:w="138" w:type="dxa"/>
            <w:tcBorders>
              <w:bottom w:val="double" w:sz="8"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1" w:type="dxa"/>
            <w:tcBorders>
              <w:bottom w:val="double" w:sz="8"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1,048</w:t>
            </w:r>
          </w:p>
        </w:tc>
        <w:tc>
          <w:tcPr>
            <w:tcW w:w="136" w:type="dxa"/>
            <w:tcBorders/>
            <w:shd w:fill="FFFFFF"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96" w:name="PGBRK116"/>
      <w:bookmarkStart w:id="3297" w:name="PGBRK116"/>
      <w:bookmarkEnd w:id="3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98" w:name="FTR116"/>
      <w:bookmarkStart w:id="3299" w:name="FTR116"/>
      <w:bookmarkEnd w:id="3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00" w:name="GLFTR116"/>
      <w:bookmarkEnd w:id="33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301" w:name="PN116"/>
      <w:bookmarkEnd w:id="3301"/>
      <w:r>
        <w:rPr>
          <w:rFonts w:eastAsia="Times New Roman" w:cs="Times New Roman" w:ascii="Times New Roman" w:hAnsi="Times New Roman"/>
          <w:sz w:val="20"/>
          <w:szCs w:val="20"/>
        </w:rPr>
        <w:t>-116-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302" w:name="HDR116"/>
      <w:bookmarkStart w:id="3303" w:name="HDR116"/>
      <w:bookmarkEnd w:id="3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304" w:name="GLHDR116"/>
        <w:bookmarkEnd w:id="330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rPr>
      </w:pPr>
      <w:r>
        <w:rPr>
          <w:rFonts w:ascii="Times New Roman" w:hAnsi="Times New Roman"/>
          <w:b/>
          <w:sz w:val="20"/>
        </w:rPr>
        <w:t>205-209 East 57th Street Associates, LLC</w:t>
      </w:r>
    </w:p>
    <w:p>
      <w:pPr>
        <w:pStyle w:val="TextBody"/>
        <w:spacing w:before="0" w:after="0"/>
        <w:ind w:left="0" w:right="0" w:hanging="0"/>
        <w:jc w:val="left"/>
        <w:rPr>
          <w:rFonts w:ascii="Times New Roman" w:hAnsi="Times New Roman"/>
          <w:b/>
          <w:sz w:val="20"/>
        </w:rPr>
      </w:pPr>
      <w:r>
        <w:rPr>
          <w:rFonts w:ascii="Times New Roman" w:hAnsi="Times New Roman"/>
          <w:b/>
          <w:sz w:val="20"/>
        </w:rPr>
        <w:t>Statements of Cash Flows</w:t>
      </w:r>
    </w:p>
    <w:p>
      <w:pPr>
        <w:pStyle w:val="TextBody"/>
        <w:spacing w:before="0" w:after="0"/>
        <w:ind w:left="0" w:right="0" w:hanging="0"/>
        <w:jc w:val="left"/>
        <w:rPr>
          <w:rFonts w:ascii="Times New Roman" w:hAnsi="Times New Roman"/>
          <w:b/>
          <w:sz w:val="20"/>
        </w:rPr>
      </w:pPr>
      <w:r>
        <w:rPr>
          <w:rFonts w:ascii="Times New Roman" w:hAnsi="Times New Roman"/>
          <w:b/>
          <w:sz w:val="20"/>
        </w:rPr>
        <w:t>For the Three Years Ended December 31, 2009, 2008 and 2007</w:t>
      </w:r>
    </w:p>
    <w:p>
      <w:pPr>
        <w:pStyle w:val="TextBody"/>
        <w:spacing w:before="0" w:after="0"/>
        <w:ind w:left="0" w:right="0" w:hanging="0"/>
        <w:jc w:val="left"/>
        <w:rPr>
          <w:rFonts w:ascii="Times New Roman" w:hAnsi="Times New Roman"/>
          <w:b/>
          <w:sz w:val="20"/>
        </w:rPr>
      </w:pPr>
      <w:r>
        <w:rPr>
          <w:rFonts w:ascii="Times New Roman" w:hAnsi="Times New Roman"/>
          <w:b/>
          <w:sz w:val="20"/>
        </w:rPr>
        <w:t>(U.S.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543"/>
        <w:gridCol w:w="113"/>
        <w:gridCol w:w="184"/>
        <w:gridCol w:w="1162"/>
        <w:gridCol w:w="125"/>
        <w:gridCol w:w="113"/>
        <w:gridCol w:w="194"/>
        <w:gridCol w:w="1152"/>
        <w:gridCol w:w="125"/>
        <w:gridCol w:w="112"/>
        <w:gridCol w:w="152"/>
        <w:gridCol w:w="1087"/>
        <w:gridCol w:w="143"/>
      </w:tblGrid>
      <w:tr>
        <w:trPr/>
        <w:tc>
          <w:tcPr>
            <w:tcW w:w="5543"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440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43" w:type="dxa"/>
            <w:tcBorders/>
            <w:shd w:fill="auto" w:val="clear"/>
            <w:vAlign w:val="bottom"/>
          </w:tcPr>
          <w:p>
            <w:pPr>
              <w:pStyle w:val="TableContents"/>
              <w:spacing w:before="0" w:after="283"/>
              <w:jc w:val="left"/>
              <w:rPr/>
            </w:pPr>
            <w:r>
              <w:rPr/>
              <w:t> </w:t>
            </w:r>
          </w:p>
        </w:tc>
      </w:tr>
      <w:tr>
        <w:trPr/>
        <w:tc>
          <w:tcPr>
            <w:tcW w:w="5543"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134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5"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34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5"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3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43" w:type="dxa"/>
            <w:tcBorders/>
            <w:shd w:fill="auto" w:val="clear"/>
            <w:vAlign w:val="bottom"/>
          </w:tcPr>
          <w:p>
            <w:pPr>
              <w:pStyle w:val="TableContents"/>
              <w:spacing w:before="0" w:after="283"/>
              <w:jc w:val="left"/>
              <w:rPr/>
            </w:pPr>
            <w:r>
              <w:rPr/>
              <w:t> </w:t>
            </w:r>
          </w:p>
        </w:tc>
      </w:tr>
      <w:tr>
        <w:trPr/>
        <w:tc>
          <w:tcPr>
            <w:tcW w:w="5543" w:type="dxa"/>
            <w:tcBorders/>
            <w:shd w:fill="auto"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Cash flows from operating activities</w:t>
            </w:r>
          </w:p>
        </w:tc>
        <w:tc>
          <w:tcPr>
            <w:tcW w:w="113"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39" w:type="dxa"/>
            <w:gridSpan w:val="2"/>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r>
      <w:tr>
        <w:trPr/>
        <w:tc>
          <w:tcPr>
            <w:tcW w:w="5543"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w:t>
            </w:r>
          </w:p>
        </w:tc>
        <w:tc>
          <w:tcPr>
            <w:tcW w:w="113" w:type="dxa"/>
            <w:tcBorders/>
            <w:shd w:fill="CCEEFF" w:val="clear"/>
            <w:vAlign w:val="bottom"/>
          </w:tcPr>
          <w:p>
            <w:pPr>
              <w:pStyle w:val="TableContents"/>
              <w:spacing w:before="0" w:after="283"/>
              <w:jc w:val="left"/>
              <w:rPr/>
            </w:pPr>
            <w:r>
              <w:rPr/>
              <w:t> </w:t>
            </w:r>
          </w:p>
        </w:tc>
        <w:tc>
          <w:tcPr>
            <w:tcW w:w="18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2" w:type="dxa"/>
            <w:tcBorders/>
            <w:shd w:fill="CCEEFF" w:val="clear"/>
            <w:vAlign w:val="bottom"/>
          </w:tcPr>
          <w:p>
            <w:pPr>
              <w:pStyle w:val="TableContents"/>
              <w:spacing w:before="0" w:after="283"/>
              <w:ind w:left="162" w:right="0" w:hanging="0"/>
              <w:jc w:val="right"/>
              <w:rPr>
                <w:rFonts w:ascii="times new roman" w:hAnsi="times new roman"/>
                <w:sz w:val="20"/>
              </w:rPr>
            </w:pPr>
            <w:bookmarkStart w:id="3305" w:name="TAB11733"/>
            <w:bookmarkEnd w:id="3305"/>
            <w:r>
              <w:rPr>
                <w:rFonts w:ascii="times new roman" w:hAnsi="times new roman"/>
                <w:sz w:val="20"/>
              </w:rPr>
              <w:t>612</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9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2" w:type="dxa"/>
            <w:tcBorders/>
            <w:shd w:fill="CCEEFF" w:val="clear"/>
            <w:vAlign w:val="bottom"/>
          </w:tcPr>
          <w:p>
            <w:pPr>
              <w:pStyle w:val="TableContents"/>
              <w:spacing w:before="0" w:after="283"/>
              <w:ind w:left="162" w:right="0" w:hanging="0"/>
              <w:jc w:val="right"/>
              <w:rPr>
                <w:rFonts w:ascii="times new roman" w:hAnsi="times new roman"/>
                <w:sz w:val="20"/>
              </w:rPr>
            </w:pPr>
            <w:bookmarkStart w:id="3306" w:name="TAB11734"/>
            <w:bookmarkEnd w:id="3306"/>
            <w:r>
              <w:rPr>
                <w:rFonts w:ascii="times new roman" w:hAnsi="times new roman"/>
                <w:sz w:val="20"/>
              </w:rPr>
              <w:t>833</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CCEEFF" w:val="clear"/>
            <w:vAlign w:val="bottom"/>
          </w:tcPr>
          <w:p>
            <w:pPr>
              <w:pStyle w:val="TableContents"/>
              <w:spacing w:before="0" w:after="283"/>
              <w:ind w:left="106" w:right="0" w:hanging="0"/>
              <w:jc w:val="right"/>
              <w:rPr>
                <w:rFonts w:ascii="times new roman" w:hAnsi="times new roman"/>
                <w:sz w:val="20"/>
              </w:rPr>
            </w:pPr>
            <w:bookmarkStart w:id="3307" w:name="TAB11735"/>
            <w:bookmarkEnd w:id="3307"/>
            <w:r>
              <w:rPr>
                <w:rFonts w:ascii="times new roman" w:hAnsi="times new roman"/>
                <w:sz w:val="20"/>
              </w:rPr>
              <w:t>6,805</w:t>
            </w:r>
          </w:p>
        </w:tc>
        <w:tc>
          <w:tcPr>
            <w:tcW w:w="143" w:type="dxa"/>
            <w:tcBorders/>
            <w:shd w:fill="CCEEFF" w:val="clear"/>
            <w:vAlign w:val="bottom"/>
          </w:tcPr>
          <w:p>
            <w:pPr>
              <w:pStyle w:val="TableContents"/>
              <w:spacing w:before="0" w:after="283"/>
              <w:jc w:val="left"/>
              <w:rPr/>
            </w:pPr>
            <w:r>
              <w:rPr/>
              <w:t> </w:t>
            </w:r>
          </w:p>
        </w:tc>
      </w:tr>
      <w:tr>
        <w:trPr/>
        <w:tc>
          <w:tcPr>
            <w:tcW w:w="5543" w:type="dxa"/>
            <w:tcBorders/>
            <w:shd w:fill="FFFFFF" w:val="clear"/>
            <w:vAlign w:val="bottom"/>
          </w:tcPr>
          <w:p>
            <w:pPr>
              <w:pStyle w:val="TableContents"/>
              <w:spacing w:before="0" w:after="0"/>
              <w:ind w:left="360" w:right="0" w:hanging="180"/>
              <w:jc w:val="left"/>
              <w:rPr>
                <w:rFonts w:ascii="times new roman" w:hAnsi="times new roman"/>
                <w:i/>
                <w:sz w:val="20"/>
              </w:rPr>
            </w:pPr>
            <w:r>
              <w:rPr>
                <w:rFonts w:ascii="times new roman" w:hAnsi="times new roman"/>
                <w:i/>
                <w:sz w:val="20"/>
              </w:rPr>
              <w:t>Adjustments to reconcile net income to net cash provided by (used in) operating activities:</w:t>
            </w:r>
          </w:p>
        </w:tc>
        <w:tc>
          <w:tcPr>
            <w:tcW w:w="113"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r>
      <w:tr>
        <w:trPr/>
        <w:tc>
          <w:tcPr>
            <w:tcW w:w="5543"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Costs of sales of condominium units</w:t>
            </w:r>
          </w:p>
        </w:tc>
        <w:tc>
          <w:tcPr>
            <w:tcW w:w="113" w:type="dxa"/>
            <w:tcBorders/>
            <w:shd w:fill="CCEEFF" w:val="clear"/>
            <w:vAlign w:val="bottom"/>
          </w:tcPr>
          <w:p>
            <w:pPr>
              <w:pStyle w:val="TableContents"/>
              <w:spacing w:before="0" w:after="283"/>
              <w:jc w:val="left"/>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2,755</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16,987</w:t>
            </w:r>
          </w:p>
        </w:tc>
        <w:tc>
          <w:tcPr>
            <w:tcW w:w="143" w:type="dxa"/>
            <w:tcBorders/>
            <w:shd w:fill="CCEEFF" w:val="clear"/>
            <w:vAlign w:val="bottom"/>
          </w:tcPr>
          <w:p>
            <w:pPr>
              <w:pStyle w:val="TableContents"/>
              <w:spacing w:before="0" w:after="283"/>
              <w:jc w:val="left"/>
              <w:rPr/>
            </w:pPr>
            <w:r>
              <w:rPr/>
              <w:t> </w:t>
            </w:r>
          </w:p>
        </w:tc>
      </w:tr>
      <w:tr>
        <w:trPr/>
        <w:tc>
          <w:tcPr>
            <w:tcW w:w="5543"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Amortization of deferred rent</w:t>
            </w:r>
          </w:p>
        </w:tc>
        <w:tc>
          <w:tcPr>
            <w:tcW w:w="113" w:type="dxa"/>
            <w:tcBorders/>
            <w:shd w:fill="FFFFFF" w:val="clear"/>
            <w:vAlign w:val="bottom"/>
          </w:tcPr>
          <w:p>
            <w:pPr>
              <w:pStyle w:val="TableContents"/>
              <w:spacing w:before="0" w:after="283"/>
              <w:jc w:val="left"/>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4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43"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Depreciation</w:t>
            </w:r>
          </w:p>
        </w:tc>
        <w:tc>
          <w:tcPr>
            <w:tcW w:w="113" w:type="dxa"/>
            <w:tcBorders/>
            <w:shd w:fill="CCEEFF" w:val="clear"/>
            <w:vAlign w:val="bottom"/>
          </w:tcPr>
          <w:p>
            <w:pPr>
              <w:pStyle w:val="TableContents"/>
              <w:spacing w:before="0" w:after="283"/>
              <w:jc w:val="left"/>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43" w:type="dxa"/>
            <w:tcBorders/>
            <w:shd w:fill="CCEEFF" w:val="clear"/>
            <w:vAlign w:val="bottom"/>
          </w:tcPr>
          <w:p>
            <w:pPr>
              <w:pStyle w:val="TableContents"/>
              <w:spacing w:before="0" w:after="283"/>
              <w:jc w:val="left"/>
              <w:rPr/>
            </w:pPr>
            <w:r>
              <w:rPr/>
              <w:t> </w:t>
            </w:r>
          </w:p>
        </w:tc>
      </w:tr>
      <w:tr>
        <w:trPr/>
        <w:tc>
          <w:tcPr>
            <w:tcW w:w="5543"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Amortization</w:t>
            </w:r>
          </w:p>
        </w:tc>
        <w:tc>
          <w:tcPr>
            <w:tcW w:w="113" w:type="dxa"/>
            <w:tcBorders/>
            <w:shd w:fill="FFFFFF" w:val="clear"/>
            <w:vAlign w:val="bottom"/>
          </w:tcPr>
          <w:p>
            <w:pPr>
              <w:pStyle w:val="TableContents"/>
              <w:spacing w:before="0" w:after="283"/>
              <w:jc w:val="left"/>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3" w:type="dxa"/>
            <w:tcBorders/>
            <w:shd w:fill="FFFFFF" w:val="clear"/>
            <w:vAlign w:val="bottom"/>
          </w:tcPr>
          <w:p>
            <w:pPr>
              <w:pStyle w:val="TableContents"/>
              <w:spacing w:before="0" w:after="283"/>
              <w:jc w:val="left"/>
              <w:rPr/>
            </w:pPr>
            <w:r>
              <w:rPr/>
              <w:t> </w:t>
            </w:r>
          </w:p>
        </w:tc>
      </w:tr>
      <w:tr>
        <w:trPr/>
        <w:tc>
          <w:tcPr>
            <w:tcW w:w="5543" w:type="dxa"/>
            <w:tcBorders/>
            <w:shd w:fill="CCEEFF" w:val="clear"/>
            <w:vAlign w:val="bottom"/>
          </w:tcPr>
          <w:p>
            <w:pPr>
              <w:pStyle w:val="TableContents"/>
              <w:spacing w:before="0" w:after="0"/>
              <w:ind w:left="540" w:right="0" w:hanging="180"/>
              <w:jc w:val="left"/>
              <w:rPr>
                <w:rFonts w:ascii="times new roman" w:hAnsi="times new roman"/>
                <w:i/>
                <w:sz w:val="20"/>
              </w:rPr>
            </w:pPr>
            <w:r>
              <w:rPr>
                <w:rFonts w:ascii="times new roman" w:hAnsi="times new roman"/>
                <w:i/>
                <w:sz w:val="20"/>
              </w:rPr>
              <w:t>Changes in assets and liabilities:</w:t>
            </w:r>
          </w:p>
        </w:tc>
        <w:tc>
          <w:tcPr>
            <w:tcW w:w="11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r>
      <w:tr>
        <w:trPr/>
        <w:tc>
          <w:tcPr>
            <w:tcW w:w="5543" w:type="dxa"/>
            <w:tcBorders/>
            <w:shd w:fill="FFFFFF" w:val="clear"/>
            <w:vAlign w:val="bottom"/>
          </w:tcPr>
          <w:p>
            <w:pPr>
              <w:pStyle w:val="TableContents"/>
              <w:spacing w:before="0" w:after="0"/>
              <w:ind w:left="972" w:right="0" w:hanging="360"/>
              <w:jc w:val="left"/>
              <w:rPr>
                <w:rFonts w:ascii="times new roman" w:hAnsi="times new roman"/>
                <w:sz w:val="20"/>
              </w:rPr>
            </w:pPr>
            <w:bookmarkStart w:id="3308" w:name="TAB11736"/>
            <w:bookmarkEnd w:id="3308"/>
            <w:r>
              <w:rPr>
                <w:rFonts w:ascii="times new roman" w:hAnsi="times new roman"/>
                <w:sz w:val="20"/>
              </w:rPr>
              <w:t>Additions to land, construction and development costs</w:t>
            </w:r>
          </w:p>
        </w:tc>
        <w:tc>
          <w:tcPr>
            <w:tcW w:w="113" w:type="dxa"/>
            <w:tcBorders/>
            <w:shd w:fill="FFFFFF" w:val="clear"/>
            <w:vAlign w:val="bottom"/>
          </w:tcPr>
          <w:p>
            <w:pPr>
              <w:pStyle w:val="TableContents"/>
              <w:spacing w:before="0" w:after="283"/>
              <w:jc w:val="left"/>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(1,223</w:t>
            </w:r>
          </w:p>
        </w:tc>
        <w:tc>
          <w:tcPr>
            <w:tcW w:w="14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43" w:type="dxa"/>
            <w:tcBorders/>
            <w:shd w:fill="CCEEFF" w:val="clear"/>
            <w:vAlign w:val="bottom"/>
          </w:tcPr>
          <w:p>
            <w:pPr>
              <w:pStyle w:val="TableContents"/>
              <w:spacing w:before="0" w:after="0"/>
              <w:ind w:left="972" w:right="0" w:hanging="360"/>
              <w:jc w:val="left"/>
              <w:rPr>
                <w:rFonts w:ascii="times new roman" w:hAnsi="times new roman"/>
                <w:sz w:val="20"/>
              </w:rPr>
            </w:pPr>
            <w:bookmarkStart w:id="3309" w:name="TAB11737"/>
            <w:bookmarkEnd w:id="3309"/>
            <w:r>
              <w:rPr>
                <w:rFonts w:ascii="times new roman" w:hAnsi="times new roman"/>
                <w:sz w:val="20"/>
              </w:rPr>
              <w:t>Decrease (increase) in prepaid taxes</w:t>
            </w:r>
          </w:p>
        </w:tc>
        <w:tc>
          <w:tcPr>
            <w:tcW w:w="113" w:type="dxa"/>
            <w:tcBorders/>
            <w:shd w:fill="CCEEFF" w:val="clear"/>
            <w:vAlign w:val="bottom"/>
          </w:tcPr>
          <w:p>
            <w:pPr>
              <w:pStyle w:val="TableContents"/>
              <w:spacing w:before="0" w:after="283"/>
              <w:jc w:val="left"/>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43" w:type="dxa"/>
            <w:tcBorders/>
            <w:shd w:fill="FFFFFF" w:val="clear"/>
            <w:vAlign w:val="bottom"/>
          </w:tcPr>
          <w:p>
            <w:pPr>
              <w:pStyle w:val="TableContents"/>
              <w:spacing w:before="0" w:after="0"/>
              <w:ind w:left="972" w:right="0" w:hanging="360"/>
              <w:jc w:val="left"/>
              <w:rPr>
                <w:rFonts w:ascii="times new roman" w:hAnsi="times new roman"/>
                <w:sz w:val="20"/>
              </w:rPr>
            </w:pPr>
            <w:bookmarkStart w:id="3310" w:name="TAB11738"/>
            <w:bookmarkEnd w:id="3310"/>
            <w:r>
              <w:rPr>
                <w:rFonts w:ascii="times new roman" w:hAnsi="times new roman"/>
                <w:sz w:val="20"/>
              </w:rPr>
              <w:t>Decrease in security deposits</w:t>
            </w:r>
          </w:p>
        </w:tc>
        <w:tc>
          <w:tcPr>
            <w:tcW w:w="113" w:type="dxa"/>
            <w:tcBorders/>
            <w:shd w:fill="FFFFFF" w:val="clear"/>
            <w:vAlign w:val="bottom"/>
          </w:tcPr>
          <w:p>
            <w:pPr>
              <w:pStyle w:val="TableContents"/>
              <w:spacing w:before="0" w:after="283"/>
              <w:jc w:val="left"/>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3" w:type="dxa"/>
            <w:tcBorders/>
            <w:shd w:fill="FFFFFF" w:val="clear"/>
            <w:vAlign w:val="bottom"/>
          </w:tcPr>
          <w:p>
            <w:pPr>
              <w:pStyle w:val="TableContents"/>
              <w:spacing w:before="0" w:after="283"/>
              <w:jc w:val="left"/>
              <w:rPr/>
            </w:pPr>
            <w:r>
              <w:rPr/>
              <w:t> </w:t>
            </w:r>
          </w:p>
        </w:tc>
      </w:tr>
      <w:tr>
        <w:trPr/>
        <w:tc>
          <w:tcPr>
            <w:tcW w:w="5543" w:type="dxa"/>
            <w:tcBorders/>
            <w:shd w:fill="CCEEFF" w:val="clear"/>
            <w:vAlign w:val="bottom"/>
          </w:tcPr>
          <w:p>
            <w:pPr>
              <w:pStyle w:val="TableContents"/>
              <w:spacing w:before="0" w:after="0"/>
              <w:ind w:left="972" w:right="0" w:hanging="360"/>
              <w:jc w:val="left"/>
              <w:rPr>
                <w:rFonts w:ascii="times new roman" w:hAnsi="times new roman"/>
                <w:sz w:val="20"/>
              </w:rPr>
            </w:pPr>
            <w:bookmarkStart w:id="3311" w:name="TAB11739"/>
            <w:bookmarkEnd w:id="3311"/>
            <w:r>
              <w:rPr>
                <w:rFonts w:ascii="times new roman" w:hAnsi="times new roman"/>
                <w:sz w:val="20"/>
              </w:rPr>
              <w:t>Decrease (increase) in insurance recovery receivable</w:t>
            </w:r>
          </w:p>
        </w:tc>
        <w:tc>
          <w:tcPr>
            <w:tcW w:w="113" w:type="dxa"/>
            <w:tcBorders/>
            <w:shd w:fill="CCEEFF" w:val="clear"/>
            <w:vAlign w:val="bottom"/>
          </w:tcPr>
          <w:p>
            <w:pPr>
              <w:pStyle w:val="TableContents"/>
              <w:spacing w:before="0" w:after="283"/>
              <w:jc w:val="left"/>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3" w:type="dxa"/>
            <w:tcBorders/>
            <w:shd w:fill="CCEEFF" w:val="clear"/>
            <w:vAlign w:val="bottom"/>
          </w:tcPr>
          <w:p>
            <w:pPr>
              <w:pStyle w:val="TableContents"/>
              <w:spacing w:before="0" w:after="283"/>
              <w:jc w:val="left"/>
              <w:rPr/>
            </w:pPr>
            <w:r>
              <w:rPr/>
              <w:t> </w:t>
            </w:r>
          </w:p>
        </w:tc>
      </w:tr>
      <w:tr>
        <w:trPr/>
        <w:tc>
          <w:tcPr>
            <w:tcW w:w="5543" w:type="dxa"/>
            <w:tcBorders/>
            <w:shd w:fill="FFFFFF" w:val="clear"/>
            <w:vAlign w:val="bottom"/>
          </w:tcPr>
          <w:p>
            <w:pPr>
              <w:pStyle w:val="TableContents"/>
              <w:spacing w:before="0" w:after="0"/>
              <w:ind w:left="972" w:right="0" w:hanging="360"/>
              <w:jc w:val="left"/>
              <w:rPr>
                <w:rFonts w:ascii="times new roman" w:hAnsi="times new roman"/>
                <w:sz w:val="20"/>
              </w:rPr>
            </w:pPr>
            <w:bookmarkStart w:id="3312" w:name="TAB11740"/>
            <w:bookmarkEnd w:id="3312"/>
            <w:r>
              <w:rPr>
                <w:rFonts w:ascii="times new roman" w:hAnsi="times new roman"/>
                <w:sz w:val="20"/>
              </w:rPr>
              <w:t>Decrease (increase) in other assets</w:t>
            </w:r>
          </w:p>
        </w:tc>
        <w:tc>
          <w:tcPr>
            <w:tcW w:w="113" w:type="dxa"/>
            <w:tcBorders/>
            <w:shd w:fill="FFFFFF" w:val="clear"/>
            <w:vAlign w:val="bottom"/>
          </w:tcPr>
          <w:p>
            <w:pPr>
              <w:pStyle w:val="TableContents"/>
              <w:spacing w:before="0" w:after="283"/>
              <w:jc w:val="left"/>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4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43" w:type="dxa"/>
            <w:tcBorders/>
            <w:shd w:fill="CCEEFF" w:val="clear"/>
            <w:vAlign w:val="bottom"/>
          </w:tcPr>
          <w:p>
            <w:pPr>
              <w:pStyle w:val="TableContents"/>
              <w:spacing w:before="0" w:after="0"/>
              <w:ind w:left="972" w:right="0" w:hanging="360"/>
              <w:jc w:val="left"/>
              <w:rPr>
                <w:rFonts w:ascii="times new roman" w:hAnsi="times new roman"/>
                <w:sz w:val="20"/>
              </w:rPr>
            </w:pPr>
            <w:bookmarkStart w:id="3313" w:name="TAB11741"/>
            <w:bookmarkEnd w:id="3313"/>
            <w:r>
              <w:rPr>
                <w:rFonts w:ascii="times new roman" w:hAnsi="times new roman"/>
                <w:sz w:val="20"/>
              </w:rPr>
              <w:t>Increase (decrease) in accounts payable and accrued expenses</w:t>
            </w:r>
          </w:p>
        </w:tc>
        <w:tc>
          <w:tcPr>
            <w:tcW w:w="113" w:type="dxa"/>
            <w:tcBorders/>
            <w:shd w:fill="CCEEFF" w:val="clear"/>
            <w:vAlign w:val="bottom"/>
          </w:tcPr>
          <w:p>
            <w:pPr>
              <w:pStyle w:val="TableContents"/>
              <w:spacing w:before="0" w:after="283"/>
              <w:jc w:val="left"/>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43" w:type="dxa"/>
            <w:tcBorders/>
            <w:shd w:fill="CCEEFF" w:val="clear"/>
            <w:vAlign w:val="bottom"/>
          </w:tcPr>
          <w:p>
            <w:pPr>
              <w:pStyle w:val="TableContents"/>
              <w:spacing w:before="0" w:after="283"/>
              <w:jc w:val="left"/>
              <w:rPr/>
            </w:pPr>
            <w:r>
              <w:rPr/>
              <w:t> </w:t>
            </w:r>
          </w:p>
        </w:tc>
      </w:tr>
      <w:tr>
        <w:trPr/>
        <w:tc>
          <w:tcPr>
            <w:tcW w:w="5543" w:type="dxa"/>
            <w:tcBorders/>
            <w:shd w:fill="FFFFFF" w:val="clear"/>
            <w:vAlign w:val="bottom"/>
          </w:tcPr>
          <w:p>
            <w:pPr>
              <w:pStyle w:val="TableContents"/>
              <w:spacing w:before="0" w:after="0"/>
              <w:ind w:left="972" w:right="0" w:hanging="360"/>
              <w:jc w:val="left"/>
              <w:rPr>
                <w:rFonts w:ascii="times new roman" w:hAnsi="times new roman"/>
                <w:sz w:val="20"/>
              </w:rPr>
            </w:pPr>
            <w:bookmarkStart w:id="3314" w:name="TAB11742"/>
            <w:bookmarkEnd w:id="3314"/>
            <w:r>
              <w:rPr>
                <w:rFonts w:ascii="times new roman" w:hAnsi="times new roman"/>
                <w:sz w:val="20"/>
              </w:rPr>
              <w:t>Increase (decrease) in income taxes payable</w:t>
            </w:r>
          </w:p>
        </w:tc>
        <w:tc>
          <w:tcPr>
            <w:tcW w:w="113" w:type="dxa"/>
            <w:tcBorders/>
            <w:shd w:fill="FFFFFF" w:val="clear"/>
            <w:vAlign w:val="bottom"/>
          </w:tcPr>
          <w:p>
            <w:pPr>
              <w:pStyle w:val="TableContents"/>
              <w:spacing w:before="0" w:after="283"/>
              <w:jc w:val="left"/>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(860</w:t>
            </w:r>
          </w:p>
        </w:tc>
        <w:tc>
          <w:tcPr>
            <w:tcW w:w="14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43" w:type="dxa"/>
            <w:tcBorders/>
            <w:shd w:fill="CCEEFF" w:val="clear"/>
            <w:vAlign w:val="bottom"/>
          </w:tcPr>
          <w:p>
            <w:pPr>
              <w:pStyle w:val="TableContents"/>
              <w:spacing w:before="0" w:after="0"/>
              <w:ind w:left="972" w:right="0" w:hanging="360"/>
              <w:jc w:val="left"/>
              <w:rPr>
                <w:rFonts w:ascii="times new roman" w:hAnsi="times new roman"/>
                <w:sz w:val="20"/>
              </w:rPr>
            </w:pPr>
            <w:bookmarkStart w:id="3315" w:name="TAB11743"/>
            <w:bookmarkEnd w:id="3315"/>
            <w:r>
              <w:rPr>
                <w:rFonts w:ascii="times new roman" w:hAnsi="times new roman"/>
                <w:sz w:val="20"/>
              </w:rPr>
              <w:t>Decrease in retainage payable</w:t>
            </w:r>
          </w:p>
        </w:tc>
        <w:tc>
          <w:tcPr>
            <w:tcW w:w="113" w:type="dxa"/>
            <w:tcBorders/>
            <w:shd w:fill="CCEEFF" w:val="clear"/>
            <w:vAlign w:val="bottom"/>
          </w:tcPr>
          <w:p>
            <w:pPr>
              <w:pStyle w:val="TableContents"/>
              <w:spacing w:before="0" w:after="283"/>
              <w:jc w:val="left"/>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(751</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43" w:type="dxa"/>
            <w:tcBorders/>
            <w:shd w:fill="FFFFFF" w:val="clear"/>
            <w:vAlign w:val="bottom"/>
          </w:tcPr>
          <w:p>
            <w:pPr>
              <w:pStyle w:val="TableContents"/>
              <w:spacing w:before="0" w:after="0"/>
              <w:ind w:left="972" w:right="0" w:hanging="360"/>
              <w:jc w:val="left"/>
              <w:rPr>
                <w:rFonts w:ascii="times new roman" w:hAnsi="times new roman"/>
                <w:sz w:val="20"/>
              </w:rPr>
            </w:pPr>
            <w:bookmarkStart w:id="3316" w:name="TAB11744"/>
            <w:bookmarkEnd w:id="3316"/>
            <w:r>
              <w:rPr>
                <w:rFonts w:ascii="times new roman" w:hAnsi="times new roman"/>
                <w:sz w:val="20"/>
              </w:rPr>
              <w:t>Decrease in deferred rent</w:t>
            </w:r>
          </w:p>
        </w:tc>
        <w:tc>
          <w:tcPr>
            <w:tcW w:w="113" w:type="dxa"/>
            <w:tcBorders/>
            <w:shd w:fill="FFFFFF" w:val="clear"/>
            <w:vAlign w:val="bottom"/>
          </w:tcPr>
          <w:p>
            <w:pPr>
              <w:pStyle w:val="TableContents"/>
              <w:spacing w:before="0" w:after="283"/>
              <w:jc w:val="left"/>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3" w:type="dxa"/>
            <w:tcBorders/>
            <w:shd w:fill="FFFFFF" w:val="clear"/>
            <w:vAlign w:val="bottom"/>
          </w:tcPr>
          <w:p>
            <w:pPr>
              <w:pStyle w:val="TableContents"/>
              <w:spacing w:before="0" w:after="283"/>
              <w:jc w:val="left"/>
              <w:rPr/>
            </w:pPr>
            <w:r>
              <w:rPr/>
              <w:t> </w:t>
            </w:r>
          </w:p>
        </w:tc>
      </w:tr>
      <w:tr>
        <w:trPr/>
        <w:tc>
          <w:tcPr>
            <w:tcW w:w="5543" w:type="dxa"/>
            <w:tcBorders>
              <w:bottom w:val="single" w:sz="12" w:space="0" w:color="000000"/>
            </w:tcBorders>
            <w:shd w:fill="CCEEFF" w:val="clear"/>
            <w:tcMar>
              <w:bottom w:w="28" w:type="dxa"/>
            </w:tcMar>
            <w:vAlign w:val="bottom"/>
          </w:tcPr>
          <w:p>
            <w:pPr>
              <w:pStyle w:val="TableContents"/>
              <w:spacing w:before="0" w:after="0"/>
              <w:ind w:left="972" w:right="0" w:hanging="360"/>
              <w:jc w:val="left"/>
              <w:rPr>
                <w:rFonts w:ascii="times new roman" w:hAnsi="times new roman"/>
                <w:sz w:val="20"/>
              </w:rPr>
            </w:pPr>
            <w:bookmarkStart w:id="3317" w:name="TAB11745"/>
            <w:bookmarkEnd w:id="3317"/>
            <w:r>
              <w:rPr>
                <w:rFonts w:ascii="times new roman" w:hAnsi="times new roman"/>
                <w:sz w:val="20"/>
              </w:rPr>
              <w:t>Increase (decrease) in due to affiliates</w:t>
            </w:r>
          </w:p>
        </w:tc>
        <w:tc>
          <w:tcPr>
            <w:tcW w:w="113" w:type="dxa"/>
            <w:tcBorders/>
            <w:shd w:fill="CCEEFF" w:val="clear"/>
            <w:vAlign w:val="bottom"/>
          </w:tcPr>
          <w:p>
            <w:pPr>
              <w:pStyle w:val="TableContents"/>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5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(415</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43" w:type="dxa"/>
            <w:tcBorders/>
            <w:shd w:fill="CCEEFF" w:val="clear"/>
            <w:vAlign w:val="bottom"/>
          </w:tcPr>
          <w:p>
            <w:pPr>
              <w:pStyle w:val="TableContents"/>
              <w:spacing w:before="0" w:after="283"/>
              <w:jc w:val="left"/>
              <w:rPr/>
            </w:pPr>
            <w:r>
              <w:rPr/>
              <w:t> </w:t>
            </w:r>
          </w:p>
        </w:tc>
      </w:tr>
      <w:tr>
        <w:trPr/>
        <w:tc>
          <w:tcPr>
            <w:tcW w:w="5543" w:type="dxa"/>
            <w:tcBorders>
              <w:bottom w:val="single" w:sz="12" w:space="0" w:color="000000"/>
            </w:tcBorders>
            <w:shd w:fill="FFFFFF" w:val="clear"/>
            <w:tcMar>
              <w:bottom w:w="28" w:type="dxa"/>
            </w:tcMar>
            <w:vAlign w:val="bottom"/>
          </w:tcPr>
          <w:p>
            <w:pPr>
              <w:pStyle w:val="TableContents"/>
              <w:spacing w:before="0" w:after="0"/>
              <w:ind w:left="720" w:right="0" w:hanging="720"/>
              <w:jc w:val="left"/>
              <w:rPr>
                <w:rFonts w:ascii="times new roman" w:hAnsi="times new roman"/>
                <w:sz w:val="20"/>
              </w:rPr>
            </w:pPr>
            <w:r>
              <w:rPr>
                <w:rFonts w:ascii="times new roman" w:hAnsi="times new roman"/>
                <w:sz w:val="20"/>
              </w:rPr>
              <w:t>Net cash provided by (used in) operating activities</w:t>
            </w:r>
          </w:p>
        </w:tc>
        <w:tc>
          <w:tcPr>
            <w:tcW w:w="113" w:type="dxa"/>
            <w:tcBorders/>
            <w:shd w:fill="FFFFFF" w:val="clear"/>
            <w:vAlign w:val="bottom"/>
          </w:tcPr>
          <w:p>
            <w:pPr>
              <w:pStyle w:val="TableContents"/>
              <w:spacing w:before="0" w:after="283"/>
              <w:jc w:val="left"/>
              <w:rPr/>
            </w:pPr>
            <w:r>
              <w:rPr/>
              <w:t> </w:t>
            </w:r>
          </w:p>
        </w:tc>
        <w:tc>
          <w:tcPr>
            <w:tcW w:w="18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3,703</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9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20,791</w:t>
            </w:r>
          </w:p>
        </w:tc>
        <w:tc>
          <w:tcPr>
            <w:tcW w:w="143" w:type="dxa"/>
            <w:tcBorders/>
            <w:shd w:fill="FFFFFF" w:val="clear"/>
            <w:vAlign w:val="bottom"/>
          </w:tcPr>
          <w:p>
            <w:pPr>
              <w:pStyle w:val="TableContents"/>
              <w:spacing w:before="0" w:after="283"/>
              <w:jc w:val="left"/>
              <w:rPr/>
            </w:pPr>
            <w:r>
              <w:rPr/>
              <w:t> </w:t>
            </w:r>
          </w:p>
        </w:tc>
      </w:tr>
      <w:tr>
        <w:trPr/>
        <w:tc>
          <w:tcPr>
            <w:tcW w:w="5543"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Cash flows from financing activities</w:t>
            </w:r>
          </w:p>
        </w:tc>
        <w:tc>
          <w:tcPr>
            <w:tcW w:w="11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r>
      <w:tr>
        <w:trPr/>
        <w:tc>
          <w:tcPr>
            <w:tcW w:w="5543" w:type="dxa"/>
            <w:tcBorders>
              <w:bottom w:val="single" w:sz="12" w:space="0" w:color="000000"/>
            </w:tcBorders>
            <w:shd w:fill="FFFFFF" w:val="clear"/>
            <w:tcMar>
              <w:bottom w:w="28" w:type="dxa"/>
            </w:tcMar>
            <w:vAlign w:val="bottom"/>
          </w:tcPr>
          <w:p>
            <w:pPr>
              <w:pStyle w:val="TableContents"/>
              <w:spacing w:before="0" w:after="0"/>
              <w:ind w:left="360" w:right="0" w:hanging="180"/>
              <w:jc w:val="left"/>
              <w:rPr>
                <w:rFonts w:ascii="times new roman" w:hAnsi="times new roman"/>
                <w:sz w:val="20"/>
              </w:rPr>
            </w:pPr>
            <w:bookmarkStart w:id="3318" w:name="TAB11746"/>
            <w:bookmarkEnd w:id="3318"/>
            <w:r>
              <w:rPr>
                <w:rFonts w:ascii="times new roman" w:hAnsi="times new roman"/>
                <w:sz w:val="20"/>
              </w:rPr>
              <w:t>Member distributions</w:t>
            </w:r>
          </w:p>
        </w:tc>
        <w:tc>
          <w:tcPr>
            <w:tcW w:w="113" w:type="dxa"/>
            <w:tcBorders/>
            <w:shd w:fill="FFFFFF" w:val="clear"/>
            <w:vAlign w:val="bottom"/>
          </w:tcPr>
          <w:p>
            <w:pPr>
              <w:pStyle w:val="TableContents"/>
              <w:spacing w:before="0" w:after="283"/>
              <w:jc w:val="left"/>
              <w:rPr/>
            </w:pPr>
            <w:r>
              <w:rPr/>
              <w:t> </w:t>
            </w:r>
          </w:p>
        </w:tc>
        <w:tc>
          <w:tcPr>
            <w:tcW w:w="18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(4,652</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9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lef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(23,307</w:t>
            </w:r>
          </w:p>
        </w:tc>
        <w:tc>
          <w:tcPr>
            <w:tcW w:w="14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43" w:type="dxa"/>
            <w:tcBorders>
              <w:bottom w:val="single" w:sz="12"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cash used in financing activities</w:t>
            </w:r>
          </w:p>
        </w:tc>
        <w:tc>
          <w:tcPr>
            <w:tcW w:w="113" w:type="dxa"/>
            <w:tcBorders/>
            <w:shd w:fill="CCEEFF" w:val="clear"/>
            <w:vAlign w:val="bottom"/>
          </w:tcPr>
          <w:p>
            <w:pPr>
              <w:pStyle w:val="TableContents"/>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(4,652</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5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(23,307</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43" w:type="dxa"/>
            <w:tcBorders/>
            <w:shd w:fill="FFFF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Cash flows from investing activities</w:t>
            </w:r>
          </w:p>
        </w:tc>
        <w:tc>
          <w:tcPr>
            <w:tcW w:w="113"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r>
      <w:tr>
        <w:trPr/>
        <w:tc>
          <w:tcPr>
            <w:tcW w:w="5543" w:type="dxa"/>
            <w:tcBorders>
              <w:bottom w:val="single" w:sz="12" w:space="0" w:color="000000"/>
            </w:tcBorders>
            <w:shd w:fill="CCEEFF" w:val="clear"/>
            <w:tcMar>
              <w:bottom w:w="28" w:type="dxa"/>
            </w:tcMar>
            <w:vAlign w:val="bottom"/>
          </w:tcPr>
          <w:p>
            <w:pPr>
              <w:pStyle w:val="TableContents"/>
              <w:spacing w:before="0" w:after="0"/>
              <w:ind w:left="360" w:right="0" w:hanging="180"/>
              <w:jc w:val="left"/>
              <w:rPr>
                <w:rFonts w:ascii="times new roman" w:hAnsi="times new roman"/>
                <w:sz w:val="20"/>
              </w:rPr>
            </w:pPr>
            <w:bookmarkStart w:id="3319" w:name="TAB11747"/>
            <w:bookmarkEnd w:id="3319"/>
            <w:r>
              <w:rPr>
                <w:rFonts w:ascii="times new roman" w:hAnsi="times new roman"/>
                <w:sz w:val="20"/>
              </w:rPr>
              <w:t>Increase in deferred leasing commissions</w:t>
            </w:r>
          </w:p>
        </w:tc>
        <w:tc>
          <w:tcPr>
            <w:tcW w:w="113" w:type="dxa"/>
            <w:tcBorders/>
            <w:shd w:fill="CCEEFF" w:val="clear"/>
            <w:vAlign w:val="bottom"/>
          </w:tcPr>
          <w:p>
            <w:pPr>
              <w:pStyle w:val="TableContents"/>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5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3" w:type="dxa"/>
            <w:tcBorders/>
            <w:shd w:fill="CCEEFF" w:val="clear"/>
            <w:vAlign w:val="bottom"/>
          </w:tcPr>
          <w:p>
            <w:pPr>
              <w:pStyle w:val="TableContents"/>
              <w:spacing w:before="0" w:after="283"/>
              <w:jc w:val="left"/>
              <w:rPr/>
            </w:pPr>
            <w:r>
              <w:rPr/>
              <w:t> </w:t>
            </w:r>
          </w:p>
        </w:tc>
      </w:tr>
      <w:tr>
        <w:trPr/>
        <w:tc>
          <w:tcPr>
            <w:tcW w:w="5543"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cash used in investing activities</w:t>
            </w:r>
          </w:p>
        </w:tc>
        <w:tc>
          <w:tcPr>
            <w:tcW w:w="113" w:type="dxa"/>
            <w:tcBorders/>
            <w:shd w:fill="FFFFFF" w:val="clear"/>
            <w:vAlign w:val="bottom"/>
          </w:tcPr>
          <w:p>
            <w:pPr>
              <w:pStyle w:val="TableContents"/>
              <w:spacing w:before="0" w:after="283"/>
              <w:jc w:val="left"/>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3" w:type="dxa"/>
            <w:tcBorders/>
            <w:shd w:fill="FFFFFF" w:val="clear"/>
            <w:vAlign w:val="bottom"/>
          </w:tcPr>
          <w:p>
            <w:pPr>
              <w:pStyle w:val="TableContents"/>
              <w:spacing w:before="0" w:after="283"/>
              <w:jc w:val="left"/>
              <w:rPr/>
            </w:pPr>
            <w:r>
              <w:rPr/>
              <w:t> </w:t>
            </w:r>
          </w:p>
        </w:tc>
      </w:tr>
      <w:tr>
        <w:trPr/>
        <w:tc>
          <w:tcPr>
            <w:tcW w:w="5543" w:type="dxa"/>
            <w:tcBorders/>
            <w:shd w:fill="CCEE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Net (decrease) increase in cash and cash equivalents</w:t>
            </w:r>
          </w:p>
        </w:tc>
        <w:tc>
          <w:tcPr>
            <w:tcW w:w="113" w:type="dxa"/>
            <w:tcBorders/>
            <w:shd w:fill="CCEEFF" w:val="clear"/>
            <w:vAlign w:val="bottom"/>
          </w:tcPr>
          <w:p>
            <w:pPr>
              <w:pStyle w:val="TableContents"/>
              <w:spacing w:before="0" w:after="283"/>
              <w:jc w:val="left"/>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(949</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(2,516</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43" w:type="dxa"/>
            <w:tcBorders>
              <w:bottom w:val="single" w:sz="12" w:space="0" w:color="000000"/>
            </w:tcBorders>
            <w:shd w:fill="FFFFFF" w:val="clear"/>
            <w:tcMar>
              <w:bottom w:w="28" w:type="dxa"/>
            </w:tcM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Cash and cash equivalents – beginning of year</w:t>
            </w:r>
          </w:p>
        </w:tc>
        <w:tc>
          <w:tcPr>
            <w:tcW w:w="113" w:type="dxa"/>
            <w:tcBorders/>
            <w:shd w:fill="FFFFFF" w:val="clear"/>
            <w:vAlign w:val="bottom"/>
          </w:tcPr>
          <w:p>
            <w:pPr>
              <w:pStyle w:val="TableContents"/>
              <w:spacing w:before="0" w:after="283"/>
              <w:jc w:val="left"/>
              <w:rPr/>
            </w:pPr>
            <w:r>
              <w:rPr/>
              <w:t> </w:t>
            </w:r>
          </w:p>
        </w:tc>
        <w:tc>
          <w:tcPr>
            <w:tcW w:w="18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1,513</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9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1,933</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lef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4,449</w:t>
            </w:r>
          </w:p>
        </w:tc>
        <w:tc>
          <w:tcPr>
            <w:tcW w:w="143" w:type="dxa"/>
            <w:tcBorders/>
            <w:shd w:fill="FFFFFF" w:val="clear"/>
            <w:vAlign w:val="bottom"/>
          </w:tcPr>
          <w:p>
            <w:pPr>
              <w:pStyle w:val="TableContents"/>
              <w:spacing w:before="0" w:after="283"/>
              <w:jc w:val="left"/>
              <w:rPr/>
            </w:pPr>
            <w:r>
              <w:rPr/>
              <w:t> </w:t>
            </w:r>
          </w:p>
        </w:tc>
      </w:tr>
      <w:tr>
        <w:trPr/>
        <w:tc>
          <w:tcPr>
            <w:tcW w:w="5543" w:type="dxa"/>
            <w:tcBorders>
              <w:bottom w:val="double" w:sz="8" w:space="0" w:color="000000"/>
            </w:tcBorders>
            <w:shd w:fill="CCEEFF" w:val="clear"/>
            <w:tcMar>
              <w:bottom w:w="28" w:type="dxa"/>
            </w:tcM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Cash and cash equivalents – end of year</w:t>
            </w:r>
          </w:p>
        </w:tc>
        <w:tc>
          <w:tcPr>
            <w:tcW w:w="113" w:type="dxa"/>
            <w:tcBorders/>
            <w:shd w:fill="CCEEFF" w:val="clear"/>
            <w:vAlign w:val="bottom"/>
          </w:tcPr>
          <w:p>
            <w:pPr>
              <w:pStyle w:val="TableContents"/>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2"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3320" w:name="TAB11748"/>
            <w:bookmarkEnd w:id="3320"/>
            <w:r>
              <w:rPr>
                <w:rFonts w:ascii="times new roman" w:hAnsi="times new roman"/>
                <w:sz w:val="20"/>
              </w:rPr>
              <w:t>564</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2" w:type="dxa"/>
            <w:tcBorders>
              <w:bottom w:val="double" w:sz="8" w:space="0" w:color="000000"/>
            </w:tcBorders>
            <w:shd w:fill="CCEEFF" w:val="clear"/>
            <w:tcMar>
              <w:bottom w:w="28" w:type="dxa"/>
            </w:tcMar>
            <w:vAlign w:val="bottom"/>
          </w:tcPr>
          <w:p>
            <w:pPr>
              <w:pStyle w:val="TableContents"/>
              <w:spacing w:before="0" w:after="283"/>
              <w:ind w:left="162" w:right="0" w:hanging="0"/>
              <w:jc w:val="right"/>
              <w:rPr>
                <w:rFonts w:ascii="times new roman" w:hAnsi="times new roman"/>
                <w:sz w:val="20"/>
              </w:rPr>
            </w:pPr>
            <w:bookmarkStart w:id="3321" w:name="TAB11749"/>
            <w:bookmarkEnd w:id="3321"/>
            <w:r>
              <w:rPr>
                <w:rFonts w:ascii="times new roman" w:hAnsi="times new roman"/>
                <w:sz w:val="20"/>
              </w:rPr>
              <w:t>1,513</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bottom w:val="double" w:sz="8" w:space="0" w:color="000000"/>
            </w:tcBorders>
            <w:shd w:fill="CCEEFF" w:val="clear"/>
            <w:tcMar>
              <w:bottom w:w="28" w:type="dxa"/>
            </w:tcMar>
            <w:vAlign w:val="bottom"/>
          </w:tcPr>
          <w:p>
            <w:pPr>
              <w:pStyle w:val="TableContents"/>
              <w:spacing w:before="0" w:after="283"/>
              <w:ind w:left="106" w:right="0" w:hanging="0"/>
              <w:jc w:val="right"/>
              <w:rPr>
                <w:rFonts w:ascii="times new roman" w:hAnsi="times new roman"/>
                <w:sz w:val="20"/>
              </w:rPr>
            </w:pPr>
            <w:bookmarkStart w:id="3322" w:name="TAB11750"/>
            <w:bookmarkEnd w:id="3322"/>
            <w:r>
              <w:rPr>
                <w:rFonts w:ascii="times new roman" w:hAnsi="times new roman"/>
                <w:sz w:val="20"/>
              </w:rPr>
              <w:t>1,933</w:t>
            </w:r>
          </w:p>
        </w:tc>
        <w:tc>
          <w:tcPr>
            <w:tcW w:w="143" w:type="dxa"/>
            <w:tcBorders/>
            <w:shd w:fill="CCEEFF" w:val="clear"/>
            <w:vAlign w:val="bottom"/>
          </w:tcPr>
          <w:p>
            <w:pPr>
              <w:pStyle w:val="TableContents"/>
              <w:spacing w:before="0" w:after="283"/>
              <w:jc w:val="left"/>
              <w:rPr/>
            </w:pPr>
            <w:r>
              <w:rPr/>
              <w:t> </w:t>
            </w:r>
          </w:p>
        </w:tc>
      </w:tr>
      <w:tr>
        <w:trPr/>
        <w:tc>
          <w:tcPr>
            <w:tcW w:w="5543" w:type="dxa"/>
            <w:tcBorders/>
            <w:shd w:fill="FFFFFF" w:val="clear"/>
            <w:vAlign w:val="bottom"/>
          </w:tcPr>
          <w:p>
            <w:pPr>
              <w:pStyle w:val="TableContents"/>
              <w:spacing w:before="0" w:after="0"/>
              <w:ind w:left="180" w:right="0" w:hanging="180"/>
              <w:jc w:val="left"/>
              <w:rPr>
                <w:rFonts w:ascii="times new roman" w:hAnsi="times new roman"/>
                <w:b/>
                <w:sz w:val="20"/>
              </w:rPr>
            </w:pPr>
            <w:r>
              <w:rPr>
                <w:rFonts w:ascii="times new roman" w:hAnsi="times new roman"/>
                <w:b/>
                <w:sz w:val="20"/>
              </w:rPr>
              <w:t>Supplemental disclosure of cash flow information:</w:t>
            </w:r>
          </w:p>
        </w:tc>
        <w:tc>
          <w:tcPr>
            <w:tcW w:w="113" w:type="dxa"/>
            <w:tcBorders/>
            <w:shd w:fill="FFFFFF" w:val="clear"/>
            <w:vAlign w:val="bottom"/>
          </w:tcPr>
          <w:p>
            <w:pPr>
              <w:pStyle w:val="TableContents"/>
              <w:spacing w:before="0" w:after="283"/>
              <w:rPr/>
            </w:pPr>
            <w:r>
              <w:rPr/>
              <w:t> </w:t>
            </w:r>
          </w:p>
        </w:tc>
        <w:tc>
          <w:tcPr>
            <w:tcW w:w="184" w:type="dxa"/>
            <w:tcBorders/>
            <w:shd w:fill="FFFFFF" w:val="clear"/>
            <w:vAlign w:val="bottom"/>
          </w:tcPr>
          <w:p>
            <w:pPr>
              <w:pStyle w:val="TableContents"/>
              <w:spacing w:before="0" w:after="283"/>
              <w:jc w:val="left"/>
              <w:rPr/>
            </w:pPr>
            <w:r>
              <w:rPr/>
              <w:t> </w:t>
            </w:r>
          </w:p>
        </w:tc>
        <w:tc>
          <w:tcPr>
            <w:tcW w:w="116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left"/>
              <w:rPr/>
            </w:pPr>
            <w:r>
              <w:rPr/>
              <w:t> </w:t>
            </w:r>
          </w:p>
        </w:tc>
        <w:tc>
          <w:tcPr>
            <w:tcW w:w="115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r>
      <w:tr>
        <w:trPr/>
        <w:tc>
          <w:tcPr>
            <w:tcW w:w="5543" w:type="dxa"/>
            <w:tcBorders/>
            <w:shd w:fill="CCEEFF" w:val="clear"/>
            <w:vAlign w:val="bottom"/>
          </w:tcPr>
          <w:p>
            <w:pPr>
              <w:pStyle w:val="TableContents"/>
              <w:spacing w:before="0" w:after="0"/>
              <w:ind w:left="360" w:right="0" w:hanging="180"/>
              <w:jc w:val="left"/>
              <w:rPr>
                <w:rFonts w:ascii="times new roman" w:hAnsi="times new roman"/>
                <w:sz w:val="20"/>
              </w:rPr>
            </w:pPr>
            <w:bookmarkStart w:id="3323" w:name="TAB11751"/>
            <w:bookmarkEnd w:id="3323"/>
            <w:r>
              <w:rPr>
                <w:rFonts w:ascii="times new roman" w:hAnsi="times new roman"/>
                <w:sz w:val="20"/>
              </w:rPr>
              <w:t>Cash paid during the year for:</w:t>
            </w:r>
          </w:p>
        </w:tc>
        <w:tc>
          <w:tcPr>
            <w:tcW w:w="11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152"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jc w:val="left"/>
              <w:rPr/>
            </w:pPr>
            <w:r>
              <w:rPr/>
              <w:t> </w:t>
            </w:r>
          </w:p>
        </w:tc>
      </w:tr>
      <w:tr>
        <w:trPr/>
        <w:tc>
          <w:tcPr>
            <w:tcW w:w="5543" w:type="dxa"/>
            <w:tcBorders/>
            <w:shd w:fill="FFFF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Income taxes</w:t>
            </w:r>
          </w:p>
        </w:tc>
        <w:tc>
          <w:tcPr>
            <w:tcW w:w="113" w:type="dxa"/>
            <w:tcBorders/>
            <w:shd w:fill="FFFFFF" w:val="clear"/>
            <w:vAlign w:val="bottom"/>
          </w:tcPr>
          <w:p>
            <w:pPr>
              <w:pStyle w:val="TableContents"/>
              <w:spacing w:before="0" w:after="283"/>
              <w:jc w:val="left"/>
              <w:rPr/>
            </w:pPr>
            <w:r>
              <w:rPr/>
              <w:t> </w:t>
            </w:r>
          </w:p>
        </w:tc>
        <w:tc>
          <w:tcPr>
            <w:tcW w:w="18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2" w:type="dxa"/>
            <w:tcBorders/>
            <w:shd w:fill="FFFFFF" w:val="clear"/>
            <w:vAlign w:val="bottom"/>
          </w:tcPr>
          <w:p>
            <w:pPr>
              <w:pStyle w:val="TableContents"/>
              <w:spacing w:before="0" w:after="283"/>
              <w:ind w:left="162" w:right="0" w:hanging="0"/>
              <w:jc w:val="right"/>
              <w:rPr>
                <w:rFonts w:ascii="times new roman" w:hAnsi="times new roman"/>
                <w:sz w:val="20"/>
              </w:rPr>
            </w:pPr>
            <w:bookmarkStart w:id="3324" w:name="TAB11752"/>
            <w:bookmarkEnd w:id="3324"/>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2" w:type="dxa"/>
            <w:tcBorders/>
            <w:shd w:fill="FFFFFF" w:val="clear"/>
            <w:vAlign w:val="bottom"/>
          </w:tcPr>
          <w:p>
            <w:pPr>
              <w:pStyle w:val="TableContents"/>
              <w:spacing w:before="0" w:after="283"/>
              <w:ind w:left="162" w:right="0" w:hanging="0"/>
              <w:jc w:val="right"/>
              <w:rPr>
                <w:rFonts w:ascii="times new roman" w:hAnsi="times new roman"/>
                <w:sz w:val="20"/>
              </w:rPr>
            </w:pPr>
            <w:bookmarkStart w:id="3325" w:name="TAB11753"/>
            <w:bookmarkEnd w:id="3325"/>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FFFFFF" w:val="clear"/>
            <w:vAlign w:val="bottom"/>
          </w:tcPr>
          <w:p>
            <w:pPr>
              <w:pStyle w:val="TableContents"/>
              <w:spacing w:before="0" w:after="283"/>
              <w:ind w:left="72" w:right="0" w:hanging="0"/>
              <w:jc w:val="right"/>
              <w:rPr>
                <w:rFonts w:ascii="times new roman" w:hAnsi="times new roman"/>
                <w:sz w:val="20"/>
              </w:rPr>
            </w:pPr>
            <w:bookmarkStart w:id="3326" w:name="TAB11754"/>
            <w:bookmarkEnd w:id="3326"/>
            <w:r>
              <w:rPr>
                <w:rFonts w:ascii="times new roman" w:hAnsi="times new roman"/>
                <w:sz w:val="20"/>
              </w:rPr>
              <w:t>1,390</w:t>
            </w:r>
          </w:p>
        </w:tc>
        <w:tc>
          <w:tcPr>
            <w:tcW w:w="14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27" w:name="PGBRK117"/>
      <w:bookmarkStart w:id="3328" w:name="PGBRK117"/>
      <w:bookmarkEnd w:id="3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29" w:name="FTR117"/>
      <w:bookmarkStart w:id="3330" w:name="FTR117"/>
      <w:bookmarkEnd w:id="3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31" w:name="GLFTR117"/>
      <w:bookmarkEnd w:id="33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332" w:name="PN117"/>
      <w:bookmarkEnd w:id="3332"/>
      <w:r>
        <w:rPr>
          <w:rFonts w:eastAsia="Times New Roman" w:cs="Times New Roman" w:ascii="Times New Roman" w:hAnsi="Times New Roman"/>
          <w:sz w:val="20"/>
          <w:szCs w:val="20"/>
        </w:rPr>
        <w:t>-117-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333" w:name="HDR117"/>
      <w:bookmarkStart w:id="3334" w:name="HDR117"/>
      <w:bookmarkEnd w:id="3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335" w:name="GLHDR117"/>
        <w:bookmarkEnd w:id="333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rPr>
      </w:pPr>
      <w:r>
        <w:rPr>
          <w:rFonts w:ascii="Times New Roman" w:hAnsi="Times New Roman"/>
          <w:b/>
          <w:sz w:val="20"/>
        </w:rPr>
        <w:t>205-209 East 57th Street Associates, LLC</w:t>
      </w:r>
    </w:p>
    <w:p>
      <w:pPr>
        <w:pStyle w:val="TextBody"/>
        <w:spacing w:before="0" w:after="0"/>
        <w:ind w:left="0" w:right="0" w:hanging="0"/>
        <w:jc w:val="left"/>
        <w:rPr>
          <w:rFonts w:ascii="Times New Roman" w:hAnsi="Times New Roman"/>
          <w:b/>
          <w:sz w:val="20"/>
        </w:rPr>
      </w:pPr>
      <w:r>
        <w:rPr>
          <w:rFonts w:ascii="Times New Roman" w:hAnsi="Times New Roman"/>
          <w:b/>
          <w:sz w:val="20"/>
        </w:rPr>
        <w:t>Notes to Financial Statements</w:t>
      </w:r>
    </w:p>
    <w:p>
      <w:pPr>
        <w:pStyle w:val="TextBody"/>
        <w:spacing w:before="0" w:after="0"/>
        <w:ind w:left="0" w:right="0" w:hanging="0"/>
        <w:jc w:val="left"/>
        <w:rPr>
          <w:rFonts w:ascii="Times New Roman" w:hAnsi="Times New Roman"/>
          <w:b/>
          <w:sz w:val="20"/>
        </w:rPr>
      </w:pPr>
      <w:r>
        <w:rPr>
          <w:rFonts w:ascii="Times New Roman" w:hAnsi="Times New Roman"/>
          <w:b/>
          <w:sz w:val="20"/>
        </w:rPr>
        <w:t>Information as of December 2009 and 2008 and for the Years Then Ended Are Unaudited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1 - Organization and Business Purpose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205-209 East 57th Street Associates, LLC (“the Company”) was formed as a limited liability company under the laws of the State of Delaware.  The Company was formed to acquire, finance, develop, own, operate, lease, and sell property located at 205-209 East 57th Street, New York, New York.  The Company completed construction of the property, known as “Place 57,” a 143,000 square foot, thirty-six story building comprised of 68 residential condominium units and one commercial condominium unit.  The company did not sell and still owns the manager’s residential unit.  The manager’s residential unit is leased to the condominium association (Place 57) as discussed in Note 8.</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September 3, 2003 (the “inception date”) through September 14, 2004, the Company was a single member limited liability company with Clarett Capital, LLC (“Clarett Capital”) as the sole member.  Effective September 14, 2004, the operating agreement (“the Agreement”) was amended and restated to provide for the admission of the following new members: Citadel Cinemas, Inc. (“Citadel”) 25%, CC Sutton Manager, LLC (“CC Sutton”) 29.25%,  PGA Clarett 1, LLC (“PGA 1”) 8.352%, PGA Clarett 2, LLC (“PGA 2”) 15%, PGA Clarett 3, LLC (“PGA 3”) 21.648% and Clarett Partners, LLC (“Clarett Partners”) 0.75%.</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December 30, 2004 PGA Clarett 1, LLC assigned 28.820% of its percentage interest and PGA 3, assigned 80.791% of its percentage interest to a new member, PGA Clarett 4, LP (“PGA 4”).</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Net income or loss and distributions are allocated to the members in accordance with the terms of the Company’s operating agreement.  The members of a limited liability company are generally not individually liable for the obligations of the limited liability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2 - Summary of Significant Accounting Policies</w:t>
      </w:r>
    </w:p>
    <w:p>
      <w:pPr>
        <w:pStyle w:val="TextBody"/>
        <w:spacing w:before="0" w:after="0"/>
        <w:ind w:left="0" w:right="0" w:hanging="0"/>
        <w:rPr/>
      </w:pPr>
      <w:r>
        <w:rPr/>
      </w:r>
    </w:p>
    <w:p>
      <w:pPr>
        <w:pStyle w:val="Normal"/>
        <w:spacing w:before="0" w:after="0"/>
        <w:rPr>
          <w:sz w:val="4"/>
          <w:szCs w:val="4"/>
        </w:rPr>
      </w:pPr>
      <w:r>
        <w:rPr>
          <w:sz w:val="4"/>
          <w:szCs w:val="4"/>
        </w:rPr>
      </w:r>
      <w:bookmarkStart w:id="3336" w:name="list234"/>
      <w:bookmarkStart w:id="3337" w:name="list234"/>
      <w:bookmarkEnd w:id="3337"/>
    </w:p>
    <w:tbl>
      <w:tblPr>
        <w:tblW w:w="5000" w:type="pct"/>
        <w:jc w:val="left"/>
        <w:tblInd w:w="0" w:type="dxa"/>
        <w:tblCellMar>
          <w:top w:w="0" w:type="dxa"/>
          <w:left w:w="0" w:type="dxa"/>
          <w:bottom w:w="0" w:type="dxa"/>
          <w:right w:w="0" w:type="dxa"/>
        </w:tblCellMar>
      </w:tblPr>
      <w:tblGrid>
        <w:gridCol w:w="2286"/>
        <w:gridCol w:w="7919"/>
      </w:tblGrid>
      <w:tr>
        <w:trPr/>
        <w:tc>
          <w:tcPr>
            <w:tcW w:w="22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79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Income Taxes</w:t>
            </w:r>
          </w:p>
        </w:tc>
      </w:tr>
    </w:tbl>
    <w:p>
      <w:pPr>
        <w:pStyle w:val="TextBody"/>
        <w:spacing w:before="0" w:after="0"/>
        <w:ind w:left="0" w:right="0" w:hanging="0"/>
        <w:rPr/>
      </w:pPr>
      <w:r>
        <w:rPr/>
        <w:t> </w:t>
      </w:r>
    </w:p>
    <w:p>
      <w:pPr>
        <w:pStyle w:val="TextBody"/>
        <w:spacing w:before="0" w:after="0"/>
        <w:ind w:left="360" w:right="0" w:firstLine="360"/>
        <w:jc w:val="both"/>
        <w:rPr>
          <w:rFonts w:ascii="Times New Roman" w:hAnsi="Times New Roman"/>
          <w:sz w:val="20"/>
        </w:rPr>
      </w:pPr>
      <w:r>
        <w:rPr>
          <w:rFonts w:ascii="Times New Roman" w:hAnsi="Times New Roman"/>
          <w:sz w:val="20"/>
        </w:rPr>
        <w:t>The Company was formed as a limited liability company and has elected to be taxed as a partnership.  Components of the Company’s net income or loss are taxable to the members.  Accordingly, no provision for federal or state income taxes is provided for in the accompanying financial statements.</w:t>
      </w:r>
    </w:p>
    <w:p>
      <w:pPr>
        <w:pStyle w:val="TextBody"/>
        <w:spacing w:before="0" w:after="0"/>
        <w:ind w:left="360" w:right="0" w:firstLine="720"/>
        <w:rPr>
          <w:color w:val="000000"/>
          <w:spacing w:val="180"/>
        </w:rPr>
      </w:pPr>
      <w:bookmarkStart w:id="3338" w:name="TAB214"/>
      <w:bookmarkEnd w:id="3338"/>
      <w:r>
        <w:rPr>
          <w:color w:val="000000"/>
          <w:spacing w:val="180"/>
        </w:rPr>
        <w:t> </w:t>
      </w:r>
    </w:p>
    <w:p>
      <w:pPr>
        <w:pStyle w:val="TextBody"/>
        <w:spacing w:before="0" w:after="0"/>
        <w:ind w:left="360" w:right="0" w:firstLine="360"/>
        <w:jc w:val="both"/>
        <w:rPr>
          <w:rFonts w:ascii="Times New Roman" w:hAnsi="Times New Roman"/>
          <w:sz w:val="20"/>
        </w:rPr>
      </w:pPr>
      <w:r>
        <w:rPr>
          <w:rFonts w:ascii="Times New Roman" w:hAnsi="Times New Roman"/>
          <w:sz w:val="20"/>
        </w:rPr>
        <w:t>The construction project is located in the City of New York where an entity level income tax is imposed on unincorporated businesses, which, for the years ended December 31, 2009 (unaudited), 2008 (unaudited), and 2007 amounted to approximately $30,000, $47,132, and $182,502, respectively.</w:t>
      </w:r>
    </w:p>
    <w:p>
      <w:pPr>
        <w:pStyle w:val="TextBody"/>
        <w:spacing w:before="0" w:after="0"/>
        <w:ind w:left="0" w:right="0" w:hanging="0"/>
        <w:rPr/>
      </w:pPr>
      <w:r>
        <w:rPr/>
        <w:t> </w:t>
      </w:r>
    </w:p>
    <w:p>
      <w:pPr>
        <w:pStyle w:val="TextBody"/>
        <w:spacing w:before="0" w:after="0"/>
        <w:ind w:left="360" w:right="0" w:firstLine="360"/>
        <w:jc w:val="both"/>
        <w:rPr>
          <w:rFonts w:ascii="Times New Roman" w:hAnsi="Times New Roman"/>
          <w:sz w:val="20"/>
        </w:rPr>
      </w:pPr>
      <w:r>
        <w:rPr>
          <w:rFonts w:ascii="Times New Roman" w:hAnsi="Times New Roman"/>
          <w:sz w:val="20"/>
        </w:rPr>
        <w:t>Effective in 2009, the Company adopted the provisions of ASC 740 related to accounting for uncertainty in income taxes, which prescribes a recognition threshold and related measurement model for recognizing tax positions.  For those tax benefits to be recognized, a tax position must more likely than not be sustained upon examination by the taxing authorities.  The principal impact on the Company is where it is required to file entity-level income tax returns.  The adoption did not have a material effect on the Company's financial statements, and the Company does not expect the change will have a significant impact on its results of operations or financial position in the next year.  The Company's income tax returns are subject to examination by the taxing authorities, and its tax returns for ye ars subsequent to 2005 are currently subject to examination.</w:t>
      </w:r>
    </w:p>
    <w:p>
      <w:pPr>
        <w:pStyle w:val="TextBody"/>
        <w:spacing w:before="0" w:after="0"/>
        <w:ind w:left="0" w:right="0" w:hanging="0"/>
        <w:rPr/>
      </w:pPr>
      <w:r>
        <w:rPr/>
      </w:r>
    </w:p>
    <w:p>
      <w:pPr>
        <w:pStyle w:val="Normal"/>
        <w:spacing w:before="0" w:after="0"/>
        <w:rPr>
          <w:sz w:val="4"/>
          <w:szCs w:val="4"/>
        </w:rPr>
      </w:pPr>
      <w:r>
        <w:rPr>
          <w:sz w:val="4"/>
          <w:szCs w:val="4"/>
        </w:rPr>
      </w:r>
      <w:bookmarkStart w:id="3339" w:name="hangingindent"/>
      <w:bookmarkStart w:id="3340" w:name="hangingindent"/>
      <w:bookmarkEnd w:id="3340"/>
    </w:p>
    <w:tbl>
      <w:tblPr>
        <w:tblW w:w="5000" w:type="pct"/>
        <w:jc w:val="center"/>
        <w:tblInd w:w="0" w:type="dxa"/>
        <w:tblCellMar>
          <w:top w:w="0" w:type="dxa"/>
          <w:left w:w="0" w:type="dxa"/>
          <w:bottom w:w="0" w:type="dxa"/>
          <w:right w:w="0" w:type="dxa"/>
        </w:tblCellMar>
      </w:tblPr>
      <w:tblGrid>
        <w:gridCol w:w="552"/>
        <w:gridCol w:w="9653"/>
      </w:tblGrid>
      <w:tr>
        <w:trPr/>
        <w:tc>
          <w:tcPr>
            <w:tcW w:w="5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65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Use of Estimates in Financial Statement Presentation</w:t>
            </w:r>
          </w:p>
        </w:tc>
      </w:tr>
    </w:tbl>
    <w:p>
      <w:pPr>
        <w:pStyle w:val="TextBody"/>
        <w:spacing w:before="0" w:after="0"/>
        <w:ind w:left="0" w:right="0" w:hanging="0"/>
        <w:rPr>
          <w:color w:val="000000"/>
          <w:spacing w:val="180"/>
        </w:rPr>
      </w:pPr>
      <w:bookmarkStart w:id="3341" w:name="TAB215"/>
      <w:bookmarkEnd w:id="3341"/>
      <w:r>
        <w:rPr>
          <w:color w:val="000000"/>
          <w:spacing w:val="180"/>
        </w:rPr>
        <w:t> </w:t>
      </w:r>
    </w:p>
    <w:p>
      <w:pPr>
        <w:pStyle w:val="TextBody"/>
        <w:spacing w:before="0" w:after="0"/>
        <w:ind w:left="360" w:right="0" w:firstLine="360"/>
        <w:jc w:val="both"/>
        <w:rPr>
          <w:rFonts w:ascii="Times New Roman" w:hAnsi="Times New Roman"/>
          <w:sz w:val="20"/>
        </w:rPr>
      </w:pPr>
      <w:r>
        <w:rPr>
          <w:rFonts w:ascii="Times New Roman" w:hAnsi="Times New Roman"/>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contingencies, if any, at the date of the financial statements, and the reported amounts of revenue and expenses during the reporting period.  Actual results could differ from those estimates.  Significant estimates include the allocation of costs to units sold, determination of remaining costs to complete and estimated sales prices of unsold units.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42" w:name="PGBRK118"/>
      <w:bookmarkStart w:id="3343" w:name="PGBRK118"/>
      <w:bookmarkEnd w:id="3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44" w:name="FTR118"/>
      <w:bookmarkStart w:id="3345" w:name="FTR118"/>
      <w:bookmarkEnd w:id="3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46" w:name="GLFTR118"/>
      <w:bookmarkEnd w:id="33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347" w:name="PN118"/>
      <w:bookmarkEnd w:id="3347"/>
      <w:r>
        <w:rPr>
          <w:rFonts w:eastAsia="Times New Roman" w:cs="Times New Roman" w:ascii="Times New Roman" w:hAnsi="Times New Roman"/>
          <w:sz w:val="20"/>
          <w:szCs w:val="20"/>
        </w:rPr>
        <w:t>-118-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348" w:name="HDR118"/>
      <w:bookmarkStart w:id="3349" w:name="HDR118"/>
      <w:bookmarkEnd w:id="3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350" w:name="GLHDR118"/>
        <w:bookmarkEnd w:id="335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Normal"/>
        <w:spacing w:before="0" w:after="0"/>
        <w:rPr>
          <w:sz w:val="4"/>
          <w:szCs w:val="4"/>
        </w:rPr>
      </w:pPr>
      <w:r>
        <w:rPr>
          <w:sz w:val="4"/>
          <w:szCs w:val="4"/>
        </w:rPr>
      </w:r>
      <w:bookmarkStart w:id="3351" w:name="hangingindent1"/>
      <w:bookmarkStart w:id="3352" w:name="hangingindent1"/>
      <w:bookmarkEnd w:id="3352"/>
    </w:p>
    <w:tbl>
      <w:tblPr>
        <w:tblW w:w="5000" w:type="pct"/>
        <w:jc w:val="center"/>
        <w:tblInd w:w="0" w:type="dxa"/>
        <w:tblCellMar>
          <w:top w:w="0" w:type="dxa"/>
          <w:left w:w="0" w:type="dxa"/>
          <w:bottom w:w="0" w:type="dxa"/>
          <w:right w:w="0" w:type="dxa"/>
        </w:tblCellMar>
      </w:tblPr>
      <w:tblGrid>
        <w:gridCol w:w="1153"/>
        <w:gridCol w:w="9052"/>
      </w:tblGrid>
      <w:tr>
        <w:trPr/>
        <w:tc>
          <w:tcPr>
            <w:tcW w:w="115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05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Revenue Recognition</w:t>
            </w:r>
          </w:p>
        </w:tc>
      </w:tr>
    </w:tbl>
    <w:p>
      <w:pPr>
        <w:pStyle w:val="TextBody"/>
        <w:spacing w:before="0" w:after="0"/>
        <w:ind w:left="0" w:right="0" w:hanging="0"/>
        <w:rPr/>
      </w:pPr>
      <w:r>
        <w:rPr/>
      </w:r>
    </w:p>
    <w:p>
      <w:pPr>
        <w:pStyle w:val="TextBody"/>
        <w:spacing w:before="0" w:after="0"/>
        <w:ind w:left="360" w:right="0" w:firstLine="360"/>
        <w:jc w:val="both"/>
        <w:rPr>
          <w:rFonts w:ascii="Times New Roman" w:hAnsi="Times New Roman"/>
          <w:sz w:val="20"/>
        </w:rPr>
      </w:pPr>
      <w:r>
        <w:rPr>
          <w:rFonts w:ascii="Times New Roman" w:hAnsi="Times New Roman"/>
          <w:sz w:val="20"/>
        </w:rPr>
        <w:t>Revenue has been recognized upon the closing of each condominium unit.  Rents are recognized over the non-cancelable term of the related leases on a straight-line basis</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3353" w:name="hangingindent2"/>
      <w:bookmarkStart w:id="3354" w:name="hangingindent2"/>
      <w:bookmarkEnd w:id="3354"/>
    </w:p>
    <w:tbl>
      <w:tblPr>
        <w:tblW w:w="5000" w:type="pct"/>
        <w:jc w:val="center"/>
        <w:tblInd w:w="0" w:type="dxa"/>
        <w:tblCellMar>
          <w:top w:w="0" w:type="dxa"/>
          <w:left w:w="0" w:type="dxa"/>
          <w:bottom w:w="0" w:type="dxa"/>
          <w:right w:w="0" w:type="dxa"/>
        </w:tblCellMar>
      </w:tblPr>
      <w:tblGrid>
        <w:gridCol w:w="1012"/>
        <w:gridCol w:w="9193"/>
      </w:tblGrid>
      <w:tr>
        <w:trPr/>
        <w:tc>
          <w:tcPr>
            <w:tcW w:w="10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19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Marketing and Advertising</w:t>
            </w:r>
          </w:p>
        </w:tc>
      </w:tr>
    </w:tbl>
    <w:p>
      <w:pPr>
        <w:pStyle w:val="TextBody"/>
        <w:spacing w:before="0" w:after="0"/>
        <w:rPr/>
      </w:pPr>
      <w:r>
        <w:rPr/>
        <w:t> </w:t>
      </w:r>
    </w:p>
    <w:p>
      <w:pPr>
        <w:pStyle w:val="TextBody"/>
        <w:spacing w:before="0" w:after="0"/>
        <w:ind w:left="360" w:right="0" w:firstLine="360"/>
        <w:jc w:val="both"/>
        <w:rPr>
          <w:rFonts w:ascii="Times New Roman" w:hAnsi="Times New Roman"/>
          <w:sz w:val="20"/>
        </w:rPr>
      </w:pPr>
      <w:r>
        <w:rPr>
          <w:rFonts w:ascii="Times New Roman" w:hAnsi="Times New Roman"/>
          <w:sz w:val="20"/>
        </w:rPr>
        <w:t>Marketing and advertising costs are charged to operations when incurred.  The Company expensed $0, $596, and $184,122 of marketing and promotion costs for the years ended December 31, 2009 (unaudited), 2008 (unaudited), and 2007, respectively.</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3355" w:name="hangingindent3"/>
      <w:bookmarkStart w:id="3356" w:name="hangingindent3"/>
      <w:bookmarkEnd w:id="3356"/>
    </w:p>
    <w:tbl>
      <w:tblPr>
        <w:tblW w:w="5000" w:type="pct"/>
        <w:jc w:val="center"/>
        <w:tblInd w:w="0" w:type="dxa"/>
        <w:tblCellMar>
          <w:top w:w="0" w:type="dxa"/>
          <w:left w:w="0" w:type="dxa"/>
          <w:bottom w:w="0" w:type="dxa"/>
          <w:right w:w="0" w:type="dxa"/>
        </w:tblCellMar>
      </w:tblPr>
      <w:tblGrid>
        <w:gridCol w:w="1388"/>
        <w:gridCol w:w="8817"/>
      </w:tblGrid>
      <w:tr>
        <w:trPr/>
        <w:tc>
          <w:tcPr>
            <w:tcW w:w="13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881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Capitalized Costs</w:t>
            </w:r>
          </w:p>
        </w:tc>
      </w:tr>
    </w:tbl>
    <w:p>
      <w:pPr>
        <w:pStyle w:val="TextBody"/>
        <w:spacing w:before="0" w:after="0"/>
        <w:ind w:left="360" w:right="0" w:firstLine="360"/>
        <w:jc w:val="both"/>
        <w:rPr>
          <w:rFonts w:ascii="Times New Roman" w:hAnsi="Times New Roman"/>
          <w:sz w:val="20"/>
        </w:rPr>
      </w:pPr>
      <w:bookmarkStart w:id="3357" w:name="TAB216"/>
      <w:bookmarkEnd w:id="3357"/>
      <w:r>
        <w:rPr>
          <w:rFonts w:ascii="Times New Roman" w:hAnsi="Times New Roman"/>
          <w:sz w:val="20"/>
        </w:rPr>
        <w:t>The Company capitalized all costs associated with the development project.  Capitalized costs include, but are not limited to, construction and development costs, construction period interest, real estate taxes and architect, development and professional fees.</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3358" w:name="hangingindent4"/>
      <w:bookmarkStart w:id="3359" w:name="hangingindent4"/>
      <w:bookmarkEnd w:id="3359"/>
    </w:p>
    <w:tbl>
      <w:tblPr>
        <w:tblW w:w="5000" w:type="pct"/>
        <w:jc w:val="center"/>
        <w:tblInd w:w="0" w:type="dxa"/>
        <w:tblCellMar>
          <w:top w:w="0" w:type="dxa"/>
          <w:left w:w="0" w:type="dxa"/>
          <w:bottom w:w="0" w:type="dxa"/>
          <w:right w:w="0" w:type="dxa"/>
        </w:tblCellMar>
      </w:tblPr>
      <w:tblGrid>
        <w:gridCol w:w="625"/>
        <w:gridCol w:w="9580"/>
      </w:tblGrid>
      <w:tr>
        <w:trPr/>
        <w:tc>
          <w:tcPr>
            <w:tcW w:w="62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(f)</w:t>
            </w:r>
          </w:p>
        </w:tc>
        <w:tc>
          <w:tcPr>
            <w:tcW w:w="95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Costs of Sales of Condominium Units</w:t>
            </w:r>
          </w:p>
        </w:tc>
      </w:tr>
    </w:tbl>
    <w:p>
      <w:pPr>
        <w:pStyle w:val="TextBody"/>
        <w:spacing w:before="0" w:after="0"/>
        <w:ind w:left="360" w:right="0" w:firstLine="360"/>
        <w:jc w:val="both"/>
        <w:rPr/>
      </w:pPr>
      <w:bookmarkStart w:id="3360" w:name="TAB217"/>
      <w:bookmarkEnd w:id="3360"/>
      <w:r>
        <w:rPr/>
        <w:t> </w:t>
      </w:r>
    </w:p>
    <w:p>
      <w:pPr>
        <w:pStyle w:val="TextBody"/>
        <w:spacing w:before="0" w:after="0"/>
        <w:ind w:left="360" w:right="0" w:firstLine="360"/>
        <w:jc w:val="both"/>
        <w:rPr>
          <w:rFonts w:ascii="Times New Roman" w:hAnsi="Times New Roman"/>
          <w:sz w:val="20"/>
        </w:rPr>
      </w:pPr>
      <w:r>
        <w:rPr>
          <w:rFonts w:ascii="Times New Roman" w:hAnsi="Times New Roman"/>
          <w:sz w:val="20"/>
        </w:rPr>
        <w:t>In connection with the sale of condominium units, land, capitalized construction and development costs and negotiable certificates for real estate tax abatements have been expensed based on the total costs incurred and the estimated costs to complete, multiplied by the relative sales value of units sold.  In addition, included in costs of sales of condominium units for the year ended December 31, 2007 is the imputed fair value for the rental of the residential manager unit of $423,506.</w:t>
      </w:r>
    </w:p>
    <w:p>
      <w:pPr>
        <w:pStyle w:val="TextBody"/>
        <w:spacing w:before="0" w:after="0"/>
        <w:ind w:left="0" w:right="0" w:hanging="0"/>
        <w:jc w:val="left"/>
        <w:rPr/>
      </w:pPr>
      <w:r>
        <w:rPr/>
        <w:t> </w:t>
      </w:r>
    </w:p>
    <w:p>
      <w:pPr>
        <w:pStyle w:val="Normal"/>
        <w:spacing w:before="0" w:after="0"/>
        <w:ind w:left="0" w:right="0" w:hanging="0"/>
        <w:jc w:val="left"/>
        <w:rPr>
          <w:sz w:val="4"/>
          <w:szCs w:val="4"/>
        </w:rPr>
      </w:pPr>
      <w:r>
        <w:rPr>
          <w:sz w:val="4"/>
          <w:szCs w:val="4"/>
        </w:rPr>
      </w:r>
      <w:bookmarkStart w:id="3361" w:name="hangingindent5"/>
      <w:bookmarkStart w:id="3362" w:name="hangingindent5"/>
      <w:bookmarkEnd w:id="3362"/>
    </w:p>
    <w:tbl>
      <w:tblPr>
        <w:tblW w:w="5000" w:type="pct"/>
        <w:jc w:val="center"/>
        <w:tblInd w:w="0" w:type="dxa"/>
        <w:tblCellMar>
          <w:top w:w="0" w:type="dxa"/>
          <w:left w:w="0" w:type="dxa"/>
          <w:bottom w:w="0" w:type="dxa"/>
          <w:right w:w="0" w:type="dxa"/>
        </w:tblCellMar>
      </w:tblPr>
      <w:tblGrid>
        <w:gridCol w:w="1006"/>
        <w:gridCol w:w="9199"/>
      </w:tblGrid>
      <w:tr>
        <w:trPr/>
        <w:tc>
          <w:tcPr>
            <w:tcW w:w="10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(g)</w:t>
            </w:r>
          </w:p>
        </w:tc>
        <w:tc>
          <w:tcPr>
            <w:tcW w:w="91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Cash and Cash Equivalents</w:t>
            </w:r>
          </w:p>
        </w:tc>
      </w:tr>
    </w:tbl>
    <w:p>
      <w:pPr>
        <w:pStyle w:val="TextBody"/>
        <w:spacing w:before="0" w:after="0"/>
        <w:ind w:left="0" w:right="0" w:hanging="0"/>
        <w:rPr/>
      </w:pPr>
      <w:r>
        <w:rPr/>
      </w:r>
      <w:bookmarkStart w:id="3363" w:name="TAB218"/>
      <w:bookmarkStart w:id="3364" w:name="TAB218"/>
      <w:bookmarkEnd w:id="3364"/>
    </w:p>
    <w:p>
      <w:pPr>
        <w:pStyle w:val="TextBody"/>
        <w:spacing w:before="0" w:after="0"/>
        <w:ind w:left="360" w:right="0" w:firstLine="360"/>
        <w:jc w:val="both"/>
        <w:rPr>
          <w:rFonts w:ascii="Times New Roman" w:hAnsi="Times New Roman"/>
          <w:sz w:val="20"/>
        </w:rPr>
      </w:pPr>
      <w:r>
        <w:rPr>
          <w:rFonts w:ascii="Times New Roman" w:hAnsi="Times New Roman"/>
          <w:sz w:val="20"/>
        </w:rPr>
        <w:t>The Company considers all highly liquid investments with an original maturity of three months or less to be cash equivalents.  Cash equivalents consist of an interest-bearing money fund account.</w:t>
      </w:r>
    </w:p>
    <w:p>
      <w:pPr>
        <w:pStyle w:val="TextBody"/>
        <w:spacing w:before="0" w:after="0"/>
        <w:ind w:left="0" w:right="0" w:hanging="0"/>
        <w:rPr/>
      </w:pPr>
      <w:r>
        <w:rPr/>
      </w:r>
    </w:p>
    <w:p>
      <w:pPr>
        <w:pStyle w:val="Normal"/>
        <w:spacing w:before="0" w:after="0"/>
        <w:rPr>
          <w:sz w:val="4"/>
          <w:szCs w:val="4"/>
        </w:rPr>
      </w:pPr>
      <w:r>
        <w:rPr>
          <w:sz w:val="4"/>
          <w:szCs w:val="4"/>
        </w:rPr>
      </w:r>
      <w:bookmarkStart w:id="3365" w:name="hangingindent6"/>
      <w:bookmarkStart w:id="3366" w:name="hangingindent6"/>
      <w:bookmarkEnd w:id="3366"/>
    </w:p>
    <w:tbl>
      <w:tblPr>
        <w:tblW w:w="5000" w:type="pct"/>
        <w:jc w:val="center"/>
        <w:tblInd w:w="0" w:type="dxa"/>
        <w:tblCellMar>
          <w:top w:w="0" w:type="dxa"/>
          <w:left w:w="0" w:type="dxa"/>
          <w:bottom w:w="0" w:type="dxa"/>
          <w:right w:w="0" w:type="dxa"/>
        </w:tblCellMar>
      </w:tblPr>
      <w:tblGrid>
        <w:gridCol w:w="1901"/>
        <w:gridCol w:w="8304"/>
      </w:tblGrid>
      <w:tr>
        <w:trPr/>
        <w:tc>
          <w:tcPr>
            <w:tcW w:w="190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(h)</w:t>
            </w:r>
          </w:p>
        </w:tc>
        <w:tc>
          <w:tcPr>
            <w:tcW w:w="830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Depreciation</w:t>
            </w:r>
          </w:p>
        </w:tc>
      </w:tr>
    </w:tbl>
    <w:p>
      <w:pPr>
        <w:pStyle w:val="TextBody"/>
        <w:spacing w:before="0" w:after="0"/>
        <w:ind w:left="0" w:right="0" w:hanging="0"/>
        <w:rPr/>
      </w:pPr>
      <w:r>
        <w:rPr/>
      </w:r>
    </w:p>
    <w:p>
      <w:pPr>
        <w:pStyle w:val="TextBody"/>
        <w:spacing w:before="0" w:after="0"/>
        <w:ind w:left="360" w:right="0" w:firstLine="360"/>
        <w:jc w:val="both"/>
        <w:rPr>
          <w:rFonts w:ascii="Times New Roman" w:hAnsi="Times New Roman"/>
          <w:sz w:val="20"/>
        </w:rPr>
      </w:pPr>
      <w:r>
        <w:rPr>
          <w:rFonts w:ascii="Times New Roman" w:hAnsi="Times New Roman"/>
          <w:sz w:val="20"/>
        </w:rPr>
        <w:t>Depreciation of the residential manager’s apartment and the commercial unit are provided using the straight-line method over the estimated useful life of forty years.  Depreciation expense on the residential manager’s apartment amounted to $12,421, $12,421, and $20,702 for the years ended December 31, 2009 (unaudited), 2008 (unaudited), and 2007.  Depreciation expense on the commercial unit amounted to $3,420, $20,518 and $20,702 for the years ended December 31, 2009 (unaudited), 2008 (unaudited), and 2007, respectively.</w:t>
      </w:r>
    </w:p>
    <w:p>
      <w:pPr>
        <w:pStyle w:val="TextBody"/>
        <w:spacing w:before="0" w:after="0"/>
        <w:ind w:left="0" w:right="0" w:hanging="0"/>
        <w:rPr/>
      </w:pPr>
      <w:r>
        <w:rPr/>
      </w:r>
    </w:p>
    <w:p>
      <w:pPr>
        <w:pStyle w:val="Normal"/>
        <w:spacing w:before="0" w:after="0"/>
        <w:rPr>
          <w:sz w:val="4"/>
          <w:szCs w:val="4"/>
        </w:rPr>
      </w:pPr>
      <w:r>
        <w:rPr>
          <w:sz w:val="4"/>
          <w:szCs w:val="4"/>
        </w:rPr>
      </w:r>
      <w:bookmarkStart w:id="3367" w:name="hangingindent7"/>
      <w:bookmarkStart w:id="3368" w:name="hangingindent7"/>
      <w:bookmarkEnd w:id="3368"/>
    </w:p>
    <w:tbl>
      <w:tblPr>
        <w:tblW w:w="5000" w:type="pct"/>
        <w:jc w:val="center"/>
        <w:tblInd w:w="0" w:type="dxa"/>
        <w:tblCellMar>
          <w:top w:w="0" w:type="dxa"/>
          <w:left w:w="0" w:type="dxa"/>
          <w:bottom w:w="0" w:type="dxa"/>
          <w:right w:w="0" w:type="dxa"/>
        </w:tblCellMar>
      </w:tblPr>
      <w:tblGrid>
        <w:gridCol w:w="1569"/>
        <w:gridCol w:w="8636"/>
      </w:tblGrid>
      <w:tr>
        <w:trPr/>
        <w:tc>
          <w:tcPr>
            <w:tcW w:w="15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86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Amortization</w:t>
            </w:r>
          </w:p>
        </w:tc>
      </w:tr>
    </w:tbl>
    <w:p>
      <w:pPr>
        <w:pStyle w:val="TextBody"/>
        <w:spacing w:before="0" w:after="0"/>
        <w:ind w:left="0" w:right="0" w:hanging="0"/>
        <w:rPr/>
      </w:pPr>
      <w:r>
        <w:rPr/>
      </w:r>
    </w:p>
    <w:p>
      <w:pPr>
        <w:pStyle w:val="TextBody"/>
        <w:spacing w:before="0" w:after="0"/>
        <w:ind w:left="360" w:right="0" w:firstLine="540"/>
        <w:jc w:val="both"/>
        <w:rPr>
          <w:rFonts w:ascii="Times New Roman" w:hAnsi="Times New Roman"/>
          <w:sz w:val="20"/>
        </w:rPr>
      </w:pPr>
      <w:r>
        <w:rPr>
          <w:rFonts w:ascii="Times New Roman" w:hAnsi="Times New Roman"/>
          <w:sz w:val="20"/>
        </w:rPr>
        <w:t>In 2003, the Company purchased negotiable certificates to obtain real estate tax abatements (see Note 5).  The costs of these certificates allocated to the unsold residential manager unit is amortized over the useful life of the certificates which is ten years.</w:t>
      </w:r>
    </w:p>
    <w:p>
      <w:pPr>
        <w:pStyle w:val="TextBody"/>
        <w:spacing w:before="0" w:after="0"/>
        <w:ind w:left="0" w:right="0" w:hanging="0"/>
        <w:rPr/>
      </w:pPr>
      <w:r>
        <w:rPr/>
      </w:r>
    </w:p>
    <w:p>
      <w:pPr>
        <w:pStyle w:val="TextBody"/>
        <w:spacing w:before="0" w:after="0"/>
        <w:ind w:left="360" w:right="0" w:firstLine="540"/>
        <w:jc w:val="both"/>
        <w:rPr>
          <w:rFonts w:ascii="Times New Roman" w:hAnsi="Times New Roman"/>
          <w:sz w:val="20"/>
        </w:rPr>
      </w:pPr>
      <w:r>
        <w:rPr>
          <w:rFonts w:ascii="Times New Roman" w:hAnsi="Times New Roman"/>
          <w:sz w:val="20"/>
        </w:rPr>
        <w:t>During 2008 (unaudited), the Company paid a leasing commission of $280,017 related to the rental of the commercial unit.  This commission was amortized over ten years which is the life of the lease.  The commercial unit was sold February 2009.  Accordingly, the unamortized balance of the leasing commission of $264,716 was written off and included with costs of sales on the accompanying statements of income.</w:t>
      </w:r>
    </w:p>
    <w:p>
      <w:pPr>
        <w:pStyle w:val="TextBody"/>
        <w:spacing w:before="0" w:after="0"/>
        <w:ind w:left="0" w:right="0" w:hanging="0"/>
        <w:rPr/>
      </w:pPr>
      <w:r>
        <w:rPr/>
      </w:r>
    </w:p>
    <w:p>
      <w:pPr>
        <w:pStyle w:val="TextBody"/>
        <w:spacing w:before="0" w:after="0"/>
        <w:ind w:left="360" w:right="0" w:firstLine="540"/>
        <w:jc w:val="both"/>
        <w:rPr>
          <w:rFonts w:ascii="Times New Roman" w:hAnsi="Times New Roman"/>
          <w:sz w:val="20"/>
        </w:rPr>
      </w:pPr>
      <w:r>
        <w:rPr>
          <w:rFonts w:ascii="Times New Roman" w:hAnsi="Times New Roman"/>
          <w:sz w:val="20"/>
        </w:rPr>
        <w:t>Amortization for both the negotiable certificates combined amounted to $2,429, $13,539, and $0 for the years ended December 31, 2009 (unaudited), 2008 (unaudited), and 2007,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69" w:name="PGBRK119"/>
      <w:bookmarkStart w:id="3370" w:name="PGBRK119"/>
      <w:bookmarkEnd w:id="3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71" w:name="FTR119"/>
      <w:bookmarkStart w:id="3372" w:name="FTR119"/>
      <w:bookmarkEnd w:id="3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73" w:name="GLFTR119"/>
      <w:bookmarkEnd w:id="33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374" w:name="PN119"/>
      <w:bookmarkEnd w:id="3374"/>
      <w:r>
        <w:rPr>
          <w:rFonts w:eastAsia="Times New Roman" w:cs="Times New Roman" w:ascii="Times New Roman" w:hAnsi="Times New Roman"/>
          <w:sz w:val="20"/>
          <w:szCs w:val="20"/>
        </w:rPr>
        <w:t>-119-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375" w:name="HDR119"/>
      <w:bookmarkStart w:id="3376" w:name="HDR119"/>
      <w:bookmarkEnd w:id="3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377" w:name="GLHDR119"/>
        <w:bookmarkEnd w:id="33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3 - Land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2009 (unaudited) and 2008 (unaudited), land was comprised of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031"/>
        <w:gridCol w:w="115"/>
        <w:gridCol w:w="181"/>
        <w:gridCol w:w="1169"/>
        <w:gridCol w:w="115"/>
        <w:gridCol w:w="115"/>
        <w:gridCol w:w="181"/>
        <w:gridCol w:w="1169"/>
        <w:gridCol w:w="129"/>
      </w:tblGrid>
      <w:tr>
        <w:trPr/>
        <w:tc>
          <w:tcPr>
            <w:tcW w:w="7031"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w:t>
            </w:r>
          </w:p>
        </w:tc>
        <w:tc>
          <w:tcPr>
            <w:tcW w:w="29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9" w:type="dxa"/>
            <w:tcBorders/>
            <w:shd w:fill="auto" w:val="clear"/>
            <w:vAlign w:val="bottom"/>
          </w:tcPr>
          <w:p>
            <w:pPr>
              <w:pStyle w:val="TableContents"/>
              <w:spacing w:before="0" w:after="283"/>
              <w:jc w:val="left"/>
              <w:rPr/>
            </w:pPr>
            <w:r>
              <w:rPr/>
              <w:t> </w:t>
            </w:r>
          </w:p>
        </w:tc>
      </w:tr>
      <w:tr>
        <w:trPr/>
        <w:tc>
          <w:tcPr>
            <w:tcW w:w="7031"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115" w:type="dxa"/>
            <w:tcBorders/>
            <w:shd w:fill="auto" w:val="clear"/>
            <w:vAlign w:val="bottom"/>
          </w:tcPr>
          <w:p>
            <w:pPr>
              <w:pStyle w:val="TableContents"/>
              <w:spacing w:before="0" w:after="283"/>
              <w:rPr/>
            </w:pPr>
            <w:r>
              <w:rPr/>
              <w:t> </w:t>
            </w:r>
          </w:p>
        </w:tc>
        <w:tc>
          <w:tcPr>
            <w:tcW w:w="135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5" w:type="dxa"/>
            <w:tcBorders/>
            <w:shd w:fill="auto" w:val="clear"/>
            <w:vAlign w:val="bottom"/>
          </w:tcPr>
          <w:p>
            <w:pPr>
              <w:pStyle w:val="TableContents"/>
              <w:spacing w:before="0" w:after="283"/>
              <w:jc w:val="left"/>
              <w:rPr/>
            </w:pPr>
            <w:r>
              <w:rPr/>
              <w:t> </w:t>
            </w:r>
          </w:p>
        </w:tc>
        <w:tc>
          <w:tcPr>
            <w:tcW w:w="115" w:type="dxa"/>
            <w:tcBorders/>
            <w:shd w:fill="auto" w:val="clear"/>
            <w:vAlign w:val="bottom"/>
          </w:tcPr>
          <w:p>
            <w:pPr>
              <w:pStyle w:val="TableContents"/>
              <w:spacing w:before="0" w:after="283"/>
              <w:rPr/>
            </w:pPr>
            <w:r>
              <w:rPr/>
              <w:t> </w:t>
            </w:r>
          </w:p>
        </w:tc>
        <w:tc>
          <w:tcPr>
            <w:tcW w:w="135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9" w:type="dxa"/>
            <w:tcBorders/>
            <w:shd w:fill="auto" w:val="clear"/>
            <w:vAlign w:val="bottom"/>
          </w:tcPr>
          <w:p>
            <w:pPr>
              <w:pStyle w:val="TableContents"/>
              <w:spacing w:before="0" w:after="283"/>
              <w:jc w:val="left"/>
              <w:rPr/>
            </w:pPr>
            <w:r>
              <w:rPr/>
              <w:t> </w:t>
            </w:r>
          </w:p>
        </w:tc>
      </w:tr>
      <w:tr>
        <w:trPr/>
        <w:tc>
          <w:tcPr>
            <w:tcW w:w="703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Direct purchase cost</w:t>
            </w:r>
          </w:p>
        </w:tc>
        <w:tc>
          <w:tcPr>
            <w:tcW w:w="115"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15,339</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15,339</w:t>
            </w:r>
          </w:p>
        </w:tc>
        <w:tc>
          <w:tcPr>
            <w:tcW w:w="129" w:type="dxa"/>
            <w:tcBorders/>
            <w:shd w:fill="CCEEFF" w:val="clear"/>
            <w:vAlign w:val="bottom"/>
          </w:tcPr>
          <w:p>
            <w:pPr>
              <w:pStyle w:val="TableContents"/>
              <w:spacing w:before="0" w:after="283"/>
              <w:jc w:val="left"/>
              <w:rPr/>
            </w:pPr>
            <w:r>
              <w:rPr/>
              <w:t> </w:t>
            </w:r>
          </w:p>
        </w:tc>
      </w:tr>
      <w:tr>
        <w:trPr/>
        <w:tc>
          <w:tcPr>
            <w:tcW w:w="7031"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Air rights</w:t>
            </w:r>
          </w:p>
        </w:tc>
        <w:tc>
          <w:tcPr>
            <w:tcW w:w="115"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ind w:left="396" w:right="0" w:hanging="0"/>
              <w:jc w:val="right"/>
              <w:rPr>
                <w:rFonts w:ascii="times new roman" w:hAnsi="times new roman"/>
                <w:sz w:val="20"/>
              </w:rPr>
            </w:pPr>
            <w:bookmarkStart w:id="3378" w:name="TAB11755"/>
            <w:bookmarkEnd w:id="3378"/>
            <w:r>
              <w:rPr>
                <w:rFonts w:ascii="times new roman" w:hAnsi="times new roman"/>
                <w:sz w:val="20"/>
              </w:rPr>
              <w:t>6,925</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ind w:left="396" w:right="0" w:hanging="0"/>
              <w:jc w:val="right"/>
              <w:rPr>
                <w:rFonts w:ascii="times new roman" w:hAnsi="times new roman"/>
                <w:sz w:val="20"/>
              </w:rPr>
            </w:pPr>
            <w:bookmarkStart w:id="3379" w:name="TAB11756"/>
            <w:bookmarkEnd w:id="3379"/>
            <w:r>
              <w:rPr>
                <w:rFonts w:ascii="times new roman" w:hAnsi="times new roman"/>
                <w:sz w:val="20"/>
              </w:rPr>
              <w:t>6,925</w:t>
            </w:r>
          </w:p>
        </w:tc>
        <w:tc>
          <w:tcPr>
            <w:tcW w:w="129" w:type="dxa"/>
            <w:tcBorders/>
            <w:shd w:fill="FFFFFF" w:val="clear"/>
            <w:vAlign w:val="bottom"/>
          </w:tcPr>
          <w:p>
            <w:pPr>
              <w:pStyle w:val="TableContents"/>
              <w:spacing w:before="0" w:after="283"/>
              <w:jc w:val="left"/>
              <w:rPr/>
            </w:pPr>
            <w:r>
              <w:rPr/>
              <w:t> </w:t>
            </w:r>
          </w:p>
        </w:tc>
      </w:tr>
      <w:tr>
        <w:trPr/>
        <w:tc>
          <w:tcPr>
            <w:tcW w:w="703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Mortgage recording tax</w:t>
            </w:r>
          </w:p>
        </w:tc>
        <w:tc>
          <w:tcPr>
            <w:tcW w:w="115"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ind w:left="396" w:right="0" w:hanging="0"/>
              <w:jc w:val="right"/>
              <w:rPr>
                <w:rFonts w:ascii="times new roman" w:hAnsi="times new roman"/>
                <w:sz w:val="20"/>
              </w:rPr>
            </w:pPr>
            <w:bookmarkStart w:id="3380" w:name="TAB11757"/>
            <w:bookmarkEnd w:id="3380"/>
            <w:r>
              <w:rPr>
                <w:rFonts w:ascii="times new roman" w:hAnsi="times new roman"/>
                <w:sz w:val="20"/>
              </w:rPr>
              <w:t>1,953</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ind w:left="396" w:right="0" w:hanging="0"/>
              <w:jc w:val="right"/>
              <w:rPr>
                <w:rFonts w:ascii="times new roman" w:hAnsi="times new roman"/>
                <w:sz w:val="20"/>
              </w:rPr>
            </w:pPr>
            <w:bookmarkStart w:id="3381" w:name="TAB11758"/>
            <w:bookmarkEnd w:id="3381"/>
            <w:r>
              <w:rPr>
                <w:rFonts w:ascii="times new roman" w:hAnsi="times new roman"/>
                <w:sz w:val="20"/>
              </w:rPr>
              <w:t>1,953</w:t>
            </w:r>
          </w:p>
        </w:tc>
        <w:tc>
          <w:tcPr>
            <w:tcW w:w="129" w:type="dxa"/>
            <w:tcBorders/>
            <w:shd w:fill="CCEEFF" w:val="clear"/>
            <w:vAlign w:val="bottom"/>
          </w:tcPr>
          <w:p>
            <w:pPr>
              <w:pStyle w:val="TableContents"/>
              <w:spacing w:before="0" w:after="283"/>
              <w:jc w:val="left"/>
              <w:rPr/>
            </w:pPr>
            <w:r>
              <w:rPr/>
              <w:t> </w:t>
            </w:r>
          </w:p>
        </w:tc>
      </w:tr>
      <w:tr>
        <w:trPr/>
        <w:tc>
          <w:tcPr>
            <w:tcW w:w="7031"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Brokerage fees</w:t>
            </w:r>
          </w:p>
        </w:tc>
        <w:tc>
          <w:tcPr>
            <w:tcW w:w="115"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ind w:left="596" w:right="0" w:hanging="0"/>
              <w:jc w:val="right"/>
              <w:rPr>
                <w:rFonts w:ascii="times new roman" w:hAnsi="times new roman"/>
                <w:sz w:val="20"/>
              </w:rPr>
            </w:pPr>
            <w:bookmarkStart w:id="3382" w:name="TAB11759"/>
            <w:bookmarkEnd w:id="3382"/>
            <w:r>
              <w:rPr>
                <w:rFonts w:ascii="times new roman" w:hAnsi="times new roman"/>
                <w:sz w:val="20"/>
              </w:rPr>
              <w:t>500</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ind w:left="596" w:right="0" w:hanging="0"/>
              <w:jc w:val="right"/>
              <w:rPr>
                <w:rFonts w:ascii="times new roman" w:hAnsi="times new roman"/>
                <w:sz w:val="20"/>
              </w:rPr>
            </w:pPr>
            <w:bookmarkStart w:id="3383" w:name="TAB11760"/>
            <w:bookmarkEnd w:id="3383"/>
            <w:r>
              <w:rPr>
                <w:rFonts w:ascii="times new roman" w:hAnsi="times new roman"/>
                <w:sz w:val="20"/>
              </w:rPr>
              <w:t>500</w:t>
            </w:r>
          </w:p>
        </w:tc>
        <w:tc>
          <w:tcPr>
            <w:tcW w:w="129" w:type="dxa"/>
            <w:tcBorders/>
            <w:shd w:fill="FFFFFF" w:val="clear"/>
            <w:vAlign w:val="bottom"/>
          </w:tcPr>
          <w:p>
            <w:pPr>
              <w:pStyle w:val="TableContents"/>
              <w:spacing w:before="0" w:after="283"/>
              <w:jc w:val="left"/>
              <w:rPr/>
            </w:pPr>
            <w:r>
              <w:rPr/>
              <w:t> </w:t>
            </w:r>
          </w:p>
        </w:tc>
      </w:tr>
      <w:tr>
        <w:trPr/>
        <w:tc>
          <w:tcPr>
            <w:tcW w:w="703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Demolition costs</w:t>
            </w:r>
          </w:p>
        </w:tc>
        <w:tc>
          <w:tcPr>
            <w:tcW w:w="115"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ind w:left="596" w:right="0" w:hanging="0"/>
              <w:jc w:val="right"/>
              <w:rPr>
                <w:rFonts w:ascii="times new roman" w:hAnsi="times new roman"/>
                <w:sz w:val="20"/>
              </w:rPr>
            </w:pPr>
            <w:bookmarkStart w:id="3384" w:name="TAB11761"/>
            <w:bookmarkEnd w:id="3384"/>
            <w:r>
              <w:rPr>
                <w:rFonts w:ascii="times new roman" w:hAnsi="times new roman"/>
                <w:sz w:val="20"/>
              </w:rPr>
              <w:t>600</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ind w:left="596" w:right="0" w:hanging="0"/>
              <w:jc w:val="right"/>
              <w:rPr>
                <w:rFonts w:ascii="times new roman" w:hAnsi="times new roman"/>
                <w:sz w:val="20"/>
              </w:rPr>
            </w:pPr>
            <w:bookmarkStart w:id="3385" w:name="TAB11762"/>
            <w:bookmarkEnd w:id="3385"/>
            <w:r>
              <w:rPr>
                <w:rFonts w:ascii="times new roman" w:hAnsi="times new roman"/>
                <w:sz w:val="20"/>
              </w:rPr>
              <w:t>600</w:t>
            </w:r>
          </w:p>
        </w:tc>
        <w:tc>
          <w:tcPr>
            <w:tcW w:w="129" w:type="dxa"/>
            <w:tcBorders/>
            <w:shd w:fill="CCEEFF" w:val="clear"/>
            <w:vAlign w:val="bottom"/>
          </w:tcPr>
          <w:p>
            <w:pPr>
              <w:pStyle w:val="TableContents"/>
              <w:spacing w:before="0" w:after="283"/>
              <w:jc w:val="left"/>
              <w:rPr/>
            </w:pPr>
            <w:r>
              <w:rPr/>
              <w:t> </w:t>
            </w:r>
          </w:p>
        </w:tc>
      </w:tr>
      <w:tr>
        <w:trPr/>
        <w:tc>
          <w:tcPr>
            <w:tcW w:w="7031"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Title insurance</w:t>
            </w:r>
          </w:p>
        </w:tc>
        <w:tc>
          <w:tcPr>
            <w:tcW w:w="115"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9" w:type="dxa"/>
            <w:tcBorders>
              <w:bottom w:val="single" w:sz="12" w:space="0" w:color="000000"/>
            </w:tcBorders>
            <w:shd w:fill="FFFFFF" w:val="clear"/>
            <w:tcMar>
              <w:bottom w:w="28" w:type="dxa"/>
            </w:tcMar>
            <w:vAlign w:val="bottom"/>
          </w:tcPr>
          <w:p>
            <w:pPr>
              <w:pStyle w:val="TableContents"/>
              <w:spacing w:before="0" w:after="283"/>
              <w:ind w:left="596" w:right="0" w:hanging="0"/>
              <w:jc w:val="right"/>
              <w:rPr>
                <w:rFonts w:ascii="times new roman" w:hAnsi="times new roman"/>
                <w:sz w:val="20"/>
              </w:rPr>
            </w:pPr>
            <w:bookmarkStart w:id="3386" w:name="TAB11763"/>
            <w:bookmarkEnd w:id="3386"/>
            <w:r>
              <w:rPr>
                <w:rFonts w:ascii="times new roman" w:hAnsi="times new roman"/>
                <w:sz w:val="20"/>
              </w:rPr>
              <w:t>256</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9" w:type="dxa"/>
            <w:tcBorders>
              <w:bottom w:val="single" w:sz="12" w:space="0" w:color="000000"/>
            </w:tcBorders>
            <w:shd w:fill="FFFFFF" w:val="clear"/>
            <w:tcMar>
              <w:bottom w:w="28" w:type="dxa"/>
            </w:tcMar>
            <w:vAlign w:val="bottom"/>
          </w:tcPr>
          <w:p>
            <w:pPr>
              <w:pStyle w:val="TableContents"/>
              <w:spacing w:before="0" w:after="283"/>
              <w:ind w:left="596" w:right="0" w:hanging="0"/>
              <w:jc w:val="right"/>
              <w:rPr>
                <w:rFonts w:ascii="times new roman" w:hAnsi="times new roman"/>
                <w:sz w:val="20"/>
              </w:rPr>
            </w:pPr>
            <w:bookmarkStart w:id="3387" w:name="TAB11764"/>
            <w:bookmarkEnd w:id="3387"/>
            <w:r>
              <w:rPr>
                <w:rFonts w:ascii="times new roman" w:hAnsi="times new roman"/>
                <w:sz w:val="20"/>
              </w:rPr>
              <w:t>256</w:t>
            </w:r>
          </w:p>
        </w:tc>
        <w:tc>
          <w:tcPr>
            <w:tcW w:w="129" w:type="dxa"/>
            <w:tcBorders/>
            <w:shd w:fill="FFFFFF" w:val="clear"/>
            <w:vAlign w:val="bottom"/>
          </w:tcPr>
          <w:p>
            <w:pPr>
              <w:pStyle w:val="TableContents"/>
              <w:spacing w:before="0" w:after="283"/>
              <w:jc w:val="left"/>
              <w:rPr/>
            </w:pPr>
            <w:r>
              <w:rPr/>
              <w:t> </w:t>
            </w:r>
          </w:p>
        </w:tc>
      </w:tr>
      <w:tr>
        <w:trPr/>
        <w:tc>
          <w:tcPr>
            <w:tcW w:w="7031" w:type="dxa"/>
            <w:tcBorders>
              <w:bottom w:val="single" w:sz="12" w:space="0" w:color="000000"/>
            </w:tcBorders>
            <w:shd w:fill="CCEEFF" w:val="clear"/>
            <w:tcMar>
              <w:bottom w:w="28" w:type="dxa"/>
            </w:tcMar>
            <w:vAlign w:val="bottom"/>
          </w:tcPr>
          <w:p>
            <w:pPr>
              <w:pStyle w:val="TableContents"/>
              <w:spacing w:before="0" w:after="0"/>
              <w:ind w:left="0" w:right="0" w:firstLine="720"/>
              <w:jc w:val="both"/>
              <w:rPr>
                <w:rFonts w:ascii="times new roman" w:hAnsi="times new roman"/>
                <w:sz w:val="20"/>
              </w:rPr>
            </w:pPr>
            <w:r>
              <w:rPr>
                <w:rFonts w:ascii="times new roman" w:hAnsi="times new roman"/>
                <w:sz w:val="20"/>
              </w:rPr>
              <w:t>Total land</w:t>
            </w:r>
          </w:p>
        </w:tc>
        <w:tc>
          <w:tcPr>
            <w:tcW w:w="115"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9" w:type="dxa"/>
            <w:tcBorders>
              <w:bottom w:val="single" w:sz="12" w:space="0" w:color="000000"/>
            </w:tcBorders>
            <w:shd w:fill="CCEEFF" w:val="clear"/>
            <w:tcMar>
              <w:bottom w:w="28" w:type="dxa"/>
            </w:tcMar>
            <w:vAlign w:val="bottom"/>
          </w:tcPr>
          <w:p>
            <w:pPr>
              <w:pStyle w:val="TableContents"/>
              <w:spacing w:before="0" w:after="283"/>
              <w:ind w:left="263" w:right="0" w:hanging="0"/>
              <w:jc w:val="right"/>
              <w:rPr>
                <w:rFonts w:ascii="times new roman" w:hAnsi="times new roman"/>
                <w:sz w:val="20"/>
              </w:rPr>
            </w:pPr>
            <w:bookmarkStart w:id="3388" w:name="TAB11765"/>
            <w:bookmarkEnd w:id="3388"/>
            <w:r>
              <w:rPr>
                <w:rFonts w:ascii="times new roman" w:hAnsi="times new roman"/>
                <w:sz w:val="20"/>
              </w:rPr>
              <w:t>25,573</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9" w:type="dxa"/>
            <w:tcBorders>
              <w:bottom w:val="single" w:sz="12" w:space="0" w:color="000000"/>
            </w:tcBorders>
            <w:shd w:fill="CCEEFF" w:val="clear"/>
            <w:tcMar>
              <w:bottom w:w="28" w:type="dxa"/>
            </w:tcMar>
            <w:vAlign w:val="bottom"/>
          </w:tcPr>
          <w:p>
            <w:pPr>
              <w:pStyle w:val="TableContents"/>
              <w:spacing w:before="0" w:after="283"/>
              <w:ind w:left="263" w:right="0" w:hanging="0"/>
              <w:jc w:val="right"/>
              <w:rPr>
                <w:rFonts w:ascii="times new roman" w:hAnsi="times new roman"/>
                <w:sz w:val="20"/>
              </w:rPr>
            </w:pPr>
            <w:bookmarkStart w:id="3389" w:name="TAB11766"/>
            <w:bookmarkEnd w:id="3389"/>
            <w:r>
              <w:rPr>
                <w:rFonts w:ascii="times new roman" w:hAnsi="times new roman"/>
                <w:sz w:val="20"/>
              </w:rPr>
              <w:t>25,573</w:t>
            </w:r>
          </w:p>
        </w:tc>
        <w:tc>
          <w:tcPr>
            <w:tcW w:w="129" w:type="dxa"/>
            <w:tcBorders/>
            <w:shd w:fill="CCEEFF" w:val="clear"/>
            <w:vAlign w:val="bottom"/>
          </w:tcPr>
          <w:p>
            <w:pPr>
              <w:pStyle w:val="TableContents"/>
              <w:spacing w:before="0" w:after="283"/>
              <w:jc w:val="left"/>
              <w:rPr/>
            </w:pPr>
            <w:r>
              <w:rPr/>
              <w:t> </w:t>
            </w:r>
          </w:p>
        </w:tc>
      </w:tr>
      <w:tr>
        <w:trPr/>
        <w:tc>
          <w:tcPr>
            <w:tcW w:w="7031" w:type="dxa"/>
            <w:tcBorders/>
            <w:shd w:fill="FFFFFF"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Less:  costs allocated to condominium units sold</w:t>
            </w:r>
          </w:p>
        </w:tc>
        <w:tc>
          <w:tcPr>
            <w:tcW w:w="115"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25,391</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16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24,611</w:t>
            </w:r>
          </w:p>
        </w:tc>
        <w:tc>
          <w:tcPr>
            <w:tcW w:w="129" w:type="dxa"/>
            <w:tcBorders/>
            <w:shd w:fill="FFFFFF" w:val="clear"/>
            <w:vAlign w:val="bottom"/>
          </w:tcPr>
          <w:p>
            <w:pPr>
              <w:pStyle w:val="TableContents"/>
              <w:spacing w:before="0" w:after="283"/>
              <w:jc w:val="left"/>
              <w:rPr/>
            </w:pPr>
            <w:r>
              <w:rPr/>
              <w:t> </w:t>
            </w:r>
          </w:p>
        </w:tc>
      </w:tr>
      <w:tr>
        <w:trPr/>
        <w:tc>
          <w:tcPr>
            <w:tcW w:w="7031" w:type="dxa"/>
            <w:tcBorders/>
            <w:shd w:fill="CCEEFF"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Less:  cost allocated to residential manager’s apartment</w:t>
            </w:r>
          </w:p>
        </w:tc>
        <w:tc>
          <w:tcPr>
            <w:tcW w:w="115"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81" w:type="dxa"/>
            <w:tcBorders/>
            <w:shd w:fill="CCEEFF" w:val="clear"/>
            <w:vAlign w:val="bottom"/>
          </w:tcPr>
          <w:p>
            <w:pPr>
              <w:pStyle w:val="TableContents"/>
              <w:spacing w:before="0" w:after="283"/>
              <w:jc w:val="left"/>
              <w:rPr/>
            </w:pPr>
            <w:r>
              <w:rPr/>
              <w:t> </w:t>
            </w:r>
          </w:p>
        </w:tc>
        <w:tc>
          <w:tcPr>
            <w:tcW w:w="11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129" w:type="dxa"/>
            <w:tcBorders/>
            <w:shd w:fill="CCEEFF" w:val="clear"/>
            <w:vAlign w:val="bottom"/>
          </w:tcPr>
          <w:p>
            <w:pPr>
              <w:pStyle w:val="TableContents"/>
              <w:spacing w:before="0" w:after="283"/>
              <w:jc w:val="left"/>
              <w:rPr/>
            </w:pPr>
            <w:r>
              <w:rPr/>
              <w:t> </w:t>
            </w:r>
          </w:p>
        </w:tc>
      </w:tr>
      <w:tr>
        <w:trPr/>
        <w:tc>
          <w:tcPr>
            <w:tcW w:w="7031" w:type="dxa"/>
            <w:tcBorders>
              <w:bottom w:val="single" w:sz="12" w:space="0" w:color="000000"/>
            </w:tcBorders>
            <w:shd w:fill="FFFFFF" w:val="clear"/>
            <w:tcMar>
              <w:bottom w:w="28" w:type="dxa"/>
            </w:tcM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Less:  cost allocated to commercial unit</w:t>
            </w:r>
          </w:p>
        </w:tc>
        <w:tc>
          <w:tcPr>
            <w:tcW w:w="115"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780</w:t>
            </w:r>
          </w:p>
        </w:tc>
        <w:tc>
          <w:tcPr>
            <w:tcW w:w="129" w:type="dxa"/>
            <w:tcBorders/>
            <w:shd w:fill="FFFFFF" w:val="clear"/>
            <w:vAlign w:val="bottom"/>
          </w:tcPr>
          <w:p>
            <w:pPr>
              <w:pStyle w:val="TableContents"/>
              <w:spacing w:before="0" w:after="283"/>
              <w:jc w:val="left"/>
              <w:rPr/>
            </w:pPr>
            <w:r>
              <w:rPr/>
              <w:t> </w:t>
            </w:r>
          </w:p>
        </w:tc>
      </w:tr>
      <w:tr>
        <w:trPr/>
        <w:tc>
          <w:tcPr>
            <w:tcW w:w="7031" w:type="dxa"/>
            <w:tcBorders>
              <w:bottom w:val="double" w:sz="8"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land value</w:t>
            </w:r>
          </w:p>
        </w:tc>
        <w:tc>
          <w:tcPr>
            <w:tcW w:w="115" w:type="dxa"/>
            <w:tcBorders/>
            <w:shd w:fill="CCEEFF" w:val="clear"/>
            <w:vAlign w:val="bottom"/>
          </w:tcPr>
          <w:p>
            <w:pPr>
              <w:pStyle w:val="TableContents"/>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bottom w:val="double" w:sz="8" w:space="0" w:color="000000"/>
            </w:tcBorders>
            <w:shd w:fill="CCEEFF" w:val="clear"/>
            <w:tcMar>
              <w:bottom w:w="28" w:type="dxa"/>
            </w:tcMar>
            <w:vAlign w:val="bottom"/>
          </w:tcPr>
          <w:p>
            <w:pPr>
              <w:pStyle w:val="TableContents"/>
              <w:spacing w:before="0" w:after="283"/>
              <w:ind w:left="543" w:right="0" w:hanging="0"/>
              <w:jc w:val="right"/>
              <w:rPr>
                <w:rFonts w:ascii="times new roman" w:hAnsi="times new roman"/>
                <w:sz w:val="20"/>
              </w:rPr>
            </w:pPr>
            <w:bookmarkStart w:id="3390" w:name="TAB11767"/>
            <w:bookmarkEnd w:id="3390"/>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bottom w:val="double" w:sz="8" w:space="0" w:color="000000"/>
            </w:tcBorders>
            <w:shd w:fill="CCEEFF" w:val="clear"/>
            <w:tcMar>
              <w:bottom w:w="28" w:type="dxa"/>
            </w:tcMar>
            <w:vAlign w:val="bottom"/>
          </w:tcPr>
          <w:p>
            <w:pPr>
              <w:pStyle w:val="TableContents"/>
              <w:spacing w:before="0" w:after="283"/>
              <w:ind w:left="543" w:right="0" w:hanging="0"/>
              <w:jc w:val="right"/>
              <w:rPr>
                <w:rFonts w:ascii="times new roman" w:hAnsi="times new roman"/>
                <w:sz w:val="20"/>
              </w:rPr>
            </w:pPr>
            <w:bookmarkStart w:id="3391" w:name="TAB11768"/>
            <w:bookmarkEnd w:id="3391"/>
            <w:r>
              <w:rPr>
                <w:rFonts w:ascii="times new roman" w:hAnsi="times new roman"/>
                <w:sz w:val="20"/>
              </w:rPr>
              <w:t>--</w:t>
            </w:r>
          </w:p>
        </w:tc>
        <w:tc>
          <w:tcPr>
            <w:tcW w:w="12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4 - Construction and Development Costs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Construction and development costs include direct and indirect construction costs.  Direct construction costs (“Hard costs”) include those costs directly related to the construction of the development project.  Indirect costs (“Soft costs”) include costs that have been capitalized, such as construction period interest and financing costs, real estate and recording taxes, insurance, development fees, and architect fees.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2009 (unaudited) and 2008(unaudited), construction and development costs are comprised of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086"/>
        <w:gridCol w:w="113"/>
        <w:gridCol w:w="179"/>
        <w:gridCol w:w="1149"/>
        <w:gridCol w:w="113"/>
        <w:gridCol w:w="113"/>
        <w:gridCol w:w="179"/>
        <w:gridCol w:w="1149"/>
        <w:gridCol w:w="124"/>
      </w:tblGrid>
      <w:tr>
        <w:trPr/>
        <w:tc>
          <w:tcPr>
            <w:tcW w:w="7086"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288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4" w:type="dxa"/>
            <w:tcBorders/>
            <w:shd w:fill="auto" w:val="clear"/>
            <w:vAlign w:val="bottom"/>
          </w:tcPr>
          <w:p>
            <w:pPr>
              <w:pStyle w:val="TableContents"/>
              <w:spacing w:before="0" w:after="283"/>
              <w:jc w:val="left"/>
              <w:rPr/>
            </w:pPr>
            <w:r>
              <w:rPr/>
              <w:t> </w:t>
            </w:r>
          </w:p>
        </w:tc>
      </w:tr>
      <w:tr>
        <w:trPr/>
        <w:tc>
          <w:tcPr>
            <w:tcW w:w="7086"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w:t>
            </w:r>
          </w:p>
        </w:tc>
        <w:tc>
          <w:tcPr>
            <w:tcW w:w="132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3"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132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4" w:type="dxa"/>
            <w:tcBorders/>
            <w:shd w:fill="auto" w:val="clear"/>
            <w:vAlign w:val="bottom"/>
          </w:tcPr>
          <w:p>
            <w:pPr>
              <w:pStyle w:val="TableContents"/>
              <w:spacing w:before="0" w:after="283"/>
              <w:jc w:val="left"/>
              <w:rPr/>
            </w:pPr>
            <w:r>
              <w:rPr/>
              <w:t> </w:t>
            </w:r>
          </w:p>
        </w:tc>
      </w:tr>
      <w:tr>
        <w:trPr/>
        <w:tc>
          <w:tcPr>
            <w:tcW w:w="708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Hard costs</w:t>
            </w:r>
          </w:p>
        </w:tc>
        <w:tc>
          <w:tcPr>
            <w:tcW w:w="113"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9" w:type="dxa"/>
            <w:tcBorders/>
            <w:shd w:fill="CCEEFF" w:val="clear"/>
            <w:vAlign w:val="bottom"/>
          </w:tcPr>
          <w:p>
            <w:pPr>
              <w:pStyle w:val="TableContents"/>
              <w:spacing w:before="0" w:after="283"/>
              <w:ind w:left="2" w:right="0" w:hanging="0"/>
              <w:jc w:val="right"/>
              <w:rPr>
                <w:rFonts w:ascii="times new roman" w:hAnsi="times new roman"/>
                <w:sz w:val="20"/>
              </w:rPr>
            </w:pPr>
            <w:bookmarkStart w:id="3392" w:name="TAB11769"/>
            <w:bookmarkEnd w:id="3392"/>
            <w:r>
              <w:rPr>
                <w:rFonts w:ascii="times new roman" w:hAnsi="times new roman"/>
                <w:sz w:val="20"/>
              </w:rPr>
              <w:t>49,426</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9" w:type="dxa"/>
            <w:tcBorders/>
            <w:shd w:fill="CCEEFF" w:val="clear"/>
            <w:vAlign w:val="bottom"/>
          </w:tcPr>
          <w:p>
            <w:pPr>
              <w:pStyle w:val="TableContents"/>
              <w:spacing w:before="0" w:after="283"/>
              <w:ind w:left="2" w:right="0" w:hanging="0"/>
              <w:jc w:val="right"/>
              <w:rPr>
                <w:rFonts w:ascii="times new roman" w:hAnsi="times new roman"/>
                <w:sz w:val="20"/>
              </w:rPr>
            </w:pPr>
            <w:bookmarkStart w:id="3393" w:name="TAB11770"/>
            <w:bookmarkEnd w:id="3393"/>
            <w:r>
              <w:rPr>
                <w:rFonts w:ascii="times new roman" w:hAnsi="times new roman"/>
                <w:sz w:val="20"/>
              </w:rPr>
              <w:t>49,426</w:t>
            </w:r>
          </w:p>
        </w:tc>
        <w:tc>
          <w:tcPr>
            <w:tcW w:w="124" w:type="dxa"/>
            <w:tcBorders/>
            <w:shd w:fill="CCEEFF" w:val="clear"/>
            <w:vAlign w:val="bottom"/>
          </w:tcPr>
          <w:p>
            <w:pPr>
              <w:pStyle w:val="TableContents"/>
              <w:spacing w:before="0" w:after="283"/>
              <w:jc w:val="left"/>
              <w:rPr/>
            </w:pPr>
            <w:r>
              <w:rPr/>
              <w:t> </w:t>
            </w:r>
          </w:p>
        </w:tc>
      </w:tr>
      <w:tr>
        <w:trPr/>
        <w:tc>
          <w:tcPr>
            <w:tcW w:w="708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Soft costs</w:t>
            </w:r>
          </w:p>
        </w:tc>
        <w:tc>
          <w:tcPr>
            <w:tcW w:w="113" w:type="dxa"/>
            <w:tcBorders/>
            <w:shd w:fill="FFFFFF" w:val="clear"/>
            <w:vAlign w:val="bottom"/>
          </w:tcPr>
          <w:p>
            <w:pPr>
              <w:pStyle w:val="TableContents"/>
              <w:spacing w:before="0" w:after="283"/>
              <w:jc w:val="lef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18,588</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18,588</w:t>
            </w:r>
          </w:p>
        </w:tc>
        <w:tc>
          <w:tcPr>
            <w:tcW w:w="124" w:type="dxa"/>
            <w:tcBorders/>
            <w:shd w:fill="FFFFFF" w:val="clear"/>
            <w:vAlign w:val="bottom"/>
          </w:tcPr>
          <w:p>
            <w:pPr>
              <w:pStyle w:val="TableContents"/>
              <w:spacing w:before="0" w:after="283"/>
              <w:jc w:val="left"/>
              <w:rPr/>
            </w:pPr>
            <w:r>
              <w:rPr/>
              <w:t> </w:t>
            </w:r>
          </w:p>
        </w:tc>
      </w:tr>
      <w:tr>
        <w:trPr/>
        <w:tc>
          <w:tcPr>
            <w:tcW w:w="7086" w:type="dxa"/>
            <w:tcBorders>
              <w:bottom w:val="single" w:sz="12" w:space="0" w:color="000000"/>
            </w:tcBorders>
            <w:shd w:fill="CCEEFF" w:val="clear"/>
            <w:tcMar>
              <w:bottom w:w="28" w:type="dxa"/>
            </w:tcMar>
            <w:vAlign w:val="bottom"/>
          </w:tcPr>
          <w:p>
            <w:pPr>
              <w:pStyle w:val="TableContents"/>
              <w:spacing w:before="0" w:after="0"/>
              <w:ind w:left="0" w:right="0" w:firstLine="720"/>
              <w:jc w:val="both"/>
              <w:rPr>
                <w:rFonts w:ascii="times new roman" w:hAnsi="times new roman"/>
                <w:sz w:val="20"/>
              </w:rPr>
            </w:pPr>
            <w:r>
              <w:rPr>
                <w:rFonts w:ascii="times new roman" w:hAnsi="times new roman"/>
                <w:sz w:val="20"/>
              </w:rPr>
              <w:t>Total construction and development costs</w:t>
            </w:r>
          </w:p>
        </w:tc>
        <w:tc>
          <w:tcPr>
            <w:tcW w:w="113" w:type="dxa"/>
            <w:tcBorders/>
            <w:shd w:fill="CCEEFF" w:val="clear"/>
            <w:vAlign w:val="bottom"/>
          </w:tcPr>
          <w:p>
            <w:pPr>
              <w:pStyle w:val="TableContents"/>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68,014</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68,014</w:t>
            </w:r>
          </w:p>
        </w:tc>
        <w:tc>
          <w:tcPr>
            <w:tcW w:w="124" w:type="dxa"/>
            <w:tcBorders/>
            <w:shd w:fill="CCEEFF" w:val="clear"/>
            <w:vAlign w:val="bottom"/>
          </w:tcPr>
          <w:p>
            <w:pPr>
              <w:pStyle w:val="TableContents"/>
              <w:spacing w:before="0" w:after="283"/>
              <w:jc w:val="left"/>
              <w:rPr/>
            </w:pPr>
            <w:r>
              <w:rPr/>
              <w:t> </w:t>
            </w:r>
          </w:p>
        </w:tc>
      </w:tr>
      <w:tr>
        <w:trPr/>
        <w:tc>
          <w:tcPr>
            <w:tcW w:w="7086" w:type="dxa"/>
            <w:tcBorders/>
            <w:shd w:fill="FFFFFF"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Less:  costs allocated to condominium units sold</w:t>
            </w:r>
          </w:p>
        </w:tc>
        <w:tc>
          <w:tcPr>
            <w:tcW w:w="113"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67,528</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11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65,887</w:t>
            </w:r>
          </w:p>
        </w:tc>
        <w:tc>
          <w:tcPr>
            <w:tcW w:w="124" w:type="dxa"/>
            <w:tcBorders/>
            <w:shd w:fill="FFFFFF" w:val="clear"/>
            <w:vAlign w:val="bottom"/>
          </w:tcPr>
          <w:p>
            <w:pPr>
              <w:pStyle w:val="TableContents"/>
              <w:spacing w:before="0" w:after="283"/>
              <w:jc w:val="left"/>
              <w:rPr/>
            </w:pPr>
            <w:r>
              <w:rPr/>
              <w:t> </w:t>
            </w:r>
          </w:p>
        </w:tc>
      </w:tr>
      <w:tr>
        <w:trPr/>
        <w:tc>
          <w:tcPr>
            <w:tcW w:w="7086" w:type="dxa"/>
            <w:tcBorders/>
            <w:shd w:fill="CCEEFF"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Less:  cost allocated to residential manager’s apartment</w:t>
            </w:r>
          </w:p>
        </w:tc>
        <w:tc>
          <w:tcPr>
            <w:tcW w:w="113"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79" w:type="dxa"/>
            <w:tcBorders/>
            <w:shd w:fill="CCEEFF" w:val="clear"/>
            <w:vAlign w:val="bottom"/>
          </w:tcPr>
          <w:p>
            <w:pPr>
              <w:pStyle w:val="TableContents"/>
              <w:spacing w:before="0" w:after="283"/>
              <w:jc w:val="left"/>
              <w:rPr/>
            </w:pPr>
            <w:r>
              <w:rPr/>
              <w:t> </w:t>
            </w:r>
          </w:p>
        </w:tc>
        <w:tc>
          <w:tcPr>
            <w:tcW w:w="11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w:t>
            </w:r>
          </w:p>
        </w:tc>
        <w:tc>
          <w:tcPr>
            <w:tcW w:w="124" w:type="dxa"/>
            <w:tcBorders/>
            <w:shd w:fill="CCEEFF" w:val="clear"/>
            <w:vAlign w:val="bottom"/>
          </w:tcPr>
          <w:p>
            <w:pPr>
              <w:pStyle w:val="TableContents"/>
              <w:spacing w:before="0" w:after="283"/>
              <w:jc w:val="left"/>
              <w:rPr/>
            </w:pPr>
            <w:r>
              <w:rPr/>
              <w:t> </w:t>
            </w:r>
          </w:p>
        </w:tc>
      </w:tr>
      <w:tr>
        <w:trPr/>
        <w:tc>
          <w:tcPr>
            <w:tcW w:w="7086" w:type="dxa"/>
            <w:tcBorders>
              <w:bottom w:val="single" w:sz="12" w:space="0" w:color="000000"/>
            </w:tcBorders>
            <w:shd w:fill="FFFFFF" w:val="clear"/>
            <w:tcMar>
              <w:bottom w:w="28" w:type="dxa"/>
            </w:tcMar>
            <w:vAlign w:val="bottom"/>
          </w:tcPr>
          <w:p>
            <w:pPr>
              <w:pStyle w:val="TableContents"/>
              <w:spacing w:before="0" w:after="0"/>
              <w:ind w:left="0" w:right="0" w:firstLine="180"/>
              <w:jc w:val="left"/>
              <w:rPr>
                <w:rFonts w:ascii="times new roman" w:hAnsi="times new roman"/>
                <w:sz w:val="20"/>
              </w:rPr>
            </w:pPr>
            <w:r>
              <w:rPr>
                <w:rFonts w:ascii="times new roman" w:hAnsi="times new roman"/>
                <w:sz w:val="20"/>
              </w:rPr>
              <w:t>Less:  cost allocated to commercial unit</w:t>
            </w:r>
          </w:p>
        </w:tc>
        <w:tc>
          <w:tcPr>
            <w:tcW w:w="113" w:type="dxa"/>
            <w:tcBorders/>
            <w:shd w:fill="FFFFFF" w:val="clear"/>
            <w:vAlign w:val="bottom"/>
          </w:tcPr>
          <w:p>
            <w:pPr>
              <w:pStyle w:val="TableContents"/>
              <w:spacing w:before="0" w:after="283"/>
              <w:jc w:val="lef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1,641</w:t>
            </w:r>
          </w:p>
        </w:tc>
        <w:tc>
          <w:tcPr>
            <w:tcW w:w="124" w:type="dxa"/>
            <w:tcBorders/>
            <w:shd w:fill="FFFFFF" w:val="clear"/>
            <w:vAlign w:val="bottom"/>
          </w:tcPr>
          <w:p>
            <w:pPr>
              <w:pStyle w:val="TableContents"/>
              <w:spacing w:before="0" w:after="283"/>
              <w:jc w:val="left"/>
              <w:rPr/>
            </w:pPr>
            <w:r>
              <w:rPr/>
              <w:t> </w:t>
            </w:r>
          </w:p>
        </w:tc>
      </w:tr>
      <w:tr>
        <w:trPr/>
        <w:tc>
          <w:tcPr>
            <w:tcW w:w="7086" w:type="dxa"/>
            <w:tcBorders>
              <w:bottom w:val="double" w:sz="8"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construction and development costs</w:t>
            </w:r>
          </w:p>
        </w:tc>
        <w:tc>
          <w:tcPr>
            <w:tcW w:w="113" w:type="dxa"/>
            <w:tcBorders/>
            <w:shd w:fill="CCEEFF" w:val="clear"/>
            <w:vAlign w:val="bottom"/>
          </w:tcPr>
          <w:p>
            <w:pPr>
              <w:pStyle w:val="TableContents"/>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9" w:type="dxa"/>
            <w:tcBorders>
              <w:bottom w:val="double" w:sz="8" w:space="0" w:color="000000"/>
            </w:tcBorders>
            <w:shd w:fill="CCEEFF" w:val="clear"/>
            <w:tcMar>
              <w:bottom w:w="28" w:type="dxa"/>
            </w:tcMar>
            <w:vAlign w:val="bottom"/>
          </w:tcPr>
          <w:p>
            <w:pPr>
              <w:pStyle w:val="TableContents"/>
              <w:spacing w:before="0" w:after="283"/>
              <w:ind w:left="543" w:right="0" w:hanging="0"/>
              <w:jc w:val="right"/>
              <w:rPr>
                <w:rFonts w:ascii="times new roman" w:hAnsi="times new roman"/>
                <w:sz w:val="20"/>
              </w:rPr>
            </w:pPr>
            <w:bookmarkStart w:id="3394" w:name="TAB11771"/>
            <w:bookmarkEnd w:id="3394"/>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9" w:type="dxa"/>
            <w:tcBorders>
              <w:bottom w:val="double" w:sz="8" w:space="0" w:color="000000"/>
            </w:tcBorders>
            <w:shd w:fill="CCEEFF" w:val="clear"/>
            <w:tcMar>
              <w:bottom w:w="28" w:type="dxa"/>
            </w:tcMar>
            <w:vAlign w:val="bottom"/>
          </w:tcPr>
          <w:p>
            <w:pPr>
              <w:pStyle w:val="TableContents"/>
              <w:spacing w:before="0" w:after="283"/>
              <w:ind w:left="543" w:right="0" w:hanging="0"/>
              <w:jc w:val="right"/>
              <w:rPr>
                <w:rFonts w:ascii="times new roman" w:hAnsi="times new roman"/>
                <w:sz w:val="20"/>
              </w:rPr>
            </w:pPr>
            <w:bookmarkStart w:id="3395" w:name="TAB11772"/>
            <w:bookmarkEnd w:id="3395"/>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5 - Negotiable Certificates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December 2003, the Company entered into an agreement to purchase 61 negotiable certificates under Section 421a of the New York State Real Property tax law in order to obtain real estate tax abatements.  Section 421a provides that property constructed north of 14th Street in Manhattan, on vacant or underutilized land, is eligible for partial real estate tax abatements.  Abatements are for ten years and provide for limited real estate tax reductions.  The agreement contained an option to purchase an additional seven certificates which the Company exercised in March 2004.  The final purchase price was $863,083, which is equal to the sum of $793,083 for the original 61 certificates plus $10,000 for each of the seven additional certificates.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February 2006, the Company purchased an additional 17 negotiable 421a certificates for $340,000.</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96" w:name="PGBRK120"/>
      <w:bookmarkStart w:id="3397" w:name="PGBRK120"/>
      <w:bookmarkEnd w:id="33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98" w:name="FTR120"/>
      <w:bookmarkStart w:id="3399" w:name="FTR120"/>
      <w:bookmarkEnd w:id="3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00" w:name="GLFTR120"/>
      <w:bookmarkEnd w:id="34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401" w:name="PN120"/>
      <w:bookmarkEnd w:id="3401"/>
      <w:r>
        <w:rPr>
          <w:rFonts w:eastAsia="Times New Roman" w:cs="Times New Roman" w:ascii="Times New Roman" w:hAnsi="Times New Roman"/>
          <w:sz w:val="20"/>
          <w:szCs w:val="20"/>
        </w:rPr>
        <w:t>-120-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402" w:name="HDR120"/>
      <w:bookmarkStart w:id="3403" w:name="HDR120"/>
      <w:bookmarkEnd w:id="3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404" w:name="GLHDR120"/>
        <w:bookmarkEnd w:id="340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In May 2006, the Company paid a Preliminary Certificate of Eligibility Fee to The City of New York for $302,681, which is required to be paid in conjunction with these negotiable certificates.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2009 (unaudited) and 2008 (unaudited) negotiable certificates is comprised of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973"/>
        <w:gridCol w:w="115"/>
        <w:gridCol w:w="208"/>
        <w:gridCol w:w="1171"/>
        <w:gridCol w:w="115"/>
        <w:gridCol w:w="115"/>
        <w:gridCol w:w="208"/>
        <w:gridCol w:w="1171"/>
        <w:gridCol w:w="129"/>
      </w:tblGrid>
      <w:tr>
        <w:trPr/>
        <w:tc>
          <w:tcPr>
            <w:tcW w:w="6973"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w:t>
            </w:r>
          </w:p>
        </w:tc>
        <w:tc>
          <w:tcPr>
            <w:tcW w:w="298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9" w:type="dxa"/>
            <w:tcBorders/>
            <w:shd w:fill="auto" w:val="clear"/>
            <w:vAlign w:val="bottom"/>
          </w:tcPr>
          <w:p>
            <w:pPr>
              <w:pStyle w:val="TableContents"/>
              <w:spacing w:before="0" w:after="283"/>
              <w:jc w:val="left"/>
              <w:rPr/>
            </w:pPr>
            <w:r>
              <w:rPr/>
              <w:t> </w:t>
            </w:r>
          </w:p>
        </w:tc>
      </w:tr>
      <w:tr>
        <w:trPr/>
        <w:tc>
          <w:tcPr>
            <w:tcW w:w="6973"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115" w:type="dxa"/>
            <w:tcBorders/>
            <w:shd w:fill="auto" w:val="clear"/>
            <w:vAlign w:val="bottom"/>
          </w:tcPr>
          <w:p>
            <w:pPr>
              <w:pStyle w:val="TableContents"/>
              <w:spacing w:before="0" w:after="283"/>
              <w:rPr/>
            </w:pPr>
            <w:r>
              <w:rPr/>
              <w:t> </w:t>
            </w:r>
          </w:p>
        </w:tc>
        <w:tc>
          <w:tcPr>
            <w:tcW w:w="137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5" w:type="dxa"/>
            <w:tcBorders/>
            <w:shd w:fill="auto" w:val="clear"/>
            <w:vAlign w:val="bottom"/>
          </w:tcPr>
          <w:p>
            <w:pPr>
              <w:pStyle w:val="TableContents"/>
              <w:spacing w:before="0" w:after="283"/>
              <w:jc w:val="left"/>
              <w:rPr/>
            </w:pPr>
            <w:r>
              <w:rPr/>
              <w:t> </w:t>
            </w:r>
          </w:p>
        </w:tc>
        <w:tc>
          <w:tcPr>
            <w:tcW w:w="115" w:type="dxa"/>
            <w:tcBorders/>
            <w:shd w:fill="auto" w:val="clear"/>
            <w:vAlign w:val="bottom"/>
          </w:tcPr>
          <w:p>
            <w:pPr>
              <w:pStyle w:val="TableContents"/>
              <w:spacing w:before="0" w:after="283"/>
              <w:rPr/>
            </w:pPr>
            <w:r>
              <w:rPr/>
              <w:t> </w:t>
            </w:r>
          </w:p>
        </w:tc>
        <w:tc>
          <w:tcPr>
            <w:tcW w:w="137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9" w:type="dxa"/>
            <w:tcBorders/>
            <w:shd w:fill="auto" w:val="clear"/>
            <w:vAlign w:val="bottom"/>
          </w:tcPr>
          <w:p>
            <w:pPr>
              <w:pStyle w:val="TableContents"/>
              <w:spacing w:before="0" w:after="283"/>
              <w:jc w:val="left"/>
              <w:rPr/>
            </w:pPr>
            <w:r>
              <w:rPr/>
              <w:t> </w:t>
            </w:r>
          </w:p>
        </w:tc>
      </w:tr>
      <w:tr>
        <w:trPr/>
        <w:tc>
          <w:tcPr>
            <w:tcW w:w="697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421a certificates</w:t>
            </w:r>
          </w:p>
        </w:tc>
        <w:tc>
          <w:tcPr>
            <w:tcW w:w="115" w:type="dxa"/>
            <w:tcBorders/>
            <w:shd w:fill="CCEEFF" w:val="clear"/>
            <w:vAlign w:val="bottom"/>
          </w:tcPr>
          <w:p>
            <w:pPr>
              <w:pStyle w:val="TableContents"/>
              <w:spacing w:before="0" w:after="283"/>
              <w:jc w:val="left"/>
              <w:rPr/>
            </w:pPr>
            <w:r>
              <w:rPr/>
              <w:t> </w:t>
            </w:r>
          </w:p>
        </w:tc>
        <w:tc>
          <w:tcPr>
            <w:tcW w:w="2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1" w:type="dxa"/>
            <w:tcBorders/>
            <w:shd w:fill="CCEEFF" w:val="clear"/>
            <w:vAlign w:val="bottom"/>
          </w:tcPr>
          <w:p>
            <w:pPr>
              <w:pStyle w:val="TableContents"/>
              <w:spacing w:before="0" w:after="283"/>
              <w:ind w:left="190" w:right="0" w:hanging="0"/>
              <w:jc w:val="right"/>
              <w:rPr>
                <w:rFonts w:ascii="times new roman" w:hAnsi="times new roman"/>
                <w:sz w:val="20"/>
              </w:rPr>
            </w:pPr>
            <w:bookmarkStart w:id="3405" w:name="TAB11773"/>
            <w:bookmarkEnd w:id="3405"/>
            <w:r>
              <w:rPr>
                <w:rFonts w:ascii="times new roman" w:hAnsi="times new roman"/>
                <w:sz w:val="20"/>
              </w:rPr>
              <w:t>1,203</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2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1" w:type="dxa"/>
            <w:tcBorders/>
            <w:shd w:fill="CCEEFF" w:val="clear"/>
            <w:vAlign w:val="bottom"/>
          </w:tcPr>
          <w:p>
            <w:pPr>
              <w:pStyle w:val="TableContents"/>
              <w:spacing w:before="0" w:after="283"/>
              <w:ind w:left="190" w:right="0" w:hanging="0"/>
              <w:jc w:val="right"/>
              <w:rPr>
                <w:rFonts w:ascii="times new roman" w:hAnsi="times new roman"/>
                <w:sz w:val="20"/>
              </w:rPr>
            </w:pPr>
            <w:bookmarkStart w:id="3406" w:name="TAB11774"/>
            <w:bookmarkEnd w:id="3406"/>
            <w:r>
              <w:rPr>
                <w:rFonts w:ascii="times new roman" w:hAnsi="times new roman"/>
                <w:sz w:val="20"/>
              </w:rPr>
              <w:t>1,203</w:t>
            </w:r>
          </w:p>
        </w:tc>
        <w:tc>
          <w:tcPr>
            <w:tcW w:w="129" w:type="dxa"/>
            <w:tcBorders/>
            <w:shd w:fill="CCEEFF" w:val="clear"/>
            <w:vAlign w:val="bottom"/>
          </w:tcPr>
          <w:p>
            <w:pPr>
              <w:pStyle w:val="TableContents"/>
              <w:spacing w:before="0" w:after="283"/>
              <w:jc w:val="left"/>
              <w:rPr/>
            </w:pPr>
            <w:r>
              <w:rPr/>
              <w:t> </w:t>
            </w:r>
          </w:p>
        </w:tc>
      </w:tr>
      <w:tr>
        <w:trPr/>
        <w:tc>
          <w:tcPr>
            <w:tcW w:w="6973"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Preliminary certificate of eligibility fee</w:t>
            </w:r>
          </w:p>
        </w:tc>
        <w:tc>
          <w:tcPr>
            <w:tcW w:w="115" w:type="dxa"/>
            <w:tcBorders/>
            <w:shd w:fill="FFFFFF" w:val="clear"/>
            <w:vAlign w:val="bottom"/>
          </w:tcPr>
          <w:p>
            <w:pPr>
              <w:pStyle w:val="TableContents"/>
              <w:spacing w:before="0" w:after="283"/>
              <w:jc w:val="left"/>
              <w:rPr/>
            </w:pPr>
            <w:r>
              <w:rPr/>
              <w:t> </w:t>
            </w:r>
          </w:p>
        </w:tc>
        <w:tc>
          <w:tcPr>
            <w:tcW w:w="20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303</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20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303</w:t>
            </w:r>
          </w:p>
        </w:tc>
        <w:tc>
          <w:tcPr>
            <w:tcW w:w="129" w:type="dxa"/>
            <w:tcBorders/>
            <w:shd w:fill="FFFFFF" w:val="clear"/>
            <w:vAlign w:val="bottom"/>
          </w:tcPr>
          <w:p>
            <w:pPr>
              <w:pStyle w:val="TableContents"/>
              <w:spacing w:before="0" w:after="283"/>
              <w:jc w:val="left"/>
              <w:rPr/>
            </w:pPr>
            <w:r>
              <w:rPr/>
              <w:t> </w:t>
            </w:r>
          </w:p>
        </w:tc>
      </w:tr>
      <w:tr>
        <w:trPr/>
        <w:tc>
          <w:tcPr>
            <w:tcW w:w="6973" w:type="dxa"/>
            <w:tcBorders>
              <w:bottom w:val="single" w:sz="12" w:space="0" w:color="000000"/>
            </w:tcBorders>
            <w:shd w:fill="CCEEFF" w:val="clear"/>
            <w:tcMar>
              <w:bottom w:w="28" w:type="dxa"/>
            </w:tcMar>
            <w:vAlign w:val="bottom"/>
          </w:tcPr>
          <w:p>
            <w:pPr>
              <w:pStyle w:val="TableContents"/>
              <w:spacing w:before="0" w:after="0"/>
              <w:ind w:left="0" w:right="0" w:firstLine="720"/>
              <w:jc w:val="both"/>
              <w:rPr>
                <w:rFonts w:ascii="times new roman" w:hAnsi="times new roman"/>
                <w:sz w:val="20"/>
              </w:rPr>
            </w:pPr>
            <w:r>
              <w:rPr>
                <w:rFonts w:ascii="times new roman" w:hAnsi="times new roman"/>
                <w:sz w:val="20"/>
              </w:rPr>
              <w:t>Total negotiable certificates</w:t>
            </w:r>
          </w:p>
        </w:tc>
        <w:tc>
          <w:tcPr>
            <w:tcW w:w="115" w:type="dxa"/>
            <w:tcBorders/>
            <w:shd w:fill="CCEEFF" w:val="clear"/>
            <w:vAlign w:val="bottom"/>
          </w:tcPr>
          <w:p>
            <w:pPr>
              <w:pStyle w:val="TableContents"/>
              <w:spacing w:before="0" w:after="283"/>
              <w:jc w:val="left"/>
              <w:rPr/>
            </w:pPr>
            <w:r>
              <w:rPr/>
              <w:t> </w:t>
            </w:r>
          </w:p>
        </w:tc>
        <w:tc>
          <w:tcPr>
            <w:tcW w:w="20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1,506</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20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1,506</w:t>
            </w:r>
          </w:p>
        </w:tc>
        <w:tc>
          <w:tcPr>
            <w:tcW w:w="129" w:type="dxa"/>
            <w:tcBorders/>
            <w:shd w:fill="CCEEFF" w:val="clear"/>
            <w:vAlign w:val="bottom"/>
          </w:tcPr>
          <w:p>
            <w:pPr>
              <w:pStyle w:val="TableContents"/>
              <w:spacing w:before="0" w:after="283"/>
              <w:jc w:val="left"/>
              <w:rPr/>
            </w:pPr>
            <w:r>
              <w:rPr/>
              <w:t> </w:t>
            </w:r>
          </w:p>
        </w:tc>
      </w:tr>
      <w:tr>
        <w:trPr/>
        <w:tc>
          <w:tcPr>
            <w:tcW w:w="6973" w:type="dxa"/>
            <w:tcBorders/>
            <w:shd w:fill="FFFFFF"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Less:  costs allocated to condominium units sold</w:t>
            </w:r>
          </w:p>
        </w:tc>
        <w:tc>
          <w:tcPr>
            <w:tcW w:w="115" w:type="dxa"/>
            <w:tcBorders/>
            <w:shd w:fill="FFFFFF" w:val="clear"/>
            <w:vAlign w:val="bottom"/>
          </w:tcPr>
          <w:p>
            <w:pPr>
              <w:pStyle w:val="TableContents"/>
              <w:spacing w:before="0" w:after="283"/>
              <w:jc w:val="left"/>
              <w:rPr/>
            </w:pPr>
            <w:r>
              <w:rPr/>
              <w:t> </w:t>
            </w:r>
          </w:p>
        </w:tc>
        <w:tc>
          <w:tcPr>
            <w:tcW w:w="208" w:type="dxa"/>
            <w:tcBorders/>
            <w:shd w:fill="FFFFFF" w:val="clear"/>
            <w:vAlign w:val="bottom"/>
          </w:tcPr>
          <w:p>
            <w:pPr>
              <w:pStyle w:val="TableContents"/>
              <w:spacing w:before="0" w:after="283"/>
              <w:jc w:val="left"/>
              <w:rPr/>
            </w:pPr>
            <w:r>
              <w:rPr/>
              <w:t> </w:t>
            </w:r>
          </w:p>
        </w:tc>
        <w:tc>
          <w:tcPr>
            <w:tcW w:w="11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208" w:type="dxa"/>
            <w:tcBorders/>
            <w:shd w:fill="FFFFFF" w:val="clear"/>
            <w:vAlign w:val="bottom"/>
          </w:tcPr>
          <w:p>
            <w:pPr>
              <w:pStyle w:val="TableContents"/>
              <w:spacing w:before="0" w:after="283"/>
              <w:jc w:val="left"/>
              <w:rPr/>
            </w:pPr>
            <w:r>
              <w:rPr/>
              <w:t> </w:t>
            </w:r>
          </w:p>
        </w:tc>
        <w:tc>
          <w:tcPr>
            <w:tcW w:w="11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1,449</w:t>
            </w:r>
          </w:p>
        </w:tc>
        <w:tc>
          <w:tcPr>
            <w:tcW w:w="129" w:type="dxa"/>
            <w:tcBorders/>
            <w:shd w:fill="FFFFFF" w:val="clear"/>
            <w:vAlign w:val="bottom"/>
          </w:tcPr>
          <w:p>
            <w:pPr>
              <w:pStyle w:val="TableContents"/>
              <w:spacing w:before="0" w:after="283"/>
              <w:jc w:val="left"/>
              <w:rPr/>
            </w:pPr>
            <w:r>
              <w:rPr/>
              <w:t> </w:t>
            </w:r>
          </w:p>
        </w:tc>
      </w:tr>
      <w:tr>
        <w:trPr/>
        <w:tc>
          <w:tcPr>
            <w:tcW w:w="6973" w:type="dxa"/>
            <w:tcBorders/>
            <w:shd w:fill="CCEEFF" w:val="cle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Less:  cost allocated to residential manager’s apartment</w:t>
            </w:r>
          </w:p>
        </w:tc>
        <w:tc>
          <w:tcPr>
            <w:tcW w:w="115" w:type="dxa"/>
            <w:tcBorders/>
            <w:shd w:fill="CCEEFF" w:val="clear"/>
            <w:vAlign w:val="bottom"/>
          </w:tcPr>
          <w:p>
            <w:pPr>
              <w:pStyle w:val="TableContents"/>
              <w:spacing w:before="0" w:after="283"/>
              <w:jc w:val="left"/>
              <w:rPr/>
            </w:pPr>
            <w:r>
              <w:rPr/>
              <w:t> </w:t>
            </w:r>
          </w:p>
        </w:tc>
        <w:tc>
          <w:tcPr>
            <w:tcW w:w="208" w:type="dxa"/>
            <w:tcBorders/>
            <w:shd w:fill="CCEEFF" w:val="clear"/>
            <w:vAlign w:val="bottom"/>
          </w:tcPr>
          <w:p>
            <w:pPr>
              <w:pStyle w:val="TableContents"/>
              <w:spacing w:before="0" w:after="283"/>
              <w:jc w:val="left"/>
              <w:rPr/>
            </w:pPr>
            <w:r>
              <w:rPr/>
              <w:t> </w:t>
            </w:r>
          </w:p>
        </w:tc>
        <w:tc>
          <w:tcPr>
            <w:tcW w:w="11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208" w:type="dxa"/>
            <w:tcBorders/>
            <w:shd w:fill="CCEEFF" w:val="clear"/>
            <w:vAlign w:val="bottom"/>
          </w:tcPr>
          <w:p>
            <w:pPr>
              <w:pStyle w:val="TableContents"/>
              <w:spacing w:before="0" w:after="283"/>
              <w:jc w:val="left"/>
              <w:rPr/>
            </w:pPr>
            <w:r>
              <w:rPr/>
              <w:t> </w:t>
            </w:r>
          </w:p>
        </w:tc>
        <w:tc>
          <w:tcPr>
            <w:tcW w:w="11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9" w:type="dxa"/>
            <w:tcBorders/>
            <w:shd w:fill="CCEEFF" w:val="clear"/>
            <w:vAlign w:val="bottom"/>
          </w:tcPr>
          <w:p>
            <w:pPr>
              <w:pStyle w:val="TableContents"/>
              <w:spacing w:before="0" w:after="283"/>
              <w:jc w:val="left"/>
              <w:rPr/>
            </w:pPr>
            <w:r>
              <w:rPr/>
              <w:t> </w:t>
            </w:r>
          </w:p>
        </w:tc>
      </w:tr>
      <w:tr>
        <w:trPr/>
        <w:tc>
          <w:tcPr>
            <w:tcW w:w="6973" w:type="dxa"/>
            <w:tcBorders>
              <w:bottom w:val="single" w:sz="12" w:space="0" w:color="000000"/>
            </w:tcBorders>
            <w:shd w:fill="FFFFFF" w:val="clear"/>
            <w:tcMar>
              <w:bottom w:w="28" w:type="dxa"/>
            </w:tcMar>
            <w:vAlign w:val="bottom"/>
          </w:tcPr>
          <w:p>
            <w:pPr>
              <w:pStyle w:val="TableContents"/>
              <w:spacing w:before="0" w:after="0"/>
              <w:ind w:left="0" w:right="0" w:firstLine="180"/>
              <w:jc w:val="both"/>
              <w:rPr>
                <w:rFonts w:ascii="times new roman" w:hAnsi="times new roman"/>
                <w:sz w:val="20"/>
              </w:rPr>
            </w:pPr>
            <w:r>
              <w:rPr>
                <w:rFonts w:ascii="times new roman" w:hAnsi="times new roman"/>
                <w:sz w:val="20"/>
              </w:rPr>
              <w:t>Less:  cost allocated to commercial unit</w:t>
            </w:r>
          </w:p>
        </w:tc>
        <w:tc>
          <w:tcPr>
            <w:tcW w:w="115" w:type="dxa"/>
            <w:tcBorders/>
            <w:shd w:fill="FFFFFF" w:val="clear"/>
            <w:vAlign w:val="bottom"/>
          </w:tcPr>
          <w:p>
            <w:pPr>
              <w:pStyle w:val="TableContents"/>
              <w:spacing w:before="0" w:after="283"/>
              <w:jc w:val="left"/>
              <w:rPr/>
            </w:pPr>
            <w:r>
              <w:rPr/>
              <w:t> </w:t>
            </w:r>
          </w:p>
        </w:tc>
        <w:tc>
          <w:tcPr>
            <w:tcW w:w="20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20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9" w:type="dxa"/>
            <w:tcBorders/>
            <w:shd w:fill="FFFFFF" w:val="clear"/>
            <w:vAlign w:val="bottom"/>
          </w:tcPr>
          <w:p>
            <w:pPr>
              <w:pStyle w:val="TableContents"/>
              <w:spacing w:before="0" w:after="283"/>
              <w:jc w:val="left"/>
              <w:rPr/>
            </w:pPr>
            <w:r>
              <w:rPr/>
              <w:t> </w:t>
            </w:r>
          </w:p>
        </w:tc>
      </w:tr>
      <w:tr>
        <w:trPr/>
        <w:tc>
          <w:tcPr>
            <w:tcW w:w="6973" w:type="dxa"/>
            <w:tcBorders>
              <w:bottom w:val="double" w:sz="8"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negotiable certificates</w:t>
            </w:r>
          </w:p>
        </w:tc>
        <w:tc>
          <w:tcPr>
            <w:tcW w:w="115" w:type="dxa"/>
            <w:tcBorders/>
            <w:shd w:fill="CCEEFF" w:val="clear"/>
            <w:vAlign w:val="bottom"/>
          </w:tcPr>
          <w:p>
            <w:pPr>
              <w:pStyle w:val="TableContents"/>
              <w:spacing w:before="0" w:after="283"/>
              <w:jc w:val="left"/>
              <w:rPr/>
            </w:pPr>
            <w:r>
              <w:rPr/>
              <w:t> </w:t>
            </w:r>
          </w:p>
        </w:tc>
        <w:tc>
          <w:tcPr>
            <w:tcW w:w="20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1" w:type="dxa"/>
            <w:tcBorders>
              <w:bottom w:val="double" w:sz="8" w:space="0" w:color="000000"/>
            </w:tcBorders>
            <w:shd w:fill="CCEEFF" w:val="clear"/>
            <w:tcMar>
              <w:bottom w:w="28" w:type="dxa"/>
            </w:tcMar>
            <w:vAlign w:val="bottom"/>
          </w:tcPr>
          <w:p>
            <w:pPr>
              <w:pStyle w:val="TableContents"/>
              <w:spacing w:before="0" w:after="283"/>
              <w:ind w:left="476" w:right="0" w:hanging="0"/>
              <w:jc w:val="right"/>
              <w:rPr>
                <w:rFonts w:ascii="times new roman" w:hAnsi="times new roman"/>
                <w:sz w:val="20"/>
              </w:rPr>
            </w:pPr>
            <w:bookmarkStart w:id="3407" w:name="TAB11775"/>
            <w:bookmarkEnd w:id="3407"/>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20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1" w:type="dxa"/>
            <w:tcBorders>
              <w:bottom w:val="double" w:sz="8" w:space="0" w:color="000000"/>
            </w:tcBorders>
            <w:shd w:fill="CCEEFF" w:val="clear"/>
            <w:tcMar>
              <w:bottom w:w="28" w:type="dxa"/>
            </w:tcMar>
            <w:vAlign w:val="bottom"/>
          </w:tcPr>
          <w:p>
            <w:pPr>
              <w:pStyle w:val="TableContents"/>
              <w:spacing w:before="0" w:after="283"/>
              <w:ind w:left="476" w:right="0" w:hanging="0"/>
              <w:jc w:val="right"/>
              <w:rPr>
                <w:rFonts w:ascii="times new roman" w:hAnsi="times new roman"/>
                <w:sz w:val="20"/>
              </w:rPr>
            </w:pPr>
            <w:bookmarkStart w:id="3408" w:name="TAB11776"/>
            <w:bookmarkEnd w:id="3408"/>
            <w:r>
              <w:rPr>
                <w:rFonts w:ascii="times new roman" w:hAnsi="times new roman"/>
                <w:sz w:val="20"/>
              </w:rPr>
              <w:t>--</w:t>
            </w:r>
          </w:p>
        </w:tc>
        <w:tc>
          <w:tcPr>
            <w:tcW w:w="12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6 - Air Rights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2003, the Company purchased 25,550 square feet of inclusionary air rights in order to generate an inclusionary building bonus (air rights) under The Inclusionary Housing Program, as defined in the Zoning Resolution of the City of New York.  The purchase price was $2,499,750, which has been capitalized and is included in land.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July 21, 2004, the Company entered into an exchange agreement with Joseph E. Marx Company, Inc. (“Marx”) to exchange like-kind property.  The Company exchanged previously acquired land located at 957 Third Avenue, New York, New York, plus cash of $1,300,000, for excess floor area rights (“air rights”) having an agreed value of $4,410,000.  The value of the air rights has been capitalized and is included in land.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127,391 square feet out of a total of 128,560 square feet of Inclusionary air rights were utilized to build the condominium development project.  The Company estimates that the remaining 1,169 square feet of development air rights will not be able to be sold separately and, accordingly, are included in costs of sales of condominium units.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7 - Condominium Sales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2004, the Company initiated a condominium offering plan, which obtained the necessary approvals in 2005 and 2006.  The condominium consists of 68 residential units and one commercial unit.  As of December 31, 2009 (unaudited), 67 residential units and the commercial unit had been sold.  The commercial unit was sold in February 2009.</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8 - Residential Manager’s Apartment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2009 (unaudited) and 2008 (unaudited), the residential manager’s apartment is comprised of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782"/>
        <w:gridCol w:w="121"/>
        <w:gridCol w:w="267"/>
        <w:gridCol w:w="1195"/>
        <w:gridCol w:w="121"/>
        <w:gridCol w:w="121"/>
        <w:gridCol w:w="267"/>
        <w:gridCol w:w="1195"/>
        <w:gridCol w:w="136"/>
      </w:tblGrid>
      <w:tr>
        <w:trPr/>
        <w:tc>
          <w:tcPr>
            <w:tcW w:w="6782" w:type="dxa"/>
            <w:tcBorders/>
            <w:shd w:fill="auto" w:val="clear"/>
            <w:vAlign w:val="bottom"/>
          </w:tcPr>
          <w:p>
            <w:pPr>
              <w:pStyle w:val="TableContents"/>
              <w:spacing w:before="0" w:after="283"/>
              <w:rPr/>
            </w:pPr>
            <w:r>
              <w:rPr/>
              <w:t xml:space="preserve">  </w:t>
            </w:r>
          </w:p>
        </w:tc>
        <w:tc>
          <w:tcPr>
            <w:tcW w:w="121" w:type="dxa"/>
            <w:tcBorders/>
            <w:shd w:fill="auto" w:val="clear"/>
            <w:vAlign w:val="bottom"/>
          </w:tcPr>
          <w:p>
            <w:pPr>
              <w:pStyle w:val="TableContents"/>
              <w:spacing w:before="0" w:after="283"/>
              <w:rPr/>
            </w:pPr>
            <w:r>
              <w:rPr/>
              <w:t> </w:t>
            </w:r>
          </w:p>
        </w:tc>
        <w:tc>
          <w:tcPr>
            <w:tcW w:w="316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36" w:type="dxa"/>
            <w:tcBorders/>
            <w:shd w:fill="auto" w:val="clear"/>
            <w:vAlign w:val="bottom"/>
          </w:tcPr>
          <w:p>
            <w:pPr>
              <w:pStyle w:val="TableContents"/>
              <w:spacing w:before="0" w:after="283"/>
              <w:jc w:val="left"/>
              <w:rPr/>
            </w:pPr>
            <w:r>
              <w:rPr/>
              <w:t> </w:t>
            </w:r>
          </w:p>
        </w:tc>
      </w:tr>
      <w:tr>
        <w:trPr/>
        <w:tc>
          <w:tcPr>
            <w:tcW w:w="6782"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121" w:type="dxa"/>
            <w:tcBorders/>
            <w:shd w:fill="auto" w:val="clear"/>
            <w:vAlign w:val="bottom"/>
          </w:tcPr>
          <w:p>
            <w:pPr>
              <w:pStyle w:val="TableContents"/>
              <w:spacing w:before="0" w:after="283"/>
              <w:rPr/>
            </w:pPr>
            <w:r>
              <w:rPr/>
              <w:t> </w:t>
            </w:r>
          </w:p>
        </w:tc>
        <w:tc>
          <w:tcPr>
            <w:tcW w:w="146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1" w:type="dxa"/>
            <w:tcBorders/>
            <w:shd w:fill="auto" w:val="clear"/>
            <w:vAlign w:val="bottom"/>
          </w:tcPr>
          <w:p>
            <w:pPr>
              <w:pStyle w:val="TableContents"/>
              <w:spacing w:before="0" w:after="283"/>
              <w:jc w:val="left"/>
              <w:rPr/>
            </w:pPr>
            <w:r>
              <w:rPr/>
              <w:t> </w:t>
            </w:r>
          </w:p>
        </w:tc>
        <w:tc>
          <w:tcPr>
            <w:tcW w:w="121" w:type="dxa"/>
            <w:tcBorders/>
            <w:shd w:fill="auto" w:val="clear"/>
            <w:vAlign w:val="bottom"/>
          </w:tcPr>
          <w:p>
            <w:pPr>
              <w:pStyle w:val="TableContents"/>
              <w:spacing w:before="0" w:after="283"/>
              <w:rPr/>
            </w:pPr>
            <w:r>
              <w:rPr/>
              <w:t> </w:t>
            </w:r>
          </w:p>
        </w:tc>
        <w:tc>
          <w:tcPr>
            <w:tcW w:w="146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36" w:type="dxa"/>
            <w:tcBorders/>
            <w:shd w:fill="auto" w:val="clear"/>
            <w:vAlign w:val="bottom"/>
          </w:tcPr>
          <w:p>
            <w:pPr>
              <w:pStyle w:val="TableContents"/>
              <w:spacing w:before="0" w:after="283"/>
              <w:jc w:val="left"/>
              <w:rPr/>
            </w:pPr>
            <w:r>
              <w:rPr/>
              <w:t> </w:t>
            </w:r>
          </w:p>
        </w:tc>
      </w:tr>
      <w:tr>
        <w:trPr/>
        <w:tc>
          <w:tcPr>
            <w:tcW w:w="678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Land</w:t>
            </w:r>
          </w:p>
        </w:tc>
        <w:tc>
          <w:tcPr>
            <w:tcW w:w="121" w:type="dxa"/>
            <w:tcBorders/>
            <w:shd w:fill="CCEEFF" w:val="clear"/>
            <w:vAlign w:val="bottom"/>
          </w:tcPr>
          <w:p>
            <w:pPr>
              <w:pStyle w:val="TableContents"/>
              <w:spacing w:before="0" w:after="283"/>
              <w:jc w:val="left"/>
              <w:rPr/>
            </w:pPr>
            <w:r>
              <w:rPr/>
              <w:t> </w:t>
            </w:r>
          </w:p>
        </w:tc>
        <w:tc>
          <w:tcPr>
            <w:tcW w:w="2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5" w:type="dxa"/>
            <w:tcBorders/>
            <w:shd w:fill="CCEEFF" w:val="clear"/>
            <w:vAlign w:val="bottom"/>
          </w:tcPr>
          <w:p>
            <w:pPr>
              <w:pStyle w:val="TableContents"/>
              <w:spacing w:before="0" w:after="283"/>
              <w:ind w:left="190" w:right="0" w:hanging="0"/>
              <w:jc w:val="right"/>
              <w:rPr>
                <w:rFonts w:ascii="times new roman" w:hAnsi="times new roman"/>
                <w:sz w:val="20"/>
              </w:rPr>
            </w:pPr>
            <w:bookmarkStart w:id="3409" w:name="TAB11777"/>
            <w:bookmarkEnd w:id="3409"/>
            <w:r>
              <w:rPr>
                <w:rFonts w:ascii="times new roman" w:hAnsi="times new roman"/>
                <w:sz w:val="20"/>
              </w:rPr>
              <w:t>183</w:t>
            </w:r>
          </w:p>
        </w:tc>
        <w:tc>
          <w:tcPr>
            <w:tcW w:w="12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left"/>
              <w:rPr/>
            </w:pPr>
            <w:r>
              <w:rPr/>
              <w:t> </w:t>
            </w:r>
          </w:p>
        </w:tc>
        <w:tc>
          <w:tcPr>
            <w:tcW w:w="26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5" w:type="dxa"/>
            <w:tcBorders/>
            <w:shd w:fill="CCEEFF" w:val="clear"/>
            <w:vAlign w:val="bottom"/>
          </w:tcPr>
          <w:p>
            <w:pPr>
              <w:pStyle w:val="TableContents"/>
              <w:spacing w:before="0" w:after="283"/>
              <w:ind w:left="190" w:right="0" w:hanging="0"/>
              <w:jc w:val="right"/>
              <w:rPr>
                <w:rFonts w:ascii="times new roman" w:hAnsi="times new roman"/>
                <w:sz w:val="20"/>
              </w:rPr>
            </w:pPr>
            <w:bookmarkStart w:id="3410" w:name="TAB11778"/>
            <w:bookmarkEnd w:id="3410"/>
            <w:r>
              <w:rPr>
                <w:rFonts w:ascii="times new roman" w:hAnsi="times new roman"/>
                <w:sz w:val="20"/>
              </w:rPr>
              <w:t>183</w:t>
            </w:r>
          </w:p>
        </w:tc>
        <w:tc>
          <w:tcPr>
            <w:tcW w:w="136" w:type="dxa"/>
            <w:tcBorders/>
            <w:shd w:fill="CCEEFF" w:val="clear"/>
            <w:vAlign w:val="bottom"/>
          </w:tcPr>
          <w:p>
            <w:pPr>
              <w:pStyle w:val="TableContents"/>
              <w:spacing w:before="0" w:after="283"/>
              <w:jc w:val="left"/>
              <w:rPr/>
            </w:pPr>
            <w:r>
              <w:rPr/>
              <w:t> </w:t>
            </w:r>
          </w:p>
        </w:tc>
      </w:tr>
      <w:tr>
        <w:trPr/>
        <w:tc>
          <w:tcPr>
            <w:tcW w:w="678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Hard and soft construction costs</w:t>
            </w:r>
          </w:p>
        </w:tc>
        <w:tc>
          <w:tcPr>
            <w:tcW w:w="121" w:type="dxa"/>
            <w:tcBorders/>
            <w:shd w:fill="FFFFFF" w:val="clear"/>
            <w:vAlign w:val="bottom"/>
          </w:tcPr>
          <w:p>
            <w:pPr>
              <w:pStyle w:val="TableContents"/>
              <w:spacing w:before="0" w:after="283"/>
              <w:jc w:val="left"/>
              <w:rPr/>
            </w:pPr>
            <w:r>
              <w:rPr/>
              <w:t> </w:t>
            </w:r>
          </w:p>
        </w:tc>
        <w:tc>
          <w:tcPr>
            <w:tcW w:w="267"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486</w:t>
            </w:r>
          </w:p>
        </w:tc>
        <w:tc>
          <w:tcPr>
            <w:tcW w:w="121" w:type="dxa"/>
            <w:tcBorders/>
            <w:shd w:fill="FFFFFF" w:val="clear"/>
            <w:vAlign w:val="bottom"/>
          </w:tcPr>
          <w:p>
            <w:pPr>
              <w:pStyle w:val="TableContents"/>
              <w:spacing w:before="0" w:after="283"/>
              <w:jc w:val="left"/>
              <w:rPr/>
            </w:pPr>
            <w:r>
              <w:rPr/>
              <w:t> </w:t>
            </w:r>
          </w:p>
        </w:tc>
        <w:tc>
          <w:tcPr>
            <w:tcW w:w="121" w:type="dxa"/>
            <w:tcBorders/>
            <w:shd w:fill="FFFFFF" w:val="clear"/>
            <w:vAlign w:val="bottom"/>
          </w:tcPr>
          <w:p>
            <w:pPr>
              <w:pStyle w:val="TableContents"/>
              <w:spacing w:before="0" w:after="283"/>
              <w:jc w:val="left"/>
              <w:rPr/>
            </w:pPr>
            <w:r>
              <w:rPr/>
              <w:t> </w:t>
            </w:r>
          </w:p>
        </w:tc>
        <w:tc>
          <w:tcPr>
            <w:tcW w:w="267"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486</w:t>
            </w:r>
          </w:p>
        </w:tc>
        <w:tc>
          <w:tcPr>
            <w:tcW w:w="136" w:type="dxa"/>
            <w:tcBorders/>
            <w:shd w:fill="FFFFFF" w:val="clear"/>
            <w:vAlign w:val="bottom"/>
          </w:tcPr>
          <w:p>
            <w:pPr>
              <w:pStyle w:val="TableContents"/>
              <w:spacing w:before="0" w:after="283"/>
              <w:jc w:val="left"/>
              <w:rPr/>
            </w:pPr>
            <w:r>
              <w:rPr/>
              <w:t> </w:t>
            </w:r>
          </w:p>
        </w:tc>
      </w:tr>
      <w:tr>
        <w:trPr/>
        <w:tc>
          <w:tcPr>
            <w:tcW w:w="6782"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Negotiable certificates</w:t>
            </w:r>
          </w:p>
        </w:tc>
        <w:tc>
          <w:tcPr>
            <w:tcW w:w="121" w:type="dxa"/>
            <w:tcBorders/>
            <w:shd w:fill="CCEEFF" w:val="clear"/>
            <w:vAlign w:val="bottom"/>
          </w:tcPr>
          <w:p>
            <w:pPr>
              <w:pStyle w:val="TableContents"/>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36" w:type="dxa"/>
            <w:tcBorders/>
            <w:shd w:fill="CCEEFF" w:val="clear"/>
            <w:vAlign w:val="bottom"/>
          </w:tcPr>
          <w:p>
            <w:pPr>
              <w:pStyle w:val="TableContents"/>
              <w:spacing w:before="0" w:after="283"/>
              <w:jc w:val="left"/>
              <w:rPr/>
            </w:pPr>
            <w:r>
              <w:rPr/>
              <w:t> </w:t>
            </w:r>
          </w:p>
        </w:tc>
      </w:tr>
      <w:tr>
        <w:trPr/>
        <w:tc>
          <w:tcPr>
            <w:tcW w:w="6782" w:type="dxa"/>
            <w:tcBorders/>
            <w:shd w:fill="FFFFFF" w:val="clear"/>
            <w:vAlign w:val="bottom"/>
          </w:tcPr>
          <w:p>
            <w:pPr>
              <w:pStyle w:val="TableContents"/>
              <w:spacing w:before="0" w:after="283"/>
              <w:rPr/>
            </w:pPr>
            <w:r>
              <w:rPr/>
              <w:t xml:space="preserve">  </w:t>
            </w:r>
          </w:p>
        </w:tc>
        <w:tc>
          <w:tcPr>
            <w:tcW w:w="121" w:type="dxa"/>
            <w:tcBorders/>
            <w:shd w:fill="FFFFFF" w:val="clear"/>
            <w:vAlign w:val="bottom"/>
          </w:tcPr>
          <w:p>
            <w:pPr>
              <w:pStyle w:val="TableContents"/>
              <w:spacing w:before="0" w:after="283"/>
              <w:jc w:val="left"/>
              <w:rPr/>
            </w:pPr>
            <w:r>
              <w:rPr/>
              <w:t> </w:t>
            </w:r>
          </w:p>
        </w:tc>
        <w:tc>
          <w:tcPr>
            <w:tcW w:w="267"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680</w:t>
            </w:r>
          </w:p>
        </w:tc>
        <w:tc>
          <w:tcPr>
            <w:tcW w:w="121" w:type="dxa"/>
            <w:tcBorders/>
            <w:shd w:fill="FFFFFF" w:val="clear"/>
            <w:vAlign w:val="bottom"/>
          </w:tcPr>
          <w:p>
            <w:pPr>
              <w:pStyle w:val="TableContents"/>
              <w:spacing w:before="0" w:after="283"/>
              <w:jc w:val="left"/>
              <w:rPr/>
            </w:pPr>
            <w:r>
              <w:rPr/>
              <w:t> </w:t>
            </w:r>
          </w:p>
        </w:tc>
        <w:tc>
          <w:tcPr>
            <w:tcW w:w="121" w:type="dxa"/>
            <w:tcBorders/>
            <w:shd w:fill="FFFFFF" w:val="clear"/>
            <w:vAlign w:val="bottom"/>
          </w:tcPr>
          <w:p>
            <w:pPr>
              <w:pStyle w:val="TableContents"/>
              <w:spacing w:before="0" w:after="283"/>
              <w:jc w:val="left"/>
              <w:rPr/>
            </w:pPr>
            <w:r>
              <w:rPr/>
              <w:t> </w:t>
            </w:r>
          </w:p>
        </w:tc>
        <w:tc>
          <w:tcPr>
            <w:tcW w:w="267"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680</w:t>
            </w:r>
          </w:p>
        </w:tc>
        <w:tc>
          <w:tcPr>
            <w:tcW w:w="136" w:type="dxa"/>
            <w:tcBorders/>
            <w:shd w:fill="FFFFFF" w:val="clear"/>
            <w:vAlign w:val="bottom"/>
          </w:tcPr>
          <w:p>
            <w:pPr>
              <w:pStyle w:val="TableContents"/>
              <w:spacing w:before="0" w:after="283"/>
              <w:jc w:val="left"/>
              <w:rPr/>
            </w:pPr>
            <w:r>
              <w:rPr/>
              <w:t> </w:t>
            </w:r>
          </w:p>
        </w:tc>
      </w:tr>
      <w:tr>
        <w:trPr/>
        <w:tc>
          <w:tcPr>
            <w:tcW w:w="6782"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Less: accumulated depreciation</w:t>
            </w:r>
          </w:p>
        </w:tc>
        <w:tc>
          <w:tcPr>
            <w:tcW w:w="121" w:type="dxa"/>
            <w:tcBorders/>
            <w:shd w:fill="CCEEFF" w:val="clear"/>
            <w:vAlign w:val="bottom"/>
          </w:tcPr>
          <w:p>
            <w:pPr>
              <w:pStyle w:val="TableContents"/>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1" w:type="dxa"/>
            <w:tcBorders/>
            <w:shd w:fill="CCEEFF" w:val="clear"/>
            <w:vAlign w:val="bottom"/>
          </w:tcPr>
          <w:p>
            <w:pPr>
              <w:pStyle w:val="TableContents"/>
              <w:spacing w:before="0" w:after="283"/>
              <w:jc w:val="left"/>
              <w:rPr/>
            </w:pPr>
            <w:r>
              <w:rPr/>
              <w:t> </w:t>
            </w:r>
          </w:p>
        </w:tc>
        <w:tc>
          <w:tcPr>
            <w:tcW w:w="121" w:type="dxa"/>
            <w:tcBorders/>
            <w:shd w:fill="CCEEFF" w:val="clear"/>
            <w:vAlign w:val="bottom"/>
          </w:tcPr>
          <w:p>
            <w:pPr>
              <w:pStyle w:val="TableContents"/>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36" w:type="dxa"/>
            <w:tcBorders/>
            <w:shd w:fill="CCEEFF" w:val="clear"/>
            <w:vAlign w:val="bottom"/>
          </w:tcPr>
          <w:p>
            <w:pPr>
              <w:pStyle w:val="TableContents"/>
              <w:spacing w:before="0" w:after="283"/>
              <w:jc w:val="left"/>
              <w:rPr/>
            </w:pPr>
            <w:r>
              <w:rPr/>
              <w:t> </w:t>
            </w:r>
          </w:p>
        </w:tc>
      </w:tr>
      <w:tr>
        <w:trPr/>
        <w:tc>
          <w:tcPr>
            <w:tcW w:w="6782" w:type="dxa"/>
            <w:tcBorders>
              <w:bottom w:val="double" w:sz="8"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cost</w:t>
            </w:r>
          </w:p>
        </w:tc>
        <w:tc>
          <w:tcPr>
            <w:tcW w:w="121" w:type="dxa"/>
            <w:tcBorders/>
            <w:shd w:fill="FFFFFF" w:val="clear"/>
            <w:vAlign w:val="bottom"/>
          </w:tcPr>
          <w:p>
            <w:pPr>
              <w:pStyle w:val="TableContents"/>
              <w:spacing w:before="0" w:after="283"/>
              <w:jc w:val="left"/>
              <w:rPr/>
            </w:pPr>
            <w:r>
              <w:rPr/>
              <w:t> </w:t>
            </w:r>
          </w:p>
        </w:tc>
        <w:tc>
          <w:tcPr>
            <w:tcW w:w="26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5" w:type="dxa"/>
            <w:tcBorders>
              <w:bottom w:val="double" w:sz="8" w:space="0" w:color="000000"/>
            </w:tcBorders>
            <w:shd w:fill="FFFFFF" w:val="clear"/>
            <w:tcMar>
              <w:bottom w:w="28" w:type="dxa"/>
            </w:tcMar>
            <w:vAlign w:val="bottom"/>
          </w:tcPr>
          <w:p>
            <w:pPr>
              <w:pStyle w:val="TableContents"/>
              <w:spacing w:before="0" w:after="283"/>
              <w:ind w:left="254" w:right="0" w:hanging="0"/>
              <w:jc w:val="right"/>
              <w:rPr>
                <w:rFonts w:ascii="times new roman" w:hAnsi="times new roman"/>
                <w:sz w:val="20"/>
              </w:rPr>
            </w:pPr>
            <w:bookmarkStart w:id="3411" w:name="TAB11779"/>
            <w:bookmarkEnd w:id="3411"/>
            <w:r>
              <w:rPr>
                <w:rFonts w:ascii="times new roman" w:hAnsi="times new roman"/>
                <w:sz w:val="20"/>
              </w:rPr>
              <w:t>634</w:t>
            </w:r>
          </w:p>
        </w:tc>
        <w:tc>
          <w:tcPr>
            <w:tcW w:w="121" w:type="dxa"/>
            <w:tcBorders/>
            <w:shd w:fill="FFFFFF" w:val="clear"/>
            <w:vAlign w:val="bottom"/>
          </w:tcPr>
          <w:p>
            <w:pPr>
              <w:pStyle w:val="TableContents"/>
              <w:spacing w:before="0" w:after="283"/>
              <w:jc w:val="left"/>
              <w:rPr/>
            </w:pPr>
            <w:r>
              <w:rPr/>
              <w:t> </w:t>
            </w:r>
          </w:p>
        </w:tc>
        <w:tc>
          <w:tcPr>
            <w:tcW w:w="121" w:type="dxa"/>
            <w:tcBorders/>
            <w:shd w:fill="FFFFFF" w:val="clear"/>
            <w:vAlign w:val="bottom"/>
          </w:tcPr>
          <w:p>
            <w:pPr>
              <w:pStyle w:val="TableContents"/>
              <w:spacing w:before="0" w:after="283"/>
              <w:jc w:val="left"/>
              <w:rPr/>
            </w:pPr>
            <w:r>
              <w:rPr/>
              <w:t> </w:t>
            </w:r>
          </w:p>
        </w:tc>
        <w:tc>
          <w:tcPr>
            <w:tcW w:w="26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5" w:type="dxa"/>
            <w:tcBorders>
              <w:bottom w:val="double" w:sz="8" w:space="0" w:color="000000"/>
            </w:tcBorders>
            <w:shd w:fill="FFFFFF" w:val="clear"/>
            <w:tcMar>
              <w:bottom w:w="28" w:type="dxa"/>
            </w:tcMar>
            <w:vAlign w:val="bottom"/>
          </w:tcPr>
          <w:p>
            <w:pPr>
              <w:pStyle w:val="TableContents"/>
              <w:spacing w:before="0" w:after="283"/>
              <w:ind w:left="254" w:right="0" w:hanging="0"/>
              <w:jc w:val="right"/>
              <w:rPr>
                <w:rFonts w:ascii="times new roman" w:hAnsi="times new roman"/>
                <w:sz w:val="20"/>
              </w:rPr>
            </w:pPr>
            <w:bookmarkStart w:id="3412" w:name="TAB11780"/>
            <w:bookmarkEnd w:id="3412"/>
            <w:r>
              <w:rPr>
                <w:rFonts w:ascii="times new roman" w:hAnsi="times new roman"/>
                <w:sz w:val="20"/>
              </w:rPr>
              <w:t>647</w:t>
            </w:r>
          </w:p>
        </w:tc>
        <w:tc>
          <w:tcPr>
            <w:tcW w:w="13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13" w:name="PGBRK121"/>
      <w:bookmarkStart w:id="3414" w:name="PGBRK121"/>
      <w:bookmarkEnd w:id="34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15" w:name="FTR121"/>
      <w:bookmarkStart w:id="3416" w:name="FTR121"/>
      <w:bookmarkEnd w:id="3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17" w:name="GLFTR121"/>
      <w:bookmarkEnd w:id="34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418" w:name="PN121"/>
      <w:bookmarkEnd w:id="3418"/>
      <w:r>
        <w:rPr>
          <w:rFonts w:eastAsia="Times New Roman" w:cs="Times New Roman" w:ascii="Times New Roman" w:hAnsi="Times New Roman"/>
          <w:sz w:val="20"/>
          <w:szCs w:val="20"/>
        </w:rPr>
        <w:t>-121-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419" w:name="HDR121"/>
      <w:bookmarkStart w:id="3420" w:name="HDR121"/>
      <w:bookmarkEnd w:id="3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421" w:name="GLHDR121"/>
        <w:bookmarkEnd w:id="342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is leasing the residential manager’s unit to the condominium association at one dollar per year for use by its residential manager.  This unit is leased for a five-year period, which commenced with the date of the first unit closing.  The condominium association is responsible for real estate taxes, common charges, and other operating expenses for this unit.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9 – Commercial Unit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2009 (unaudited) and 2008 (unaudited), the commercial unit is comprised of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902"/>
        <w:gridCol w:w="119"/>
        <w:gridCol w:w="209"/>
        <w:gridCol w:w="1197"/>
        <w:gridCol w:w="119"/>
        <w:gridCol w:w="119"/>
        <w:gridCol w:w="209"/>
        <w:gridCol w:w="1197"/>
        <w:gridCol w:w="134"/>
      </w:tblGrid>
      <w:tr>
        <w:trPr/>
        <w:tc>
          <w:tcPr>
            <w:tcW w:w="6902"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w:t>
            </w:r>
          </w:p>
        </w:tc>
        <w:tc>
          <w:tcPr>
            <w:tcW w:w="305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34" w:type="dxa"/>
            <w:tcBorders/>
            <w:shd w:fill="auto" w:val="clear"/>
            <w:vAlign w:val="bottom"/>
          </w:tcPr>
          <w:p>
            <w:pPr>
              <w:pStyle w:val="TableContents"/>
              <w:spacing w:before="0" w:after="283"/>
              <w:jc w:val="left"/>
              <w:rPr/>
            </w:pPr>
            <w:r>
              <w:rPr/>
              <w:t> </w:t>
            </w:r>
          </w:p>
        </w:tc>
      </w:tr>
      <w:tr>
        <w:trPr/>
        <w:tc>
          <w:tcPr>
            <w:tcW w:w="6902"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9" w:type="dxa"/>
            <w:tcBorders/>
            <w:shd w:fill="auto" w:val="clear"/>
            <w:vAlign w:val="bottom"/>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34" w:type="dxa"/>
            <w:tcBorders/>
            <w:shd w:fill="auto" w:val="clear"/>
            <w:vAlign w:val="bottom"/>
          </w:tcPr>
          <w:p>
            <w:pPr>
              <w:pStyle w:val="TableContents"/>
              <w:spacing w:before="0" w:after="283"/>
              <w:jc w:val="left"/>
              <w:rPr/>
            </w:pPr>
            <w:r>
              <w:rPr/>
              <w:t> </w:t>
            </w:r>
          </w:p>
        </w:tc>
      </w:tr>
      <w:tr>
        <w:trPr/>
        <w:tc>
          <w:tcPr>
            <w:tcW w:w="690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Land</w:t>
            </w:r>
          </w:p>
        </w:tc>
        <w:tc>
          <w:tcPr>
            <w:tcW w:w="119" w:type="dxa"/>
            <w:tcBorders/>
            <w:shd w:fill="CCEEFF" w:val="clear"/>
            <w:vAlign w:val="bottom"/>
          </w:tcPr>
          <w:p>
            <w:pPr>
              <w:pStyle w:val="TableContents"/>
              <w:spacing w:before="0" w:after="283"/>
              <w:jc w:val="left"/>
              <w:rPr/>
            </w:pPr>
            <w:r>
              <w:rPr/>
              <w:t> </w:t>
            </w:r>
          </w:p>
        </w:tc>
        <w:tc>
          <w:tcPr>
            <w:tcW w:w="2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7" w:type="dxa"/>
            <w:tcBorders/>
            <w:shd w:fill="CCEEFF" w:val="clear"/>
            <w:vAlign w:val="bottom"/>
          </w:tcPr>
          <w:p>
            <w:pPr>
              <w:pStyle w:val="TableContents"/>
              <w:spacing w:before="0" w:after="283"/>
              <w:ind w:left="164" w:right="0" w:hanging="0"/>
              <w:jc w:val="right"/>
              <w:rPr>
                <w:rFonts w:ascii="times new roman" w:hAnsi="times new roman"/>
                <w:sz w:val="20"/>
              </w:rPr>
            </w:pPr>
            <w:bookmarkStart w:id="3422" w:name="TAB11781"/>
            <w:bookmarkEnd w:id="3422"/>
            <w:r>
              <w:rPr>
                <w:rFonts w:ascii="times new roman" w:hAnsi="times new roman"/>
                <w:sz w:val="20"/>
              </w:rPr>
              <w:t>780</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left"/>
              <w:rPr/>
            </w:pPr>
            <w:r>
              <w:rPr/>
              <w:t> </w:t>
            </w:r>
          </w:p>
        </w:tc>
        <w:tc>
          <w:tcPr>
            <w:tcW w:w="2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7" w:type="dxa"/>
            <w:tcBorders/>
            <w:shd w:fill="CCEEFF" w:val="clear"/>
            <w:vAlign w:val="bottom"/>
          </w:tcPr>
          <w:p>
            <w:pPr>
              <w:pStyle w:val="TableContents"/>
              <w:spacing w:before="0" w:after="283"/>
              <w:ind w:left="164" w:right="0" w:hanging="0"/>
              <w:jc w:val="right"/>
              <w:rPr>
                <w:rFonts w:ascii="times new roman" w:hAnsi="times new roman"/>
                <w:sz w:val="20"/>
              </w:rPr>
            </w:pPr>
            <w:bookmarkStart w:id="3423" w:name="TAB11782"/>
            <w:bookmarkEnd w:id="3423"/>
            <w:r>
              <w:rPr>
                <w:rFonts w:ascii="times new roman" w:hAnsi="times new roman"/>
                <w:sz w:val="20"/>
              </w:rPr>
              <w:t>780</w:t>
            </w:r>
          </w:p>
        </w:tc>
        <w:tc>
          <w:tcPr>
            <w:tcW w:w="134" w:type="dxa"/>
            <w:tcBorders/>
            <w:shd w:fill="CCEEFF" w:val="clear"/>
            <w:vAlign w:val="bottom"/>
          </w:tcPr>
          <w:p>
            <w:pPr>
              <w:pStyle w:val="TableContents"/>
              <w:spacing w:before="0" w:after="283"/>
              <w:jc w:val="left"/>
              <w:rPr/>
            </w:pPr>
            <w:r>
              <w:rPr/>
              <w:t> </w:t>
            </w:r>
          </w:p>
        </w:tc>
      </w:tr>
      <w:tr>
        <w:trPr/>
        <w:tc>
          <w:tcPr>
            <w:tcW w:w="690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Hard and soft costs</w:t>
            </w:r>
          </w:p>
        </w:tc>
        <w:tc>
          <w:tcPr>
            <w:tcW w:w="119" w:type="dxa"/>
            <w:tcBorders/>
            <w:shd w:fill="FFFFFF" w:val="clear"/>
            <w:vAlign w:val="bottom"/>
          </w:tcPr>
          <w:p>
            <w:pPr>
              <w:pStyle w:val="TableContents"/>
              <w:spacing w:before="0" w:after="283"/>
              <w:jc w:val="left"/>
              <w:rPr/>
            </w:pPr>
            <w:r>
              <w:rPr/>
              <w:t> </w:t>
            </w:r>
          </w:p>
        </w:tc>
        <w:tc>
          <w:tcPr>
            <w:tcW w:w="209" w:type="dxa"/>
            <w:tcBorders/>
            <w:shd w:fill="FFFFFF" w:val="clear"/>
            <w:vAlign w:val="bottom"/>
          </w:tcPr>
          <w:p>
            <w:pPr>
              <w:pStyle w:val="TableContents"/>
              <w:spacing w:before="0" w:after="283"/>
              <w:jc w:val="left"/>
              <w:rPr/>
            </w:pPr>
            <w:r>
              <w:rPr/>
              <w:t> </w:t>
            </w:r>
          </w:p>
        </w:tc>
        <w:tc>
          <w:tcPr>
            <w:tcW w:w="11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1,687</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left"/>
              <w:rPr/>
            </w:pPr>
            <w:r>
              <w:rPr/>
              <w:t> </w:t>
            </w:r>
          </w:p>
        </w:tc>
        <w:tc>
          <w:tcPr>
            <w:tcW w:w="209" w:type="dxa"/>
            <w:tcBorders/>
            <w:shd w:fill="FFFFFF" w:val="clear"/>
            <w:vAlign w:val="bottom"/>
          </w:tcPr>
          <w:p>
            <w:pPr>
              <w:pStyle w:val="TableContents"/>
              <w:spacing w:before="0" w:after="283"/>
              <w:jc w:val="left"/>
              <w:rPr/>
            </w:pPr>
            <w:r>
              <w:rPr/>
              <w:t> </w:t>
            </w:r>
          </w:p>
        </w:tc>
        <w:tc>
          <w:tcPr>
            <w:tcW w:w="11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1,641</w:t>
            </w:r>
          </w:p>
        </w:tc>
        <w:tc>
          <w:tcPr>
            <w:tcW w:w="134" w:type="dxa"/>
            <w:tcBorders/>
            <w:shd w:fill="FFFFFF" w:val="clear"/>
            <w:vAlign w:val="bottom"/>
          </w:tcPr>
          <w:p>
            <w:pPr>
              <w:pStyle w:val="TableContents"/>
              <w:spacing w:before="0" w:after="283"/>
              <w:jc w:val="left"/>
              <w:rPr/>
            </w:pPr>
            <w:r>
              <w:rPr/>
              <w:t> </w:t>
            </w:r>
          </w:p>
        </w:tc>
      </w:tr>
      <w:tr>
        <w:trPr/>
        <w:tc>
          <w:tcPr>
            <w:tcW w:w="6902"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Negotiable certificates</w:t>
            </w:r>
          </w:p>
        </w:tc>
        <w:tc>
          <w:tcPr>
            <w:tcW w:w="119" w:type="dxa"/>
            <w:tcBorders/>
            <w:shd w:fill="CCEEFF" w:val="clear"/>
            <w:vAlign w:val="bottom"/>
          </w:tcPr>
          <w:p>
            <w:pPr>
              <w:pStyle w:val="TableContents"/>
              <w:spacing w:before="0" w:after="283"/>
              <w:jc w:val="left"/>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left"/>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34" w:type="dxa"/>
            <w:tcBorders/>
            <w:shd w:fill="CCEEFF" w:val="clear"/>
            <w:vAlign w:val="bottom"/>
          </w:tcPr>
          <w:p>
            <w:pPr>
              <w:pStyle w:val="TableContents"/>
              <w:spacing w:before="0" w:after="283"/>
              <w:jc w:val="left"/>
              <w:rPr/>
            </w:pPr>
            <w:r>
              <w:rPr/>
              <w:t> </w:t>
            </w:r>
          </w:p>
        </w:tc>
      </w:tr>
      <w:tr>
        <w:trPr/>
        <w:tc>
          <w:tcPr>
            <w:tcW w:w="6902"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w:t>
            </w:r>
          </w:p>
        </w:tc>
        <w:tc>
          <w:tcPr>
            <w:tcW w:w="209" w:type="dxa"/>
            <w:tcBorders/>
            <w:shd w:fill="FFFFFF" w:val="clear"/>
            <w:vAlign w:val="bottom"/>
          </w:tcPr>
          <w:p>
            <w:pPr>
              <w:pStyle w:val="TableContents"/>
              <w:spacing w:before="0" w:after="283"/>
              <w:jc w:val="left"/>
              <w:rPr/>
            </w:pPr>
            <w:r>
              <w:rPr/>
              <w:t> </w:t>
            </w:r>
          </w:p>
        </w:tc>
        <w:tc>
          <w:tcPr>
            <w:tcW w:w="11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2,513</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left"/>
              <w:rPr/>
            </w:pPr>
            <w:r>
              <w:rPr/>
              <w:t> </w:t>
            </w:r>
          </w:p>
        </w:tc>
        <w:tc>
          <w:tcPr>
            <w:tcW w:w="209" w:type="dxa"/>
            <w:tcBorders/>
            <w:shd w:fill="FFFFFF" w:val="clear"/>
            <w:vAlign w:val="bottom"/>
          </w:tcPr>
          <w:p>
            <w:pPr>
              <w:pStyle w:val="TableContents"/>
              <w:spacing w:before="0" w:after="283"/>
              <w:jc w:val="left"/>
              <w:rPr/>
            </w:pPr>
            <w:r>
              <w:rPr/>
              <w:t> </w:t>
            </w:r>
          </w:p>
        </w:tc>
        <w:tc>
          <w:tcPr>
            <w:tcW w:w="11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2,467</w:t>
            </w:r>
          </w:p>
        </w:tc>
        <w:tc>
          <w:tcPr>
            <w:tcW w:w="134" w:type="dxa"/>
            <w:tcBorders/>
            <w:shd w:fill="FFFFFF" w:val="clear"/>
            <w:vAlign w:val="bottom"/>
          </w:tcPr>
          <w:p>
            <w:pPr>
              <w:pStyle w:val="TableContents"/>
              <w:spacing w:before="0" w:after="283"/>
              <w:jc w:val="left"/>
              <w:rPr/>
            </w:pPr>
            <w:r>
              <w:rPr/>
              <w:t> </w:t>
            </w:r>
          </w:p>
        </w:tc>
      </w:tr>
      <w:tr>
        <w:trPr/>
        <w:tc>
          <w:tcPr>
            <w:tcW w:w="6902"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119" w:type="dxa"/>
            <w:tcBorders/>
            <w:shd w:fill="CCEEFF" w:val="clear"/>
            <w:vAlign w:val="bottom"/>
          </w:tcPr>
          <w:p>
            <w:pPr>
              <w:pStyle w:val="TableContents"/>
              <w:spacing w:before="0" w:after="283"/>
              <w:jc w:val="left"/>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left"/>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34" w:type="dxa"/>
            <w:tcBorders/>
            <w:shd w:fill="CCEEFF" w:val="clear"/>
            <w:vAlign w:val="bottom"/>
          </w:tcPr>
          <w:p>
            <w:pPr>
              <w:pStyle w:val="TableContents"/>
              <w:spacing w:before="0" w:after="283"/>
              <w:jc w:val="left"/>
              <w:rPr/>
            </w:pPr>
            <w:r>
              <w:rPr/>
              <w:t> </w:t>
            </w:r>
          </w:p>
        </w:tc>
      </w:tr>
      <w:tr>
        <w:trPr/>
        <w:tc>
          <w:tcPr>
            <w:tcW w:w="6902" w:type="dxa"/>
            <w:tcBorders/>
            <w:shd w:fill="FFFFFF" w:val="clear"/>
            <w:vAlign w:val="bottom"/>
          </w:tcPr>
          <w:p>
            <w:pPr>
              <w:pStyle w:val="TableContents"/>
              <w:spacing w:before="0" w:after="283"/>
              <w:rPr/>
            </w:pPr>
            <w:r>
              <w:rPr/>
              <w:t xml:space="preserve">  </w:t>
            </w:r>
          </w:p>
        </w:tc>
        <w:tc>
          <w:tcPr>
            <w:tcW w:w="119" w:type="dxa"/>
            <w:tcBorders/>
            <w:shd w:fill="FFFFFF" w:val="clear"/>
            <w:vAlign w:val="bottom"/>
          </w:tcPr>
          <w:p>
            <w:pPr>
              <w:pStyle w:val="TableContents"/>
              <w:spacing w:before="0" w:after="283"/>
              <w:jc w:val="left"/>
              <w:rPr/>
            </w:pPr>
            <w:r>
              <w:rPr/>
              <w:t> </w:t>
            </w:r>
          </w:p>
        </w:tc>
        <w:tc>
          <w:tcPr>
            <w:tcW w:w="2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2,488</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left"/>
              <w:rPr/>
            </w:pPr>
            <w:r>
              <w:rPr/>
              <w:t> </w:t>
            </w:r>
          </w:p>
        </w:tc>
        <w:tc>
          <w:tcPr>
            <w:tcW w:w="2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2,446</w:t>
            </w:r>
          </w:p>
        </w:tc>
        <w:tc>
          <w:tcPr>
            <w:tcW w:w="134" w:type="dxa"/>
            <w:tcBorders/>
            <w:shd w:fill="FFFFFF" w:val="clear"/>
            <w:vAlign w:val="bottom"/>
          </w:tcPr>
          <w:p>
            <w:pPr>
              <w:pStyle w:val="TableContents"/>
              <w:spacing w:before="0" w:after="283"/>
              <w:jc w:val="left"/>
              <w:rPr/>
            </w:pPr>
            <w:r>
              <w:rPr/>
              <w:t> </w:t>
            </w:r>
          </w:p>
        </w:tc>
      </w:tr>
      <w:tr>
        <w:trPr/>
        <w:tc>
          <w:tcPr>
            <w:tcW w:w="6902"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costs allocated to unit sold</w:t>
            </w:r>
          </w:p>
        </w:tc>
        <w:tc>
          <w:tcPr>
            <w:tcW w:w="119" w:type="dxa"/>
            <w:tcBorders/>
            <w:shd w:fill="CCEEFF" w:val="clear"/>
            <w:vAlign w:val="bottom"/>
          </w:tcPr>
          <w:p>
            <w:pPr>
              <w:pStyle w:val="TableContents"/>
              <w:spacing w:before="0" w:after="283"/>
              <w:jc w:val="left"/>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2,488</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left"/>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4" w:type="dxa"/>
            <w:tcBorders/>
            <w:shd w:fill="CCEEFF" w:val="clear"/>
            <w:vAlign w:val="bottom"/>
          </w:tcPr>
          <w:p>
            <w:pPr>
              <w:pStyle w:val="TableContents"/>
              <w:spacing w:before="0" w:after="283"/>
              <w:jc w:val="left"/>
              <w:rPr/>
            </w:pPr>
            <w:r>
              <w:rPr/>
              <w:t> </w:t>
            </w:r>
          </w:p>
        </w:tc>
      </w:tr>
      <w:tr>
        <w:trPr/>
        <w:tc>
          <w:tcPr>
            <w:tcW w:w="6902"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19" w:type="dxa"/>
            <w:tcBorders/>
            <w:shd w:fill="FFFFFF" w:val="clear"/>
            <w:vAlign w:val="bottom"/>
          </w:tcPr>
          <w:p>
            <w:pPr>
              <w:pStyle w:val="TableContents"/>
              <w:spacing w:before="0" w:after="283"/>
              <w:jc w:val="left"/>
              <w:rPr/>
            </w:pPr>
            <w:r>
              <w:rPr/>
              <w:t> </w:t>
            </w:r>
          </w:p>
        </w:tc>
        <w:tc>
          <w:tcPr>
            <w:tcW w:w="20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7" w:type="dxa"/>
            <w:tcBorders>
              <w:bottom w:val="double" w:sz="8" w:space="0" w:color="000000"/>
            </w:tcBorders>
            <w:shd w:fill="FFFFFF" w:val="clear"/>
            <w:tcMar>
              <w:bottom w:w="28" w:type="dxa"/>
            </w:tcMar>
            <w:vAlign w:val="bottom"/>
          </w:tcPr>
          <w:p>
            <w:pPr>
              <w:pStyle w:val="TableContents"/>
              <w:spacing w:before="0" w:after="283"/>
              <w:ind w:left="386" w:right="0" w:hanging="0"/>
              <w:jc w:val="right"/>
              <w:rPr>
                <w:rFonts w:ascii="times new roman" w:hAnsi="times new roman"/>
                <w:sz w:val="20"/>
              </w:rPr>
            </w:pPr>
            <w:bookmarkStart w:id="3424" w:name="TAB11783"/>
            <w:bookmarkEnd w:id="3424"/>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left"/>
              <w:rPr/>
            </w:pPr>
            <w:r>
              <w:rPr/>
              <w:t> </w:t>
            </w:r>
          </w:p>
        </w:tc>
        <w:tc>
          <w:tcPr>
            <w:tcW w:w="20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2,446</w:t>
            </w:r>
          </w:p>
        </w:tc>
        <w:tc>
          <w:tcPr>
            <w:tcW w:w="13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July 15, 2008, the Company entered into a ten-year rental agreement for the commercial unit.  The rental agreement provided for 150 days of free rent beginning on the lease commencement date of July 15, 2008.  The base rent was $466,875 for years one through three, $508,894 for years four through six, $554,694 for years seven through nine and $604,617 for year ten.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February 2009, the Company sold the commercial unit.  The contract price was $4,000,000 which was then reduced to $3,900,000.  Capitalized and unamortized costs allocated to the commercial unit in the amount of $2,488,104 were written off to costs of sales of condominium units.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10 - Deferred Rent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recognized deferred rent on the below market lease of the residential manager’s unit as discussed in Note 8.  The Company estimates the fair value of the rent to be approximately $7,000 per month, which over the life of the lease amounts to approximately $420,000.  Rental income recognized in connection with this below market lease was $85,908 and $81,817 in 2009 (unaudited) and 2008 (unaudited), respectively.  The deferred rent liability amounted to $152,312 and $44,733 for the years ended December 31, 2009 (unaudited) and 2008 (unaudited), respectively, and approximately $104,000 for the year ended 2007.</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recognized rental income from the commercial unit on a straight-line basis.  The tenant received 150 days of free rent that concluded on December 11, 2008.  In 2008 (unaudited), the Company amortized $57,107 of deferred rent into rental income.  In February 2009, the commercial unit was sold.  As a result, the remaining unamortized deferred rent of $250,594 was written off to costs of sales of condominium units.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11 - Selling Costs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2009 (unaudited), 2008 (unaudited), and 2007, selling costs are comprised of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232"/>
        <w:gridCol w:w="119"/>
        <w:gridCol w:w="298"/>
        <w:gridCol w:w="1216"/>
        <w:gridCol w:w="119"/>
        <w:gridCol w:w="119"/>
        <w:gridCol w:w="587"/>
        <w:gridCol w:w="927"/>
        <w:gridCol w:w="119"/>
        <w:gridCol w:w="119"/>
        <w:gridCol w:w="178"/>
        <w:gridCol w:w="1029"/>
        <w:gridCol w:w="143"/>
      </w:tblGrid>
      <w:tr>
        <w:trPr/>
        <w:tc>
          <w:tcPr>
            <w:tcW w:w="5232" w:type="dxa"/>
            <w:tcBorders>
              <w:bottom w:val="double" w:sz="8" w:space="0" w:color="000000"/>
            </w:tcBorders>
            <w:shd w:fill="auto" w:val="clear"/>
            <w:vAlign w:val="bottom"/>
          </w:tcPr>
          <w:p>
            <w:pPr>
              <w:pStyle w:val="TableContents"/>
              <w:spacing w:before="0" w:after="283"/>
              <w:rPr/>
            </w:pPr>
            <w:r>
              <w:rPr/>
              <w:t xml:space="preserve">  </w:t>
            </w:r>
          </w:p>
        </w:tc>
        <w:tc>
          <w:tcPr>
            <w:tcW w:w="119" w:type="dxa"/>
            <w:tcBorders/>
            <w:shd w:fill="auto" w:val="clear"/>
            <w:tcMar>
              <w:bottom w:w="0" w:type="dxa"/>
            </w:tcMar>
            <w:vAlign w:val="bottom"/>
          </w:tcPr>
          <w:p>
            <w:pPr>
              <w:pStyle w:val="TableContents"/>
              <w:spacing w:before="0" w:after="283"/>
              <w:rPr/>
            </w:pPr>
            <w:r>
              <w:rPr/>
              <w:t> </w:t>
            </w:r>
          </w:p>
        </w:tc>
        <w:tc>
          <w:tcPr>
            <w:tcW w:w="15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9" w:type="dxa"/>
            <w:tcBorders/>
            <w:shd w:fill="auto" w:val="clear"/>
            <w:tcMar>
              <w:bottom w:w="0" w:type="dxa"/>
            </w:tcMar>
            <w:vAlign w:val="bottom"/>
          </w:tcPr>
          <w:p>
            <w:pPr>
              <w:pStyle w:val="TableContents"/>
              <w:spacing w:before="0" w:after="283"/>
              <w:jc w:val="left"/>
              <w:rPr/>
            </w:pPr>
            <w:r>
              <w:rPr/>
              <w:t> </w:t>
            </w:r>
          </w:p>
        </w:tc>
        <w:tc>
          <w:tcPr>
            <w:tcW w:w="119" w:type="dxa"/>
            <w:tcBorders/>
            <w:shd w:fill="auto" w:val="clear"/>
            <w:tcMar>
              <w:bottom w:w="0" w:type="dxa"/>
            </w:tcMar>
            <w:vAlign w:val="bottom"/>
          </w:tcPr>
          <w:p>
            <w:pPr>
              <w:pStyle w:val="TableContents"/>
              <w:spacing w:before="0" w:after="283"/>
              <w:rPr/>
            </w:pPr>
            <w:r>
              <w:rPr/>
              <w:t> </w:t>
            </w:r>
          </w:p>
        </w:tc>
        <w:tc>
          <w:tcPr>
            <w:tcW w:w="15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9" w:type="dxa"/>
            <w:tcBorders/>
            <w:shd w:fill="auto" w:val="clear"/>
            <w:tcMar>
              <w:bottom w:w="0" w:type="dxa"/>
            </w:tcMar>
            <w:vAlign w:val="bottom"/>
          </w:tcPr>
          <w:p>
            <w:pPr>
              <w:pStyle w:val="TableContents"/>
              <w:spacing w:before="0" w:after="283"/>
              <w:jc w:val="left"/>
              <w:rPr/>
            </w:pPr>
            <w:r>
              <w:rPr/>
              <w:t> </w:t>
            </w:r>
          </w:p>
        </w:tc>
        <w:tc>
          <w:tcPr>
            <w:tcW w:w="119" w:type="dxa"/>
            <w:tcBorders/>
            <w:shd w:fill="auto" w:val="clear"/>
            <w:tcMar>
              <w:bottom w:w="0" w:type="dxa"/>
            </w:tcMar>
            <w:vAlign w:val="bottom"/>
          </w:tcPr>
          <w:p>
            <w:pPr>
              <w:pStyle w:val="TableContents"/>
              <w:spacing w:before="0" w:after="283"/>
              <w:rPr/>
            </w:pPr>
            <w:r>
              <w:rPr/>
              <w:t> </w:t>
            </w:r>
          </w:p>
        </w:tc>
        <w:tc>
          <w:tcPr>
            <w:tcW w:w="120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43" w:type="dxa"/>
            <w:tcBorders/>
            <w:shd w:fill="auto" w:val="clear"/>
            <w:tcMar>
              <w:bottom w:w="0" w:type="dxa"/>
            </w:tcMar>
            <w:vAlign w:val="bottom"/>
          </w:tcPr>
          <w:p>
            <w:pPr>
              <w:pStyle w:val="TableContents"/>
              <w:spacing w:before="0" w:after="283"/>
              <w:jc w:val="left"/>
              <w:rPr/>
            </w:pPr>
            <w:r>
              <w:rPr/>
              <w:t> </w:t>
            </w:r>
          </w:p>
        </w:tc>
      </w:tr>
      <w:tr>
        <w:trPr/>
        <w:tc>
          <w:tcPr>
            <w:tcW w:w="523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Broker fees</w:t>
            </w:r>
          </w:p>
        </w:tc>
        <w:tc>
          <w:tcPr>
            <w:tcW w:w="119" w:type="dxa"/>
            <w:tcBorders/>
            <w:shd w:fill="CCEEFF" w:val="clear"/>
            <w:tcMar>
              <w:bottom w:w="0" w:type="dxa"/>
            </w:tcMar>
            <w:vAlign w:val="bottom"/>
          </w:tcPr>
          <w:p>
            <w:pPr>
              <w:pStyle w:val="TableContents"/>
              <w:spacing w:before="0" w:after="283"/>
              <w:jc w:val="left"/>
              <w:rPr/>
            </w:pPr>
            <w:r>
              <w:rPr/>
              <w:t> </w:t>
            </w:r>
          </w:p>
        </w:tc>
        <w:tc>
          <w:tcPr>
            <w:tcW w:w="29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6"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425" w:name="TAB11784"/>
            <w:bookmarkEnd w:id="3425"/>
            <w:r>
              <w:rPr>
                <w:rFonts w:ascii="times new roman" w:hAnsi="times new roman"/>
                <w:sz w:val="20"/>
              </w:rPr>
              <w:t>120</w:t>
            </w:r>
          </w:p>
        </w:tc>
        <w:tc>
          <w:tcPr>
            <w:tcW w:w="119" w:type="dxa"/>
            <w:tcBorders/>
            <w:shd w:fill="CCEEFF" w:val="clear"/>
            <w:tcMar>
              <w:bottom w:w="0" w:type="dxa"/>
            </w:tcMar>
            <w:vAlign w:val="bottom"/>
          </w:tcPr>
          <w:p>
            <w:pPr>
              <w:pStyle w:val="TableContents"/>
              <w:spacing w:before="0" w:after="283"/>
              <w:jc w:val="lef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58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426" w:name="TAB11785"/>
            <w:bookmarkEnd w:id="3426"/>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7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427" w:name="TAB11786"/>
            <w:bookmarkEnd w:id="3427"/>
            <w:r>
              <w:rPr>
                <w:rFonts w:ascii="times new roman" w:hAnsi="times new roman"/>
                <w:sz w:val="20"/>
              </w:rPr>
              <w:t>755</w:t>
            </w:r>
          </w:p>
        </w:tc>
        <w:tc>
          <w:tcPr>
            <w:tcW w:w="143" w:type="dxa"/>
            <w:tcBorders/>
            <w:shd w:fill="CCEEFF" w:val="clear"/>
            <w:tcMar>
              <w:bottom w:w="0" w:type="dxa"/>
            </w:tcMar>
            <w:vAlign w:val="bottom"/>
          </w:tcPr>
          <w:p>
            <w:pPr>
              <w:pStyle w:val="TableContents"/>
              <w:spacing w:before="0" w:after="283"/>
              <w:jc w:val="left"/>
              <w:rPr/>
            </w:pPr>
            <w:r>
              <w:rPr/>
              <w:t> </w:t>
            </w:r>
          </w:p>
        </w:tc>
      </w:tr>
      <w:tr>
        <w:trPr/>
        <w:tc>
          <w:tcPr>
            <w:tcW w:w="523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Commissions</w:t>
            </w:r>
          </w:p>
        </w:tc>
        <w:tc>
          <w:tcPr>
            <w:tcW w:w="119" w:type="dxa"/>
            <w:tcBorders/>
            <w:shd w:fill="FFFFFF" w:val="clear"/>
            <w:tcMar>
              <w:bottom w:w="0" w:type="dxa"/>
            </w:tcMar>
            <w:vAlign w:val="bottom"/>
          </w:tcPr>
          <w:p>
            <w:pPr>
              <w:pStyle w:val="TableContents"/>
              <w:spacing w:before="0" w:after="283"/>
              <w:jc w:val="left"/>
              <w:rPr/>
            </w:pPr>
            <w:r>
              <w:rPr/>
              <w:t> </w:t>
            </w:r>
          </w:p>
        </w:tc>
        <w:tc>
          <w:tcPr>
            <w:tcW w:w="298" w:type="dxa"/>
            <w:tcBorders>
              <w:bottom w:val="single" w:sz="12" w:space="0" w:color="000000"/>
            </w:tcBorders>
            <w:shd w:fill="FFFFFF" w:val="clear"/>
            <w:vAlign w:val="bottom"/>
          </w:tcPr>
          <w:p>
            <w:pPr>
              <w:pStyle w:val="TableContents"/>
              <w:spacing w:before="0" w:after="283"/>
              <w:jc w:val="left"/>
              <w:rPr/>
            </w:pPr>
            <w:r>
              <w:rPr/>
              <w:t> </w:t>
            </w:r>
          </w:p>
        </w:tc>
        <w:tc>
          <w:tcPr>
            <w:tcW w:w="121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587" w:type="dxa"/>
            <w:tcBorders>
              <w:bottom w:val="single" w:sz="12" w:space="0" w:color="000000"/>
            </w:tcBorders>
            <w:shd w:fill="FFFFFF" w:val="clear"/>
            <w:vAlign w:val="bottom"/>
          </w:tcPr>
          <w:p>
            <w:pPr>
              <w:pStyle w:val="TableContents"/>
              <w:spacing w:before="0" w:after="283"/>
              <w:jc w:val="left"/>
              <w:rPr/>
            </w:pPr>
            <w:r>
              <w:rPr/>
              <w:t> </w:t>
            </w:r>
          </w:p>
        </w:tc>
        <w:tc>
          <w:tcPr>
            <w:tcW w:w="92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78" w:type="dxa"/>
            <w:tcBorders>
              <w:bottom w:val="single" w:sz="12" w:space="0" w:color="000000"/>
            </w:tcBorders>
            <w:shd w:fill="FFFFFF" w:val="clear"/>
            <w:vAlign w:val="bottom"/>
          </w:tcPr>
          <w:p>
            <w:pPr>
              <w:pStyle w:val="TableContents"/>
              <w:spacing w:before="0" w:after="283"/>
              <w:jc w:val="left"/>
              <w:rPr/>
            </w:pPr>
            <w:r>
              <w:rPr/>
              <w:t> </w:t>
            </w:r>
          </w:p>
        </w:tc>
        <w:tc>
          <w:tcPr>
            <w:tcW w:w="102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614</w:t>
            </w:r>
          </w:p>
        </w:tc>
        <w:tc>
          <w:tcPr>
            <w:tcW w:w="143" w:type="dxa"/>
            <w:tcBorders/>
            <w:shd w:fill="FFFFFF" w:val="clear"/>
            <w:tcMar>
              <w:bottom w:w="0" w:type="dxa"/>
            </w:tcMar>
            <w:vAlign w:val="bottom"/>
          </w:tcPr>
          <w:p>
            <w:pPr>
              <w:pStyle w:val="TableContents"/>
              <w:spacing w:before="0" w:after="283"/>
              <w:jc w:val="left"/>
              <w:rPr/>
            </w:pPr>
            <w:r>
              <w:rPr/>
              <w:t> </w:t>
            </w:r>
          </w:p>
        </w:tc>
      </w:tr>
      <w:tr>
        <w:trPr/>
        <w:tc>
          <w:tcPr>
            <w:tcW w:w="5232"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selling costs</w:t>
            </w:r>
          </w:p>
        </w:tc>
        <w:tc>
          <w:tcPr>
            <w:tcW w:w="119" w:type="dxa"/>
            <w:tcBorders/>
            <w:shd w:fill="CCEEFF" w:val="clear"/>
            <w:tcMar>
              <w:bottom w:w="0" w:type="dxa"/>
            </w:tcMar>
            <w:vAlign w:val="bottom"/>
          </w:tcPr>
          <w:p>
            <w:pPr>
              <w:pStyle w:val="TableContents"/>
              <w:spacing w:before="0" w:after="283"/>
              <w:jc w:val="left"/>
              <w:rPr/>
            </w:pPr>
            <w:r>
              <w:rPr/>
              <w:t> </w:t>
            </w:r>
          </w:p>
        </w:tc>
        <w:tc>
          <w:tcPr>
            <w:tcW w:w="298"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6" w:type="dxa"/>
            <w:tcBorders>
              <w:bottom w:val="double" w:sz="8" w:space="0" w:color="000000"/>
            </w:tcBorders>
            <w:shd w:fill="CCEEFF" w:val="clear"/>
            <w:vAlign w:val="bottom"/>
          </w:tcPr>
          <w:p>
            <w:pPr>
              <w:pStyle w:val="TableContents"/>
              <w:spacing w:before="0" w:after="283"/>
              <w:ind w:left="162" w:right="0" w:hanging="0"/>
              <w:jc w:val="right"/>
              <w:rPr>
                <w:rFonts w:ascii="times new roman" w:hAnsi="times new roman"/>
                <w:sz w:val="20"/>
              </w:rPr>
            </w:pPr>
            <w:bookmarkStart w:id="3428" w:name="TAB11787"/>
            <w:bookmarkEnd w:id="3428"/>
            <w:r>
              <w:rPr>
                <w:rFonts w:ascii="times new roman" w:hAnsi="times new roman"/>
                <w:sz w:val="20"/>
              </w:rPr>
              <w:t>120</w:t>
            </w:r>
          </w:p>
        </w:tc>
        <w:tc>
          <w:tcPr>
            <w:tcW w:w="119" w:type="dxa"/>
            <w:tcBorders/>
            <w:shd w:fill="CCEEFF" w:val="clear"/>
            <w:tcMar>
              <w:bottom w:w="0" w:type="dxa"/>
            </w:tcMar>
            <w:vAlign w:val="bottom"/>
          </w:tcPr>
          <w:p>
            <w:pPr>
              <w:pStyle w:val="TableContents"/>
              <w:spacing w:before="0" w:after="283"/>
              <w:jc w:val="lef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587"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bottom w:val="double" w:sz="8" w:space="0" w:color="000000"/>
            </w:tcBorders>
            <w:shd w:fill="CCEEFF" w:val="clear"/>
            <w:vAlign w:val="bottom"/>
          </w:tcPr>
          <w:p>
            <w:pPr>
              <w:pStyle w:val="TableContents"/>
              <w:spacing w:before="0" w:after="283"/>
              <w:ind w:left="162" w:right="0" w:hanging="0"/>
              <w:jc w:val="right"/>
              <w:rPr>
                <w:rFonts w:ascii="times new roman" w:hAnsi="times new roman"/>
                <w:sz w:val="20"/>
              </w:rPr>
            </w:pPr>
            <w:bookmarkStart w:id="3429" w:name="TAB11788"/>
            <w:bookmarkEnd w:id="3429"/>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78"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9" w:type="dxa"/>
            <w:tcBorders>
              <w:bottom w:val="double" w:sz="8" w:space="0" w:color="000000"/>
            </w:tcBorders>
            <w:shd w:fill="CCEEFF" w:val="clear"/>
            <w:vAlign w:val="bottom"/>
          </w:tcPr>
          <w:p>
            <w:pPr>
              <w:pStyle w:val="TableContents"/>
              <w:spacing w:before="0" w:after="283"/>
              <w:ind w:left="162" w:right="0" w:hanging="0"/>
              <w:jc w:val="right"/>
              <w:rPr>
                <w:rFonts w:ascii="times new roman" w:hAnsi="times new roman"/>
                <w:sz w:val="20"/>
              </w:rPr>
            </w:pPr>
            <w:bookmarkStart w:id="3430" w:name="TAB11789"/>
            <w:bookmarkEnd w:id="3430"/>
            <w:r>
              <w:rPr>
                <w:rFonts w:ascii="times new roman" w:hAnsi="times new roman"/>
                <w:sz w:val="20"/>
              </w:rPr>
              <w:t>1,369</w:t>
            </w:r>
          </w:p>
        </w:tc>
        <w:tc>
          <w:tcPr>
            <w:tcW w:w="143"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31" w:name="PGBRK122"/>
      <w:bookmarkStart w:id="3432" w:name="PGBRK122"/>
      <w:bookmarkEnd w:id="3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33" w:name="FTR122"/>
      <w:bookmarkStart w:id="3434" w:name="FTR122"/>
      <w:bookmarkEnd w:id="3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35" w:name="GLFTR122"/>
      <w:bookmarkEnd w:id="3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436" w:name="PN122"/>
      <w:bookmarkEnd w:id="3436"/>
      <w:r>
        <w:rPr>
          <w:rFonts w:eastAsia="Times New Roman" w:cs="Times New Roman" w:ascii="Times New Roman" w:hAnsi="Times New Roman"/>
          <w:sz w:val="20"/>
          <w:szCs w:val="20"/>
        </w:rPr>
        <w:t>-122-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437" w:name="HDR122"/>
      <w:bookmarkStart w:id="3438" w:name="HDR122"/>
      <w:bookmarkEnd w:id="3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439" w:name="GLHDR122"/>
        <w:bookmarkEnd w:id="34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12 - Related Party Transactions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Due to Affiliate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2008 (unaudited), the Company owed $2,000 to The Clarett Group (“Clarett Group”) for marketing commissions and other reimbursable expenses paid on behalf of the Company.  Members of the Company are also members in Clarett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(b)  Commissions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Clarett Group had been designated as the exclusive sales agent for selling residential units pursuant to a Sales Agreement.  The Sales Agreement provides for a commission equal to four percent of the gross sales price of each unit sold and a sales commission of two percent when sales involve a third-party broker.  No commissions were paid to the Clarett Group in 2009 (unaudited) and 2008 (unaudited) and $614,080 of commissions were paid to the Clarett Group for the year ended December 31, 2007.</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13 - Commitments and Contingencies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Sponsor Common Charges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was the sponsor for the condominium and was obligated to pay all common charges, special assessments, and real estate taxes allocated to any unsold residential units or commercial units in accordance with the provisions of the By-Laws.  During the years ended December 31, 2009 (unaudited), 2008 (unaudited) and 2007, the Company incurred $0, $10,248, $69,799, respectively, of sponsor common charges, which is reflected in the accompanying statements of income.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  Estimated Costs to Complete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2009, the Company estimates that there will be no additional significant costs associated with construction of the development project.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14 - Construction Manager Incentive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construction management agreement provided for an incentive fee to be paid to the construction manager in the event that the total cost of construction, as defined, is less than the guaranteed maximum price of $49,217,811, as defined.  Total project costs exceeded the original projected cost of construction.  Accordingly, no construction manager fee was paid.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15 - Concentrations of Risk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maintained cash balances which at times exceeded the federally insured limit.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16 – Subsequent Events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May 2009, the FASB issued guidance on subsequent events which is included in ASC 855 “Subsequent Events” (“ASC 855”), to be effective for financial statements with years ending after June 15, 2009.  The objective of this statement is to establish general standards of accounting for and disclosures of events that occur after the balance sheet date but before financial statements are issued or are available to be issued.  In particular, this Statement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The Company has evaluated all events that occurred after December 31, 2009 but before the financial statements were available to be issued, March 12, 2010, to determine if they must be reported.  Management determined that there were no reportable subsequent events to be disclosed.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40" w:name="PGBRK123"/>
      <w:bookmarkStart w:id="3441" w:name="PGBRK123"/>
      <w:bookmarkEnd w:id="3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2" w:name="FTR123"/>
      <w:bookmarkStart w:id="3443" w:name="FTR123"/>
      <w:bookmarkEnd w:id="3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44" w:name="GLFTR123"/>
      <w:bookmarkEnd w:id="34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445" w:name="PN123"/>
      <w:bookmarkEnd w:id="3445"/>
      <w:r>
        <w:rPr>
          <w:rFonts w:eastAsia="Times New Roman" w:cs="Times New Roman" w:ascii="Times New Roman" w:hAnsi="Times New Roman"/>
          <w:sz w:val="20"/>
          <w:szCs w:val="20"/>
        </w:rPr>
        <w:t>-123-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446" w:name="HDR123"/>
      <w:bookmarkStart w:id="3447" w:name="HDR123"/>
      <w:bookmarkEnd w:id="3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448" w:name="GLHDR123"/>
        <w:bookmarkEnd w:id="344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Report of Independent Auditors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Members of</w:t>
      </w:r>
    </w:p>
    <w:p>
      <w:pPr>
        <w:pStyle w:val="TextBody"/>
        <w:spacing w:before="0" w:after="0"/>
        <w:ind w:left="0" w:right="0" w:hanging="0"/>
        <w:jc w:val="left"/>
        <w:rPr>
          <w:rFonts w:ascii="Times New Roman" w:hAnsi="Times New Roman"/>
          <w:sz w:val="20"/>
        </w:rPr>
      </w:pPr>
      <w:r>
        <w:rPr>
          <w:rFonts w:ascii="Times New Roman" w:hAnsi="Times New Roman"/>
          <w:sz w:val="20"/>
        </w:rPr>
        <w:t>205-209 East 57th Street Associates, LLC: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opinion, the accompanying statements of operations, changes in members' equity, and cash flows present fairly, in all material respects, the results of operations and cash flows of 205-209 East 57th Street Associates, LLC (the "Company") for the year ended December 31, 2007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Those standards require that we plan and perform the audit to obtain reasonable assurance about whether the financia 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/s/ PRICEWATERHOUSECOOPERS LLP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New York, New York</w:t>
      </w:r>
    </w:p>
    <w:p>
      <w:pPr>
        <w:pStyle w:val="TextBody"/>
        <w:spacing w:before="0" w:after="0"/>
        <w:ind w:left="0" w:right="0" w:hanging="0"/>
        <w:jc w:val="left"/>
        <w:rPr>
          <w:rFonts w:ascii="Times New Roman" w:hAnsi="Times New Roman"/>
          <w:sz w:val="20"/>
        </w:rPr>
      </w:pPr>
      <w:r>
        <w:rPr>
          <w:rFonts w:ascii="Times New Roman" w:hAnsi="Times New Roman"/>
          <w:sz w:val="20"/>
        </w:rPr>
        <w:t>February 11, 2008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49" w:name="PGBRK124"/>
      <w:bookmarkStart w:id="3450" w:name="PGBRK124"/>
      <w:bookmarkEnd w:id="3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1" w:name="FTR124"/>
      <w:bookmarkStart w:id="3452" w:name="FTR124"/>
      <w:bookmarkEnd w:id="3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53" w:name="GLFTR124"/>
      <w:bookmarkEnd w:id="34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454" w:name="PN124"/>
      <w:bookmarkEnd w:id="3454"/>
      <w:r>
        <w:rPr>
          <w:rFonts w:eastAsia="Times New Roman" w:cs="Times New Roman" w:ascii="Times New Roman" w:hAnsi="Times New Roman"/>
          <w:sz w:val="20"/>
          <w:szCs w:val="20"/>
        </w:rPr>
        <w:t>-124-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455" w:name="HDR124"/>
      <w:bookmarkStart w:id="3456" w:name="HDR124"/>
      <w:bookmarkEnd w:id="3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457" w:name="GLHDR124"/>
        <w:bookmarkEnd w:id="345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720" w:right="0" w:hanging="0"/>
        <w:jc w:val="left"/>
        <w:rPr>
          <w:rFonts w:ascii="Times New Roman" w:hAnsi="Times New Roman"/>
          <w:sz w:val="20"/>
        </w:rPr>
      </w:pPr>
      <w:bookmarkStart w:id="3458" w:name="mtgravattfinancials"/>
      <w:bookmarkStart w:id="3459" w:name="TAB11790"/>
      <w:bookmarkEnd w:id="3458"/>
      <w:bookmarkEnd w:id="3459"/>
      <w:r>
        <w:rPr>
          <w:rFonts w:ascii="Times New Roman" w:hAnsi="Times New Roman"/>
          <w:sz w:val="20"/>
        </w:rPr>
        <w:t>Following are financial statements and notes of Mt. Gravatt Cinemas Joint Venture for the periods indicated.  We are required to include in our Report on Form 10-K unaudited financial statements for the years ended December 31, 2009 and 2008 and audited financial statements for the year ended December 31, 2007.</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Mt. Gravatt Cinemas Joint Venture</w:t>
      </w:r>
    </w:p>
    <w:p>
      <w:pPr>
        <w:pStyle w:val="TextBody"/>
        <w:spacing w:before="0" w:after="0"/>
        <w:ind w:left="0" w:right="0" w:hanging="0"/>
        <w:jc w:val="left"/>
        <w:rPr>
          <w:rFonts w:ascii="Times New Roman" w:hAnsi="Times New Roman"/>
          <w:b/>
          <w:sz w:val="20"/>
        </w:rPr>
      </w:pPr>
      <w:r>
        <w:rPr>
          <w:rFonts w:ascii="Times New Roman" w:hAnsi="Times New Roman"/>
          <w:b/>
          <w:sz w:val="20"/>
        </w:rPr>
        <w:t>Income Statement</w:t>
      </w:r>
    </w:p>
    <w:p>
      <w:pPr>
        <w:pStyle w:val="TextBody"/>
        <w:spacing w:before="0" w:after="0"/>
        <w:ind w:left="0" w:right="0" w:hanging="0"/>
        <w:jc w:val="both"/>
        <w:rPr>
          <w:rFonts w:ascii="Times New Roman" w:hAnsi="Times New Roman"/>
          <w:b/>
          <w:sz w:val="20"/>
        </w:rPr>
      </w:pPr>
      <w:r>
        <w:rPr>
          <w:rFonts w:ascii="Times New Roman" w:hAnsi="Times New Roman"/>
          <w:b/>
          <w:sz w:val="20"/>
        </w:rPr>
        <w:t>For the Year Ended December 31, 2009</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772"/>
        <w:gridCol w:w="103"/>
        <w:gridCol w:w="111"/>
        <w:gridCol w:w="870"/>
        <w:gridCol w:w="103"/>
        <w:gridCol w:w="103"/>
        <w:gridCol w:w="125"/>
        <w:gridCol w:w="1073"/>
        <w:gridCol w:w="110"/>
        <w:gridCol w:w="103"/>
        <w:gridCol w:w="125"/>
        <w:gridCol w:w="1073"/>
        <w:gridCol w:w="109"/>
        <w:gridCol w:w="103"/>
        <w:gridCol w:w="125"/>
        <w:gridCol w:w="1073"/>
        <w:gridCol w:w="124"/>
      </w:tblGrid>
      <w:tr>
        <w:trPr/>
        <w:tc>
          <w:tcPr>
            <w:tcW w:w="4772"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i/>
                <w:sz w:val="20"/>
              </w:rPr>
            </w:pPr>
            <w:r>
              <w:rPr>
                <w:rFonts w:ascii="times new roman" w:hAnsi="times new roman"/>
                <w:i/>
                <w:sz w:val="20"/>
              </w:rPr>
              <w:t>In AUS$</w:t>
            </w:r>
          </w:p>
        </w:tc>
        <w:tc>
          <w:tcPr>
            <w:tcW w:w="103" w:type="dxa"/>
            <w:tcBorders/>
            <w:shd w:fill="auto" w:val="clear"/>
            <w:tcMar>
              <w:bottom w:w="0" w:type="dxa"/>
            </w:tcMar>
            <w:vAlign w:val="bottom"/>
          </w:tcPr>
          <w:p>
            <w:pPr>
              <w:pStyle w:val="TableContents"/>
              <w:spacing w:before="0" w:after="283"/>
              <w:rPr/>
            </w:pPr>
            <w:r>
              <w:rPr/>
              <w:t> </w:t>
            </w:r>
          </w:p>
        </w:tc>
        <w:tc>
          <w:tcPr>
            <w:tcW w:w="98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9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0"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9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9"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9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4" w:type="dxa"/>
            <w:tcBorders/>
            <w:shd w:fill="auto" w:val="clear"/>
            <w:tcMar>
              <w:bottom w:w="0" w:type="dxa"/>
            </w:tcMar>
            <w:vAlign w:val="bottom"/>
          </w:tcPr>
          <w:p>
            <w:pPr>
              <w:pStyle w:val="TableContents"/>
              <w:spacing w:before="0" w:after="283"/>
              <w:jc w:val="left"/>
              <w:rPr/>
            </w:pPr>
            <w:r>
              <w:rPr/>
              <w:t> </w:t>
            </w:r>
          </w:p>
        </w:tc>
      </w:tr>
      <w:tr>
        <w:trPr/>
        <w:tc>
          <w:tcPr>
            <w:tcW w:w="47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 from rendering services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70"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7</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tcMar>
              <w:bottom w:w="0" w:type="dxa"/>
            </w:tcMar>
            <w:vAlign w:val="bottom"/>
          </w:tcPr>
          <w:p>
            <w:pPr>
              <w:pStyle w:val="TableContents"/>
              <w:spacing w:before="0" w:after="283"/>
              <w:ind w:left="22" w:right="0" w:hanging="0"/>
              <w:jc w:val="right"/>
              <w:rPr>
                <w:rFonts w:ascii="times new roman" w:hAnsi="times new roman"/>
                <w:sz w:val="20"/>
              </w:rPr>
            </w:pPr>
            <w:bookmarkStart w:id="3460" w:name="TAB11791"/>
            <w:bookmarkEnd w:id="3460"/>
            <w:r>
              <w:rPr>
                <w:rFonts w:ascii="times new roman" w:hAnsi="times new roman"/>
                <w:sz w:val="20"/>
              </w:rPr>
              <w:t>10,459,016</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tcMar>
              <w:bottom w:w="0" w:type="dxa"/>
            </w:tcMar>
            <w:vAlign w:val="bottom"/>
          </w:tcPr>
          <w:p>
            <w:pPr>
              <w:pStyle w:val="TableContents"/>
              <w:spacing w:before="0" w:after="283"/>
              <w:ind w:left="22" w:right="0" w:hanging="0"/>
              <w:jc w:val="right"/>
              <w:rPr>
                <w:rFonts w:ascii="times new roman" w:hAnsi="times new roman"/>
                <w:sz w:val="20"/>
              </w:rPr>
            </w:pPr>
            <w:bookmarkStart w:id="3461" w:name="TAB11792"/>
            <w:bookmarkEnd w:id="3461"/>
            <w:r>
              <w:rPr>
                <w:rFonts w:ascii="times new roman" w:hAnsi="times new roman"/>
                <w:sz w:val="20"/>
              </w:rPr>
              <w:t>9,229,454</w:t>
            </w:r>
          </w:p>
        </w:tc>
        <w:tc>
          <w:tcPr>
            <w:tcW w:w="109"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tcMar>
              <w:bottom w:w="0" w:type="dxa"/>
            </w:tcMar>
            <w:vAlign w:val="bottom"/>
          </w:tcPr>
          <w:p>
            <w:pPr>
              <w:pStyle w:val="TableContents"/>
              <w:spacing w:before="0" w:after="283"/>
              <w:ind w:left="22" w:right="0" w:hanging="0"/>
              <w:jc w:val="right"/>
              <w:rPr>
                <w:rFonts w:ascii="times new roman" w:hAnsi="times new roman"/>
                <w:sz w:val="20"/>
              </w:rPr>
            </w:pPr>
            <w:bookmarkStart w:id="3462" w:name="TAB11793"/>
            <w:bookmarkEnd w:id="3462"/>
            <w:r>
              <w:rPr>
                <w:rFonts w:ascii="times new roman" w:hAnsi="times new roman"/>
                <w:sz w:val="20"/>
              </w:rPr>
              <w:t>9,095,218</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77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 from sale of concession</w:t>
            </w:r>
          </w:p>
        </w:tc>
        <w:tc>
          <w:tcPr>
            <w:tcW w:w="103" w:type="dxa"/>
            <w:tcBorders/>
            <w:shd w:fill="FFFFFF" w:val="clear"/>
            <w:tcMar>
              <w:bottom w:w="0" w:type="dxa"/>
            </w:tcMar>
            <w:vAlign w:val="bottom"/>
          </w:tcPr>
          <w:p>
            <w:pPr>
              <w:pStyle w:val="TableContents"/>
              <w:spacing w:before="0" w:after="283"/>
              <w:rPr/>
            </w:pPr>
            <w:r>
              <w:rPr/>
              <w:t> </w:t>
            </w:r>
          </w:p>
        </w:tc>
        <w:tc>
          <w:tcPr>
            <w:tcW w:w="111" w:type="dxa"/>
            <w:tcBorders>
              <w:bottom w:val="single" w:sz="12" w:space="0" w:color="000000"/>
            </w:tcBorders>
            <w:shd w:fill="FFFFFF" w:val="clear"/>
            <w:vAlign w:val="bottom"/>
          </w:tcPr>
          <w:p>
            <w:pPr>
              <w:pStyle w:val="TableContents"/>
              <w:spacing w:before="0" w:after="283"/>
              <w:jc w:val="left"/>
              <w:rPr/>
            </w:pPr>
            <w:r>
              <w:rPr/>
              <w:t> </w:t>
            </w:r>
          </w:p>
        </w:tc>
        <w:tc>
          <w:tcPr>
            <w:tcW w:w="870" w:type="dxa"/>
            <w:tcBorders>
              <w:bottom w:val="single" w:sz="12" w:space="0" w:color="000000"/>
            </w:tcBorders>
            <w:shd w:fill="FFFFFF" w:val="cle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3,732,980</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3,664,757</w:t>
            </w:r>
          </w:p>
        </w:tc>
        <w:tc>
          <w:tcPr>
            <w:tcW w:w="109"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3,546,654</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72" w:type="dxa"/>
            <w:tcBorders>
              <w:bottom w:val="single" w:sz="12" w:space="0" w:color="000000"/>
            </w:tcBorders>
            <w:shd w:fill="CCEEFF" w:val="clear"/>
            <w:vAlign w:val="bottom"/>
          </w:tcPr>
          <w:p>
            <w:pPr>
              <w:pStyle w:val="TableContents"/>
              <w:spacing w:before="0" w:after="0"/>
              <w:ind w:left="360" w:right="0" w:hanging="360"/>
              <w:jc w:val="left"/>
              <w:rPr/>
            </w:pPr>
            <w:r>
              <w:rPr/>
              <w:t>      </w:t>
            </w:r>
            <w:r>
              <w:rPr>
                <w:rFonts w:ascii="times new roman" w:hAnsi="times new roman"/>
                <w:b/>
                <w:sz w:val="20"/>
              </w:rPr>
              <w:t>Total Revenue</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single" w:sz="12" w:space="0" w:color="000000"/>
            </w:tcBorders>
            <w:shd w:fill="CCEEFF" w:val="clear"/>
            <w:vAlign w:val="bottom"/>
          </w:tcPr>
          <w:p>
            <w:pPr>
              <w:pStyle w:val="TableContents"/>
              <w:spacing w:before="0" w:after="283"/>
              <w:jc w:val="left"/>
              <w:rPr/>
            </w:pPr>
            <w:r>
              <w:rPr/>
              <w:t> </w:t>
            </w:r>
          </w:p>
        </w:tc>
        <w:tc>
          <w:tcPr>
            <w:tcW w:w="870" w:type="dxa"/>
            <w:tcBorders>
              <w:bottom w:val="single" w:sz="12"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3463" w:name="TAB11794"/>
            <w:bookmarkEnd w:id="3463"/>
            <w:r>
              <w:rPr>
                <w:rFonts w:ascii="times new roman" w:hAnsi="times new roman"/>
                <w:sz w:val="20"/>
              </w:rPr>
              <w:t>14,191,996</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3464" w:name="TAB11795"/>
            <w:bookmarkEnd w:id="3464"/>
            <w:r>
              <w:rPr>
                <w:rFonts w:ascii="times new roman" w:hAnsi="times new roman"/>
                <w:sz w:val="20"/>
              </w:rPr>
              <w:t>12,894,211</w:t>
            </w:r>
          </w:p>
        </w:tc>
        <w:tc>
          <w:tcPr>
            <w:tcW w:w="109"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12,641,872</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772" w:type="dxa"/>
            <w:tcBorders/>
            <w:shd w:fill="FFFFFF" w:val="clear"/>
            <w:tcMar>
              <w:bottom w:w="0" w:type="dxa"/>
            </w:tcMar>
            <w:vAlign w:val="bottom"/>
          </w:tcPr>
          <w:p>
            <w:pPr>
              <w:pStyle w:val="TableContents"/>
              <w:spacing w:before="0" w:after="283"/>
              <w:rPr/>
            </w:pPr>
            <w:r>
              <w:rPr/>
              <w:t xml:space="preserve">  </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70"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Film expenses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70"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(4,181,253</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(3,628,015</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(3,549,246</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Cost of concession</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70"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(963,084</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(1,022,055</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(893,473</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 expenses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70"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10</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(613,175</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(682,943</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(653,342</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Personnel expenses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70"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8</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(1,963,946</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(1,858,654</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(1,839,730</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Occupancy expenses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70"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(1,399,618</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(1,436,093</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(1,248,608</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House expenses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70"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(1,075,082</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(909,990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(973,931</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Advertising and marketing costs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70"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(244,086</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(297,594</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(285,455</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70"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(273,958</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(237,635</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(223,043</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7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Repairs and maintenance expense</w:t>
            </w:r>
          </w:p>
        </w:tc>
        <w:tc>
          <w:tcPr>
            <w:tcW w:w="103" w:type="dxa"/>
            <w:tcBorders/>
            <w:shd w:fill="FFFFFF" w:val="clear"/>
            <w:tcMar>
              <w:bottom w:w="0" w:type="dxa"/>
            </w:tcMar>
            <w:vAlign w:val="bottom"/>
          </w:tcPr>
          <w:p>
            <w:pPr>
              <w:pStyle w:val="TableContents"/>
              <w:spacing w:before="0" w:after="283"/>
              <w:rPr/>
            </w:pPr>
            <w:r>
              <w:rPr/>
              <w:t> </w:t>
            </w:r>
          </w:p>
        </w:tc>
        <w:tc>
          <w:tcPr>
            <w:tcW w:w="111" w:type="dxa"/>
            <w:tcBorders>
              <w:bottom w:val="single" w:sz="12" w:space="0" w:color="000000"/>
            </w:tcBorders>
            <w:shd w:fill="FFFFFF" w:val="clear"/>
            <w:vAlign w:val="bottom"/>
          </w:tcPr>
          <w:p>
            <w:pPr>
              <w:pStyle w:val="TableContents"/>
              <w:spacing w:before="0" w:after="283"/>
              <w:jc w:val="left"/>
              <w:rPr/>
            </w:pPr>
            <w:r>
              <w:rPr/>
              <w:t> </w:t>
            </w:r>
          </w:p>
        </w:tc>
        <w:tc>
          <w:tcPr>
            <w:tcW w:w="870" w:type="dxa"/>
            <w:tcBorders>
              <w:bottom w:val="single" w:sz="12" w:space="0" w:color="000000"/>
            </w:tcBorders>
            <w:shd w:fill="FFFFFF" w:val="cle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(175,338</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(187,539</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(167,877</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72" w:type="dxa"/>
            <w:tcBorders>
              <w:bottom w:val="single" w:sz="12" w:space="0" w:color="000000"/>
            </w:tcBorders>
            <w:shd w:fill="CCEEFF" w:val="clear"/>
            <w:vAlign w:val="bottom"/>
          </w:tcPr>
          <w:p>
            <w:pPr>
              <w:pStyle w:val="TableContents"/>
              <w:spacing w:before="0" w:after="0"/>
              <w:ind w:left="0" w:right="0" w:hanging="0"/>
              <w:jc w:val="left"/>
              <w:rPr/>
            </w:pPr>
            <w:r>
              <w:rPr/>
              <w:t>       </w:t>
            </w:r>
            <w:r>
              <w:rPr>
                <w:rFonts w:ascii="times new roman" w:hAnsi="times new roman"/>
                <w:b/>
                <w:sz w:val="20"/>
              </w:rPr>
              <w:t>Results for operating activities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single" w:sz="12" w:space="0" w:color="000000"/>
            </w:tcBorders>
            <w:shd w:fill="CCEEFF" w:val="clear"/>
            <w:vAlign w:val="bottom"/>
          </w:tcPr>
          <w:p>
            <w:pPr>
              <w:pStyle w:val="TableContents"/>
              <w:spacing w:before="0" w:after="283"/>
              <w:jc w:val="left"/>
              <w:rPr/>
            </w:pPr>
            <w:r>
              <w:rPr/>
              <w:t> </w:t>
            </w:r>
          </w:p>
        </w:tc>
        <w:tc>
          <w:tcPr>
            <w:tcW w:w="870" w:type="dxa"/>
            <w:tcBorders>
              <w:bottom w:val="single" w:sz="12"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3465" w:name="TAB11796"/>
            <w:bookmarkEnd w:id="3465"/>
            <w:r>
              <w:rPr>
                <w:rFonts w:ascii="times new roman" w:hAnsi="times new roman"/>
                <w:sz w:val="20"/>
              </w:rPr>
              <w:t>3,302,456</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3466" w:name="TAB11797"/>
            <w:bookmarkEnd w:id="3466"/>
            <w:r>
              <w:rPr>
                <w:rFonts w:ascii="times new roman" w:hAnsi="times new roman"/>
                <w:sz w:val="20"/>
              </w:rPr>
              <w:t>2,633,693</w:t>
            </w:r>
          </w:p>
        </w:tc>
        <w:tc>
          <w:tcPr>
            <w:tcW w:w="109"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2,807,167</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772" w:type="dxa"/>
            <w:tcBorders/>
            <w:shd w:fill="FFFFFF" w:val="clear"/>
            <w:tcMar>
              <w:bottom w:w="0" w:type="dxa"/>
            </w:tcMar>
            <w:vAlign w:val="bottom"/>
          </w:tcPr>
          <w:p>
            <w:pPr>
              <w:pStyle w:val="TableContents"/>
              <w:spacing w:before="0" w:after="283"/>
              <w:rPr/>
            </w:pPr>
            <w:r>
              <w:rPr/>
              <w:t xml:space="preserve">  </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70"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Finance income</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70"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16,047</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33,400</w:t>
            </w:r>
          </w:p>
        </w:tc>
        <w:tc>
          <w:tcPr>
            <w:tcW w:w="109"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44,340</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72"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Finance expense</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single" w:sz="12" w:space="0" w:color="000000"/>
            </w:tcBorders>
            <w:shd w:fill="CCEEFF" w:val="clear"/>
            <w:vAlign w:val="bottom"/>
          </w:tcPr>
          <w:p>
            <w:pPr>
              <w:pStyle w:val="TableContents"/>
              <w:spacing w:before="0" w:after="283"/>
              <w:jc w:val="left"/>
              <w:rPr/>
            </w:pPr>
            <w:r>
              <w:rPr/>
              <w:t> </w:t>
            </w:r>
          </w:p>
        </w:tc>
        <w:tc>
          <w:tcPr>
            <w:tcW w:w="870" w:type="dxa"/>
            <w:tcBorders>
              <w:bottom w:val="single" w:sz="12"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7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7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7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772" w:type="dxa"/>
            <w:tcBorders>
              <w:bottom w:val="single" w:sz="12" w:space="0" w:color="000000"/>
            </w:tcBorders>
            <w:shd w:fill="FFFFFF" w:val="clear"/>
            <w:vAlign w:val="bottom"/>
          </w:tcPr>
          <w:p>
            <w:pPr>
              <w:pStyle w:val="TableContents"/>
              <w:spacing w:before="0" w:after="0"/>
              <w:ind w:left="0" w:right="0" w:hanging="0"/>
              <w:jc w:val="left"/>
              <w:rPr/>
            </w:pPr>
            <w:r>
              <w:rPr/>
              <w:t>       </w:t>
            </w:r>
            <w:r>
              <w:rPr>
                <w:rFonts w:ascii="times new roman" w:hAnsi="times new roman"/>
                <w:b/>
                <w:sz w:val="20"/>
              </w:rPr>
              <w:t>Net finance income(expense)</w:t>
            </w:r>
          </w:p>
        </w:tc>
        <w:tc>
          <w:tcPr>
            <w:tcW w:w="103" w:type="dxa"/>
            <w:tcBorders/>
            <w:shd w:fill="FFFFFF" w:val="clear"/>
            <w:tcMar>
              <w:bottom w:w="0" w:type="dxa"/>
            </w:tcMar>
            <w:vAlign w:val="bottom"/>
          </w:tcPr>
          <w:p>
            <w:pPr>
              <w:pStyle w:val="TableContents"/>
              <w:spacing w:before="0" w:after="283"/>
              <w:rPr/>
            </w:pPr>
            <w:r>
              <w:rPr/>
              <w:t> </w:t>
            </w:r>
          </w:p>
        </w:tc>
        <w:tc>
          <w:tcPr>
            <w:tcW w:w="111" w:type="dxa"/>
            <w:tcBorders>
              <w:bottom w:val="single" w:sz="12" w:space="0" w:color="000000"/>
            </w:tcBorders>
            <w:shd w:fill="FFFFFF" w:val="clear"/>
            <w:vAlign w:val="bottom"/>
          </w:tcPr>
          <w:p>
            <w:pPr>
              <w:pStyle w:val="TableContents"/>
              <w:spacing w:before="0" w:after="283"/>
              <w:jc w:val="left"/>
              <w:rPr/>
            </w:pPr>
            <w:r>
              <w:rPr/>
              <w:t> </w:t>
            </w:r>
          </w:p>
        </w:tc>
        <w:tc>
          <w:tcPr>
            <w:tcW w:w="870" w:type="dxa"/>
            <w:tcBorders>
              <w:bottom w:val="single" w:sz="12" w:space="0" w:color="000000"/>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9</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single" w:sz="12"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3467" w:name="TAB11798"/>
            <w:bookmarkEnd w:id="3467"/>
            <w:r>
              <w:rPr>
                <w:rFonts w:ascii="times new roman" w:hAnsi="times new roman"/>
                <w:sz w:val="20"/>
              </w:rPr>
              <w:t>16,047</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single" w:sz="12"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3468" w:name="TAB11799"/>
            <w:bookmarkEnd w:id="3468"/>
            <w:r>
              <w:rPr>
                <w:rFonts w:ascii="times new roman" w:hAnsi="times new roman"/>
                <w:sz w:val="20"/>
              </w:rPr>
              <w:t>33,400</w:t>
            </w:r>
          </w:p>
        </w:tc>
        <w:tc>
          <w:tcPr>
            <w:tcW w:w="109"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44,340</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72"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Profit for the period</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double" w:sz="8" w:space="0" w:color="000000"/>
            </w:tcBorders>
            <w:shd w:fill="CCEEFF" w:val="clear"/>
            <w:vAlign w:val="bottom"/>
          </w:tcPr>
          <w:p>
            <w:pPr>
              <w:pStyle w:val="TableContents"/>
              <w:spacing w:before="0" w:after="283"/>
              <w:jc w:val="left"/>
              <w:rPr/>
            </w:pPr>
            <w:r>
              <w:rPr/>
              <w:t> </w:t>
            </w:r>
          </w:p>
        </w:tc>
        <w:tc>
          <w:tcPr>
            <w:tcW w:w="870" w:type="dxa"/>
            <w:tcBorders>
              <w:bottom w:val="double" w:sz="8"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3469" w:name="TAB11800"/>
            <w:bookmarkEnd w:id="3469"/>
            <w:r>
              <w:rPr>
                <w:rFonts w:ascii="times new roman" w:hAnsi="times new roman"/>
                <w:sz w:val="20"/>
              </w:rPr>
              <w:t>3,318,503</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3470" w:name="TAB11801"/>
            <w:bookmarkEnd w:id="3470"/>
            <w:r>
              <w:rPr>
                <w:rFonts w:ascii="times new roman" w:hAnsi="times new roman"/>
                <w:sz w:val="20"/>
              </w:rPr>
              <w:t>2,667,093</w:t>
            </w:r>
          </w:p>
        </w:tc>
        <w:tc>
          <w:tcPr>
            <w:tcW w:w="109"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2,851,507</w:t>
            </w:r>
          </w:p>
        </w:tc>
        <w:tc>
          <w:tcPr>
            <w:tcW w:w="124"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71" w:name="PGBRK125"/>
      <w:bookmarkStart w:id="3472" w:name="PGBRK125"/>
      <w:bookmarkEnd w:id="3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73" w:name="FTR125"/>
      <w:bookmarkStart w:id="3474" w:name="FTR125"/>
      <w:bookmarkEnd w:id="3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75" w:name="GLFTR125"/>
      <w:bookmarkEnd w:id="34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476" w:name="PN125"/>
      <w:bookmarkEnd w:id="3476"/>
      <w:r>
        <w:rPr>
          <w:rFonts w:eastAsia="Times New Roman" w:cs="Times New Roman" w:ascii="Times New Roman" w:hAnsi="Times New Roman"/>
          <w:sz w:val="20"/>
          <w:szCs w:val="20"/>
        </w:rPr>
        <w:t>-125-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477" w:name="HDR125"/>
      <w:bookmarkStart w:id="3478" w:name="HDR125"/>
      <w:bookmarkEnd w:id="3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479" w:name="GLHDR125"/>
        <w:bookmarkEnd w:id="34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rPr>
      </w:pPr>
      <w:r>
        <w:rPr>
          <w:rFonts w:ascii="Times New Roman" w:hAnsi="Times New Roman"/>
          <w:b/>
          <w:sz w:val="20"/>
        </w:rPr>
        <w:t>Mt. Gravatt Cinemas Joint Venture</w:t>
      </w:r>
    </w:p>
    <w:p>
      <w:pPr>
        <w:pStyle w:val="TextBody"/>
        <w:spacing w:before="0" w:after="0"/>
        <w:ind w:left="0" w:right="0" w:hanging="0"/>
        <w:jc w:val="left"/>
        <w:rPr>
          <w:rFonts w:ascii="Times New Roman" w:hAnsi="Times New Roman"/>
          <w:b/>
          <w:sz w:val="20"/>
        </w:rPr>
      </w:pPr>
      <w:r>
        <w:rPr>
          <w:rFonts w:ascii="Times New Roman" w:hAnsi="Times New Roman"/>
          <w:b/>
          <w:sz w:val="20"/>
        </w:rPr>
        <w:t>Statement of Changes in Members’ Equity</w:t>
      </w:r>
    </w:p>
    <w:p>
      <w:pPr>
        <w:pStyle w:val="TextBody"/>
        <w:spacing w:before="0" w:after="0"/>
        <w:ind w:left="0" w:right="0" w:hanging="0"/>
        <w:jc w:val="left"/>
        <w:rPr>
          <w:rFonts w:ascii="Times New Roman" w:hAnsi="Times New Roman"/>
          <w:b/>
          <w:sz w:val="20"/>
        </w:rPr>
      </w:pPr>
      <w:r>
        <w:rPr>
          <w:rFonts w:ascii="Times New Roman" w:hAnsi="Times New Roman"/>
          <w:b/>
          <w:sz w:val="20"/>
        </w:rPr>
        <w:t>For the Year Ended December 31, 2009</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643"/>
        <w:gridCol w:w="102"/>
        <w:gridCol w:w="125"/>
        <w:gridCol w:w="1051"/>
        <w:gridCol w:w="109"/>
        <w:gridCol w:w="102"/>
        <w:gridCol w:w="125"/>
        <w:gridCol w:w="1051"/>
        <w:gridCol w:w="109"/>
        <w:gridCol w:w="102"/>
        <w:gridCol w:w="125"/>
        <w:gridCol w:w="1051"/>
        <w:gridCol w:w="109"/>
        <w:gridCol w:w="101"/>
        <w:gridCol w:w="125"/>
        <w:gridCol w:w="1051"/>
        <w:gridCol w:w="124"/>
      </w:tblGrid>
      <w:tr>
        <w:trPr/>
        <w:tc>
          <w:tcPr>
            <w:tcW w:w="4643"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2" w:type="dxa"/>
            <w:tcBorders/>
            <w:shd w:fill="auto" w:val="clear"/>
            <w:tcMar>
              <w:bottom w:w="0" w:type="dxa"/>
            </w:tcMar>
            <w:vAlign w:val="bottom"/>
          </w:tcPr>
          <w:p>
            <w:pPr>
              <w:pStyle w:val="TableContents"/>
              <w:spacing w:before="0" w:after="283"/>
              <w:rPr/>
            </w:pPr>
            <w:r>
              <w:rPr/>
              <w:t> </w:t>
            </w:r>
          </w:p>
        </w:tc>
        <w:tc>
          <w:tcPr>
            <w:tcW w:w="117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Reading Exhibition Pty Ltd</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17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Village Roadshow Exhibition Pty Ltd</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17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Birch Carroll &amp; Coyle Limited</w:t>
            </w:r>
          </w:p>
        </w:tc>
        <w:tc>
          <w:tcPr>
            <w:tcW w:w="109"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17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4" w:type="dxa"/>
            <w:tcBorders/>
            <w:shd w:fill="auto" w:val="clear"/>
            <w:tcMar>
              <w:bottom w:w="0" w:type="dxa"/>
            </w:tcMar>
            <w:vAlign w:val="bottom"/>
          </w:tcPr>
          <w:p>
            <w:pPr>
              <w:pStyle w:val="TableContents"/>
              <w:spacing w:before="0" w:after="283"/>
              <w:jc w:val="left"/>
              <w:rPr/>
            </w:pPr>
            <w:r>
              <w:rPr/>
              <w:t> </w:t>
            </w:r>
          </w:p>
        </w:tc>
      </w:tr>
      <w:tr>
        <w:trPr/>
        <w:tc>
          <w:tcPr>
            <w:tcW w:w="4643"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Members’ Equity – January 1, 2007</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1,620,559</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1,620,559</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1,620,560</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4,861,678</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43"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4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Member distributions</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(1,050,000</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(1,050,000</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(1,050,000</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(3,150,000</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43"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profit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950,502</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950,502</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950,503</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2,851,507</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43"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Members’ Equity –  December 31, 2007</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1,521,061</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1,521,061</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1,521,063</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4,563,185</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43"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4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Member distributions</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(3,510,000</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4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profit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889,031</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889,031</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889,031</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2,667,093</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43"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Members’ Equity – December 31, 2008 (Unaudited)</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1,240,092</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1,240,092</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1,240,094</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3,720,278</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43"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4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Member distributions</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(1,180,000</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(1,180,000</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(1,180,000</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(3,540,000</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43"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profit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1,106,168</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1,106,168</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1,106,167</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3,318,503</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43"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Members’ Equity – December 31, 2009 (Unaudited)</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1,166,260</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1,166,260</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1,166,261</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3,498,781</w:t>
            </w:r>
          </w:p>
        </w:tc>
        <w:tc>
          <w:tcPr>
            <w:tcW w:w="124"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firstLine="72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80" w:name="PGBRK126"/>
      <w:bookmarkStart w:id="3481" w:name="PGBRK126"/>
      <w:bookmarkEnd w:id="3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82" w:name="FTR126"/>
      <w:bookmarkStart w:id="3483" w:name="FTR126"/>
      <w:bookmarkEnd w:id="3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84" w:name="GLFTR126"/>
      <w:bookmarkEnd w:id="34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485" w:name="PN126"/>
      <w:bookmarkEnd w:id="3485"/>
      <w:r>
        <w:rPr>
          <w:rFonts w:eastAsia="Times New Roman" w:cs="Times New Roman" w:ascii="Times New Roman" w:hAnsi="Times New Roman"/>
          <w:sz w:val="20"/>
          <w:szCs w:val="20"/>
        </w:rPr>
        <w:t>-126-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486" w:name="HDR126"/>
      <w:bookmarkStart w:id="3487" w:name="HDR126"/>
      <w:bookmarkEnd w:id="3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488" w:name="GLHDR126"/>
        <w:bookmarkEnd w:id="348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rPr>
      </w:pPr>
      <w:r>
        <w:rPr>
          <w:rFonts w:ascii="Times New Roman" w:hAnsi="Times New Roman"/>
          <w:b/>
          <w:sz w:val="20"/>
        </w:rPr>
        <w:t>Mt. Gravatt Cinemas Joint Venture</w:t>
      </w:r>
    </w:p>
    <w:p>
      <w:pPr>
        <w:pStyle w:val="TextBody"/>
        <w:spacing w:before="0" w:after="0"/>
        <w:ind w:left="0" w:right="0" w:hanging="0"/>
        <w:jc w:val="left"/>
        <w:rPr>
          <w:rFonts w:ascii="Times New Roman" w:hAnsi="Times New Roman"/>
          <w:b/>
          <w:sz w:val="20"/>
        </w:rPr>
      </w:pPr>
      <w:r>
        <w:rPr>
          <w:rFonts w:ascii="Times New Roman" w:hAnsi="Times New Roman"/>
          <w:b/>
          <w:sz w:val="20"/>
        </w:rPr>
        <w:t>Balance Sheet</w:t>
      </w:r>
    </w:p>
    <w:p>
      <w:pPr>
        <w:pStyle w:val="TextBody"/>
        <w:spacing w:before="0" w:after="0"/>
        <w:ind w:left="0" w:right="0" w:hanging="0"/>
        <w:jc w:val="left"/>
        <w:rPr>
          <w:rFonts w:ascii="Times New Roman" w:hAnsi="Times New Roman"/>
          <w:b/>
          <w:sz w:val="20"/>
        </w:rPr>
      </w:pPr>
      <w:r>
        <w:rPr>
          <w:rFonts w:ascii="Times New Roman" w:hAnsi="Times New Roman"/>
          <w:b/>
          <w:sz w:val="20"/>
        </w:rPr>
        <w:t>As of December 31, 2009</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196"/>
        <w:gridCol w:w="106"/>
        <w:gridCol w:w="113"/>
        <w:gridCol w:w="901"/>
        <w:gridCol w:w="106"/>
        <w:gridCol w:w="106"/>
        <w:gridCol w:w="125"/>
        <w:gridCol w:w="1049"/>
        <w:gridCol w:w="106"/>
        <w:gridCol w:w="106"/>
        <w:gridCol w:w="124"/>
        <w:gridCol w:w="1049"/>
        <w:gridCol w:w="118"/>
      </w:tblGrid>
      <w:tr>
        <w:trPr/>
        <w:tc>
          <w:tcPr>
            <w:tcW w:w="6196"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6" w:type="dxa"/>
            <w:tcBorders/>
            <w:shd w:fill="auto" w:val="clear"/>
            <w:tcMar>
              <w:bottom w:w="0" w:type="dxa"/>
            </w:tcMar>
            <w:vAlign w:val="bottom"/>
          </w:tcPr>
          <w:p>
            <w:pPr>
              <w:pStyle w:val="TableContents"/>
              <w:spacing w:before="0" w:after="283"/>
              <w:rPr/>
            </w:pPr>
            <w:r>
              <w:rPr/>
              <w:t> </w:t>
            </w:r>
          </w:p>
        </w:tc>
        <w:tc>
          <w:tcPr>
            <w:tcW w:w="10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8" w:type="dxa"/>
            <w:tcBorders/>
            <w:shd w:fill="auto" w:val="clear"/>
            <w:tcMar>
              <w:bottom w:w="0" w:type="dxa"/>
            </w:tcMar>
            <w:vAlign w:val="bottom"/>
          </w:tcPr>
          <w:p>
            <w:pPr>
              <w:pStyle w:val="TableContents"/>
              <w:spacing w:before="0" w:after="283"/>
              <w:jc w:val="left"/>
              <w:rPr/>
            </w:pPr>
            <w:r>
              <w:rPr/>
              <w:t> </w:t>
            </w:r>
          </w:p>
        </w:tc>
      </w:tr>
      <w:tr>
        <w:trPr/>
        <w:tc>
          <w:tcPr>
            <w:tcW w:w="6196"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6" w:type="dxa"/>
            <w:tcBorders/>
            <w:shd w:fill="auto" w:val="clear"/>
            <w:tcMar>
              <w:bottom w:w="0" w:type="dxa"/>
            </w:tcMar>
            <w:vAlign w:val="bottom"/>
          </w:tcPr>
          <w:p>
            <w:pPr>
              <w:pStyle w:val="TableContents"/>
              <w:spacing w:before="0" w:after="283"/>
              <w:rPr/>
            </w:pPr>
            <w:r>
              <w:rPr/>
              <w:t> </w:t>
            </w:r>
          </w:p>
        </w:tc>
        <w:tc>
          <w:tcPr>
            <w:tcW w:w="1014"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4"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3" w:type="dxa"/>
            <w:gridSpan w:val="2"/>
            <w:tcBorders/>
            <w:shd w:fill="auto" w:val="clear"/>
            <w:tcMar>
              <w:bottom w:w="0" w:type="dxa"/>
            </w:tcMar>
            <w:vAlign w:val="bottom"/>
          </w:tcPr>
          <w:p>
            <w:pPr>
              <w:pStyle w:val="TableContents"/>
              <w:spacing w:before="0" w:after="283"/>
              <w:rPr/>
            </w:pPr>
            <w:r>
              <w:rPr/>
              <w:t> </w:t>
            </w:r>
          </w:p>
        </w:tc>
        <w:tc>
          <w:tcPr>
            <w:tcW w:w="118" w:type="dxa"/>
            <w:tcBorders/>
            <w:shd w:fill="auto" w:val="clear"/>
            <w:tcMar>
              <w:bottom w:w="0" w:type="dxa"/>
            </w:tcMar>
            <w:vAlign w:val="bottom"/>
          </w:tcPr>
          <w:p>
            <w:pPr>
              <w:pStyle w:val="TableContents"/>
              <w:spacing w:before="0" w:after="283"/>
              <w:jc w:val="left"/>
              <w:rPr/>
            </w:pPr>
            <w:r>
              <w:rPr/>
              <w:t> </w:t>
            </w:r>
          </w:p>
        </w:tc>
      </w:tr>
      <w:tr>
        <w:trPr/>
        <w:tc>
          <w:tcPr>
            <w:tcW w:w="6196"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6" w:type="dxa"/>
            <w:tcBorders/>
            <w:shd w:fill="auto" w:val="clear"/>
            <w:tcMar>
              <w:bottom w:w="0" w:type="dxa"/>
            </w:tcMar>
            <w:vAlign w:val="bottom"/>
          </w:tcPr>
          <w:p>
            <w:pPr>
              <w:pStyle w:val="TableContents"/>
              <w:spacing w:before="0" w:after="283"/>
              <w:rPr/>
            </w:pPr>
            <w:r>
              <w:rPr/>
              <w:t> </w:t>
            </w:r>
          </w:p>
        </w:tc>
        <w:tc>
          <w:tcPr>
            <w:tcW w:w="1014"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4"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3" w:type="dxa"/>
            <w:gridSpan w:val="2"/>
            <w:tcBorders/>
            <w:shd w:fill="auto" w:val="clear"/>
            <w:tcMar>
              <w:bottom w:w="0" w:type="dxa"/>
            </w:tcMar>
            <w:vAlign w:val="bottom"/>
          </w:tcPr>
          <w:p>
            <w:pPr>
              <w:pStyle w:val="TableContents"/>
              <w:spacing w:before="0" w:after="283"/>
              <w:rPr/>
            </w:pPr>
            <w:r>
              <w:rPr/>
              <w:t> </w:t>
            </w:r>
          </w:p>
        </w:tc>
        <w:tc>
          <w:tcPr>
            <w:tcW w:w="118" w:type="dxa"/>
            <w:tcBorders/>
            <w:shd w:fill="auto"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3489" w:name="TAB11802"/>
            <w:bookmarkEnd w:id="3489"/>
            <w:r>
              <w:rPr>
                <w:rFonts w:ascii="times new roman" w:hAnsi="times new roman"/>
                <w:sz w:val="20"/>
              </w:rPr>
              <w:t>779,300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3490" w:name="TAB11803"/>
            <w:bookmarkEnd w:id="3490"/>
            <w:r>
              <w:rPr>
                <w:rFonts w:ascii="times new roman" w:hAnsi="times new roman"/>
                <w:sz w:val="20"/>
              </w:rPr>
              <w:t>935,623</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receivables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97,359</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91,712</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Inventories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138,682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115,630</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FFFFFF" w:val="clear"/>
            <w:vAlign w:val="bottom"/>
          </w:tcPr>
          <w:p>
            <w:pPr>
              <w:pStyle w:val="TableContents"/>
              <w:spacing w:before="0" w:after="0"/>
              <w:ind w:left="720" w:right="0" w:hanging="720"/>
              <w:jc w:val="left"/>
              <w:rPr>
                <w:rFonts w:ascii="times new roman" w:hAnsi="times new roman"/>
                <w:sz w:val="20"/>
              </w:rPr>
            </w:pPr>
            <w:r>
              <w:rPr>
                <w:rFonts w:ascii="times new roman" w:hAnsi="times new roman"/>
                <w:sz w:val="20"/>
              </w:rPr>
              <w:t>Other assets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single" w:sz="12" w:space="0" w:color="000000"/>
            </w:tcBorders>
            <w:shd w:fill="FFFFFF" w:val="clear"/>
            <w:vAlign w:val="bottom"/>
          </w:tcPr>
          <w:p>
            <w:pPr>
              <w:pStyle w:val="TableContents"/>
              <w:spacing w:before="0" w:after="283"/>
              <w:jc w:val="left"/>
              <w:rPr/>
            </w:pPr>
            <w:r>
              <w:rPr/>
              <w:t> </w:t>
            </w:r>
          </w:p>
        </w:tc>
        <w:tc>
          <w:tcPr>
            <w:tcW w:w="901" w:type="dxa"/>
            <w:tcBorders>
              <w:bottom w:val="single" w:sz="12" w:space="0" w:color="000000"/>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109,099</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914</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360" w:right="0" w:hanging="360"/>
              <w:jc w:val="left"/>
              <w:rPr/>
            </w:pPr>
            <w:r>
              <w:rPr/>
              <w:t>       </w:t>
            </w:r>
            <w:r>
              <w:rPr>
                <w:rFonts w:ascii="times new roman" w:hAnsi="times new roman"/>
                <w:b/>
                <w:sz w:val="20"/>
              </w:rPr>
              <w:t>Total current assets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center"/>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3491" w:name="TAB11804"/>
            <w:bookmarkEnd w:id="3491"/>
            <w:r>
              <w:rPr>
                <w:rFonts w:ascii="times new roman" w:hAnsi="times new roman"/>
                <w:sz w:val="20"/>
              </w:rPr>
              <w:t>1,124,440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3492" w:name="TAB11805"/>
            <w:bookmarkEnd w:id="3492"/>
            <w:r>
              <w:rPr>
                <w:rFonts w:ascii="times new roman" w:hAnsi="times new roman"/>
                <w:sz w:val="20"/>
              </w:rPr>
              <w:t>1,143,879</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plant and equipment</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single" w:sz="12" w:space="0" w:color="000000"/>
            </w:tcBorders>
            <w:shd w:fill="FFFFFF" w:val="clear"/>
            <w:vAlign w:val="bottom"/>
          </w:tcPr>
          <w:p>
            <w:pPr>
              <w:pStyle w:val="TableContents"/>
              <w:spacing w:before="0" w:after="283"/>
              <w:jc w:val="left"/>
              <w:rPr/>
            </w:pPr>
            <w:r>
              <w:rPr/>
              <w:t> </w:t>
            </w:r>
          </w:p>
        </w:tc>
        <w:tc>
          <w:tcPr>
            <w:tcW w:w="901" w:type="dxa"/>
            <w:tcBorders>
              <w:bottom w:val="single" w:sz="12" w:space="0" w:color="000000"/>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3,302,760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3,446,083</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CCEEFF" w:val="clear"/>
            <w:vAlign w:val="bottom"/>
          </w:tcPr>
          <w:p>
            <w:pPr>
              <w:pStyle w:val="TableContents"/>
              <w:spacing w:before="0" w:after="0"/>
              <w:ind w:left="180" w:right="0" w:firstLine="180"/>
              <w:jc w:val="left"/>
              <w:rPr>
                <w:rFonts w:ascii="times new roman" w:hAnsi="times new roman"/>
                <w:b/>
                <w:sz w:val="20"/>
              </w:rPr>
            </w:pPr>
            <w:r>
              <w:rPr>
                <w:rFonts w:ascii="times new roman" w:hAnsi="times new roman"/>
                <w:b/>
                <w:sz w:val="20"/>
              </w:rPr>
              <w:t>Total non-current assets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bottom w:val="single" w:sz="12" w:space="0" w:color="000000"/>
            </w:tcBorders>
            <w:shd w:fill="CCEEFF" w:val="clear"/>
            <w:vAlign w:val="bottom"/>
          </w:tcPr>
          <w:p>
            <w:pPr>
              <w:pStyle w:val="TableContents"/>
              <w:spacing w:before="0" w:after="283"/>
              <w:jc w:val="left"/>
              <w:rPr/>
            </w:pPr>
            <w:r>
              <w:rPr/>
              <w:t> </w:t>
            </w:r>
          </w:p>
        </w:tc>
        <w:tc>
          <w:tcPr>
            <w:tcW w:w="901" w:type="dxa"/>
            <w:tcBorders>
              <w:bottom w:val="single" w:sz="12" w:space="0" w:color="000000"/>
            </w:tcBorders>
            <w:shd w:fill="CCEEFF" w:val="cle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single" w:sz="12" w:space="0" w:color="000000"/>
            </w:tcBorders>
            <w:shd w:fill="CCEEFF" w:val="clear"/>
            <w:vAlign w:val="bottom"/>
          </w:tcPr>
          <w:p>
            <w:pPr>
              <w:pStyle w:val="TableContents"/>
              <w:spacing w:before="0" w:after="283"/>
              <w:ind w:left="58" w:right="0" w:hanging="0"/>
              <w:jc w:val="right"/>
              <w:rPr>
                <w:rFonts w:ascii="times new roman" w:hAnsi="times new roman"/>
                <w:sz w:val="20"/>
              </w:rPr>
            </w:pPr>
            <w:bookmarkStart w:id="3493" w:name="TAB11806"/>
            <w:bookmarkEnd w:id="3493"/>
            <w:r>
              <w:rPr>
                <w:rFonts w:ascii="times new roman" w:hAnsi="times new roman"/>
                <w:sz w:val="20"/>
              </w:rPr>
              <w:t>3,302,760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single" w:sz="12" w:space="0" w:color="000000"/>
            </w:tcBorders>
            <w:shd w:fill="CCEEFF" w:val="clear"/>
            <w:vAlign w:val="bottom"/>
          </w:tcPr>
          <w:p>
            <w:pPr>
              <w:pStyle w:val="TableContents"/>
              <w:spacing w:before="0" w:after="283"/>
              <w:ind w:left="58" w:right="0" w:hanging="0"/>
              <w:jc w:val="right"/>
              <w:rPr>
                <w:rFonts w:ascii="times new roman" w:hAnsi="times new roman"/>
                <w:sz w:val="20"/>
              </w:rPr>
            </w:pPr>
            <w:bookmarkStart w:id="3494" w:name="TAB11807"/>
            <w:bookmarkEnd w:id="3494"/>
            <w:r>
              <w:rPr>
                <w:rFonts w:ascii="times new roman" w:hAnsi="times new roman"/>
                <w:sz w:val="20"/>
              </w:rPr>
              <w:t>3,446,083</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double" w:sz="8" w:space="0" w:color="000000"/>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assets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double" w:sz="8" w:space="0" w:color="000000"/>
            </w:tcBorders>
            <w:shd w:fill="FFFFFF" w:val="clear"/>
            <w:vAlign w:val="bottom"/>
          </w:tcPr>
          <w:p>
            <w:pPr>
              <w:pStyle w:val="TableContents"/>
              <w:spacing w:before="0" w:after="283"/>
              <w:jc w:val="left"/>
              <w:rPr/>
            </w:pPr>
            <w:r>
              <w:rPr/>
              <w:t> </w:t>
            </w:r>
          </w:p>
        </w:tc>
        <w:tc>
          <w:tcPr>
            <w:tcW w:w="901" w:type="dxa"/>
            <w:tcBorders>
              <w:bottom w:val="double" w:sz="8"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58" w:right="0" w:hanging="0"/>
              <w:jc w:val="right"/>
              <w:rPr>
                <w:rFonts w:ascii="times new roman" w:hAnsi="times new roman"/>
                <w:sz w:val="20"/>
              </w:rPr>
            </w:pPr>
            <w:bookmarkStart w:id="3495" w:name="TAB11808"/>
            <w:bookmarkEnd w:id="3495"/>
            <w:r>
              <w:rPr>
                <w:rFonts w:ascii="times new roman" w:hAnsi="times new roman"/>
                <w:sz w:val="20"/>
              </w:rPr>
              <w:t>4,427,200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58" w:right="0" w:hanging="0"/>
              <w:jc w:val="right"/>
              <w:rPr>
                <w:rFonts w:ascii="times new roman" w:hAnsi="times new roman"/>
                <w:sz w:val="20"/>
              </w:rPr>
            </w:pPr>
            <w:bookmarkStart w:id="3496" w:name="TAB11809"/>
            <w:bookmarkEnd w:id="3496"/>
            <w:r>
              <w:rPr>
                <w:rFonts w:ascii="times new roman" w:hAnsi="times new roman"/>
                <w:sz w:val="20"/>
              </w:rPr>
              <w:t>4,589,962</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Payables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691,224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680,470</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 benefits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70,218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57,082</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CCEEFF" w:val="clear"/>
            <w:tcMar>
              <w:bottom w:w="0" w:type="dxa"/>
            </w:tcMar>
            <w:vAlign w:val="bottom"/>
          </w:tcPr>
          <w:p>
            <w:pPr>
              <w:pStyle w:val="TableContents"/>
              <w:spacing w:before="0" w:after="283"/>
              <w:rPr/>
            </w:pPr>
            <w:r>
              <w:rPr/>
              <w:t> </w:t>
            </w:r>
          </w:p>
        </w:tc>
        <w:tc>
          <w:tcPr>
            <w:tcW w:w="113" w:type="dxa"/>
            <w:tcBorders>
              <w:bottom w:val="single" w:sz="12" w:space="0" w:color="000000"/>
            </w:tcBorders>
            <w:shd w:fill="CCEEFF" w:val="clear"/>
            <w:vAlign w:val="bottom"/>
          </w:tcPr>
          <w:p>
            <w:pPr>
              <w:pStyle w:val="TableContents"/>
              <w:spacing w:before="0" w:after="283"/>
              <w:jc w:val="left"/>
              <w:rPr/>
            </w:pPr>
            <w:r>
              <w:rPr/>
              <w:t> </w:t>
            </w:r>
          </w:p>
        </w:tc>
        <w:tc>
          <w:tcPr>
            <w:tcW w:w="901" w:type="dxa"/>
            <w:tcBorders>
              <w:bottom w:val="single" w:sz="12" w:space="0" w:color="000000"/>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49"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106,816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CCEEFF" w:val="clear"/>
            <w:vAlign w:val="bottom"/>
          </w:tcPr>
          <w:p>
            <w:pPr>
              <w:pStyle w:val="TableContents"/>
              <w:spacing w:before="0" w:after="283"/>
              <w:jc w:val="left"/>
              <w:rPr/>
            </w:pPr>
            <w:r>
              <w:rPr/>
              <w:t> </w:t>
            </w:r>
          </w:p>
        </w:tc>
        <w:tc>
          <w:tcPr>
            <w:tcW w:w="1049"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63,529</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b/>
                <w:sz w:val="20"/>
              </w:rPr>
              <w:t>Total current liabilities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tcMar>
              <w:bottom w:w="0" w:type="dxa"/>
            </w:tcMar>
            <w:vAlign w:val="bottom"/>
          </w:tcPr>
          <w:p>
            <w:pPr>
              <w:pStyle w:val="TableContents"/>
              <w:spacing w:before="0" w:after="283"/>
              <w:ind w:left="58" w:right="0" w:hanging="0"/>
              <w:jc w:val="right"/>
              <w:rPr>
                <w:rFonts w:ascii="times new roman" w:hAnsi="times new roman"/>
                <w:sz w:val="20"/>
              </w:rPr>
            </w:pPr>
            <w:bookmarkStart w:id="3497" w:name="TAB11810"/>
            <w:bookmarkEnd w:id="3497"/>
            <w:r>
              <w:rPr>
                <w:rFonts w:ascii="times new roman" w:hAnsi="times new roman"/>
                <w:sz w:val="20"/>
              </w:rPr>
              <w:t>868,258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FFFFFF" w:val="clear"/>
            <w:tcMar>
              <w:bottom w:w="0" w:type="dxa"/>
            </w:tcMar>
            <w:vAlign w:val="bottom"/>
          </w:tcPr>
          <w:p>
            <w:pPr>
              <w:pStyle w:val="TableContents"/>
              <w:spacing w:before="0" w:after="283"/>
              <w:ind w:left="58" w:right="0" w:hanging="0"/>
              <w:jc w:val="right"/>
              <w:rPr>
                <w:rFonts w:ascii="times new roman" w:hAnsi="times new roman"/>
                <w:sz w:val="20"/>
              </w:rPr>
            </w:pPr>
            <w:bookmarkStart w:id="3498" w:name="TAB11811"/>
            <w:bookmarkEnd w:id="3498"/>
            <w:r>
              <w:rPr>
                <w:rFonts w:ascii="times new roman" w:hAnsi="times new roman"/>
                <w:sz w:val="20"/>
              </w:rPr>
              <w:t>801,081</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 benefits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bottom w:val="single" w:sz="12" w:space="0" w:color="000000"/>
            </w:tcBorders>
            <w:shd w:fill="CCEEFF" w:val="clear"/>
            <w:vAlign w:val="bottom"/>
          </w:tcPr>
          <w:p>
            <w:pPr>
              <w:pStyle w:val="TableContents"/>
              <w:spacing w:before="0" w:after="283"/>
              <w:jc w:val="left"/>
              <w:rPr/>
            </w:pPr>
            <w:r>
              <w:rPr/>
              <w:t> </w:t>
            </w:r>
          </w:p>
        </w:tc>
        <w:tc>
          <w:tcPr>
            <w:tcW w:w="901" w:type="dxa"/>
            <w:tcBorders>
              <w:bottom w:val="single" w:sz="12" w:space="0" w:color="000000"/>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49"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60,161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CCEEFF" w:val="clear"/>
            <w:vAlign w:val="bottom"/>
          </w:tcPr>
          <w:p>
            <w:pPr>
              <w:pStyle w:val="TableContents"/>
              <w:spacing w:before="0" w:after="283"/>
              <w:jc w:val="left"/>
              <w:rPr/>
            </w:pPr>
            <w:r>
              <w:rPr/>
              <w:t> </w:t>
            </w:r>
          </w:p>
        </w:tc>
        <w:tc>
          <w:tcPr>
            <w:tcW w:w="1049"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68,603</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FFFFFF" w:val="clear"/>
            <w:vAlign w:val="bottom"/>
          </w:tcPr>
          <w:p>
            <w:pPr>
              <w:pStyle w:val="TableContents"/>
              <w:spacing w:before="0" w:after="0"/>
              <w:ind w:left="0" w:right="0" w:firstLine="360"/>
              <w:jc w:val="left"/>
              <w:rPr>
                <w:rFonts w:ascii="times new roman" w:hAnsi="times new roman"/>
                <w:b/>
                <w:sz w:val="20"/>
              </w:rPr>
            </w:pPr>
            <w:r>
              <w:rPr>
                <w:rFonts w:ascii="times new roman" w:hAnsi="times new roman"/>
                <w:b/>
                <w:sz w:val="20"/>
              </w:rPr>
              <w:t>Total non-current liabilities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single" w:sz="12" w:space="0" w:color="000000"/>
            </w:tcBorders>
            <w:shd w:fill="FFFFFF" w:val="clear"/>
            <w:vAlign w:val="bottom"/>
          </w:tcPr>
          <w:p>
            <w:pPr>
              <w:pStyle w:val="TableContents"/>
              <w:spacing w:before="0" w:after="283"/>
              <w:jc w:val="left"/>
              <w:rPr/>
            </w:pPr>
            <w:r>
              <w:rPr/>
              <w:t> </w:t>
            </w:r>
          </w:p>
        </w:tc>
        <w:tc>
          <w:tcPr>
            <w:tcW w:w="901" w:type="dxa"/>
            <w:tcBorders>
              <w:bottom w:val="single" w:sz="12"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single" w:sz="12"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3499" w:name="TAB11812"/>
            <w:bookmarkEnd w:id="3499"/>
            <w:r>
              <w:rPr>
                <w:rFonts w:ascii="times new roman" w:hAnsi="times new roman"/>
                <w:sz w:val="20"/>
              </w:rPr>
              <w:t>60,161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single" w:sz="12"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3500" w:name="TAB11813"/>
            <w:bookmarkEnd w:id="3500"/>
            <w:r>
              <w:rPr>
                <w:rFonts w:ascii="times new roman" w:hAnsi="times new roman"/>
                <w:sz w:val="20"/>
              </w:rPr>
              <w:t>68,603</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bottom w:val="double" w:sz="8" w:space="0" w:color="000000"/>
            </w:tcBorders>
            <w:shd w:fill="CCEEFF" w:val="clear"/>
            <w:vAlign w:val="bottom"/>
          </w:tcPr>
          <w:p>
            <w:pPr>
              <w:pStyle w:val="TableContents"/>
              <w:spacing w:before="0" w:after="0"/>
              <w:ind w:left="0" w:right="0" w:firstLine="720"/>
              <w:jc w:val="left"/>
              <w:rPr>
                <w:rFonts w:ascii="times new roman" w:hAnsi="times new roman"/>
                <w:b/>
                <w:sz w:val="20"/>
              </w:rPr>
            </w:pPr>
            <w:r>
              <w:rPr>
                <w:rFonts w:ascii="times new roman" w:hAnsi="times new roman"/>
                <w:b/>
                <w:sz w:val="20"/>
              </w:rPr>
              <w:t>Total liabilities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bottom w:val="double" w:sz="8" w:space="0" w:color="000000"/>
            </w:tcBorders>
            <w:shd w:fill="CCEEFF" w:val="clear"/>
            <w:vAlign w:val="bottom"/>
          </w:tcPr>
          <w:p>
            <w:pPr>
              <w:pStyle w:val="TableContents"/>
              <w:spacing w:before="0" w:after="283"/>
              <w:jc w:val="left"/>
              <w:rPr/>
            </w:pPr>
            <w:r>
              <w:rPr/>
              <w:t> </w:t>
            </w:r>
          </w:p>
        </w:tc>
        <w:tc>
          <w:tcPr>
            <w:tcW w:w="901" w:type="dxa"/>
            <w:tcBorders>
              <w:bottom w:val="double" w:sz="8" w:space="0" w:color="000000"/>
            </w:tcBorders>
            <w:shd w:fill="CCEEFF" w:val="cle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3501" w:name="TAB11814"/>
            <w:bookmarkEnd w:id="3501"/>
            <w:r>
              <w:rPr>
                <w:rFonts w:ascii="times new roman" w:hAnsi="times new roman"/>
                <w:sz w:val="20"/>
              </w:rPr>
              <w:t>928,419</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3502" w:name="TAB11815"/>
            <w:bookmarkEnd w:id="3502"/>
            <w:r>
              <w:rPr>
                <w:rFonts w:ascii="times new roman" w:hAnsi="times new roman"/>
                <w:sz w:val="20"/>
              </w:rPr>
              <w:t>869,684</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bottom w:val="double" w:sz="8" w:space="0" w:color="000000"/>
            </w:tcBorders>
            <w:shd w:fill="FFFFFF" w:val="clear"/>
            <w:vAlign w:val="bottom"/>
          </w:tcPr>
          <w:p>
            <w:pPr>
              <w:pStyle w:val="TableContents"/>
              <w:spacing w:before="0" w:after="0"/>
              <w:ind w:left="0" w:right="0" w:firstLine="720"/>
              <w:jc w:val="left"/>
              <w:rPr>
                <w:rFonts w:ascii="times new roman" w:hAnsi="times new roman"/>
                <w:b/>
                <w:sz w:val="20"/>
              </w:rPr>
            </w:pPr>
            <w:r>
              <w:rPr>
                <w:rFonts w:ascii="times new roman" w:hAnsi="times new roman"/>
                <w:b/>
                <w:sz w:val="20"/>
              </w:rPr>
              <w:t>Net assets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double" w:sz="8" w:space="0" w:color="000000"/>
            </w:tcBorders>
            <w:shd w:fill="FFFFFF" w:val="clear"/>
            <w:vAlign w:val="bottom"/>
          </w:tcPr>
          <w:p>
            <w:pPr>
              <w:pStyle w:val="TableContents"/>
              <w:spacing w:before="0" w:after="283"/>
              <w:jc w:val="left"/>
              <w:rPr/>
            </w:pPr>
            <w:r>
              <w:rPr/>
              <w:t> </w:t>
            </w:r>
          </w:p>
        </w:tc>
        <w:tc>
          <w:tcPr>
            <w:tcW w:w="901" w:type="dxa"/>
            <w:tcBorders>
              <w:bottom w:val="double" w:sz="8"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3503" w:name="TAB11816"/>
            <w:bookmarkEnd w:id="3503"/>
            <w:r>
              <w:rPr>
                <w:rFonts w:ascii="times new roman" w:hAnsi="times new roman"/>
                <w:sz w:val="20"/>
              </w:rPr>
              <w:t>3,498,781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3504" w:name="TAB11817"/>
            <w:bookmarkEnd w:id="3504"/>
            <w:r>
              <w:rPr>
                <w:rFonts w:ascii="times new roman" w:hAnsi="times new roman"/>
                <w:sz w:val="20"/>
              </w:rPr>
              <w:t>3,720,278</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Equity</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Contributed equity</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202,593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202,593</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Retained earnings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single" w:sz="12" w:space="0" w:color="000000"/>
            </w:tcBorders>
            <w:shd w:fill="FFFFFF" w:val="clear"/>
            <w:vAlign w:val="bottom"/>
          </w:tcPr>
          <w:p>
            <w:pPr>
              <w:pStyle w:val="TableContents"/>
              <w:spacing w:before="0" w:after="283"/>
              <w:jc w:val="left"/>
              <w:rPr/>
            </w:pPr>
            <w:r>
              <w:rPr/>
              <w:t> </w:t>
            </w:r>
          </w:p>
        </w:tc>
        <w:tc>
          <w:tcPr>
            <w:tcW w:w="901" w:type="dxa"/>
            <w:tcBorders>
              <w:bottom w:val="single" w:sz="12"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3,296,188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3,517,685</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bottom w:val="double" w:sz="8" w:space="0" w:color="000000"/>
            </w:tcBorders>
            <w:shd w:fill="CCEEFF" w:val="clear"/>
            <w:vAlign w:val="bottom"/>
          </w:tcPr>
          <w:p>
            <w:pPr>
              <w:pStyle w:val="TableContents"/>
              <w:spacing w:before="0" w:after="0"/>
              <w:ind w:left="720" w:right="0" w:hanging="0"/>
              <w:jc w:val="left"/>
              <w:rPr>
                <w:rFonts w:ascii="times new roman" w:hAnsi="times new roman"/>
                <w:b/>
                <w:sz w:val="20"/>
              </w:rPr>
            </w:pPr>
            <w:r>
              <w:rPr>
                <w:rFonts w:ascii="times new roman" w:hAnsi="times new roman"/>
                <w:b/>
                <w:sz w:val="20"/>
              </w:rPr>
              <w:t>Total equity</w:t>
            </w:r>
          </w:p>
        </w:tc>
        <w:tc>
          <w:tcPr>
            <w:tcW w:w="106" w:type="dxa"/>
            <w:tcBorders/>
            <w:shd w:fill="CCEEFF" w:val="clear"/>
            <w:tcMar>
              <w:bottom w:w="0" w:type="dxa"/>
            </w:tcMar>
            <w:vAlign w:val="bottom"/>
          </w:tcPr>
          <w:p>
            <w:pPr>
              <w:pStyle w:val="TableContents"/>
              <w:spacing w:before="0" w:after="283"/>
              <w:rPr/>
            </w:pPr>
            <w:r>
              <w:rPr/>
              <w:t> </w:t>
            </w:r>
          </w:p>
        </w:tc>
        <w:tc>
          <w:tcPr>
            <w:tcW w:w="113" w:type="dxa"/>
            <w:tcBorders>
              <w:bottom w:val="double" w:sz="8" w:space="0" w:color="000000"/>
            </w:tcBorders>
            <w:shd w:fill="CCEEFF" w:val="clear"/>
            <w:vAlign w:val="bottom"/>
          </w:tcPr>
          <w:p>
            <w:pPr>
              <w:pStyle w:val="TableContents"/>
              <w:spacing w:before="0" w:after="283"/>
              <w:jc w:val="left"/>
              <w:rPr/>
            </w:pPr>
            <w:r>
              <w:rPr/>
              <w:t> </w:t>
            </w:r>
          </w:p>
        </w:tc>
        <w:tc>
          <w:tcPr>
            <w:tcW w:w="901" w:type="dxa"/>
            <w:tcBorders>
              <w:bottom w:val="double" w:sz="8" w:space="0" w:color="000000"/>
            </w:tcBorders>
            <w:shd w:fill="CCEEFF" w:val="cle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3505" w:name="TAB11818"/>
            <w:bookmarkEnd w:id="3505"/>
            <w:r>
              <w:rPr>
                <w:rFonts w:ascii="times new roman" w:hAnsi="times new roman"/>
                <w:sz w:val="20"/>
              </w:rPr>
              <w:t>3,498,781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3506" w:name="TAB11819"/>
            <w:bookmarkEnd w:id="3506"/>
            <w:r>
              <w:rPr>
                <w:rFonts w:ascii="times new roman" w:hAnsi="times new roman"/>
                <w:sz w:val="20"/>
              </w:rPr>
              <w:t>3,720,278</w:t>
            </w:r>
          </w:p>
        </w:tc>
        <w:tc>
          <w:tcPr>
            <w:tcW w:w="118"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07" w:name="PGBRK127"/>
      <w:bookmarkStart w:id="3508" w:name="PGBRK127"/>
      <w:bookmarkEnd w:id="3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09" w:name="FTR127"/>
      <w:bookmarkStart w:id="3510" w:name="FTR127"/>
      <w:bookmarkEnd w:id="35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11" w:name="GLFTR127"/>
      <w:bookmarkEnd w:id="35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512" w:name="PN127"/>
      <w:bookmarkEnd w:id="3512"/>
      <w:r>
        <w:rPr>
          <w:rFonts w:eastAsia="Times New Roman" w:cs="Times New Roman" w:ascii="Times New Roman" w:hAnsi="Times New Roman"/>
          <w:sz w:val="20"/>
          <w:szCs w:val="20"/>
        </w:rPr>
        <w:t>-127-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513" w:name="HDR127"/>
      <w:bookmarkStart w:id="3514" w:name="HDR127"/>
      <w:bookmarkEnd w:id="35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15" w:name="GLHDR127"/>
        <w:bookmarkEnd w:id="351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rPr>
      </w:pPr>
      <w:r>
        <w:rPr>
          <w:rFonts w:ascii="Times New Roman" w:hAnsi="Times New Roman"/>
          <w:b/>
          <w:sz w:val="20"/>
        </w:rPr>
        <w:t>Mt. Gravatt Cinemas Joint Venture</w:t>
      </w:r>
    </w:p>
    <w:p>
      <w:pPr>
        <w:pStyle w:val="TextBody"/>
        <w:spacing w:before="0" w:after="0"/>
        <w:ind w:left="0" w:right="0" w:hanging="0"/>
        <w:jc w:val="left"/>
        <w:rPr>
          <w:rFonts w:ascii="Times New Roman" w:hAnsi="Times New Roman"/>
          <w:b/>
          <w:sz w:val="20"/>
        </w:rPr>
      </w:pPr>
      <w:r>
        <w:rPr>
          <w:rFonts w:ascii="Times New Roman" w:hAnsi="Times New Roman"/>
          <w:b/>
          <w:sz w:val="20"/>
        </w:rPr>
        <w:t>Statement of Cash Flows</w:t>
      </w:r>
    </w:p>
    <w:p>
      <w:pPr>
        <w:pStyle w:val="TextBody"/>
        <w:spacing w:before="0" w:after="0"/>
        <w:ind w:left="0" w:right="0" w:hanging="0"/>
        <w:jc w:val="left"/>
        <w:rPr>
          <w:rFonts w:ascii="Times New Roman" w:hAnsi="Times New Roman"/>
          <w:b/>
          <w:sz w:val="20"/>
        </w:rPr>
      </w:pPr>
      <w:r>
        <w:rPr>
          <w:rFonts w:ascii="Times New Roman" w:hAnsi="Times New Roman"/>
          <w:b/>
          <w:sz w:val="20"/>
        </w:rPr>
        <w:t>For the Year Ended December 31, 2009</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798"/>
        <w:gridCol w:w="102"/>
        <w:gridCol w:w="110"/>
        <w:gridCol w:w="851"/>
        <w:gridCol w:w="102"/>
        <w:gridCol w:w="102"/>
        <w:gridCol w:w="125"/>
        <w:gridCol w:w="1087"/>
        <w:gridCol w:w="109"/>
        <w:gridCol w:w="102"/>
        <w:gridCol w:w="125"/>
        <w:gridCol w:w="1066"/>
        <w:gridCol w:w="108"/>
        <w:gridCol w:w="102"/>
        <w:gridCol w:w="125"/>
        <w:gridCol w:w="1066"/>
        <w:gridCol w:w="125"/>
      </w:tblGrid>
      <w:tr>
        <w:trPr/>
        <w:tc>
          <w:tcPr>
            <w:tcW w:w="479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2" w:type="dxa"/>
            <w:tcBorders/>
            <w:shd w:fill="auto" w:val="clear"/>
            <w:tcMar>
              <w:bottom w:w="0" w:type="dxa"/>
            </w:tcMar>
            <w:vAlign w:val="bottom"/>
          </w:tcPr>
          <w:p>
            <w:pPr>
              <w:pStyle w:val="TableContents"/>
              <w:spacing w:before="0" w:after="283"/>
              <w:rPr/>
            </w:pPr>
            <w:r>
              <w:rPr/>
              <w:t> </w:t>
            </w:r>
          </w:p>
        </w:tc>
        <w:tc>
          <w:tcPr>
            <w:tcW w:w="96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1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19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8"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19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5" w:type="dxa"/>
            <w:tcBorders/>
            <w:shd w:fill="auto" w:val="clear"/>
            <w:tcMar>
              <w:bottom w:w="0" w:type="dxa"/>
            </w:tcMar>
            <w:vAlign w:val="bottom"/>
          </w:tcPr>
          <w:p>
            <w:pPr>
              <w:pStyle w:val="TableContents"/>
              <w:spacing w:before="0" w:after="283"/>
              <w:jc w:val="left"/>
              <w:rPr/>
            </w:pPr>
            <w:r>
              <w:rPr/>
              <w:t> </w:t>
            </w:r>
          </w:p>
        </w:tc>
      </w:tr>
      <w:tr>
        <w:trPr/>
        <w:tc>
          <w:tcPr>
            <w:tcW w:w="4798"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02" w:type="dxa"/>
            <w:tcBorders/>
            <w:shd w:fill="auto" w:val="clear"/>
            <w:tcMar>
              <w:bottom w:w="0" w:type="dxa"/>
            </w:tcMar>
            <w:vAlign w:val="bottom"/>
          </w:tcPr>
          <w:p>
            <w:pPr>
              <w:pStyle w:val="TableContents"/>
              <w:spacing w:before="0" w:after="283"/>
              <w:rPr/>
            </w:pPr>
            <w:r>
              <w:rPr/>
              <w:t> </w:t>
            </w:r>
          </w:p>
        </w:tc>
        <w:tc>
          <w:tcPr>
            <w:tcW w:w="961" w:type="dxa"/>
            <w:gridSpan w:val="2"/>
            <w:tcBorders/>
            <w:shd w:fill="auto" w:val="clear"/>
            <w:tcMar>
              <w:bottom w:w="0" w:type="dxa"/>
            </w:tcMar>
            <w:vAlign w:val="bottom"/>
          </w:tcPr>
          <w:p>
            <w:pPr>
              <w:pStyle w:val="TableContents"/>
              <w:spacing w:before="0" w:after="283"/>
              <w:rPr/>
            </w:pPr>
            <w:r>
              <w:rPr/>
              <w:t> </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12" w:type="dxa"/>
            <w:gridSpan w:val="2"/>
            <w:tcBorders/>
            <w:shd w:fill="auto" w:val="clear"/>
            <w:tcMar>
              <w:bottom w:w="0" w:type="dxa"/>
            </w:tcMar>
            <w:vAlign w:val="bottom"/>
          </w:tcPr>
          <w:p>
            <w:pPr>
              <w:pStyle w:val="TableContents"/>
              <w:spacing w:before="0" w:after="283"/>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191" w:type="dxa"/>
            <w:gridSpan w:val="2"/>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191" w:type="dxa"/>
            <w:gridSpan w:val="2"/>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r>
      <w:tr>
        <w:trPr/>
        <w:tc>
          <w:tcPr>
            <w:tcW w:w="4798"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Cash receipts from customers</w:t>
            </w:r>
          </w:p>
        </w:tc>
        <w:tc>
          <w:tcPr>
            <w:tcW w:w="102" w:type="dxa"/>
            <w:tcBorders/>
            <w:shd w:fill="CCEEFF" w:val="clear"/>
            <w:tcMar>
              <w:bottom w:w="0" w:type="dxa"/>
            </w:tcMar>
            <w:vAlign w:val="bottom"/>
          </w:tcPr>
          <w:p>
            <w:pPr>
              <w:pStyle w:val="TableContents"/>
              <w:spacing w:before="0" w:after="283"/>
              <w:rPr/>
            </w:pPr>
            <w:r>
              <w:rPr/>
              <w:t> </w:t>
            </w:r>
          </w:p>
        </w:tc>
        <w:tc>
          <w:tcPr>
            <w:tcW w:w="961" w:type="dxa"/>
            <w:gridSpan w:val="2"/>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14,170,302</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12,866,696</w:t>
            </w:r>
          </w:p>
        </w:tc>
        <w:tc>
          <w:tcPr>
            <w:tcW w:w="108"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12,617,843</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798" w:type="dxa"/>
            <w:tcBorders>
              <w:bottom w:val="single" w:sz="12" w:space="0" w:color="000000"/>
            </w:tcBorders>
            <w:shd w:fill="FFFFFF" w:val="clear"/>
            <w:vAlign w:val="bottom"/>
          </w:tcPr>
          <w:p>
            <w:pPr>
              <w:pStyle w:val="TableContents"/>
              <w:spacing w:before="0" w:after="0"/>
              <w:ind w:left="0" w:right="0" w:hanging="0"/>
              <w:jc w:val="left"/>
              <w:rPr/>
            </w:pPr>
            <w:r>
              <w:rPr/>
              <w:t>       </w:t>
            </w:r>
            <w:r>
              <w:rPr>
                <w:rFonts w:ascii="times new roman" w:hAnsi="times new roman"/>
                <w:sz w:val="20"/>
              </w:rPr>
              <w:t>Cash paid to suppliers and employees</w:t>
            </w:r>
          </w:p>
        </w:tc>
        <w:tc>
          <w:tcPr>
            <w:tcW w:w="102" w:type="dxa"/>
            <w:tcBorders/>
            <w:shd w:fill="FFFFFF" w:val="clear"/>
            <w:tcMar>
              <w:bottom w:w="0" w:type="dxa"/>
            </w:tcMar>
            <w:vAlign w:val="bottom"/>
          </w:tcPr>
          <w:p>
            <w:pPr>
              <w:pStyle w:val="TableContents"/>
              <w:spacing w:before="0" w:after="283"/>
              <w:rPr/>
            </w:pPr>
            <w:r>
              <w:rPr/>
              <w:t> </w:t>
            </w:r>
          </w:p>
        </w:tc>
        <w:tc>
          <w:tcPr>
            <w:tcW w:w="961" w:type="dxa"/>
            <w:gridSpan w:val="2"/>
            <w:tcBorders>
              <w:bottom w:val="single" w:sz="12" w:space="0" w:color="000000"/>
            </w:tcBorders>
            <w:shd w:fill="FFFFFF" w:val="cle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8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(10,332,820</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6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(9,697,703</w:t>
            </w:r>
          </w:p>
        </w:tc>
        <w:tc>
          <w:tcPr>
            <w:tcW w:w="10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6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(8,881,633</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8"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Cash generated from operations</w:t>
            </w:r>
          </w:p>
        </w:tc>
        <w:tc>
          <w:tcPr>
            <w:tcW w:w="102" w:type="dxa"/>
            <w:tcBorders/>
            <w:shd w:fill="CCEEFF" w:val="clear"/>
            <w:tcMar>
              <w:bottom w:w="0" w:type="dxa"/>
            </w:tcMar>
            <w:vAlign w:val="bottom"/>
          </w:tcPr>
          <w:p>
            <w:pPr>
              <w:pStyle w:val="TableContents"/>
              <w:spacing w:before="0" w:after="283"/>
              <w:rPr/>
            </w:pPr>
            <w:r>
              <w:rPr/>
              <w:t> </w:t>
            </w:r>
          </w:p>
        </w:tc>
        <w:tc>
          <w:tcPr>
            <w:tcW w:w="961" w:type="dxa"/>
            <w:gridSpan w:val="2"/>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3,837,482</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3,168,993</w:t>
            </w:r>
          </w:p>
        </w:tc>
        <w:tc>
          <w:tcPr>
            <w:tcW w:w="108"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3,736,210</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798"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Interest received</w:t>
            </w:r>
          </w:p>
        </w:tc>
        <w:tc>
          <w:tcPr>
            <w:tcW w:w="102"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85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16,047</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33,400</w:t>
            </w:r>
          </w:p>
        </w:tc>
        <w:tc>
          <w:tcPr>
            <w:tcW w:w="108"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44,340</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798" w:type="dxa"/>
            <w:tcBorders>
              <w:bottom w:val="single" w:sz="12" w:space="0" w:color="000000"/>
            </w:tcBorders>
            <w:shd w:fill="CCEEFF" w:val="clear"/>
            <w:vAlign w:val="bottom"/>
          </w:tcPr>
          <w:p>
            <w:pPr>
              <w:pStyle w:val="TableContents"/>
              <w:spacing w:before="0" w:after="0"/>
              <w:ind w:left="0" w:right="0" w:hanging="0"/>
              <w:jc w:val="left"/>
              <w:rPr/>
            </w:pPr>
            <w:r>
              <w:rPr/>
              <w:t>       </w:t>
            </w:r>
            <w:r>
              <w:rPr>
                <w:rFonts w:ascii="times new roman" w:hAnsi="times new roman"/>
                <w:sz w:val="20"/>
              </w:rPr>
              <w:t>Interest paid</w:t>
            </w:r>
          </w:p>
        </w:tc>
        <w:tc>
          <w:tcPr>
            <w:tcW w:w="102" w:type="dxa"/>
            <w:tcBorders/>
            <w:shd w:fill="CCEEFF" w:val="clear"/>
            <w:tcMar>
              <w:bottom w:w="0" w:type="dxa"/>
            </w:tcMar>
            <w:vAlign w:val="bottom"/>
          </w:tcPr>
          <w:p>
            <w:pPr>
              <w:pStyle w:val="TableContents"/>
              <w:spacing w:before="0" w:after="283"/>
              <w:rPr/>
            </w:pPr>
            <w:r>
              <w:rPr/>
              <w:t> </w:t>
            </w:r>
          </w:p>
        </w:tc>
        <w:tc>
          <w:tcPr>
            <w:tcW w:w="110" w:type="dxa"/>
            <w:tcBorders>
              <w:bottom w:val="single" w:sz="12" w:space="0" w:color="000000"/>
            </w:tcBorders>
            <w:shd w:fill="CCEEFF" w:val="clear"/>
            <w:vAlign w:val="bottom"/>
          </w:tcPr>
          <w:p>
            <w:pPr>
              <w:pStyle w:val="TableContents"/>
              <w:spacing w:before="0" w:after="283"/>
              <w:jc w:val="left"/>
              <w:rPr/>
            </w:pPr>
            <w:r>
              <w:rPr/>
              <w:t> </w:t>
            </w:r>
          </w:p>
        </w:tc>
        <w:tc>
          <w:tcPr>
            <w:tcW w:w="8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8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798"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from operating activities</w:t>
            </w:r>
          </w:p>
        </w:tc>
        <w:tc>
          <w:tcPr>
            <w:tcW w:w="102" w:type="dxa"/>
            <w:tcBorders/>
            <w:shd w:fill="FFFFFF" w:val="clear"/>
            <w:tcMar>
              <w:bottom w:w="0" w:type="dxa"/>
            </w:tcMar>
            <w:vAlign w:val="bottom"/>
          </w:tcPr>
          <w:p>
            <w:pPr>
              <w:pStyle w:val="TableContents"/>
              <w:spacing w:before="0" w:after="283"/>
              <w:rPr/>
            </w:pPr>
            <w:r>
              <w:rPr/>
              <w:t> </w:t>
            </w:r>
          </w:p>
        </w:tc>
        <w:tc>
          <w:tcPr>
            <w:tcW w:w="110" w:type="dxa"/>
            <w:tcBorders>
              <w:bottom w:val="single" w:sz="12" w:space="0" w:color="000000"/>
            </w:tcBorders>
            <w:shd w:fill="FFFFFF" w:val="clear"/>
            <w:vAlign w:val="bottom"/>
          </w:tcPr>
          <w:p>
            <w:pPr>
              <w:pStyle w:val="TableContents"/>
              <w:spacing w:before="0" w:after="283"/>
              <w:jc w:val="left"/>
              <w:rPr/>
            </w:pPr>
            <w:r>
              <w:rPr/>
              <w:t> </w:t>
            </w:r>
          </w:p>
        </w:tc>
        <w:tc>
          <w:tcPr>
            <w:tcW w:w="85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3,853,529</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3,202,393</w:t>
            </w:r>
          </w:p>
        </w:tc>
        <w:tc>
          <w:tcPr>
            <w:tcW w:w="108"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3,780,550</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798"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851"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7"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798"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02"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851"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7"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798" w:type="dxa"/>
            <w:tcBorders>
              <w:bottom w:val="single" w:sz="12" w:space="0" w:color="000000"/>
            </w:tcBorders>
            <w:shd w:fill="CCEEFF" w:val="clear"/>
            <w:vAlign w:val="bottom"/>
          </w:tcPr>
          <w:p>
            <w:pPr>
              <w:pStyle w:val="TableContents"/>
              <w:spacing w:before="0" w:after="0"/>
              <w:ind w:left="0" w:right="0" w:hanging="0"/>
              <w:jc w:val="left"/>
              <w:rPr/>
            </w:pPr>
            <w:r>
              <w:rPr/>
              <w:t>       </w:t>
            </w:r>
            <w:r>
              <w:rPr>
                <w:rFonts w:ascii="times new roman" w:hAnsi="times new roman"/>
                <w:sz w:val="20"/>
              </w:rPr>
              <w:t>Acquisition of property, plant and equipment</w:t>
            </w:r>
          </w:p>
        </w:tc>
        <w:tc>
          <w:tcPr>
            <w:tcW w:w="102" w:type="dxa"/>
            <w:tcBorders/>
            <w:shd w:fill="CCEEFF" w:val="clear"/>
            <w:tcMar>
              <w:bottom w:w="0" w:type="dxa"/>
            </w:tcMar>
            <w:vAlign w:val="bottom"/>
          </w:tcPr>
          <w:p>
            <w:pPr>
              <w:pStyle w:val="TableContents"/>
              <w:spacing w:before="0" w:after="283"/>
              <w:rPr/>
            </w:pPr>
            <w:r>
              <w:rPr/>
              <w:t> </w:t>
            </w:r>
          </w:p>
        </w:tc>
        <w:tc>
          <w:tcPr>
            <w:tcW w:w="110" w:type="dxa"/>
            <w:tcBorders>
              <w:bottom w:val="single" w:sz="12" w:space="0" w:color="000000"/>
            </w:tcBorders>
            <w:shd w:fill="CCEEFF" w:val="clear"/>
            <w:vAlign w:val="bottom"/>
          </w:tcPr>
          <w:p>
            <w:pPr>
              <w:pStyle w:val="TableContents"/>
              <w:spacing w:before="0" w:after="283"/>
              <w:jc w:val="left"/>
              <w:rPr/>
            </w:pPr>
            <w:r>
              <w:rPr/>
              <w:t> </w:t>
            </w:r>
          </w:p>
        </w:tc>
        <w:tc>
          <w:tcPr>
            <w:tcW w:w="85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8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(469,852</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(231,156</w:t>
            </w:r>
          </w:p>
        </w:tc>
        <w:tc>
          <w:tcPr>
            <w:tcW w:w="1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(456,537</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8"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from investing activities</w:t>
            </w:r>
          </w:p>
        </w:tc>
        <w:tc>
          <w:tcPr>
            <w:tcW w:w="102" w:type="dxa"/>
            <w:tcBorders/>
            <w:shd w:fill="FFFFFF" w:val="clear"/>
            <w:tcMar>
              <w:bottom w:w="0" w:type="dxa"/>
            </w:tcMar>
            <w:vAlign w:val="bottom"/>
          </w:tcPr>
          <w:p>
            <w:pPr>
              <w:pStyle w:val="TableContents"/>
              <w:spacing w:before="0" w:after="283"/>
              <w:rPr/>
            </w:pPr>
            <w:r>
              <w:rPr/>
              <w:t> </w:t>
            </w:r>
          </w:p>
        </w:tc>
        <w:tc>
          <w:tcPr>
            <w:tcW w:w="110" w:type="dxa"/>
            <w:tcBorders>
              <w:bottom w:val="single" w:sz="12" w:space="0" w:color="000000"/>
            </w:tcBorders>
            <w:shd w:fill="FFFFFF" w:val="clear"/>
            <w:vAlign w:val="bottom"/>
          </w:tcPr>
          <w:p>
            <w:pPr>
              <w:pStyle w:val="TableContents"/>
              <w:spacing w:before="0" w:after="283"/>
              <w:jc w:val="left"/>
              <w:rPr/>
            </w:pPr>
            <w:r>
              <w:rPr/>
              <w:t> </w:t>
            </w:r>
          </w:p>
        </w:tc>
        <w:tc>
          <w:tcPr>
            <w:tcW w:w="851" w:type="dxa"/>
            <w:tcBorders>
              <w:bottom w:val="single" w:sz="12" w:space="0" w:color="000000"/>
            </w:tcBorders>
            <w:shd w:fill="FFFFFF" w:val="cle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(469,852</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(231,156</w:t>
            </w:r>
          </w:p>
        </w:tc>
        <w:tc>
          <w:tcPr>
            <w:tcW w:w="10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(456,537</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8"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851"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7"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798"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02"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851"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7"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798"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Distributions to Joint Venturers</w:t>
            </w:r>
          </w:p>
        </w:tc>
        <w:tc>
          <w:tcPr>
            <w:tcW w:w="102" w:type="dxa"/>
            <w:tcBorders/>
            <w:shd w:fill="CCEEFF" w:val="clear"/>
            <w:tcMar>
              <w:bottom w:w="0" w:type="dxa"/>
            </w:tcMar>
            <w:vAlign w:val="bottom"/>
          </w:tcPr>
          <w:p>
            <w:pPr>
              <w:pStyle w:val="TableContents"/>
              <w:spacing w:before="0" w:after="283"/>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851" w:type="dxa"/>
            <w:tcBorders/>
            <w:shd w:fill="CCEEFF" w:val="clear"/>
            <w:tcMar>
              <w:bottom w:w="0" w:type="dxa"/>
            </w:tcMar>
            <w:vAlign w:val="bottom"/>
          </w:tcPr>
          <w:p>
            <w:pPr>
              <w:pStyle w:val="TableContents"/>
              <w:spacing w:before="0" w:after="283"/>
              <w:jc w:val="righ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(3,540,000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(3,510,000</w:t>
            </w:r>
          </w:p>
        </w:tc>
        <w:tc>
          <w:tcPr>
            <w:tcW w:w="1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(3,150,000</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8" w:type="dxa"/>
            <w:tcBorders>
              <w:bottom w:val="single" w:sz="12" w:space="0" w:color="000000"/>
            </w:tcBorders>
            <w:shd w:fill="FFFFFF" w:val="clear"/>
            <w:vAlign w:val="bottom"/>
          </w:tcPr>
          <w:p>
            <w:pPr>
              <w:pStyle w:val="TableContents"/>
              <w:spacing w:before="0" w:after="0"/>
              <w:ind w:left="0" w:right="0" w:hanging="0"/>
              <w:jc w:val="left"/>
              <w:rPr/>
            </w:pPr>
            <w:r>
              <w:rPr/>
              <w:t>       </w:t>
            </w:r>
            <w:r>
              <w:rPr>
                <w:rFonts w:ascii="times new roman" w:hAnsi="times new roman"/>
                <w:sz w:val="20"/>
              </w:rPr>
              <w:t>Payment of finance lease liability</w:t>
            </w:r>
          </w:p>
        </w:tc>
        <w:tc>
          <w:tcPr>
            <w:tcW w:w="102" w:type="dxa"/>
            <w:tcBorders/>
            <w:shd w:fill="FFFFFF" w:val="clear"/>
            <w:tcMar>
              <w:bottom w:w="0" w:type="dxa"/>
            </w:tcMar>
            <w:vAlign w:val="bottom"/>
          </w:tcPr>
          <w:p>
            <w:pPr>
              <w:pStyle w:val="TableContents"/>
              <w:spacing w:before="0" w:after="283"/>
              <w:rPr/>
            </w:pPr>
            <w:r>
              <w:rPr/>
              <w:t> </w:t>
            </w:r>
          </w:p>
        </w:tc>
        <w:tc>
          <w:tcPr>
            <w:tcW w:w="110" w:type="dxa"/>
            <w:tcBorders>
              <w:bottom w:val="single" w:sz="12" w:space="0" w:color="000000"/>
            </w:tcBorders>
            <w:shd w:fill="FFFFFF" w:val="clear"/>
            <w:vAlign w:val="bottom"/>
          </w:tcPr>
          <w:p>
            <w:pPr>
              <w:pStyle w:val="TableContents"/>
              <w:spacing w:before="0" w:after="283"/>
              <w:jc w:val="left"/>
              <w:rPr/>
            </w:pPr>
            <w:r>
              <w:rPr/>
              <w:t> </w:t>
            </w:r>
          </w:p>
        </w:tc>
        <w:tc>
          <w:tcPr>
            <w:tcW w:w="851" w:type="dxa"/>
            <w:tcBorders>
              <w:bottom w:val="single" w:sz="12" w:space="0" w:color="000000"/>
            </w:tcBorders>
            <w:shd w:fill="FFFFFF" w:val="cle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8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6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6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798"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from financing activities</w:t>
            </w:r>
          </w:p>
        </w:tc>
        <w:tc>
          <w:tcPr>
            <w:tcW w:w="102" w:type="dxa"/>
            <w:tcBorders/>
            <w:shd w:fill="CCEEFF" w:val="clear"/>
            <w:tcMar>
              <w:bottom w:w="0" w:type="dxa"/>
            </w:tcMar>
            <w:vAlign w:val="bottom"/>
          </w:tcPr>
          <w:p>
            <w:pPr>
              <w:pStyle w:val="TableContents"/>
              <w:spacing w:before="0" w:after="283"/>
              <w:rPr/>
            </w:pPr>
            <w:r>
              <w:rPr/>
              <w:t> </w:t>
            </w:r>
          </w:p>
        </w:tc>
        <w:tc>
          <w:tcPr>
            <w:tcW w:w="110" w:type="dxa"/>
            <w:tcBorders>
              <w:bottom w:val="single" w:sz="12" w:space="0" w:color="000000"/>
            </w:tcBorders>
            <w:shd w:fill="CCEEFF" w:val="clear"/>
            <w:vAlign w:val="bottom"/>
          </w:tcPr>
          <w:p>
            <w:pPr>
              <w:pStyle w:val="TableContents"/>
              <w:spacing w:before="0" w:after="283"/>
              <w:jc w:val="left"/>
              <w:rPr/>
            </w:pPr>
            <w:r>
              <w:rPr/>
              <w:t> </w:t>
            </w:r>
          </w:p>
        </w:tc>
        <w:tc>
          <w:tcPr>
            <w:tcW w:w="851" w:type="dxa"/>
            <w:tcBorders>
              <w:bottom w:val="single" w:sz="12" w:space="0" w:color="000000"/>
            </w:tcBorders>
            <w:shd w:fill="CCEEFF" w:val="clear"/>
            <w:vAlign w:val="bottom"/>
          </w:tcPr>
          <w:p>
            <w:pPr>
              <w:pStyle w:val="TableContents"/>
              <w:spacing w:before="0" w:after="283"/>
              <w:jc w:val="righ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(3,510,000</w:t>
            </w:r>
          </w:p>
        </w:tc>
        <w:tc>
          <w:tcPr>
            <w:tcW w:w="1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(3,150,000</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8"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851"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7"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79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increase (decrease) in cash and cash equivalents</w:t>
            </w:r>
          </w:p>
        </w:tc>
        <w:tc>
          <w:tcPr>
            <w:tcW w:w="102" w:type="dxa"/>
            <w:tcBorders/>
            <w:shd w:fill="FFFFFF" w:val="clear"/>
            <w:tcMar>
              <w:bottom w:w="0" w:type="dxa"/>
            </w:tcMar>
            <w:vAlign w:val="bottom"/>
          </w:tcPr>
          <w:p>
            <w:pPr>
              <w:pStyle w:val="TableContents"/>
              <w:spacing w:before="0" w:after="283"/>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851"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(156,323</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(538,763</w:t>
            </w:r>
          </w:p>
        </w:tc>
        <w:tc>
          <w:tcPr>
            <w:tcW w:w="10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174,013</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798"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January 1</w:t>
            </w:r>
          </w:p>
        </w:tc>
        <w:tc>
          <w:tcPr>
            <w:tcW w:w="102" w:type="dxa"/>
            <w:tcBorders/>
            <w:shd w:fill="CCEEFF" w:val="clear"/>
            <w:tcMar>
              <w:bottom w:w="0" w:type="dxa"/>
            </w:tcMar>
            <w:vAlign w:val="bottom"/>
          </w:tcPr>
          <w:p>
            <w:pPr>
              <w:pStyle w:val="TableContents"/>
              <w:spacing w:before="0" w:after="283"/>
              <w:rPr/>
            </w:pPr>
            <w:r>
              <w:rPr/>
              <w:t> </w:t>
            </w:r>
          </w:p>
        </w:tc>
        <w:tc>
          <w:tcPr>
            <w:tcW w:w="110" w:type="dxa"/>
            <w:tcBorders>
              <w:bottom w:val="single" w:sz="12" w:space="0" w:color="000000"/>
            </w:tcBorders>
            <w:shd w:fill="CCEEFF" w:val="clear"/>
            <w:vAlign w:val="bottom"/>
          </w:tcPr>
          <w:p>
            <w:pPr>
              <w:pStyle w:val="TableContents"/>
              <w:spacing w:before="0" w:after="283"/>
              <w:jc w:val="left"/>
              <w:rPr/>
            </w:pPr>
            <w:r>
              <w:rPr/>
              <w:t> </w:t>
            </w:r>
          </w:p>
        </w:tc>
        <w:tc>
          <w:tcPr>
            <w:tcW w:w="851" w:type="dxa"/>
            <w:tcBorders>
              <w:bottom w:val="single" w:sz="12" w:space="0" w:color="000000"/>
            </w:tcBorders>
            <w:shd w:fill="CCEEFF" w:val="clear"/>
            <w:vAlign w:val="bottom"/>
          </w:tcPr>
          <w:p>
            <w:pPr>
              <w:pStyle w:val="TableContents"/>
              <w:spacing w:before="0" w:after="283"/>
              <w:jc w:val="righ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8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935,623</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1,474,386</w:t>
            </w:r>
          </w:p>
        </w:tc>
        <w:tc>
          <w:tcPr>
            <w:tcW w:w="108"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1,300,373</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798"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at December 31</w:t>
            </w:r>
          </w:p>
        </w:tc>
        <w:tc>
          <w:tcPr>
            <w:tcW w:w="102" w:type="dxa"/>
            <w:tcBorders/>
            <w:shd w:fill="FFFFFF" w:val="clear"/>
            <w:tcMar>
              <w:bottom w:w="0" w:type="dxa"/>
            </w:tcMar>
            <w:vAlign w:val="bottom"/>
          </w:tcPr>
          <w:p>
            <w:pPr>
              <w:pStyle w:val="TableContents"/>
              <w:spacing w:before="0" w:after="283"/>
              <w:rPr/>
            </w:pPr>
            <w:r>
              <w:rPr/>
              <w:t> </w:t>
            </w:r>
          </w:p>
        </w:tc>
        <w:tc>
          <w:tcPr>
            <w:tcW w:w="110" w:type="dxa"/>
            <w:tcBorders>
              <w:bottom w:val="double" w:sz="8" w:space="0" w:color="000000"/>
            </w:tcBorders>
            <w:shd w:fill="FFFFFF" w:val="clear"/>
            <w:vAlign w:val="bottom"/>
          </w:tcPr>
          <w:p>
            <w:pPr>
              <w:pStyle w:val="TableContents"/>
              <w:spacing w:before="0" w:after="283"/>
              <w:jc w:val="left"/>
              <w:rPr/>
            </w:pPr>
            <w:r>
              <w:rPr/>
              <w:t> </w:t>
            </w:r>
          </w:p>
        </w:tc>
        <w:tc>
          <w:tcPr>
            <w:tcW w:w="85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779,300</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935,623</w:t>
            </w:r>
          </w:p>
        </w:tc>
        <w:tc>
          <w:tcPr>
            <w:tcW w:w="108"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1,474,386</w:t>
            </w:r>
          </w:p>
        </w:tc>
        <w:tc>
          <w:tcPr>
            <w:tcW w:w="125"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16" w:name="PGBRK128"/>
      <w:bookmarkStart w:id="3517" w:name="PGBRK128"/>
      <w:bookmarkEnd w:id="3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18" w:name="FTR128"/>
      <w:bookmarkStart w:id="3519" w:name="FTR128"/>
      <w:bookmarkEnd w:id="3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20" w:name="GLFTR128"/>
      <w:bookmarkEnd w:id="35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521" w:name="PN128"/>
      <w:bookmarkEnd w:id="3521"/>
      <w:r>
        <w:rPr>
          <w:rFonts w:eastAsia="Times New Roman" w:cs="Times New Roman" w:ascii="Times New Roman" w:hAnsi="Times New Roman"/>
          <w:sz w:val="20"/>
          <w:szCs w:val="20"/>
        </w:rPr>
        <w:t>-128-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522" w:name="HDR128"/>
      <w:bookmarkStart w:id="3523" w:name="HDR128"/>
      <w:bookmarkEnd w:id="3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24" w:name="GLHDR128"/>
        <w:bookmarkEnd w:id="352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jc w:val="left"/>
        <w:rPr>
          <w:rFonts w:ascii="Times New Roman" w:hAnsi="Times New Roman"/>
          <w:b/>
          <w:sz w:val="20"/>
        </w:rPr>
      </w:pPr>
      <w:r>
        <w:rPr>
          <w:rFonts w:ascii="Times New Roman" w:hAnsi="Times New Roman"/>
          <w:b/>
          <w:sz w:val="20"/>
        </w:rPr>
        <w:t>Mt. Gravatt Cinemas Joint Venture</w:t>
      </w:r>
    </w:p>
    <w:p>
      <w:pPr>
        <w:pStyle w:val="TextBody"/>
        <w:spacing w:before="0" w:after="0"/>
        <w:jc w:val="left"/>
        <w:rPr>
          <w:rFonts w:ascii="Times New Roman" w:hAnsi="Times New Roman"/>
          <w:b/>
          <w:sz w:val="20"/>
        </w:rPr>
      </w:pPr>
      <w:r>
        <w:rPr>
          <w:rFonts w:ascii="Times New Roman" w:hAnsi="Times New Roman"/>
          <w:b/>
          <w:sz w:val="20"/>
        </w:rPr>
        <w:t>Notes to Financial Statements</w:t>
      </w:r>
    </w:p>
    <w:p>
      <w:pPr>
        <w:pStyle w:val="TextBody"/>
        <w:spacing w:before="0" w:after="0"/>
        <w:jc w:val="left"/>
        <w:rPr>
          <w:rFonts w:ascii="Times New Roman" w:hAnsi="Times New Roman"/>
          <w:b/>
          <w:sz w:val="20"/>
        </w:rPr>
      </w:pPr>
      <w:r>
        <w:rPr>
          <w:rFonts w:ascii="Times New Roman" w:hAnsi="Times New Roman"/>
          <w:b/>
          <w:sz w:val="20"/>
        </w:rPr>
        <w:t>December 31, 2009</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           Reporting Entity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Mt. Gravatt Cinemas Joint Venture (the “Joint Venture”) is a legal joint venture between Birch Carroll &amp; Coyle Limited, Village Roadshow Exhibition Pty Ltd and Reading Exhibition Pty Ltd.  The Joint Venture is domiciled and provides services solely in Australia.  The address of the Joint Venture’s registered office is 49 Market Street, Sydney NSW 2000.  The Joint Venture primarily is involved in the exhibition of motion pictures in cinemas.</w:t>
      </w:r>
    </w:p>
    <w:p>
      <w:pPr>
        <w:pStyle w:val="TextBody"/>
        <w:spacing w:before="0" w:after="0"/>
        <w:ind w:left="0" w:right="0" w:hanging="0"/>
        <w:jc w:val="both"/>
        <w:rPr/>
      </w:pPr>
      <w:r>
        <w:rPr/>
        <w:t> </w:t>
      </w:r>
      <w:r>
        <w:rPr>
          <w:rFonts w:ascii="Times New Roman" w:hAnsi="Times New Roman"/>
          <w:sz w:val="20"/>
        </w:rPr>
        <w:br/>
        <w:t> </w:t>
      </w:r>
    </w:p>
    <w:p>
      <w:pPr>
        <w:pStyle w:val="TextBody"/>
        <w:spacing w:before="0" w:after="0"/>
        <w:ind w:left="0" w:right="0" w:firstLine="720"/>
        <w:jc w:val="both"/>
        <w:rPr>
          <w:rFonts w:ascii="Times New Roman" w:hAnsi="Times New Roman"/>
          <w:sz w:val="20"/>
        </w:rPr>
      </w:pPr>
      <w:r>
        <w:rPr>
          <w:rFonts w:ascii="Times New Roman" w:hAnsi="Times New Roman"/>
          <w:sz w:val="20"/>
        </w:rPr>
        <w:t>The joint venture is to continue in existence until the Joint Venture is terminated and associated underlying assets have been sold and the proceeds of sale distributed upon agreement of the members.  All distributions of earnings are required to be agreed upon and distributed evenly to the three Joint Venturers.  The three Joint Venturers will evenly contribute any future required contributions.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local reporting purposes, the Joint Venture has been deemed a non-reporting entity within the framework of Australian Accounting Standards (AASBs).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2.           Basis of Presentation</w:t>
      </w:r>
    </w:p>
    <w:p>
      <w:pPr>
        <w:pStyle w:val="TextBody"/>
        <w:spacing w:before="0" w:after="0"/>
        <w:ind w:left="0" w:right="0" w:hanging="0"/>
        <w:rPr/>
      </w:pPr>
      <w:r>
        <w:rPr/>
      </w:r>
    </w:p>
    <w:p>
      <w:pPr>
        <w:pStyle w:val="TextBody"/>
        <w:spacing w:before="0" w:after="0"/>
        <w:ind w:left="0" w:right="0" w:firstLine="360"/>
        <w:jc w:val="left"/>
        <w:rPr>
          <w:rFonts w:ascii="Times New Roman" w:hAnsi="Times New Roman"/>
          <w:b/>
          <w:sz w:val="20"/>
        </w:rPr>
      </w:pPr>
      <w:r>
        <w:rPr>
          <w:rFonts w:ascii="Times New Roman" w:hAnsi="Times New Roman"/>
          <w:b/>
          <w:sz w:val="20"/>
        </w:rPr>
        <w:t>(a)  Statement of Compliance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These financial statements have been prepared in accordance with the International Financial Reporting Standards (IFRSs) adopted by the International Accounting Standards Board.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financial year end of the Joint Venture is 30 June.  For purposes of the use of these financial statements by one of the Joint Venturers, these financial statements have been prepared on a 12-month period basis ending on 31 December.</w:t>
      </w:r>
    </w:p>
    <w:p>
      <w:pPr>
        <w:pStyle w:val="TextBody"/>
        <w:spacing w:before="0" w:after="0"/>
        <w:ind w:left="0" w:right="0" w:hanging="0"/>
        <w:rPr/>
      </w:pPr>
      <w:r>
        <w:rPr/>
      </w:r>
    </w:p>
    <w:p>
      <w:pPr>
        <w:pStyle w:val="TextBody"/>
        <w:spacing w:before="0" w:after="0"/>
        <w:ind w:left="0" w:right="0" w:firstLine="360"/>
        <w:rPr>
          <w:rFonts w:ascii="Times New Roman" w:hAnsi="Times New Roman"/>
          <w:sz w:val="20"/>
        </w:rPr>
      </w:pPr>
      <w:r>
        <w:rPr>
          <w:rFonts w:ascii="Times New Roman" w:hAnsi="Times New Roman"/>
          <w:b/>
          <w:sz w:val="20"/>
        </w:rPr>
        <w:t>(b)</w:t>
      </w:r>
      <w:bookmarkStart w:id="3525" w:name="TAB219"/>
      <w:bookmarkEnd w:id="3525"/>
      <w:r>
        <w:rPr>
          <w:rFonts w:ascii="Times New Roman" w:hAnsi="Times New Roman"/>
          <w:color w:val="000000"/>
          <w:spacing w:val="180"/>
          <w:sz w:val="20"/>
        </w:rPr>
        <w:t> </w:t>
      </w:r>
      <w:r>
        <w:rPr>
          <w:rFonts w:ascii="Times New Roman" w:hAnsi="Times New Roman"/>
          <w:b/>
          <w:sz w:val="20"/>
        </w:rPr>
        <w:t>Basis of Measurement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financial statements have been prepared on the historical cost basis.  The methods used to measure fair values are discussed further in note 4.</w:t>
      </w:r>
    </w:p>
    <w:p>
      <w:pPr>
        <w:pStyle w:val="TextBody"/>
        <w:spacing w:before="0" w:after="0"/>
        <w:ind w:left="0" w:right="0" w:hanging="0"/>
        <w:rPr/>
      </w:pPr>
      <w:r>
        <w:rPr/>
      </w:r>
    </w:p>
    <w:p>
      <w:pPr>
        <w:pStyle w:val="TextBody"/>
        <w:spacing w:before="0" w:after="0"/>
        <w:ind w:left="0" w:right="0" w:firstLine="360"/>
        <w:rPr>
          <w:rFonts w:ascii="Times New Roman" w:hAnsi="Times New Roman"/>
          <w:sz w:val="20"/>
        </w:rPr>
      </w:pPr>
      <w:r>
        <w:rPr>
          <w:rFonts w:ascii="Times New Roman" w:hAnsi="Times New Roman"/>
          <w:b/>
          <w:sz w:val="20"/>
        </w:rPr>
        <w:t>(c)</w:t>
      </w:r>
      <w:bookmarkStart w:id="3526" w:name="TAB220"/>
      <w:bookmarkEnd w:id="3526"/>
      <w:r>
        <w:rPr>
          <w:rFonts w:ascii="Times New Roman" w:hAnsi="Times New Roman"/>
          <w:color w:val="000000"/>
          <w:spacing w:val="180"/>
          <w:sz w:val="20"/>
        </w:rPr>
        <w:t> </w:t>
      </w:r>
      <w:r>
        <w:rPr>
          <w:rFonts w:ascii="Times New Roman" w:hAnsi="Times New Roman"/>
          <w:b/>
          <w:sz w:val="20"/>
        </w:rPr>
        <w:t>Functional and Presentation Currency</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These financial statements are presented in Australian dollars, which is also the Joint Venture’s functional currency.</w:t>
      </w:r>
    </w:p>
    <w:p>
      <w:pPr>
        <w:pStyle w:val="TextBody"/>
        <w:spacing w:before="0" w:after="0"/>
        <w:ind w:left="0" w:right="0" w:hanging="0"/>
        <w:rPr/>
      </w:pPr>
      <w:r>
        <w:rPr/>
      </w:r>
    </w:p>
    <w:p>
      <w:pPr>
        <w:pStyle w:val="TextBody"/>
        <w:spacing w:before="0" w:after="0"/>
        <w:ind w:left="0" w:right="0" w:firstLine="360"/>
        <w:rPr>
          <w:rFonts w:ascii="Times New Roman" w:hAnsi="Times New Roman"/>
          <w:sz w:val="20"/>
        </w:rPr>
      </w:pPr>
      <w:r>
        <w:rPr>
          <w:rFonts w:ascii="Times New Roman" w:hAnsi="Times New Roman"/>
          <w:b/>
          <w:sz w:val="20"/>
        </w:rPr>
        <w:t>(d)</w:t>
      </w:r>
      <w:bookmarkStart w:id="3527" w:name="TAB221"/>
      <w:bookmarkEnd w:id="3527"/>
      <w:r>
        <w:rPr>
          <w:rFonts w:ascii="Times New Roman" w:hAnsi="Times New Roman"/>
          <w:color w:val="000000"/>
          <w:spacing w:val="180"/>
          <w:sz w:val="20"/>
        </w:rPr>
        <w:t> </w:t>
      </w:r>
      <w:r>
        <w:rPr>
          <w:rFonts w:ascii="Times New Roman" w:hAnsi="Times New Roman"/>
          <w:b/>
          <w:sz w:val="20"/>
        </w:rPr>
        <w:t>Use of Estimates and Judgments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preparation of financial statements requires management to make judgements, estimates and assumptions that affect the application of accounting policies and the reported amounts of assets, liabilities, income and expenses. Actual results may differ from these estimates.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Estimates and underlying assumptions are reviewed on an ongoing basis. Revisions to accounting estimates are recognised in the period in which the estimate is revised and in any future periods affected.</w:t>
      </w:r>
    </w:p>
    <w:p>
      <w:pPr>
        <w:pStyle w:val="TextBody"/>
        <w:spacing w:before="0" w:after="0"/>
        <w:ind w:left="0" w:right="0" w:hanging="0"/>
        <w:rPr/>
      </w:pPr>
      <w:r>
        <w:rPr/>
      </w:r>
    </w:p>
    <w:p>
      <w:pPr>
        <w:pStyle w:val="TextBody"/>
        <w:spacing w:before="0" w:after="0"/>
        <w:ind w:left="709" w:right="0" w:hanging="0"/>
        <w:jc w:val="left"/>
        <w:rPr>
          <w:rFonts w:ascii="Times New Roman" w:hAnsi="Times New Roman"/>
          <w:sz w:val="20"/>
        </w:rPr>
      </w:pPr>
      <w:bookmarkStart w:id="3528" w:name="TAB11820"/>
      <w:bookmarkEnd w:id="3528"/>
      <w:r>
        <w:rPr>
          <w:rFonts w:ascii="Times New Roman" w:hAnsi="Times New Roman"/>
          <w:sz w:val="20"/>
        </w:rPr>
        <w:t>In particular, information about significant areas of estimation uncertainty and critical judgements in applying accounting policies that have the most significant effect on the amount recognised in the financial statements are described in note 17 financial instruments.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29" w:name="PGBRK129"/>
      <w:bookmarkStart w:id="3530" w:name="PGBRK129"/>
      <w:bookmarkEnd w:id="3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31" w:name="FTR129"/>
      <w:bookmarkStart w:id="3532" w:name="FTR129"/>
      <w:bookmarkEnd w:id="35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33" w:name="GLFTR129"/>
      <w:bookmarkEnd w:id="35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534" w:name="PN129"/>
      <w:bookmarkEnd w:id="3534"/>
      <w:r>
        <w:rPr>
          <w:rFonts w:eastAsia="Times New Roman" w:cs="Times New Roman" w:ascii="Times New Roman" w:hAnsi="Times New Roman"/>
          <w:sz w:val="20"/>
          <w:szCs w:val="20"/>
        </w:rPr>
        <w:t>-129-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535" w:name="HDR129"/>
      <w:bookmarkStart w:id="3536" w:name="HDR129"/>
      <w:bookmarkEnd w:id="35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37" w:name="GLHDR129"/>
        <w:bookmarkEnd w:id="353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1134" w:hanging="0"/>
        <w:jc w:val="left"/>
        <w:rPr>
          <w:rFonts w:ascii="Times New Roman" w:hAnsi="Times New Roman"/>
          <w:b/>
          <w:sz w:val="20"/>
        </w:rPr>
      </w:pPr>
      <w:r>
        <w:rPr>
          <w:rFonts w:ascii="Times New Roman" w:hAnsi="Times New Roman"/>
          <w:b/>
          <w:sz w:val="20"/>
        </w:rPr>
        <w:t>3.           Significant Accounting Policies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accounting policies set out below have been applied consistently to all periods presented in these financial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Joint Venture has not elected to early adopt any accounting standards and amendments.  See note 3(n).</w:t>
      </w:r>
    </w:p>
    <w:p>
      <w:pPr>
        <w:pStyle w:val="TextBody"/>
        <w:spacing w:before="0" w:after="0"/>
        <w:ind w:left="0" w:right="0" w:hanging="0"/>
        <w:rPr/>
      </w:pPr>
      <w:r>
        <w:rPr/>
      </w:r>
    </w:p>
    <w:p>
      <w:pPr>
        <w:pStyle w:val="TextBody"/>
        <w:spacing w:before="0" w:after="0"/>
        <w:ind w:left="0" w:right="0" w:firstLine="360"/>
        <w:jc w:val="left"/>
        <w:rPr/>
      </w:pPr>
      <w:r>
        <w:rPr/>
        <w:t> </w:t>
      </w:r>
      <w:r>
        <w:rPr>
          <w:rFonts w:ascii="Times New Roman" w:hAnsi="Times New Roman"/>
          <w:b/>
          <w:sz w:val="20"/>
        </w:rPr>
        <w:t>(a)  Financial Instruments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Non-derivative financial instruments comprise trade receivables, cash and cash equivalents, and trade payables.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Non-derivative financial instruments are recognised initially at fair value plus, for instruments not at fair value through profit or loss, any directly attributable transaction costs. Subsequent to initial recognition non-derivative financial instruments are measured as described below.</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 financial instrument is recognised if the Joint Venture becomes a party to the contractual provisions of the instrument. Financial assets are derecognised if the Joint Venture’s contractual rights to the cash flows from the financial assets expire or if the Joint Venture transfers the financial asset to another party without retaining control or substantially all risks and rewards of the asset. Regular way purchases and sales of financial assets are accounted for at trade date, i.e., the date that the Joint Venture commits itself to purchase or sell the asset. Financial liabilities are derecognised if the Joint Venture’s obligations specified in the contract expire, are discharged or cancelled.</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Cash and cash equivalents comprise cash balances and call deposits. Bank overdrafts that are repayable on demand and form an integral part of the Joint Venture’s cash management are included as a component of cash and cash equivalents for the purpose of the statement of cash flows.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Accounting for finance income and expense is discussed in note 3(k).</w:t>
      </w:r>
    </w:p>
    <w:p>
      <w:pPr>
        <w:pStyle w:val="TextBody"/>
        <w:spacing w:before="0" w:after="0"/>
        <w:ind w:left="0" w:right="0" w:hanging="0"/>
        <w:rPr/>
      </w:pPr>
      <w:r>
        <w:rPr/>
      </w:r>
    </w:p>
    <w:p>
      <w:pPr>
        <w:pStyle w:val="TextBody"/>
        <w:spacing w:before="0" w:after="0"/>
        <w:ind w:left="0" w:right="0" w:firstLine="360"/>
        <w:jc w:val="left"/>
        <w:rPr/>
      </w:pPr>
      <w:r>
        <w:rPr/>
        <w:t> </w:t>
      </w:r>
      <w:r>
        <w:rPr>
          <w:rFonts w:ascii="Times New Roman" w:hAnsi="Times New Roman"/>
          <w:b/>
          <w:sz w:val="20"/>
        </w:rPr>
        <w:t>(b)  Property, Plant and Equipment</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r>
        <w:rPr>
          <w:rFonts w:ascii="Times New Roman" w:hAnsi="Times New Roman"/>
          <w:b/>
          <w:sz w:val="20"/>
        </w:rPr>
        <w:t>(i)  Recognition and Measurement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Items of property, plant and equipment are measured at cost less accumulated depreciation. The cost of property, plant and equipment at 1 July 2004, the date of transition to IFRS, was determined by reference to its fair value at that date.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Cost includes expenditures that are directly attributable to the acquisition of the asset.  The cost of self-constructed assets includes the cost of materials and direct labour, any other costs directly attributable to bringing the asset to a working condition for its intended use.  Costs also may include purchases of property, plant and equipment.  Purchased software that is integral to the functionality of the related equipment is capitalised as part of that equipment. Borrowing costs related to the acquisition or construction of qualifying assets are recognised in profit or loss as incurred.</w:t>
      </w:r>
    </w:p>
    <w:p>
      <w:pPr>
        <w:pStyle w:val="TextBody"/>
        <w:spacing w:before="0" w:after="0"/>
        <w:ind w:left="0" w:right="0" w:hanging="0"/>
        <w:rPr/>
      </w:pPr>
      <w:r>
        <w:rPr/>
      </w:r>
    </w:p>
    <w:p>
      <w:pPr>
        <w:pStyle w:val="TextBody"/>
        <w:spacing w:before="0" w:after="0"/>
        <w:ind w:left="0" w:right="1134" w:firstLine="720"/>
        <w:jc w:val="left"/>
        <w:rPr>
          <w:rFonts w:ascii="Times New Roman" w:hAnsi="Times New Roman"/>
          <w:sz w:val="20"/>
        </w:rPr>
      </w:pPr>
      <w:r>
        <w:rPr>
          <w:rFonts w:ascii="Times New Roman" w:hAnsi="Times New Roman"/>
          <w:sz w:val="20"/>
        </w:rPr>
        <w:t>When parts of an item of property, plant and equipment have different useful lives, they are accounted for as separate items (major components) of property, plant and equipment.</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r>
        <w:rPr>
          <w:rFonts w:ascii="Times New Roman" w:hAnsi="Times New Roman"/>
          <w:b/>
          <w:sz w:val="20"/>
        </w:rPr>
        <w:t>(ii)  Subsequent Costs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cost of replacing part of an item of property, plant and equipment is recognised in the carrying amount of the item if it is probable that the future economic benefits embodied within the part will flow to the Joint Venture and its cost can be measured reliably. The carrying amount of the replaced part is derecognised.  The costs of the day-to-day servicing of property, plant and equipment are recognised in profit or loss as incurred.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38" w:name="PGBRK130"/>
      <w:bookmarkStart w:id="3539" w:name="PGBRK130"/>
      <w:bookmarkEnd w:id="3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0" w:name="FTR130"/>
      <w:bookmarkStart w:id="3541" w:name="FTR130"/>
      <w:bookmarkEnd w:id="3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42" w:name="GLFTR130"/>
      <w:bookmarkEnd w:id="35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543" w:name="PN130"/>
      <w:bookmarkEnd w:id="3543"/>
      <w:r>
        <w:rPr>
          <w:rFonts w:eastAsia="Times New Roman" w:cs="Times New Roman" w:ascii="Times New Roman" w:hAnsi="Times New Roman"/>
          <w:sz w:val="20"/>
          <w:szCs w:val="20"/>
        </w:rPr>
        <w:t>-130-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544" w:name="HDR130"/>
      <w:bookmarkStart w:id="3545" w:name="HDR130"/>
      <w:bookmarkEnd w:id="35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46" w:name="GLHDR130"/>
        <w:bookmarkEnd w:id="354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720" w:right="0" w:hanging="0"/>
        <w:jc w:val="left"/>
        <w:rPr>
          <w:rFonts w:ascii="Times New Roman" w:hAnsi="Times New Roman"/>
          <w:b/>
          <w:sz w:val="20"/>
        </w:rPr>
      </w:pPr>
      <w:r>
        <w:rPr>
          <w:rFonts w:ascii="Times New Roman" w:hAnsi="Times New Roman"/>
          <w:b/>
          <w:sz w:val="20"/>
        </w:rPr>
        <w:t>(iii)  Depreciation</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Depreciation is recognised in profit or loss on a straight-line basis over the estimated useful lives of each part of an item of property, plant and equipment. Leased assets are depreciated over the shorter of the lease term and their useful lives. Land is not depreciated.</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estimated useful lives for the current and comparative periods are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780"/>
        <w:gridCol w:w="6425"/>
      </w:tblGrid>
      <w:tr>
        <w:trPr/>
        <w:tc>
          <w:tcPr>
            <w:tcW w:w="3780"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Leasehold improvements</w:t>
            </w:r>
          </w:p>
        </w:tc>
        <w:tc>
          <w:tcPr>
            <w:tcW w:w="642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Shorter of estimated useful life and term of lease</w:t>
            </w:r>
          </w:p>
        </w:tc>
      </w:tr>
      <w:tr>
        <w:trPr/>
        <w:tc>
          <w:tcPr>
            <w:tcW w:w="3780"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Plant and equipment</w:t>
            </w:r>
          </w:p>
        </w:tc>
        <w:tc>
          <w:tcPr>
            <w:tcW w:w="6425"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5.0% to 33.3%</w:t>
            </w:r>
          </w:p>
        </w:tc>
      </w:tr>
      <w:tr>
        <w:trPr/>
        <w:tc>
          <w:tcPr>
            <w:tcW w:w="3780"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Leased plant and equipment</w:t>
            </w:r>
          </w:p>
        </w:tc>
        <w:tc>
          <w:tcPr>
            <w:tcW w:w="642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5.0% to 20.0%</w:t>
            </w:r>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Depreciation methods, useful lives and residual values are reassessed at the reporting date.</w:t>
      </w:r>
    </w:p>
    <w:p>
      <w:pPr>
        <w:pStyle w:val="TextBody"/>
        <w:spacing w:before="0" w:after="0"/>
        <w:ind w:left="0" w:right="0" w:hanging="0"/>
        <w:rPr/>
      </w:pPr>
      <w:r>
        <w:rPr/>
      </w:r>
    </w:p>
    <w:p>
      <w:pPr>
        <w:pStyle w:val="TextBody"/>
        <w:spacing w:before="0" w:after="0"/>
        <w:ind w:left="0" w:right="0" w:firstLine="360"/>
        <w:jc w:val="left"/>
        <w:rPr>
          <w:rFonts w:ascii="Times New Roman" w:hAnsi="Times New Roman"/>
          <w:b/>
          <w:sz w:val="20"/>
        </w:rPr>
      </w:pPr>
      <w:r>
        <w:rPr>
          <w:rFonts w:ascii="Times New Roman" w:hAnsi="Times New Roman"/>
          <w:b/>
          <w:sz w:val="20"/>
        </w:rPr>
        <w:t>(c)  Leased Assets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Leases in which the Joint Venture assumes substantially all the risks and rewards of ownership are classified as finance leases. Upon initial recognition the leased asset is measured at an amount equal to the lower of its fair value and the present value of the minimum lease payments. Subsequent to initial recognition, the asset is accounted for in accordance with the accounting policy applicable to that asset.  The Joint Venture’s one finance lease expired in June of 2006.</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Other leases are operating leases and are not recognised on the Joint Venture’s balance sheet.</w:t>
      </w:r>
    </w:p>
    <w:p>
      <w:pPr>
        <w:pStyle w:val="TextBody"/>
        <w:spacing w:before="0" w:after="0"/>
        <w:ind w:left="0" w:right="0" w:hanging="0"/>
        <w:rPr/>
      </w:pPr>
      <w:r>
        <w:rPr/>
      </w:r>
    </w:p>
    <w:p>
      <w:pPr>
        <w:pStyle w:val="TextBody"/>
        <w:spacing w:before="0" w:after="0"/>
        <w:ind w:left="0" w:right="0" w:firstLine="360"/>
        <w:jc w:val="left"/>
        <w:rPr>
          <w:rFonts w:ascii="Times New Roman" w:hAnsi="Times New Roman"/>
          <w:b/>
          <w:sz w:val="20"/>
        </w:rPr>
      </w:pPr>
      <w:r>
        <w:rPr>
          <w:rFonts w:ascii="Times New Roman" w:hAnsi="Times New Roman"/>
          <w:b/>
          <w:sz w:val="20"/>
        </w:rPr>
        <w:t>(d)  Inventories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Inventories are measured at the lower of cost and net realisable value. The cost of inventories is based on the first-in first-out principle, and includes expenditure incurred in acquiring the inventories, and other costs incurred in bringing them to their existing location and condition.</w:t>
      </w:r>
    </w:p>
    <w:p>
      <w:pPr>
        <w:pStyle w:val="TextBody"/>
        <w:spacing w:before="0" w:after="0"/>
        <w:ind w:left="0" w:right="0" w:hanging="0"/>
        <w:rPr/>
      </w:pPr>
      <w:r>
        <w:rPr/>
      </w:r>
    </w:p>
    <w:p>
      <w:pPr>
        <w:pStyle w:val="TextBody"/>
        <w:spacing w:before="0" w:after="0"/>
        <w:ind w:left="0" w:right="0" w:firstLine="360"/>
        <w:jc w:val="left"/>
        <w:rPr>
          <w:rFonts w:ascii="Times New Roman" w:hAnsi="Times New Roman"/>
          <w:b/>
          <w:sz w:val="20"/>
        </w:rPr>
      </w:pPr>
      <w:r>
        <w:rPr>
          <w:rFonts w:ascii="Times New Roman" w:hAnsi="Times New Roman"/>
          <w:b/>
          <w:sz w:val="20"/>
        </w:rPr>
        <w:t>(e)  Impairment</w:t>
      </w:r>
    </w:p>
    <w:p>
      <w:pPr>
        <w:pStyle w:val="TextBody"/>
        <w:spacing w:before="0" w:after="0"/>
        <w:ind w:left="0" w:right="0" w:hanging="0"/>
        <w:rPr/>
      </w:pPr>
      <w:r>
        <w:rPr/>
      </w:r>
    </w:p>
    <w:p>
      <w:pPr>
        <w:pStyle w:val="TextBody"/>
        <w:spacing w:before="0" w:after="0"/>
        <w:ind w:left="0" w:right="0" w:firstLine="720"/>
        <w:jc w:val="left"/>
        <w:rPr>
          <w:rFonts w:ascii="Times New Roman" w:hAnsi="Times New Roman"/>
          <w:b/>
          <w:sz w:val="20"/>
        </w:rPr>
      </w:pPr>
      <w:r>
        <w:rPr>
          <w:rFonts w:ascii="Times New Roman" w:hAnsi="Times New Roman"/>
          <w:b/>
          <w:sz w:val="20"/>
        </w:rPr>
        <w:t>(i)  Financial Assets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 financial asset is assessed at each reporting date to determine whether there is any objective evidence that it is impaired.  A financial asset is considered to be impaired if objective evidence indicates that one or more events have had a negative effect on the estimated future cash flows of that asset.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An impairment loss in respect of a financial asset measured at amortised cost is calculated as the difference between its carrying amount, and the present value of the estimated future cash flows discounted at the original effective interest rate. An impairment loss in respect of an available-for-sale financial asset is calculated by reference to its fair value.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All impairment losses are recognised in profit or loss.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An impairment loss is reversed if the reversal can be related objectively to an event occurring after the impairment loss was recognised. For financial assets measured at amortised cost, the reversal is recognised in profit or loss.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47" w:name="PGBRK131"/>
      <w:bookmarkStart w:id="3548" w:name="PGBRK131"/>
      <w:bookmarkEnd w:id="3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9" w:name="FTR131"/>
      <w:bookmarkStart w:id="3550" w:name="FTR131"/>
      <w:bookmarkEnd w:id="35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51" w:name="GLFTR131"/>
      <w:bookmarkEnd w:id="35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552" w:name="PN131"/>
      <w:bookmarkEnd w:id="3552"/>
      <w:r>
        <w:rPr>
          <w:rFonts w:eastAsia="Times New Roman" w:cs="Times New Roman" w:ascii="Times New Roman" w:hAnsi="Times New Roman"/>
          <w:sz w:val="20"/>
          <w:szCs w:val="20"/>
        </w:rPr>
        <w:t>-131-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553" w:name="HDR131"/>
      <w:bookmarkStart w:id="3554" w:name="HDR131"/>
      <w:bookmarkEnd w:id="35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55" w:name="GLHDR131"/>
        <w:bookmarkEnd w:id="355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720" w:right="0" w:hanging="0"/>
        <w:jc w:val="left"/>
        <w:rPr>
          <w:rFonts w:ascii="Times New Roman" w:hAnsi="Times New Roman"/>
          <w:b/>
          <w:sz w:val="20"/>
        </w:rPr>
      </w:pPr>
      <w:r>
        <w:rPr>
          <w:rFonts w:ascii="Times New Roman" w:hAnsi="Times New Roman"/>
          <w:b/>
          <w:sz w:val="20"/>
        </w:rPr>
        <w:t>(ii)  Non-financial Assets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carrying amounts of the Joint Venture’s non-financial assets, other than inventories, are reviewed at each reporting date to determine whether there is any indication of impairment.  If any such indication exists then the asset’s recoverable amount is estimated.</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556" w:name="TAB11821"/>
      <w:bookmarkEnd w:id="3556"/>
      <w:r>
        <w:rPr>
          <w:rFonts w:ascii="Times New Roman" w:hAnsi="Times New Roman"/>
          <w:sz w:val="20"/>
        </w:rPr>
        <w:t>The recoverable amount of an asset or cash-generating unit is the greater of its value in use and its fair value less costs to sell.  In assessing value in use, the estimated future cash flows are discounted to their present value using a pre-tax discount rate that reflects current market assessments of the time value of money and the risks specific to the asset.</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557" w:name="TAB11822"/>
      <w:bookmarkEnd w:id="3557"/>
      <w:r>
        <w:rPr>
          <w:rFonts w:ascii="Times New Roman" w:hAnsi="Times New Roman"/>
          <w:sz w:val="20"/>
        </w:rPr>
        <w:t>An impairment loss is recognised if the carrying amount of an asset or its cash-generating unit exceeds its recoverable amount.  Impairment losses are recognised in profit or loss.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558" w:name="TAB11823"/>
      <w:bookmarkEnd w:id="3558"/>
      <w:r>
        <w:rPr>
          <w:rFonts w:ascii="Times New Roman" w:hAnsi="Times New Roman"/>
          <w:sz w:val="20"/>
        </w:rPr>
        <w:t>In respect of other assets, impairment losses recognised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if no impairment loss had been recognized.</w:t>
      </w:r>
    </w:p>
    <w:p>
      <w:pPr>
        <w:pStyle w:val="TextBody"/>
        <w:spacing w:before="0" w:after="0"/>
        <w:ind w:left="0" w:right="0" w:hanging="0"/>
        <w:rPr/>
      </w:pPr>
      <w:r>
        <w:rPr/>
      </w:r>
    </w:p>
    <w:p>
      <w:pPr>
        <w:pStyle w:val="TextBody"/>
        <w:spacing w:before="0" w:after="0"/>
        <w:ind w:left="0" w:right="0" w:firstLine="360"/>
        <w:jc w:val="left"/>
        <w:rPr>
          <w:rFonts w:ascii="Times New Roman" w:hAnsi="Times New Roman"/>
          <w:b/>
          <w:sz w:val="20"/>
        </w:rPr>
      </w:pPr>
      <w:r>
        <w:rPr>
          <w:rFonts w:ascii="Times New Roman" w:hAnsi="Times New Roman"/>
          <w:b/>
          <w:sz w:val="20"/>
        </w:rPr>
        <w:t>(f)  Employee Benefits</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r>
        <w:rPr>
          <w:rFonts w:ascii="Times New Roman" w:hAnsi="Times New Roman"/>
          <w:b/>
          <w:sz w:val="20"/>
        </w:rPr>
        <w:t>(i)  Long-Term Employee Benefits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Joint Venture’s net obligation in respect of long-term employee benefits is the amount of future benefit that employees have earned in return for their service in the current and prior periods plus related on-costs.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b/>
          <w:sz w:val="20"/>
        </w:rPr>
      </w:pPr>
      <w:r>
        <w:rPr>
          <w:rFonts w:ascii="Times New Roman" w:hAnsi="Times New Roman"/>
          <w:b/>
          <w:sz w:val="20"/>
        </w:rPr>
        <w:t>(ii)  Termination Benefits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Termination benefits are recognised as an expense when the Joint Venture is demonstrably committed, without realistic possibility of withdrawal, to a formal detailed plan to either terminate employment before the normal retirement date, or to provide termination benefits as a result of an offer made to encourage voluntary redundancy. Termination benefits for voluntary redundancies are recognised if the Joint Venture has made an offer encouraging voluntary redundancy, it is probable that the offer will be accepted, and the number of acceptances can be estimated reliably.</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r>
        <w:rPr>
          <w:rFonts w:ascii="Times New Roman" w:hAnsi="Times New Roman"/>
          <w:b/>
          <w:sz w:val="20"/>
        </w:rPr>
        <w:t>(iii)  Short-Term Benefits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Liabilities for employee benefits for wages, salaries, annual leave and sick leave represent present obligations resulting from employees’ services provided to reporting date and are calculated at undiscounted amounts based on remuneration wage and salary rates that the Joint Venture expects to pay as at reporting date including related on-costs, such as workers compensation insurance and payroll tax.</w:t>
      </w:r>
    </w:p>
    <w:p>
      <w:pPr>
        <w:pStyle w:val="TextBody"/>
        <w:spacing w:before="0" w:after="0"/>
        <w:ind w:left="0" w:right="0" w:hanging="0"/>
        <w:rPr/>
      </w:pPr>
      <w:r>
        <w:rPr/>
      </w:r>
    </w:p>
    <w:p>
      <w:pPr>
        <w:pStyle w:val="TextBody"/>
        <w:spacing w:before="0" w:after="0"/>
        <w:ind w:left="0" w:right="0" w:firstLine="360"/>
        <w:jc w:val="left"/>
        <w:rPr>
          <w:rFonts w:ascii="Times New Roman" w:hAnsi="Times New Roman"/>
          <w:b/>
          <w:sz w:val="20"/>
        </w:rPr>
      </w:pPr>
      <w:r>
        <w:rPr>
          <w:rFonts w:ascii="Times New Roman" w:hAnsi="Times New Roman"/>
          <w:b/>
          <w:sz w:val="20"/>
        </w:rPr>
        <w:t>(g)  Provisions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 provision is recognised if, as a result of a past event, the Joint Venture has a present legal or constructive obligation that can be estimated reliably, and it is probable that an outflow of economic benefits will be required to settle the obligation. Provisions are determined by discounting the expected future cash flows at a pre-tax rate that reflects current market assessments of the time value of money and the risks specific to the liability.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59" w:name="PGBRK132"/>
      <w:bookmarkStart w:id="3560" w:name="PGBRK132"/>
      <w:bookmarkEnd w:id="3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1" w:name="FTR132"/>
      <w:bookmarkStart w:id="3562" w:name="FTR132"/>
      <w:bookmarkEnd w:id="35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63" w:name="GLFTR132"/>
      <w:bookmarkEnd w:id="35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564" w:name="PN132"/>
      <w:bookmarkEnd w:id="3564"/>
      <w:r>
        <w:rPr>
          <w:rFonts w:eastAsia="Times New Roman" w:cs="Times New Roman" w:ascii="Times New Roman" w:hAnsi="Times New Roman"/>
          <w:sz w:val="20"/>
          <w:szCs w:val="20"/>
        </w:rPr>
        <w:t>-132-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565" w:name="HDR132"/>
      <w:bookmarkStart w:id="3566" w:name="HDR132"/>
      <w:bookmarkEnd w:id="3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67" w:name="GLHDR132"/>
        <w:bookmarkEnd w:id="356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firstLine="360"/>
        <w:jc w:val="left"/>
        <w:rPr>
          <w:rFonts w:ascii="Times New Roman" w:hAnsi="Times New Roman"/>
          <w:b/>
          <w:sz w:val="20"/>
        </w:rPr>
      </w:pPr>
      <w:r>
        <w:rPr>
          <w:rFonts w:ascii="Times New Roman" w:hAnsi="Times New Roman"/>
          <w:b/>
          <w:sz w:val="20"/>
        </w:rPr>
        <w:t>(h)  Contributed Equity</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Joint Venture is comprised of three parties who share an equal ownership over the Joint Venture.  The Contributed Equity amount represents the initial investment in the partnership.  Distributions to the partners are made on behalf of the Joint Venture and are recognised through retained earnings.</w:t>
      </w:r>
    </w:p>
    <w:p>
      <w:pPr>
        <w:pStyle w:val="TextBody"/>
        <w:spacing w:before="0" w:after="0"/>
        <w:ind w:left="0" w:right="0" w:hanging="0"/>
        <w:rPr/>
      </w:pPr>
      <w:r>
        <w:rPr/>
      </w:r>
    </w:p>
    <w:p>
      <w:pPr>
        <w:pStyle w:val="TextBody"/>
        <w:spacing w:before="0" w:after="0"/>
        <w:ind w:left="0" w:right="0" w:firstLine="360"/>
        <w:jc w:val="left"/>
        <w:rPr>
          <w:rFonts w:ascii="Times New Roman" w:hAnsi="Times New Roman"/>
          <w:b/>
          <w:sz w:val="20"/>
        </w:rPr>
      </w:pPr>
      <w:r>
        <w:rPr>
          <w:rFonts w:ascii="Times New Roman" w:hAnsi="Times New Roman"/>
          <w:b/>
          <w:sz w:val="20"/>
        </w:rPr>
        <w:t>(i)  Revenue</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r>
        <w:rPr>
          <w:rFonts w:ascii="Times New Roman" w:hAnsi="Times New Roman"/>
          <w:b/>
          <w:sz w:val="20"/>
        </w:rPr>
        <w:t>(i)  Rendering of Service/Sale of Concessions</w:t>
      </w:r>
    </w:p>
    <w:p>
      <w:pPr>
        <w:pStyle w:val="TextBody"/>
        <w:spacing w:before="0" w:after="0"/>
        <w:ind w:left="720" w:right="0" w:hanging="0"/>
        <w:jc w:val="left"/>
        <w:rPr/>
      </w:pPr>
      <w:r>
        <w:rPr/>
        <w:t> </w:t>
      </w:r>
      <w:r>
        <w:rPr>
          <w:rFonts w:ascii="Times New Roman" w:hAnsi="Times New Roman"/>
          <w:sz w:val="20"/>
        </w:rPr>
        <w:br/>
        <w:t> </w:t>
      </w:r>
    </w:p>
    <w:p>
      <w:pPr>
        <w:pStyle w:val="TextBody"/>
        <w:spacing w:before="0" w:after="0"/>
        <w:ind w:left="0" w:right="0" w:firstLine="720"/>
        <w:jc w:val="left"/>
        <w:rPr>
          <w:rFonts w:ascii="Times New Roman" w:hAnsi="Times New Roman"/>
          <w:sz w:val="20"/>
        </w:rPr>
      </w:pPr>
      <w:r>
        <w:rPr>
          <w:rFonts w:ascii="Times New Roman" w:hAnsi="Times New Roman"/>
          <w:sz w:val="20"/>
        </w:rPr>
        <w:t>Revenues are generated principally through admissions and concession sales with proceeds received in cash at the point of sale. Service revenue also includes product advertising and other ancillary revenues which are recognized as income in the period earned. The Joint Venture recognizes payments received attributable to the advertising services provided by the Joint Venture under certain vendor programs as revenue in the period in which services are delivered.</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r>
        <w:rPr>
          <w:rFonts w:ascii="Times New Roman" w:hAnsi="Times New Roman"/>
          <w:b/>
          <w:sz w:val="20"/>
        </w:rPr>
        <w:t>(ii)  Customer Loyalty Programme</w:t>
      </w:r>
    </w:p>
    <w:p>
      <w:pPr>
        <w:pStyle w:val="TextBody"/>
        <w:spacing w:before="0" w:after="0"/>
        <w:ind w:left="720" w:right="0" w:hanging="0"/>
        <w:jc w:val="left"/>
        <w:rPr/>
      </w:pPr>
      <w:r>
        <w:rPr/>
        <w:t> </w:t>
      </w:r>
      <w:r>
        <w:rPr>
          <w:rFonts w:ascii="Times New Roman" w:hAnsi="Times New Roman"/>
          <w:sz w:val="20"/>
        </w:rPr>
        <w:br/>
        <w:t> </w:t>
      </w:r>
    </w:p>
    <w:p>
      <w:pPr>
        <w:pStyle w:val="TextBody"/>
        <w:spacing w:before="0" w:after="0"/>
        <w:ind w:left="0" w:right="0" w:firstLine="720"/>
        <w:jc w:val="left"/>
        <w:rPr>
          <w:rFonts w:ascii="Times New Roman" w:hAnsi="Times New Roman"/>
          <w:sz w:val="20"/>
        </w:rPr>
      </w:pPr>
      <w:r>
        <w:rPr>
          <w:rFonts w:ascii="Times New Roman" w:hAnsi="Times New Roman"/>
          <w:sz w:val="20"/>
        </w:rPr>
        <w:t>The cinema operates a loyalty programme where customers accumulate points for purchases made which entitles them to discounts on future purchases.  The award points are recognised as a separately identifiable component of the initial sale transaction, by allocating the fair value of the consideration received between the award points and the components of the sale such that the award points are recognised at their fair value.  Revenue from the award points is recognised when the points are redeemed.  The amount of the revenue is based on the number of points redeemed relative to the total number expected to be redeemed.</w:t>
      </w:r>
    </w:p>
    <w:p>
      <w:pPr>
        <w:pStyle w:val="TextBody"/>
        <w:spacing w:before="0" w:after="0"/>
        <w:ind w:left="0" w:right="0" w:hanging="0"/>
        <w:rPr/>
      </w:pPr>
      <w:r>
        <w:rPr/>
      </w:r>
    </w:p>
    <w:p>
      <w:pPr>
        <w:pStyle w:val="TextBody"/>
        <w:spacing w:before="0" w:after="0"/>
        <w:ind w:left="0" w:right="0" w:firstLine="360"/>
        <w:rPr>
          <w:rFonts w:ascii="Times New Roman" w:hAnsi="Times New Roman"/>
          <w:sz w:val="20"/>
        </w:rPr>
      </w:pPr>
      <w:r>
        <w:rPr>
          <w:rFonts w:ascii="Times New Roman" w:hAnsi="Times New Roman"/>
          <w:b/>
          <w:sz w:val="20"/>
        </w:rPr>
        <w:t>(j)</w:t>
      </w:r>
      <w:bookmarkStart w:id="3568" w:name="TAB222"/>
      <w:bookmarkEnd w:id="3568"/>
      <w:r>
        <w:rPr>
          <w:rFonts w:ascii="Times New Roman" w:hAnsi="Times New Roman"/>
          <w:color w:val="000000"/>
          <w:spacing w:val="180"/>
          <w:sz w:val="20"/>
        </w:rPr>
        <w:t> </w:t>
      </w:r>
      <w:r>
        <w:rPr>
          <w:rFonts w:ascii="Times New Roman" w:hAnsi="Times New Roman"/>
          <w:b/>
          <w:sz w:val="20"/>
        </w:rPr>
        <w:t>Lease Payments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Payments made under operating leases recognised in profit or loss on a straight-line basis over the term of the lease on a basis that is representative of the pattern of benefit derived from the leased property.</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Minimum lease payments made under finance leases are apportioned between the finance expense and the reduction of the outstanding liability. The finance expense is allocated to each period during the lease term so as to produce a constant periodic rate of interest on the remaining balance of the liability. Contingent lease payments are accounted for by revising the minimum lease payments over the remaining term of the lease when the contingency no longer exists and the lease adjustment is known.  The Joint Venture’s one finance lease expired in June of 2006.</w:t>
      </w:r>
    </w:p>
    <w:p>
      <w:pPr>
        <w:pStyle w:val="TextBody"/>
        <w:spacing w:before="0" w:after="0"/>
        <w:ind w:left="0" w:right="0" w:hanging="0"/>
        <w:rPr/>
      </w:pPr>
      <w:r>
        <w:rPr/>
      </w:r>
    </w:p>
    <w:p>
      <w:pPr>
        <w:pStyle w:val="TextBody"/>
        <w:spacing w:before="0" w:after="0"/>
        <w:ind w:left="0" w:right="0" w:firstLine="360"/>
        <w:rPr>
          <w:rFonts w:ascii="Times New Roman" w:hAnsi="Times New Roman"/>
          <w:sz w:val="20"/>
        </w:rPr>
      </w:pPr>
      <w:r>
        <w:rPr>
          <w:rFonts w:ascii="Times New Roman" w:hAnsi="Times New Roman"/>
          <w:b/>
          <w:sz w:val="20"/>
        </w:rPr>
        <w:t>(k)</w:t>
      </w:r>
      <w:bookmarkStart w:id="3569" w:name="TAB223"/>
      <w:bookmarkEnd w:id="3569"/>
      <w:r>
        <w:rPr>
          <w:rFonts w:ascii="Times New Roman" w:hAnsi="Times New Roman"/>
          <w:color w:val="000000"/>
          <w:spacing w:val="180"/>
          <w:sz w:val="20"/>
        </w:rPr>
        <w:t> </w:t>
      </w:r>
      <w:r>
        <w:rPr>
          <w:rFonts w:ascii="Times New Roman" w:hAnsi="Times New Roman"/>
          <w:b/>
          <w:sz w:val="20"/>
        </w:rPr>
        <w:t>Finance Income and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Finance income comprises interest income on cash held in financial institutions.  Interest income is recognised as it accrues in profit and loss using the effective interest method.</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Finance expenses comprise interest expense on the finance lease.</w:t>
      </w:r>
    </w:p>
    <w:p>
      <w:pPr>
        <w:pStyle w:val="TextBody"/>
        <w:spacing w:before="0" w:after="0"/>
        <w:ind w:left="0" w:right="0" w:hanging="0"/>
        <w:rPr/>
      </w:pPr>
      <w:r>
        <w:rPr/>
      </w:r>
    </w:p>
    <w:p>
      <w:pPr>
        <w:pStyle w:val="TextBody"/>
        <w:spacing w:before="0" w:after="0"/>
        <w:ind w:left="0" w:right="0" w:firstLine="360"/>
        <w:rPr>
          <w:rFonts w:ascii="Times New Roman" w:hAnsi="Times New Roman"/>
          <w:sz w:val="20"/>
        </w:rPr>
      </w:pPr>
      <w:r>
        <w:rPr>
          <w:rFonts w:ascii="Times New Roman" w:hAnsi="Times New Roman"/>
          <w:b/>
          <w:sz w:val="20"/>
        </w:rPr>
        <w:t>(l)</w:t>
      </w:r>
      <w:bookmarkStart w:id="3570" w:name="TAB224"/>
      <w:bookmarkEnd w:id="3570"/>
      <w:r>
        <w:rPr>
          <w:rFonts w:ascii="Times New Roman" w:hAnsi="Times New Roman"/>
          <w:color w:val="000000"/>
          <w:spacing w:val="180"/>
          <w:sz w:val="20"/>
        </w:rPr>
        <w:t> </w:t>
      </w:r>
      <w:r>
        <w:rPr>
          <w:rFonts w:ascii="Times New Roman" w:hAnsi="Times New Roman"/>
          <w:b/>
          <w:sz w:val="20"/>
        </w:rPr>
        <w:t>Taxes</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r>
        <w:rPr>
          <w:rFonts w:ascii="Times New Roman" w:hAnsi="Times New Roman"/>
          <w:b/>
          <w:sz w:val="20"/>
        </w:rPr>
        <w:t>(i)  Goods and Service Tax</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Revenue, expenses and assets are recognised net of the amount of goods and services tax (GST), except where the amount of GST incurred is not recoverable from the taxation authority.  In these circumstances, the GST is recognised as part of the cost of acquisition of the asset or as part of the expense.</w:t>
      </w:r>
    </w:p>
    <w:p>
      <w:pPr>
        <w:pStyle w:val="TextBody"/>
        <w:spacing w:before="0" w:after="0"/>
        <w:ind w:left="0" w:right="0" w:hanging="0"/>
        <w:rPr/>
      </w:pPr>
      <w:r>
        <w:rPr/>
      </w:r>
    </w:p>
    <w:p>
      <w:pPr>
        <w:pStyle w:val="TextBody"/>
        <w:spacing w:before="0" w:after="0"/>
        <w:ind w:left="0" w:right="0" w:firstLine="720"/>
        <w:jc w:val="left"/>
        <w:rPr/>
      </w:pPr>
      <w:r>
        <w:rPr/>
        <w:t> </w:t>
      </w:r>
      <w:r>
        <w:rPr>
          <w:rFonts w:ascii="Times New Roman" w:hAnsi="Times New Roman"/>
          <w:sz w:val="20"/>
        </w:rPr>
        <w:t>Receivables and payables are stated with the amount of GST included.  The net amount of GST recoverable from, or payable to, the ATO is included as a current asset or liability in the balance sheet.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71" w:name="PGBRK133"/>
      <w:bookmarkStart w:id="3572" w:name="PGBRK133"/>
      <w:bookmarkEnd w:id="35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73" w:name="FTR133"/>
      <w:bookmarkStart w:id="3574" w:name="FTR133"/>
      <w:bookmarkEnd w:id="35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75" w:name="GLFTR133"/>
      <w:bookmarkEnd w:id="35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576" w:name="PN133"/>
      <w:bookmarkEnd w:id="3576"/>
      <w:r>
        <w:rPr>
          <w:rFonts w:eastAsia="Times New Roman" w:cs="Times New Roman" w:ascii="Times New Roman" w:hAnsi="Times New Roman"/>
          <w:sz w:val="20"/>
          <w:szCs w:val="20"/>
        </w:rPr>
        <w:t>-133-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577" w:name="HDR133"/>
      <w:bookmarkStart w:id="3578" w:name="HDR133"/>
      <w:bookmarkEnd w:id="3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79" w:name="GLHDR133"/>
        <w:bookmarkEnd w:id="35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t> </w:t>
      </w:r>
      <w:r>
        <w:rPr>
          <w:rFonts w:eastAsia="Times New Roman" w:cs="Times New Roman" w:ascii="Times New Roman" w:hAnsi="Times New Roman"/>
          <w:sz w:val="20"/>
          <w:szCs w:val="20"/>
        </w:rPr>
        <w:t>Cash flows are included in the statement of cash flows on a gross basis.  The GST components of cash flows arising from investing and financing activities which are recoverable from, or payable to, the ATO are classified as operating cash flows.</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r>
        <w:rPr>
          <w:rFonts w:ascii="Times New Roman" w:hAnsi="Times New Roman"/>
          <w:b/>
          <w:sz w:val="20"/>
        </w:rPr>
        <w:t>(ii)  Income Tax</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Under applicable Australian law, the Joint Venture is not subject to tax on earnings generated.  Accordingly the Joint Venture does not recognise any income tax expense, or deferred tax balances.  Earnings of the Joint Venture are taxed on the Joint Venturer level.</w:t>
      </w:r>
    </w:p>
    <w:p>
      <w:pPr>
        <w:pStyle w:val="TextBody"/>
        <w:spacing w:before="0" w:after="0"/>
        <w:ind w:left="0" w:right="0" w:hanging="0"/>
        <w:rPr/>
      </w:pPr>
      <w:r>
        <w:rPr/>
      </w:r>
    </w:p>
    <w:p>
      <w:pPr>
        <w:pStyle w:val="TextBody"/>
        <w:spacing w:before="0" w:after="0"/>
        <w:ind w:left="0" w:right="0" w:firstLine="360"/>
        <w:rPr>
          <w:rFonts w:ascii="Times New Roman" w:hAnsi="Times New Roman"/>
          <w:sz w:val="20"/>
        </w:rPr>
      </w:pPr>
      <w:r>
        <w:rPr>
          <w:rFonts w:ascii="Times New Roman" w:hAnsi="Times New Roman"/>
          <w:b/>
          <w:sz w:val="20"/>
        </w:rPr>
        <w:t>(m)</w:t>
      </w:r>
      <w:bookmarkStart w:id="3580" w:name="TAB225"/>
      <w:bookmarkEnd w:id="3580"/>
      <w:r>
        <w:rPr>
          <w:rFonts w:ascii="Times New Roman" w:hAnsi="Times New Roman"/>
          <w:color w:val="000000"/>
          <w:spacing w:val="180"/>
          <w:sz w:val="20"/>
        </w:rPr>
        <w:t> </w:t>
      </w:r>
      <w:r>
        <w:rPr>
          <w:rFonts w:ascii="Times New Roman" w:hAnsi="Times New Roman"/>
          <w:b/>
          <w:sz w:val="20"/>
        </w:rPr>
        <w:t>Film Expense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Film expense is incurred based on a contracted percentage of box office results for each film.  The managing party negotiates terms with each film distributor on a film-by-film basis.  Percentage terms are based on a sliding scale, with the Joint Venture subject to a higher percentage of box office results at the beginning of the term and declining each subsequent week.  Different films have different rates dependent upon the expected popularity of the film, and forecasted success.</w:t>
      </w:r>
    </w:p>
    <w:p>
      <w:pPr>
        <w:pStyle w:val="TextBody"/>
        <w:spacing w:before="0" w:after="0"/>
        <w:ind w:left="0" w:right="0" w:hanging="0"/>
        <w:rPr/>
      </w:pPr>
      <w:r>
        <w:rPr/>
      </w:r>
    </w:p>
    <w:p>
      <w:pPr>
        <w:pStyle w:val="TextBody"/>
        <w:spacing w:before="0" w:after="0"/>
        <w:ind w:left="0" w:right="0" w:firstLine="360"/>
        <w:rPr>
          <w:rFonts w:ascii="Times New Roman" w:hAnsi="Times New Roman"/>
          <w:sz w:val="20"/>
        </w:rPr>
      </w:pPr>
      <w:r>
        <w:rPr>
          <w:rFonts w:ascii="Times New Roman" w:hAnsi="Times New Roman"/>
          <w:b/>
          <w:sz w:val="20"/>
        </w:rPr>
        <w:t>(n)</w:t>
      </w:r>
      <w:bookmarkStart w:id="3581" w:name="TAB226"/>
      <w:bookmarkEnd w:id="3581"/>
      <w:r>
        <w:rPr>
          <w:rFonts w:ascii="Times New Roman" w:hAnsi="Times New Roman"/>
          <w:color w:val="000000"/>
          <w:spacing w:val="180"/>
          <w:sz w:val="20"/>
        </w:rPr>
        <w:t> </w:t>
      </w:r>
      <w:r>
        <w:rPr>
          <w:rFonts w:ascii="Times New Roman" w:hAnsi="Times New Roman"/>
          <w:b/>
          <w:sz w:val="20"/>
        </w:rPr>
        <w:t>New Standards and Interpretations Not Yet Adopted</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standards, amendments to standards and interpretations have been identified as those which may impact the entity in the period of initial application. They are available for early adoption at 31 December 2008, but have not been applied in preparing this financial report:</w:t>
      </w:r>
    </w:p>
    <w:p>
      <w:pPr>
        <w:pStyle w:val="TextBody"/>
        <w:spacing w:before="0" w:after="0"/>
        <w:ind w:left="0" w:right="0" w:hanging="0"/>
        <w:rPr/>
      </w:pPr>
      <w:r>
        <w:rPr/>
      </w:r>
    </w:p>
    <w:p>
      <w:pPr>
        <w:pStyle w:val="Normal"/>
        <w:spacing w:before="0" w:after="0"/>
        <w:rPr>
          <w:sz w:val="4"/>
          <w:szCs w:val="4"/>
        </w:rPr>
      </w:pPr>
      <w:r>
        <w:rPr>
          <w:sz w:val="4"/>
          <w:szCs w:val="4"/>
        </w:rPr>
      </w:r>
      <w:bookmarkStart w:id="3582" w:name="list235"/>
      <w:bookmarkStart w:id="3583" w:name="list235"/>
      <w:bookmarkEnd w:id="358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Revised AASB 101 Presentation of Financial Statements (September 2007) introduces as a financial statement (formerly “primary” statement) the “statement of comprehensive income”.  The revised standard does not change the recognition, measurement or disclosure of transactions and events that are required by other AASBs.  The revised AASB 101 will become mandatory for the Joint Venture’s 31 December 2009 financial statements.  The Joint Venture has not yet determined the potential effect of the revised standard on the Joint Venture’s disclosures.</w:t>
            </w:r>
          </w:p>
        </w:tc>
      </w:tr>
    </w:tbl>
    <w:p>
      <w:pPr>
        <w:pStyle w:val="TextBody"/>
        <w:spacing w:before="0" w:after="0"/>
        <w:ind w:left="0" w:right="0" w:hanging="0"/>
        <w:rPr/>
      </w:pPr>
      <w:r>
        <w:rPr/>
      </w:r>
    </w:p>
    <w:p>
      <w:pPr>
        <w:pStyle w:val="Normal"/>
        <w:spacing w:before="0" w:after="0"/>
        <w:rPr>
          <w:sz w:val="4"/>
          <w:szCs w:val="4"/>
        </w:rPr>
      </w:pPr>
      <w:r>
        <w:rPr>
          <w:sz w:val="4"/>
          <w:szCs w:val="4"/>
        </w:rPr>
      </w:r>
      <w:bookmarkStart w:id="3584" w:name="list236"/>
      <w:bookmarkStart w:id="3585" w:name="list236"/>
      <w:bookmarkEnd w:id="358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Revised AASB 123 Borrowing Costs removes the option to expense borrowing costs and requires that an entity capitalise borrowing costs directly attributable to the acquisition, construction or production of a qualifying asset as part of the cost of that asset.  The revised AASB 123 will become mandatory for the Joint Venture’s 31 December 2009 financial statements and will constitute a change in accounting policy for the Joint Venture.  In accordance with the transitional provisions the Joint Venture will apply the revised AASB 123 to qualifying assets for which capitalisation of borrowing costs commences on or after the effective date.</w:t>
            </w:r>
          </w:p>
        </w:tc>
      </w:tr>
    </w:tbl>
    <w:p>
      <w:pPr>
        <w:pStyle w:val="TextBody"/>
        <w:spacing w:before="0" w:after="0"/>
        <w:ind w:left="0" w:right="0" w:hanging="0"/>
        <w:rPr/>
      </w:pPr>
      <w:r>
        <w:rPr/>
      </w:r>
    </w:p>
    <w:p>
      <w:pPr>
        <w:pStyle w:val="TextBody"/>
        <w:spacing w:before="0" w:after="0"/>
        <w:ind w:left="0" w:right="1134" w:hanging="0"/>
        <w:jc w:val="left"/>
        <w:rPr>
          <w:rFonts w:ascii="Times New Roman" w:hAnsi="Times New Roman"/>
          <w:b/>
          <w:sz w:val="20"/>
        </w:rPr>
      </w:pPr>
      <w:r>
        <w:rPr>
          <w:rFonts w:ascii="Times New Roman" w:hAnsi="Times New Roman"/>
          <w:b/>
          <w:sz w:val="20"/>
        </w:rPr>
        <w:t>4.           Determination of Fair Values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 number of the Joint Venture’s accounting policies and disclosures require the determination of fair value, for both financial and non-financial assets and liabilities. Fair values have been determined for measurement and disclosure purposes based on the following methods. Where applicable, further information about the assumptions made in determining fair values is disclosed in the notes specific to that asset or liability.</w:t>
      </w:r>
    </w:p>
    <w:p>
      <w:pPr>
        <w:pStyle w:val="TextBody"/>
        <w:spacing w:before="0" w:after="0"/>
        <w:ind w:left="0" w:right="0" w:hanging="0"/>
        <w:rPr/>
      </w:pPr>
      <w:r>
        <w:rPr/>
      </w:r>
    </w:p>
    <w:p>
      <w:pPr>
        <w:pStyle w:val="TextBody"/>
        <w:spacing w:before="0" w:after="0"/>
        <w:ind w:left="0" w:right="0" w:firstLine="360"/>
        <w:jc w:val="left"/>
        <w:rPr>
          <w:rFonts w:ascii="Times New Roman" w:hAnsi="Times New Roman"/>
          <w:b/>
          <w:sz w:val="20"/>
        </w:rPr>
      </w:pPr>
      <w:r>
        <w:rPr>
          <w:rFonts w:ascii="Times New Roman" w:hAnsi="Times New Roman"/>
          <w:b/>
          <w:sz w:val="20"/>
        </w:rPr>
        <w:t>(a)  Trade and Other Receivables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fair value of trade and other receivables is estimated as the present value of future cash flows, discounted at the market rate of interest at the reporting date.</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86" w:name="PGBRK134"/>
      <w:bookmarkStart w:id="3587" w:name="PGBRK134"/>
      <w:bookmarkEnd w:id="35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8" w:name="FTR134"/>
      <w:bookmarkStart w:id="3589" w:name="FTR134"/>
      <w:bookmarkEnd w:id="35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90" w:name="GLFTR134"/>
      <w:bookmarkEnd w:id="35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591" w:name="PN134"/>
      <w:bookmarkEnd w:id="3591"/>
      <w:r>
        <w:rPr>
          <w:rFonts w:eastAsia="Times New Roman" w:cs="Times New Roman" w:ascii="Times New Roman" w:hAnsi="Times New Roman"/>
          <w:sz w:val="20"/>
          <w:szCs w:val="20"/>
        </w:rPr>
        <w:t>-134-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592" w:name="HDR134"/>
      <w:bookmarkStart w:id="3593" w:name="HDR134"/>
      <w:bookmarkEnd w:id="3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94" w:name="GLHDR134"/>
        <w:bookmarkEnd w:id="35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t>(b)  Non-Derivative Financial Liabilities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Fair value, which is determined for disclosure purposes, is calculated based on the present value of future principal and interest cash flows, discounted at the market rate of interest at the reporting date.</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5.           Financial Risk Management</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bookmarkStart w:id="3595" w:name="TAB11824"/>
      <w:bookmarkEnd w:id="3595"/>
      <w:r>
        <w:rPr>
          <w:rFonts w:ascii="Times New Roman" w:hAnsi="Times New Roman"/>
          <w:b/>
          <w:sz w:val="20"/>
        </w:rPr>
        <w:t>Overview</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Joint Venture has exposure to the following risks;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596" w:name="list237"/>
      <w:bookmarkStart w:id="3597" w:name="list237"/>
      <w:bookmarkEnd w:id="3597"/>
    </w:p>
    <w:tbl>
      <w:tblPr>
        <w:tblW w:w="5000" w:type="pct"/>
        <w:jc w:val="left"/>
        <w:tblInd w:w="0" w:type="dxa"/>
        <w:tblCellMar>
          <w:top w:w="0" w:type="dxa"/>
          <w:left w:w="0" w:type="dxa"/>
          <w:bottom w:w="0" w:type="dxa"/>
          <w:right w:w="0" w:type="dxa"/>
        </w:tblCellMar>
      </w:tblPr>
      <w:tblGrid>
        <w:gridCol w:w="3333"/>
        <w:gridCol w:w="6872"/>
      </w:tblGrid>
      <w:tr>
        <w:trPr/>
        <w:tc>
          <w:tcPr>
            <w:tcW w:w="333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68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credit risk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98" w:name="list238"/>
      <w:bookmarkStart w:id="3599" w:name="list238"/>
      <w:bookmarkEnd w:id="3599"/>
    </w:p>
    <w:tbl>
      <w:tblPr>
        <w:tblW w:w="5000" w:type="pct"/>
        <w:jc w:val="left"/>
        <w:tblInd w:w="0" w:type="dxa"/>
        <w:tblCellMar>
          <w:top w:w="0" w:type="dxa"/>
          <w:left w:w="0" w:type="dxa"/>
          <w:bottom w:w="0" w:type="dxa"/>
          <w:right w:w="0" w:type="dxa"/>
        </w:tblCellMar>
      </w:tblPr>
      <w:tblGrid>
        <w:gridCol w:w="2770"/>
        <w:gridCol w:w="7435"/>
      </w:tblGrid>
      <w:tr>
        <w:trPr/>
        <w:tc>
          <w:tcPr>
            <w:tcW w:w="277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74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liquidity risk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00" w:name="list239"/>
      <w:bookmarkStart w:id="3601" w:name="list239"/>
      <w:bookmarkEnd w:id="3601"/>
    </w:p>
    <w:tbl>
      <w:tblPr>
        <w:tblW w:w="5000" w:type="pct"/>
        <w:jc w:val="left"/>
        <w:tblInd w:w="0" w:type="dxa"/>
        <w:tblCellMar>
          <w:top w:w="0" w:type="dxa"/>
          <w:left w:w="0" w:type="dxa"/>
          <w:bottom w:w="0" w:type="dxa"/>
          <w:right w:w="0" w:type="dxa"/>
        </w:tblCellMar>
      </w:tblPr>
      <w:tblGrid>
        <w:gridCol w:w="3110"/>
        <w:gridCol w:w="7095"/>
      </w:tblGrid>
      <w:tr>
        <w:trPr/>
        <w:tc>
          <w:tcPr>
            <w:tcW w:w="31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70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market risk</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This note presents information about the Joint Venture’s exposure to each of the above risks, its objectives, policies and processes for measuring and managing risk, and the management of capital. Further quantitative disclosures are included throughout this financial report.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Joint Venturers’ have overall responsibility for the establishment and oversight of the risk management framework and are also responsible for developing and monitoring risk management policies.</w:t>
      </w:r>
    </w:p>
    <w:p>
      <w:pPr>
        <w:pStyle w:val="TextBody"/>
        <w:spacing w:before="0" w:after="0"/>
        <w:ind w:left="0" w:right="0" w:hanging="0"/>
        <w:rPr/>
      </w:pPr>
      <w:r>
        <w:rPr/>
      </w:r>
    </w:p>
    <w:p>
      <w:pPr>
        <w:pStyle w:val="TextBody"/>
        <w:spacing w:before="0" w:after="0"/>
        <w:ind w:left="0" w:right="935" w:firstLine="720"/>
        <w:jc w:val="left"/>
        <w:rPr>
          <w:rFonts w:ascii="Times New Roman" w:hAnsi="Times New Roman"/>
          <w:sz w:val="20"/>
        </w:rPr>
      </w:pPr>
      <w:r>
        <w:rPr>
          <w:rFonts w:ascii="Times New Roman" w:hAnsi="Times New Roman"/>
          <w:sz w:val="20"/>
        </w:rPr>
        <w:t>Risk management policies are established to identify and analyse the risks faced by the Joint Venture to set appropriate risk limits and controls, and to monitor risks and adherence to limits. Risk management policies and systems are reviewed regularly to reflect changes in market conditions and the Joint Venture’s activities. The Joint Venture, through its training and management standards and procedures, aims to develop a disciplined and constructive control environment in which all employees understand their roles and obligations.</w:t>
      </w:r>
    </w:p>
    <w:p>
      <w:pPr>
        <w:pStyle w:val="TextBody"/>
        <w:spacing w:before="0" w:after="0"/>
        <w:ind w:left="0" w:right="0" w:hanging="0"/>
        <w:rPr/>
      </w:pPr>
      <w:r>
        <w:rPr/>
      </w:r>
    </w:p>
    <w:p>
      <w:pPr>
        <w:pStyle w:val="TextBody"/>
        <w:spacing w:before="0" w:after="0"/>
        <w:ind w:left="0" w:right="935" w:firstLine="720"/>
        <w:jc w:val="left"/>
        <w:rPr>
          <w:rFonts w:ascii="Times New Roman" w:hAnsi="Times New Roman"/>
          <w:sz w:val="20"/>
        </w:rPr>
      </w:pPr>
      <w:r>
        <w:rPr>
          <w:rFonts w:ascii="Times New Roman" w:hAnsi="Times New Roman"/>
          <w:sz w:val="20"/>
        </w:rPr>
        <w:t>The Joint Venturers’ oversee how management monitors compliance with the Joint Venture’s risk management policies and procedures and reviews the adequacy of the risk management framework in relation to the risks faced by the Joint Venture.</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bookmarkStart w:id="3602" w:name="TAB11825"/>
      <w:bookmarkEnd w:id="3602"/>
      <w:r>
        <w:rPr>
          <w:rFonts w:ascii="Times New Roman" w:hAnsi="Times New Roman"/>
          <w:b/>
          <w:sz w:val="20"/>
        </w:rPr>
        <w:t>Credit Risk</w:t>
      </w:r>
    </w:p>
    <w:p>
      <w:pPr>
        <w:pStyle w:val="TextBody"/>
        <w:spacing w:before="0" w:after="0"/>
        <w:ind w:left="0" w:right="0" w:hanging="0"/>
        <w:rPr/>
      </w:pPr>
      <w:r>
        <w:rPr/>
      </w:r>
    </w:p>
    <w:p>
      <w:pPr>
        <w:pStyle w:val="TextBody"/>
        <w:spacing w:before="0" w:after="0"/>
        <w:ind w:left="0" w:right="935" w:firstLine="720"/>
        <w:jc w:val="left"/>
        <w:rPr>
          <w:rFonts w:ascii="Times New Roman" w:hAnsi="Times New Roman"/>
          <w:sz w:val="20"/>
        </w:rPr>
      </w:pPr>
      <w:r>
        <w:rPr>
          <w:rFonts w:ascii="Times New Roman" w:hAnsi="Times New Roman"/>
          <w:sz w:val="20"/>
        </w:rPr>
        <w:t>Credit risk is the risk of financial loss to the Joint Venture if a customer or counterparty to a financial instrument fails to meet its contractual obligations, and arises principally from the Joint Venture’s receivables from customers.</w:t>
      </w:r>
    </w:p>
    <w:p>
      <w:pPr>
        <w:pStyle w:val="TextBody"/>
        <w:spacing w:before="0" w:after="0"/>
        <w:ind w:left="0" w:right="0" w:hanging="0"/>
        <w:rPr/>
      </w:pPr>
      <w:r>
        <w:rPr/>
      </w:r>
    </w:p>
    <w:p>
      <w:pPr>
        <w:pStyle w:val="TextBody"/>
        <w:spacing w:before="0" w:after="0"/>
        <w:ind w:left="0" w:right="935" w:firstLine="720"/>
        <w:jc w:val="left"/>
        <w:rPr>
          <w:rFonts w:ascii="Times New Roman" w:hAnsi="Times New Roman"/>
          <w:sz w:val="20"/>
        </w:rPr>
      </w:pPr>
      <w:r>
        <w:rPr>
          <w:rFonts w:ascii="Times New Roman" w:hAnsi="Times New Roman"/>
          <w:sz w:val="20"/>
        </w:rPr>
        <w:t>The Joint Venture’s exposure to credit risk is influenced mainly by the individual characteristics of each customer. The demographics of the Joint Venture’s customer base, including the default risk of the industry and country, in which customers operate, has less of an influence on credit risk.</w:t>
      </w:r>
    </w:p>
    <w:p>
      <w:pPr>
        <w:pStyle w:val="TextBody"/>
        <w:spacing w:before="0" w:after="0"/>
        <w:ind w:left="0" w:right="0" w:hanging="0"/>
        <w:rPr/>
      </w:pPr>
      <w:r>
        <w:rPr/>
      </w:r>
    </w:p>
    <w:p>
      <w:pPr>
        <w:pStyle w:val="TextBody"/>
        <w:spacing w:before="0" w:after="0"/>
        <w:ind w:left="0" w:right="935" w:firstLine="720"/>
        <w:jc w:val="left"/>
        <w:rPr>
          <w:rFonts w:ascii="Times New Roman" w:hAnsi="Times New Roman"/>
          <w:sz w:val="20"/>
        </w:rPr>
      </w:pPr>
      <w:r>
        <w:rPr>
          <w:rFonts w:ascii="Times New Roman" w:hAnsi="Times New Roman"/>
          <w:sz w:val="20"/>
        </w:rPr>
        <w:t>The Joint Venture operates under the managing Joint Venturer’s credit policy under which each new customer is analysed individually for creditworthiness before the Joint Venture’s standard payment and delivery terms and conditions are offered. The Joint Venture’s review includes external ratings, when available, and in some cases bank references. Purchase limits are established for each customer. These limits are reviewed periodically. Customers that fail to meet the Joint Venture’s benchmark creditworthiness may transact with the Joint Venture only on a prepayment basis.</w:t>
      </w:r>
    </w:p>
    <w:p>
      <w:pPr>
        <w:pStyle w:val="TextBody"/>
        <w:spacing w:before="0" w:after="0"/>
        <w:ind w:left="0" w:right="0" w:hanging="0"/>
        <w:rPr/>
      </w:pPr>
      <w:r>
        <w:rPr/>
      </w:r>
    </w:p>
    <w:p>
      <w:pPr>
        <w:pStyle w:val="TextBody"/>
        <w:spacing w:before="0" w:after="0"/>
        <w:ind w:left="0" w:right="935" w:firstLine="720"/>
        <w:jc w:val="left"/>
        <w:rPr>
          <w:rFonts w:ascii="Times New Roman" w:hAnsi="Times New Roman"/>
          <w:sz w:val="20"/>
        </w:rPr>
      </w:pPr>
      <w:r>
        <w:rPr>
          <w:rFonts w:ascii="Times New Roman" w:hAnsi="Times New Roman"/>
          <w:sz w:val="20"/>
        </w:rPr>
        <w:t>The Joint Venture’s trade receivables relate mainly to the Joint Venture’s screen advertiser and credit card companies.  Customers that are graded as “high risk” are placed on a restricted customer list, and monitored by the Joint Venturers.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03" w:name="PGBRK135"/>
      <w:bookmarkStart w:id="3604" w:name="PGBRK135"/>
      <w:bookmarkEnd w:id="36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05" w:name="FTR135"/>
      <w:bookmarkStart w:id="3606" w:name="FTR135"/>
      <w:bookmarkEnd w:id="3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07" w:name="GLFTR135"/>
      <w:bookmarkEnd w:id="36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608" w:name="PN135"/>
      <w:bookmarkEnd w:id="3608"/>
      <w:r>
        <w:rPr>
          <w:rFonts w:eastAsia="Times New Roman" w:cs="Times New Roman" w:ascii="Times New Roman" w:hAnsi="Times New Roman"/>
          <w:sz w:val="20"/>
          <w:szCs w:val="20"/>
        </w:rPr>
        <w:t>-135-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609" w:name="HDR135"/>
      <w:bookmarkStart w:id="3610" w:name="HDR135"/>
      <w:bookmarkEnd w:id="3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611" w:name="GLHDR135"/>
        <w:bookmarkEnd w:id="361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720" w:right="0" w:hanging="0"/>
        <w:jc w:val="left"/>
        <w:rPr>
          <w:rFonts w:ascii="Times New Roman" w:hAnsi="Times New Roman"/>
          <w:b/>
          <w:sz w:val="20"/>
        </w:rPr>
      </w:pPr>
      <w:bookmarkStart w:id="3612" w:name="TAB11826"/>
      <w:bookmarkEnd w:id="3612"/>
      <w:r>
        <w:rPr>
          <w:rFonts w:ascii="Times New Roman" w:hAnsi="Times New Roman"/>
          <w:b/>
          <w:sz w:val="20"/>
        </w:rPr>
        <w:t>Liquidity Risk</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Liquidity risk is the risk that the Joint Venture will not be able to meet its financial obligations as they fall due. The Joint Venture’s approach to managing liquidity is to ensure, as far as possible, that it will have sufficient liquidity to meet its liabilities when due, under both normal and stressed conditions, without incurring unacceptable losses or risking damage to the Joint Venture’s reputation.</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bookmarkStart w:id="3613" w:name="TAB11827"/>
      <w:bookmarkEnd w:id="3613"/>
      <w:r>
        <w:rPr>
          <w:rFonts w:ascii="Times New Roman" w:hAnsi="Times New Roman"/>
          <w:b/>
          <w:sz w:val="20"/>
        </w:rPr>
        <w:t>Market Risk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Market risk is the risk that changes in market prices, such as interest rates will affect the Joint Venture’s income. The objective of market risk management is to manage and control market risk exposures within acceptable parameters, while optimising the return.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were no changes in the Joint Venture’s approach to capital management during the year.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Joint Venture is not subject to market risks relating to foreign exchange rates or equity prices.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6.           Segment Reporting</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bookmarkStart w:id="3614" w:name="TAB11828"/>
      <w:bookmarkEnd w:id="3614"/>
      <w:r>
        <w:rPr>
          <w:rFonts w:ascii="Times New Roman" w:hAnsi="Times New Roman"/>
          <w:b/>
          <w:sz w:val="20"/>
        </w:rPr>
        <w:t>Business Segments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business segment of the Joint Venture is the motion picture exhibition in cinemas which includes the sale of concession goods.  The Joint Venture did not operate in any other business segments during the financial years.</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bookmarkStart w:id="3615" w:name="TAB11829"/>
      <w:bookmarkEnd w:id="3615"/>
      <w:r>
        <w:rPr>
          <w:rFonts w:ascii="Times New Roman" w:hAnsi="Times New Roman"/>
          <w:b/>
          <w:sz w:val="20"/>
        </w:rPr>
        <w:t>Geographical Segments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Joint Venture operates one cinema location in Queensland, Australia.  The Joint Venture did not operate into any other geographical locations during the financial years.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7.           Revenue</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979"/>
        <w:gridCol w:w="106"/>
        <w:gridCol w:w="126"/>
        <w:gridCol w:w="1087"/>
        <w:gridCol w:w="106"/>
        <w:gridCol w:w="106"/>
        <w:gridCol w:w="126"/>
        <w:gridCol w:w="1056"/>
        <w:gridCol w:w="106"/>
        <w:gridCol w:w="106"/>
        <w:gridCol w:w="126"/>
        <w:gridCol w:w="1056"/>
        <w:gridCol w:w="119"/>
      </w:tblGrid>
      <w:tr>
        <w:trPr/>
        <w:tc>
          <w:tcPr>
            <w:tcW w:w="5979"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6" w:type="dxa"/>
            <w:tcBorders/>
            <w:shd w:fill="auto" w:val="clear"/>
            <w:tcMar>
              <w:bottom w:w="0" w:type="dxa"/>
            </w:tcMar>
            <w:vAlign w:val="bottom"/>
          </w:tcPr>
          <w:p>
            <w:pPr>
              <w:pStyle w:val="TableContents"/>
              <w:spacing w:before="0" w:after="283"/>
              <w:rPr/>
            </w:pPr>
            <w:r>
              <w:rPr/>
              <w:t> </w:t>
            </w:r>
          </w:p>
        </w:tc>
        <w:tc>
          <w:tcPr>
            <w:tcW w:w="121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8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8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19" w:type="dxa"/>
            <w:tcBorders/>
            <w:shd w:fill="auto" w:val="clear"/>
            <w:tcMar>
              <w:bottom w:w="0" w:type="dxa"/>
            </w:tcMar>
            <w:vAlign w:val="bottom"/>
          </w:tcPr>
          <w:p>
            <w:pPr>
              <w:pStyle w:val="TableContents"/>
              <w:spacing w:before="0" w:after="283"/>
              <w:jc w:val="left"/>
              <w:rPr/>
            </w:pPr>
            <w:r>
              <w:rPr/>
              <w:t> </w:t>
            </w:r>
          </w:p>
        </w:tc>
      </w:tr>
      <w:tr>
        <w:trPr/>
        <w:tc>
          <w:tcPr>
            <w:tcW w:w="597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Box office revenue</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9,724,095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8,472,215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8,473,778</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597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Screen advertising</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8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264,406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263,813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223,462</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5979"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cinema services</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108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470,515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105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493,426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105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397,978</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5979"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 from rendering of services</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10,459,016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9,229,454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9,095,218</w:t>
            </w:r>
          </w:p>
        </w:tc>
        <w:tc>
          <w:tcPr>
            <w:tcW w:w="119"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8.           Personnel Expenses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015"/>
        <w:gridCol w:w="106"/>
        <w:gridCol w:w="126"/>
        <w:gridCol w:w="1054"/>
        <w:gridCol w:w="106"/>
        <w:gridCol w:w="106"/>
        <w:gridCol w:w="126"/>
        <w:gridCol w:w="1054"/>
        <w:gridCol w:w="106"/>
        <w:gridCol w:w="106"/>
        <w:gridCol w:w="126"/>
        <w:gridCol w:w="1053"/>
        <w:gridCol w:w="121"/>
      </w:tblGrid>
      <w:tr>
        <w:trPr/>
        <w:tc>
          <w:tcPr>
            <w:tcW w:w="6015"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6" w:type="dxa"/>
            <w:tcBorders/>
            <w:shd w:fill="auto" w:val="clear"/>
            <w:tcMar>
              <w:bottom w:w="0" w:type="dxa"/>
            </w:tcMar>
            <w:vAlign w:val="bottom"/>
          </w:tcPr>
          <w:p>
            <w:pPr>
              <w:pStyle w:val="TableContents"/>
              <w:spacing w:before="0" w:after="283"/>
              <w:rPr/>
            </w:pPr>
            <w:r>
              <w:rPr/>
              <w:t> </w:t>
            </w:r>
          </w:p>
        </w:tc>
        <w:tc>
          <w:tcPr>
            <w:tcW w:w="118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8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1" w:type="dxa"/>
            <w:tcBorders/>
            <w:shd w:fill="auto" w:val="clear"/>
            <w:tcMar>
              <w:bottom w:w="0" w:type="dxa"/>
            </w:tcMar>
            <w:vAlign w:val="bottom"/>
          </w:tcPr>
          <w:p>
            <w:pPr>
              <w:pStyle w:val="TableContents"/>
              <w:spacing w:before="0" w:after="283"/>
              <w:jc w:val="left"/>
              <w:rPr/>
            </w:pPr>
            <w:r>
              <w:rPr/>
              <w:t> </w:t>
            </w:r>
          </w:p>
        </w:tc>
      </w:tr>
      <w:tr>
        <w:trPr/>
        <w:tc>
          <w:tcPr>
            <w:tcW w:w="601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Wages and salaries</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1,904,805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1,819,325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1,790,110</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601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 annual leave</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49,927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21,163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53" w:type="dxa"/>
            <w:tcBorders/>
            <w:shd w:fill="FFFFFF" w:val="clear"/>
            <w:tcMar>
              <w:bottom w:w="0" w:type="dxa"/>
            </w:tcMar>
            <w:vAlign w:val="bottom"/>
          </w:tcPr>
          <w:p>
            <w:pPr>
              <w:pStyle w:val="TableContents"/>
              <w:spacing w:before="0" w:after="283"/>
              <w:ind w:left="309" w:right="0" w:hanging="0"/>
              <w:jc w:val="right"/>
              <w:rPr>
                <w:rFonts w:ascii="times new roman" w:hAnsi="times new roman"/>
                <w:sz w:val="20"/>
              </w:rPr>
            </w:pPr>
            <w:bookmarkStart w:id="3616" w:name="TAB11830"/>
            <w:bookmarkEnd w:id="3616"/>
            <w:r>
              <w:rPr>
                <w:rFonts w:ascii="times new roman" w:hAnsi="times new roman"/>
                <w:sz w:val="20"/>
              </w:rPr>
              <w:t>42,849</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01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 long-service leave</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9,214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18,166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1053" w:type="dxa"/>
            <w:tcBorders>
              <w:bottom w:val="single" w:sz="12" w:space="0" w:color="000000"/>
            </w:tcBorders>
            <w:shd w:fill="CCEEFF" w:val="clear"/>
            <w:vAlign w:val="bottom"/>
          </w:tcPr>
          <w:p>
            <w:pPr>
              <w:pStyle w:val="TableContents"/>
              <w:spacing w:before="0" w:after="283"/>
              <w:ind w:left="443" w:right="0" w:hanging="0"/>
              <w:jc w:val="right"/>
              <w:rPr>
                <w:rFonts w:ascii="times new roman" w:hAnsi="times new roman"/>
                <w:sz w:val="20"/>
              </w:rPr>
            </w:pPr>
            <w:bookmarkStart w:id="3617" w:name="TAB11831"/>
            <w:bookmarkEnd w:id="3617"/>
            <w:r>
              <w:rPr>
                <w:rFonts w:ascii="times new roman" w:hAnsi="times new roman"/>
                <w:sz w:val="20"/>
              </w:rPr>
              <w:t>6,771</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6015"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personnel expenses</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1,963,946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1,858,654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1,839,730</w:t>
            </w:r>
          </w:p>
        </w:tc>
        <w:tc>
          <w:tcPr>
            <w:tcW w:w="121"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18" w:name="PGBRK136"/>
      <w:bookmarkStart w:id="3619" w:name="PGBRK136"/>
      <w:bookmarkEnd w:id="3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20" w:name="FTR136"/>
      <w:bookmarkStart w:id="3621" w:name="FTR136"/>
      <w:bookmarkEnd w:id="36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22" w:name="GLFTR136"/>
      <w:bookmarkEnd w:id="36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623" w:name="PN136"/>
      <w:bookmarkEnd w:id="3623"/>
      <w:r>
        <w:rPr>
          <w:rFonts w:eastAsia="Times New Roman" w:cs="Times New Roman" w:ascii="Times New Roman" w:hAnsi="Times New Roman"/>
          <w:sz w:val="20"/>
          <w:szCs w:val="20"/>
        </w:rPr>
        <w:t>-136-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624" w:name="HDR136"/>
      <w:bookmarkStart w:id="3625" w:name="HDR136"/>
      <w:bookmarkEnd w:id="36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626" w:name="GLHDR136"/>
        <w:bookmarkEnd w:id="362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1134" w:hanging="0"/>
        <w:jc w:val="left"/>
        <w:rPr>
          <w:rFonts w:ascii="Times New Roman" w:hAnsi="Times New Roman"/>
          <w:b/>
          <w:sz w:val="20"/>
        </w:rPr>
      </w:pPr>
      <w:r>
        <w:rPr>
          <w:rFonts w:ascii="Times New Roman" w:hAnsi="Times New Roman"/>
          <w:b/>
          <w:sz w:val="20"/>
        </w:rPr>
        <w:t>9.           Finance Income and Expense</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732"/>
        <w:gridCol w:w="113"/>
        <w:gridCol w:w="163"/>
        <w:gridCol w:w="1132"/>
        <w:gridCol w:w="113"/>
        <w:gridCol w:w="113"/>
        <w:gridCol w:w="163"/>
        <w:gridCol w:w="1132"/>
        <w:gridCol w:w="113"/>
        <w:gridCol w:w="113"/>
        <w:gridCol w:w="144"/>
        <w:gridCol w:w="1047"/>
        <w:gridCol w:w="127"/>
      </w:tblGrid>
      <w:tr>
        <w:trPr/>
        <w:tc>
          <w:tcPr>
            <w:tcW w:w="5732"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3" w:type="dxa"/>
            <w:tcBorders/>
            <w:shd w:fill="auto" w:val="clear"/>
            <w:tcMar>
              <w:bottom w:w="0" w:type="dxa"/>
            </w:tcMar>
            <w:vAlign w:val="bottom"/>
          </w:tcPr>
          <w:p>
            <w:pPr>
              <w:pStyle w:val="TableContents"/>
              <w:spacing w:before="0" w:after="283"/>
              <w:rPr/>
            </w:pPr>
            <w:r>
              <w:rPr/>
              <w:t> </w:t>
            </w:r>
          </w:p>
        </w:tc>
        <w:tc>
          <w:tcPr>
            <w:tcW w:w="129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3"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29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3"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19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732"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 on bank balances:</w:t>
            </w:r>
          </w:p>
        </w:tc>
        <w:tc>
          <w:tcPr>
            <w:tcW w:w="113" w:type="dxa"/>
            <w:tcBorders/>
            <w:shd w:fill="CCEEFF" w:val="clear"/>
            <w:tcMar>
              <w:bottom w:w="0" w:type="dxa"/>
            </w:tcMar>
            <w:vAlign w:val="bottom"/>
          </w:tcPr>
          <w:p>
            <w:pPr>
              <w:pStyle w:val="TableContents"/>
              <w:spacing w:before="0" w:after="283"/>
              <w:jc w:val="left"/>
              <w:rPr/>
            </w:pPr>
            <w:r>
              <w:rPr/>
              <w:t> </w:t>
            </w:r>
          </w:p>
        </w:tc>
        <w:tc>
          <w:tcPr>
            <w:tcW w:w="163"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2" w:type="dxa"/>
            <w:tcBorders>
              <w:bottom w:val="single" w:sz="12" w:space="0" w:color="000000"/>
            </w:tcBorders>
            <w:shd w:fill="CCEEFF" w:val="clear"/>
            <w:vAlign w:val="bottom"/>
          </w:tcPr>
          <w:p>
            <w:pPr>
              <w:pStyle w:val="TableContents"/>
              <w:spacing w:before="0" w:after="283"/>
              <w:ind w:left="101" w:right="0" w:hanging="0"/>
              <w:jc w:val="right"/>
              <w:rPr>
                <w:rFonts w:ascii="times new roman" w:hAnsi="times new roman"/>
                <w:sz w:val="20"/>
              </w:rPr>
            </w:pPr>
            <w:bookmarkStart w:id="3627" w:name="TAB11832"/>
            <w:bookmarkEnd w:id="3627"/>
            <w:r>
              <w:rPr>
                <w:rFonts w:ascii="times new roman" w:hAnsi="times new roman"/>
                <w:sz w:val="20"/>
              </w:rPr>
              <w:t>16,047</w:t>
            </w:r>
          </w:p>
        </w:tc>
        <w:tc>
          <w:tcPr>
            <w:tcW w:w="113" w:type="dxa"/>
            <w:tcBorders/>
            <w:shd w:fill="CCEEFF" w:val="clear"/>
            <w:tcMar>
              <w:bottom w:w="0" w:type="dxa"/>
            </w:tcMar>
            <w:vAlign w:val="bottom"/>
          </w:tcPr>
          <w:p>
            <w:pPr>
              <w:pStyle w:val="TableContents"/>
              <w:spacing w:before="0" w:after="283"/>
              <w:jc w:val="left"/>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163"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2" w:type="dxa"/>
            <w:tcBorders>
              <w:bottom w:val="single" w:sz="12" w:space="0" w:color="000000"/>
            </w:tcBorders>
            <w:shd w:fill="CCEEFF" w:val="clear"/>
            <w:vAlign w:val="bottom"/>
          </w:tcPr>
          <w:p>
            <w:pPr>
              <w:pStyle w:val="TableContents"/>
              <w:spacing w:before="0" w:after="283"/>
              <w:ind w:left="101" w:right="0" w:hanging="0"/>
              <w:jc w:val="right"/>
              <w:rPr>
                <w:rFonts w:ascii="times new roman" w:hAnsi="times new roman"/>
                <w:sz w:val="20"/>
              </w:rPr>
            </w:pPr>
            <w:bookmarkStart w:id="3628" w:name="TAB11833"/>
            <w:bookmarkEnd w:id="3628"/>
            <w:r>
              <w:rPr>
                <w:rFonts w:ascii="times new roman" w:hAnsi="times new roman"/>
                <w:sz w:val="20"/>
              </w:rPr>
              <w:t>33,400</w:t>
            </w:r>
          </w:p>
        </w:tc>
        <w:tc>
          <w:tcPr>
            <w:tcW w:w="113" w:type="dxa"/>
            <w:tcBorders/>
            <w:shd w:fill="CCEEFF" w:val="clear"/>
            <w:tcMar>
              <w:bottom w:w="0" w:type="dxa"/>
            </w:tcMar>
            <w:vAlign w:val="bottom"/>
          </w:tcPr>
          <w:p>
            <w:pPr>
              <w:pStyle w:val="TableContents"/>
              <w:spacing w:before="0" w:after="283"/>
              <w:jc w:val="left"/>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144"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vAlign w:val="bottom"/>
          </w:tcPr>
          <w:p>
            <w:pPr>
              <w:pStyle w:val="TableContents"/>
              <w:spacing w:before="0" w:after="283"/>
              <w:ind w:left="61" w:right="0" w:hanging="0"/>
              <w:jc w:val="right"/>
              <w:rPr>
                <w:rFonts w:ascii="times new roman" w:hAnsi="times new roman"/>
                <w:sz w:val="20"/>
              </w:rPr>
            </w:pPr>
            <w:bookmarkStart w:id="3629" w:name="TAB11834"/>
            <w:bookmarkEnd w:id="3629"/>
            <w:r>
              <w:rPr>
                <w:rFonts w:ascii="times new roman" w:hAnsi="times new roman"/>
                <w:sz w:val="20"/>
              </w:rPr>
              <w:t>44,340</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5732"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Finance income</w:t>
            </w:r>
          </w:p>
        </w:tc>
        <w:tc>
          <w:tcPr>
            <w:tcW w:w="113" w:type="dxa"/>
            <w:tcBorders/>
            <w:shd w:fill="FFFFFF" w:val="clear"/>
            <w:tcMar>
              <w:bottom w:w="0" w:type="dxa"/>
            </w:tcMar>
            <w:vAlign w:val="bottom"/>
          </w:tcPr>
          <w:p>
            <w:pPr>
              <w:pStyle w:val="TableContents"/>
              <w:spacing w:before="0" w:after="283"/>
              <w:jc w:val="left"/>
              <w:rPr/>
            </w:pPr>
            <w:r>
              <w:rPr/>
              <w:t> </w:t>
            </w:r>
          </w:p>
        </w:tc>
        <w:tc>
          <w:tcPr>
            <w:tcW w:w="16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2" w:type="dxa"/>
            <w:tcBorders>
              <w:bottom w:val="double" w:sz="8" w:space="0" w:color="000000"/>
            </w:tcBorders>
            <w:shd w:fill="FFFFFF" w:val="clear"/>
            <w:vAlign w:val="bottom"/>
          </w:tcPr>
          <w:p>
            <w:pPr>
              <w:pStyle w:val="TableContents"/>
              <w:spacing w:before="0" w:after="283"/>
              <w:ind w:left="101" w:right="0" w:hanging="0"/>
              <w:jc w:val="right"/>
              <w:rPr>
                <w:rFonts w:ascii="times new roman" w:hAnsi="times new roman"/>
                <w:sz w:val="20"/>
              </w:rPr>
            </w:pPr>
            <w:bookmarkStart w:id="3630" w:name="TAB11835"/>
            <w:bookmarkEnd w:id="3630"/>
            <w:r>
              <w:rPr>
                <w:rFonts w:ascii="times new roman" w:hAnsi="times new roman"/>
                <w:sz w:val="20"/>
              </w:rPr>
              <w:t>16,047</w:t>
            </w:r>
          </w:p>
        </w:tc>
        <w:tc>
          <w:tcPr>
            <w:tcW w:w="113" w:type="dxa"/>
            <w:tcBorders/>
            <w:shd w:fill="FFFFFF" w:val="clear"/>
            <w:tcMar>
              <w:bottom w:w="0" w:type="dxa"/>
            </w:tcMar>
            <w:vAlign w:val="bottom"/>
          </w:tcPr>
          <w:p>
            <w:pPr>
              <w:pStyle w:val="TableContents"/>
              <w:spacing w:before="0" w:after="283"/>
              <w:jc w:val="left"/>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16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2" w:type="dxa"/>
            <w:tcBorders>
              <w:bottom w:val="double" w:sz="8" w:space="0" w:color="000000"/>
            </w:tcBorders>
            <w:shd w:fill="FFFFFF" w:val="clear"/>
            <w:vAlign w:val="bottom"/>
          </w:tcPr>
          <w:p>
            <w:pPr>
              <w:pStyle w:val="TableContents"/>
              <w:spacing w:before="0" w:after="283"/>
              <w:ind w:left="101" w:right="0" w:hanging="0"/>
              <w:jc w:val="right"/>
              <w:rPr>
                <w:rFonts w:ascii="times new roman" w:hAnsi="times new roman"/>
                <w:sz w:val="20"/>
              </w:rPr>
            </w:pPr>
            <w:bookmarkStart w:id="3631" w:name="TAB11836"/>
            <w:bookmarkEnd w:id="3631"/>
            <w:r>
              <w:rPr>
                <w:rFonts w:ascii="times new roman" w:hAnsi="times new roman"/>
                <w:sz w:val="20"/>
              </w:rPr>
              <w:t>33,400</w:t>
            </w:r>
          </w:p>
        </w:tc>
        <w:tc>
          <w:tcPr>
            <w:tcW w:w="113" w:type="dxa"/>
            <w:tcBorders/>
            <w:shd w:fill="FFFFFF" w:val="clear"/>
            <w:tcMar>
              <w:bottom w:w="0" w:type="dxa"/>
            </w:tcMar>
            <w:vAlign w:val="bottom"/>
          </w:tcPr>
          <w:p>
            <w:pPr>
              <w:pStyle w:val="TableContents"/>
              <w:spacing w:before="0" w:after="283"/>
              <w:jc w:val="left"/>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14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bottom w:val="double" w:sz="8" w:space="0" w:color="000000"/>
            </w:tcBorders>
            <w:shd w:fill="FFFFFF" w:val="clear"/>
            <w:vAlign w:val="bottom"/>
          </w:tcPr>
          <w:p>
            <w:pPr>
              <w:pStyle w:val="TableContents"/>
              <w:spacing w:before="0" w:after="283"/>
              <w:ind w:left="61" w:right="0" w:hanging="0"/>
              <w:jc w:val="right"/>
              <w:rPr>
                <w:rFonts w:ascii="times new roman" w:hAnsi="times new roman"/>
                <w:sz w:val="20"/>
              </w:rPr>
            </w:pPr>
            <w:bookmarkStart w:id="3632" w:name="TAB11837"/>
            <w:bookmarkEnd w:id="3632"/>
            <w:r>
              <w:rPr>
                <w:rFonts w:ascii="times new roman" w:hAnsi="times new roman"/>
                <w:sz w:val="20"/>
              </w:rPr>
              <w:t>44,340</w:t>
            </w:r>
          </w:p>
        </w:tc>
        <w:tc>
          <w:tcPr>
            <w:tcW w:w="127"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1134" w:hanging="0"/>
        <w:jc w:val="left"/>
        <w:rPr>
          <w:rFonts w:ascii="Times New Roman" w:hAnsi="Times New Roman"/>
          <w:b/>
          <w:sz w:val="20"/>
        </w:rPr>
      </w:pPr>
      <w:r>
        <w:rPr>
          <w:rFonts w:ascii="Times New Roman" w:hAnsi="Times New Roman"/>
          <w:b/>
          <w:sz w:val="20"/>
        </w:rPr>
        <w:t>10.           Property, Plant, and Equipment</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691"/>
        <w:gridCol w:w="107"/>
        <w:gridCol w:w="163"/>
        <w:gridCol w:w="1232"/>
        <w:gridCol w:w="107"/>
        <w:gridCol w:w="107"/>
        <w:gridCol w:w="194"/>
        <w:gridCol w:w="1443"/>
        <w:gridCol w:w="107"/>
        <w:gridCol w:w="107"/>
        <w:gridCol w:w="398"/>
        <w:gridCol w:w="720"/>
        <w:gridCol w:w="107"/>
        <w:gridCol w:w="107"/>
        <w:gridCol w:w="162"/>
        <w:gridCol w:w="1322"/>
        <w:gridCol w:w="131"/>
      </w:tblGrid>
      <w:tr>
        <w:trPr/>
        <w:tc>
          <w:tcPr>
            <w:tcW w:w="3691"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7" w:type="dxa"/>
            <w:tcBorders/>
            <w:shd w:fill="auto" w:val="clear"/>
            <w:tcMar>
              <w:bottom w:w="0" w:type="dxa"/>
            </w:tcMar>
            <w:vAlign w:val="bottom"/>
          </w:tcPr>
          <w:p>
            <w:pPr>
              <w:pStyle w:val="TableContents"/>
              <w:spacing w:before="0" w:after="283"/>
              <w:rPr/>
            </w:pPr>
            <w:r>
              <w:rPr/>
              <w:t> </w:t>
            </w:r>
          </w:p>
        </w:tc>
        <w:tc>
          <w:tcPr>
            <w:tcW w:w="139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Plant and Equipment</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63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Leasehold Improvements</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1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 WIP</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48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1" w:type="dxa"/>
            <w:tcBorders/>
            <w:shd w:fill="auto" w:val="clear"/>
            <w:tcMar>
              <w:bottom w:w="0" w:type="dxa"/>
            </w:tcMar>
            <w:vAlign w:val="bottom"/>
          </w:tcPr>
          <w:p>
            <w:pPr>
              <w:pStyle w:val="TableContents"/>
              <w:spacing w:before="0" w:after="283"/>
              <w:jc w:val="left"/>
              <w:rPr/>
            </w:pPr>
            <w:r>
              <w:rPr/>
              <w:t> </w:t>
            </w:r>
          </w:p>
        </w:tc>
      </w:tr>
      <w:tr>
        <w:trPr/>
        <w:tc>
          <w:tcPr>
            <w:tcW w:w="3691"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Cost</w:t>
            </w:r>
          </w:p>
        </w:tc>
        <w:tc>
          <w:tcPr>
            <w:tcW w:w="107" w:type="dxa"/>
            <w:tcBorders/>
            <w:shd w:fill="auto" w:val="clear"/>
            <w:tcMar>
              <w:bottom w:w="0" w:type="dxa"/>
            </w:tcMar>
            <w:vAlign w:val="bottom"/>
          </w:tcPr>
          <w:p>
            <w:pPr>
              <w:pStyle w:val="TableContents"/>
              <w:spacing w:before="0" w:after="283"/>
              <w:rPr/>
            </w:pPr>
            <w:r>
              <w:rPr/>
              <w:t> </w:t>
            </w:r>
          </w:p>
        </w:tc>
        <w:tc>
          <w:tcPr>
            <w:tcW w:w="1395" w:type="dxa"/>
            <w:gridSpan w:val="2"/>
            <w:tcBorders/>
            <w:shd w:fill="auto" w:val="clear"/>
            <w:tcMar>
              <w:bottom w:w="0" w:type="dxa"/>
            </w:tcMar>
            <w:vAlign w:val="bottom"/>
          </w:tcPr>
          <w:p>
            <w:pPr>
              <w:pStyle w:val="TableContents"/>
              <w:spacing w:before="0" w:after="283"/>
              <w:rPr/>
            </w:pPr>
            <w:r>
              <w:rPr/>
              <w:t> </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637" w:type="dxa"/>
            <w:gridSpan w:val="2"/>
            <w:tcBorders/>
            <w:shd w:fill="auto" w:val="clear"/>
            <w:tcMar>
              <w:bottom w:w="0" w:type="dxa"/>
            </w:tcMar>
            <w:vAlign w:val="bottom"/>
          </w:tcPr>
          <w:p>
            <w:pPr>
              <w:pStyle w:val="TableContents"/>
              <w:spacing w:before="0" w:after="283"/>
              <w:rPr/>
            </w:pPr>
            <w:r>
              <w:rPr/>
              <w:t> </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18" w:type="dxa"/>
            <w:gridSpan w:val="2"/>
            <w:tcBorders/>
            <w:shd w:fill="auto" w:val="clear"/>
            <w:tcMar>
              <w:bottom w:w="0" w:type="dxa"/>
            </w:tcMar>
            <w:vAlign w:val="bottom"/>
          </w:tcPr>
          <w:p>
            <w:pPr>
              <w:pStyle w:val="TableContents"/>
              <w:spacing w:before="0" w:after="283"/>
              <w:rPr/>
            </w:pPr>
            <w:r>
              <w:rPr/>
              <w:t> </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484" w:type="dxa"/>
            <w:gridSpan w:val="2"/>
            <w:tcBorders/>
            <w:shd w:fill="auto" w:val="clear"/>
            <w:tcMar>
              <w:bottom w:w="0" w:type="dxa"/>
            </w:tcMar>
            <w:vAlign w:val="bottom"/>
          </w:tcPr>
          <w:p>
            <w:pPr>
              <w:pStyle w:val="TableContents"/>
              <w:spacing w:before="0" w:after="283"/>
              <w:rPr/>
            </w:pPr>
            <w:r>
              <w:rPr/>
              <w:t> </w:t>
            </w:r>
          </w:p>
        </w:tc>
        <w:tc>
          <w:tcPr>
            <w:tcW w:w="131" w:type="dxa"/>
            <w:tcBorders/>
            <w:shd w:fill="auto" w:val="clear"/>
            <w:tcMar>
              <w:bottom w:w="0" w:type="dxa"/>
            </w:tcMar>
            <w:vAlign w:val="bottom"/>
          </w:tcPr>
          <w:p>
            <w:pPr>
              <w:pStyle w:val="TableContents"/>
              <w:spacing w:before="0" w:after="283"/>
              <w:jc w:val="left"/>
              <w:rPr/>
            </w:pPr>
            <w:r>
              <w:rPr/>
              <w:t> </w:t>
            </w:r>
          </w:p>
        </w:tc>
      </w:tr>
      <w:tr>
        <w:trPr/>
        <w:tc>
          <w:tcPr>
            <w:tcW w:w="3691"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January 1, 2008 (unaudited)</w:t>
            </w:r>
          </w:p>
        </w:tc>
        <w:tc>
          <w:tcPr>
            <w:tcW w:w="107"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8,670,574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4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2,566,704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39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6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11,237,278</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691"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Additions/(Transfers)</w:t>
            </w:r>
          </w:p>
        </w:tc>
        <w:tc>
          <w:tcPr>
            <w:tcW w:w="107" w:type="dxa"/>
            <w:tcBorders/>
            <w:shd w:fill="FFFFFF" w:val="clear"/>
            <w:tcMar>
              <w:bottom w:w="0" w:type="dxa"/>
            </w:tcMar>
            <w:vAlign w:val="bottom"/>
          </w:tcPr>
          <w:p>
            <w:pPr>
              <w:pStyle w:val="TableContents"/>
              <w:spacing w:before="0" w:after="283"/>
              <w:jc w:val="left"/>
              <w:rPr/>
            </w:pPr>
            <w:r>
              <w:rPr/>
              <w:t> </w:t>
            </w:r>
          </w:p>
        </w:tc>
        <w:tc>
          <w:tcPr>
            <w:tcW w:w="163" w:type="dxa"/>
            <w:tcBorders>
              <w:bottom w:val="single" w:sz="12" w:space="0" w:color="000000"/>
            </w:tcBorders>
            <w:shd w:fill="FFFFFF" w:val="clear"/>
            <w:vAlign w:val="bottom"/>
          </w:tcPr>
          <w:p>
            <w:pPr>
              <w:pStyle w:val="TableContents"/>
              <w:spacing w:before="0" w:after="283"/>
              <w:jc w:val="left"/>
              <w:rPr/>
            </w:pPr>
            <w:r>
              <w:rPr/>
              <w:t> </w:t>
            </w:r>
          </w:p>
        </w:tc>
        <w:tc>
          <w:tcPr>
            <w:tcW w:w="123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231,156</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94" w:type="dxa"/>
            <w:tcBorders>
              <w:bottom w:val="single" w:sz="12" w:space="0" w:color="000000"/>
            </w:tcBorders>
            <w:shd w:fill="FFFFFF" w:val="clear"/>
            <w:vAlign w:val="bottom"/>
          </w:tcPr>
          <w:p>
            <w:pPr>
              <w:pStyle w:val="TableContents"/>
              <w:spacing w:before="0" w:after="283"/>
              <w:jc w:val="left"/>
              <w:rPr/>
            </w:pPr>
            <w:r>
              <w:rPr/>
              <w:t> </w:t>
            </w:r>
          </w:p>
        </w:tc>
        <w:tc>
          <w:tcPr>
            <w:tcW w:w="144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398" w:type="dxa"/>
            <w:tcBorders>
              <w:bottom w:val="single" w:sz="12" w:space="0" w:color="000000"/>
            </w:tcBorders>
            <w:shd w:fill="FFFFFF" w:val="clear"/>
            <w:vAlign w:val="bottom"/>
          </w:tcPr>
          <w:p>
            <w:pPr>
              <w:pStyle w:val="TableContents"/>
              <w:spacing w:before="0" w:after="283"/>
              <w:jc w:val="left"/>
              <w:rPr/>
            </w:pPr>
            <w:r>
              <w:rPr/>
              <w:t> </w:t>
            </w:r>
          </w:p>
        </w:tc>
        <w:tc>
          <w:tcPr>
            <w:tcW w:w="72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62" w:type="dxa"/>
            <w:tcBorders>
              <w:bottom w:val="single" w:sz="12" w:space="0" w:color="000000"/>
            </w:tcBorders>
            <w:shd w:fill="FFFFFF" w:val="clear"/>
            <w:vAlign w:val="bottom"/>
          </w:tcPr>
          <w:p>
            <w:pPr>
              <w:pStyle w:val="TableContents"/>
              <w:spacing w:before="0" w:after="283"/>
              <w:jc w:val="left"/>
              <w:rPr/>
            </w:pPr>
            <w:r>
              <w:rPr/>
              <w:t> </w:t>
            </w:r>
          </w:p>
        </w:tc>
        <w:tc>
          <w:tcPr>
            <w:tcW w:w="132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231,156</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691"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2008 (unaudited)</w:t>
            </w:r>
          </w:p>
        </w:tc>
        <w:tc>
          <w:tcPr>
            <w:tcW w:w="107" w:type="dxa"/>
            <w:tcBorders/>
            <w:shd w:fill="CCEEFF" w:val="clear"/>
            <w:tcMar>
              <w:bottom w:w="0" w:type="dxa"/>
            </w:tcMar>
            <w:vAlign w:val="bottom"/>
          </w:tcPr>
          <w:p>
            <w:pPr>
              <w:pStyle w:val="TableContents"/>
              <w:spacing w:before="0" w:after="283"/>
              <w:jc w:val="left"/>
              <w:rPr/>
            </w:pPr>
            <w:r>
              <w:rPr/>
              <w:t> </w:t>
            </w:r>
          </w:p>
        </w:tc>
        <w:tc>
          <w:tcPr>
            <w:tcW w:w="163"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2" w:type="dxa"/>
            <w:tcBorders>
              <w:bottom w:val="single" w:sz="12" w:space="0" w:color="000000"/>
            </w:tcBorders>
            <w:shd w:fill="CCEEFF" w:val="clear"/>
            <w:vAlign w:val="bottom"/>
          </w:tcPr>
          <w:p>
            <w:pPr>
              <w:pStyle w:val="TableContents"/>
              <w:spacing w:before="0" w:after="283"/>
              <w:ind w:left="154" w:right="0" w:hanging="0"/>
              <w:jc w:val="right"/>
              <w:rPr>
                <w:rFonts w:ascii="times new roman" w:hAnsi="times new roman"/>
                <w:sz w:val="20"/>
              </w:rPr>
            </w:pPr>
            <w:bookmarkStart w:id="3633" w:name="TAB11838"/>
            <w:bookmarkEnd w:id="3633"/>
            <w:r>
              <w:rPr>
                <w:rFonts w:ascii="times new roman" w:hAnsi="times new roman"/>
                <w:sz w:val="20"/>
              </w:rPr>
              <w:t>8,901,730</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94"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43" w:type="dxa"/>
            <w:tcBorders>
              <w:bottom w:val="single" w:sz="12" w:space="0" w:color="000000"/>
            </w:tcBorders>
            <w:shd w:fill="CCEEFF" w:val="clear"/>
            <w:vAlign w:val="bottom"/>
          </w:tcPr>
          <w:p>
            <w:pPr>
              <w:pStyle w:val="TableContents"/>
              <w:spacing w:before="0" w:after="283"/>
              <w:ind w:left="164" w:right="0" w:hanging="0"/>
              <w:jc w:val="right"/>
              <w:rPr>
                <w:rFonts w:ascii="times new roman" w:hAnsi="times new roman"/>
                <w:sz w:val="20"/>
              </w:rPr>
            </w:pPr>
            <w:bookmarkStart w:id="3634" w:name="TAB11839"/>
            <w:bookmarkEnd w:id="3634"/>
            <w:r>
              <w:rPr>
                <w:rFonts w:ascii="times new roman" w:hAnsi="times new roman"/>
                <w:sz w:val="20"/>
              </w:rPr>
              <w:t>2,566,704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398"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0" w:type="dxa"/>
            <w:tcBorders>
              <w:bottom w:val="single" w:sz="12" w:space="0" w:color="000000"/>
            </w:tcBorders>
            <w:shd w:fill="CCEEFF" w:val="clear"/>
            <w:vAlign w:val="bottom"/>
          </w:tcPr>
          <w:p>
            <w:pPr>
              <w:pStyle w:val="TableContents"/>
              <w:spacing w:before="0" w:after="283"/>
              <w:ind w:left="122" w:right="0" w:hanging="0"/>
              <w:jc w:val="right"/>
              <w:rPr>
                <w:rFonts w:ascii="times new roman" w:hAnsi="times new roman"/>
                <w:sz w:val="20"/>
              </w:rPr>
            </w:pPr>
            <w:bookmarkStart w:id="3635" w:name="TAB11840"/>
            <w:bookmarkEnd w:id="3635"/>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62"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11,468,434</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691" w:type="dxa"/>
            <w:tcBorders/>
            <w:shd w:fill="FFFFFF" w:val="clear"/>
            <w:tcMar>
              <w:bottom w:w="0" w:type="dxa"/>
            </w:tcMar>
            <w:vAlign w:val="bottom"/>
          </w:tcPr>
          <w:p>
            <w:pPr>
              <w:pStyle w:val="TableContents"/>
              <w:spacing w:before="0" w:after="283"/>
              <w:rPr/>
            </w:pPr>
            <w:r>
              <w:rPr/>
              <w:t xml:space="preserve">  </w:t>
            </w:r>
          </w:p>
        </w:tc>
        <w:tc>
          <w:tcPr>
            <w:tcW w:w="107"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43"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398" w:type="dxa"/>
            <w:tcBorders/>
            <w:shd w:fill="FFFFFF" w:val="clear"/>
            <w:tcMar>
              <w:bottom w:w="0" w:type="dxa"/>
            </w:tcMar>
            <w:vAlign w:val="bottom"/>
          </w:tcPr>
          <w:p>
            <w:pPr>
              <w:pStyle w:val="TableContents"/>
              <w:spacing w:before="0" w:after="283"/>
              <w:jc w:val="left"/>
              <w:rPr/>
            </w:pPr>
            <w:r>
              <w:rPr/>
              <w:t> </w:t>
            </w:r>
          </w:p>
        </w:tc>
        <w:tc>
          <w:tcPr>
            <w:tcW w:w="720"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pPr>
            <w:r>
              <w:rPr/>
              <w:t> </w:t>
            </w:r>
          </w:p>
        </w:tc>
        <w:tc>
          <w:tcPr>
            <w:tcW w:w="1322"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691"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January 1, 2009 (unaudited)</w:t>
            </w:r>
          </w:p>
        </w:tc>
        <w:tc>
          <w:tcPr>
            <w:tcW w:w="107" w:type="dxa"/>
            <w:tcBorders/>
            <w:shd w:fill="FFFFFF" w:val="clear"/>
            <w:tcMar>
              <w:bottom w:w="0" w:type="dxa"/>
            </w:tcMar>
            <w:vAlign w:val="bottom"/>
          </w:tcPr>
          <w:p>
            <w:pPr>
              <w:pStyle w:val="TableContents"/>
              <w:spacing w:before="0" w:after="283"/>
              <w:jc w:val="left"/>
              <w:rPr/>
            </w:pPr>
            <w:r>
              <w:rPr/>
              <w:t> </w:t>
            </w:r>
          </w:p>
        </w:tc>
        <w:tc>
          <w:tcPr>
            <w:tcW w:w="163"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8,901,730</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44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2,566,704</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398" w:type="dxa"/>
            <w:tcBorders/>
            <w:shd w:fill="FFFFFF" w:val="clear"/>
            <w:tcMar>
              <w:bottom w:w="0" w:type="dxa"/>
            </w:tcMar>
            <w:vAlign w:val="bottom"/>
          </w:tcPr>
          <w:p>
            <w:pPr>
              <w:pStyle w:val="TableContents"/>
              <w:spacing w:before="0" w:after="283"/>
              <w:jc w:val="left"/>
              <w:rPr/>
            </w:pPr>
            <w:r>
              <w:rPr/>
              <w:t> </w:t>
            </w:r>
          </w:p>
        </w:tc>
        <w:tc>
          <w:tcPr>
            <w:tcW w:w="72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62" w:type="dxa"/>
            <w:tcBorders/>
            <w:shd w:fill="FFFFFF" w:val="clear"/>
            <w:tcMar>
              <w:bottom w:w="0" w:type="dxa"/>
            </w:tcMar>
            <w:vAlign w:val="bottom"/>
          </w:tcPr>
          <w:p>
            <w:pPr>
              <w:pStyle w:val="TableContents"/>
              <w:spacing w:before="0" w:after="283"/>
              <w:jc w:val="left"/>
              <w:rPr/>
            </w:pPr>
            <w:r>
              <w:rPr/>
              <w:t> </w:t>
            </w:r>
          </w:p>
        </w:tc>
        <w:tc>
          <w:tcPr>
            <w:tcW w:w="132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11,468,434</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691"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Additions/(Transfers)</w:t>
            </w:r>
          </w:p>
        </w:tc>
        <w:tc>
          <w:tcPr>
            <w:tcW w:w="107" w:type="dxa"/>
            <w:tcBorders/>
            <w:shd w:fill="CCEEFF" w:val="clear"/>
            <w:tcMar>
              <w:bottom w:w="0" w:type="dxa"/>
            </w:tcMar>
            <w:vAlign w:val="bottom"/>
          </w:tcPr>
          <w:p>
            <w:pPr>
              <w:pStyle w:val="TableContents"/>
              <w:spacing w:before="0" w:after="283"/>
              <w:jc w:val="left"/>
              <w:rPr/>
            </w:pPr>
            <w:r>
              <w:rPr/>
              <w:t> </w:t>
            </w:r>
          </w:p>
        </w:tc>
        <w:tc>
          <w:tcPr>
            <w:tcW w:w="163" w:type="dxa"/>
            <w:tcBorders>
              <w:bottom w:val="single" w:sz="12" w:space="0" w:color="000000"/>
            </w:tcBorders>
            <w:shd w:fill="CCEEFF" w:val="clear"/>
            <w:vAlign w:val="bottom"/>
          </w:tcPr>
          <w:p>
            <w:pPr>
              <w:pStyle w:val="TableContents"/>
              <w:spacing w:before="0" w:after="283"/>
              <w:jc w:val="left"/>
              <w:rPr/>
            </w:pPr>
            <w:r>
              <w:rPr/>
              <w:t> </w:t>
            </w:r>
          </w:p>
        </w:tc>
        <w:tc>
          <w:tcPr>
            <w:tcW w:w="123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469,852</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94" w:type="dxa"/>
            <w:tcBorders>
              <w:bottom w:val="single" w:sz="12" w:space="0" w:color="000000"/>
            </w:tcBorders>
            <w:shd w:fill="CCEEFF" w:val="clear"/>
            <w:vAlign w:val="bottom"/>
          </w:tcPr>
          <w:p>
            <w:pPr>
              <w:pStyle w:val="TableContents"/>
              <w:spacing w:before="0" w:after="283"/>
              <w:jc w:val="left"/>
              <w:rPr/>
            </w:pPr>
            <w:r>
              <w:rPr/>
              <w:t> </w:t>
            </w:r>
          </w:p>
        </w:tc>
        <w:tc>
          <w:tcPr>
            <w:tcW w:w="144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398" w:type="dxa"/>
            <w:tcBorders>
              <w:bottom w:val="single" w:sz="12" w:space="0" w:color="000000"/>
            </w:tcBorders>
            <w:shd w:fill="CCEEFF" w:val="clear"/>
            <w:vAlign w:val="bottom"/>
          </w:tcPr>
          <w:p>
            <w:pPr>
              <w:pStyle w:val="TableContents"/>
              <w:spacing w:before="0" w:after="283"/>
              <w:jc w:val="left"/>
              <w:rPr/>
            </w:pPr>
            <w:r>
              <w:rPr/>
              <w:t> </w:t>
            </w:r>
          </w:p>
        </w:tc>
        <w:tc>
          <w:tcPr>
            <w:tcW w:w="72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left"/>
              <w:rPr/>
            </w:pPr>
            <w:r>
              <w:rPr/>
              <w:t> </w:t>
            </w:r>
          </w:p>
        </w:tc>
        <w:tc>
          <w:tcPr>
            <w:tcW w:w="162" w:type="dxa"/>
            <w:tcBorders>
              <w:bottom w:val="single" w:sz="12" w:space="0" w:color="000000"/>
            </w:tcBorders>
            <w:shd w:fill="CCEEFF" w:val="clear"/>
            <w:vAlign w:val="bottom"/>
          </w:tcPr>
          <w:p>
            <w:pPr>
              <w:pStyle w:val="TableContents"/>
              <w:spacing w:before="0" w:after="283"/>
              <w:jc w:val="left"/>
              <w:rPr/>
            </w:pPr>
            <w:r>
              <w:rPr/>
              <w:t> </w:t>
            </w:r>
          </w:p>
        </w:tc>
        <w:tc>
          <w:tcPr>
            <w:tcW w:w="132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469,852</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691"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2009 (unaudited)</w:t>
            </w:r>
          </w:p>
        </w:tc>
        <w:tc>
          <w:tcPr>
            <w:tcW w:w="107" w:type="dxa"/>
            <w:tcBorders/>
            <w:shd w:fill="FFFFFF" w:val="clear"/>
            <w:tcMar>
              <w:bottom w:w="0" w:type="dxa"/>
            </w:tcMar>
            <w:vAlign w:val="bottom"/>
          </w:tcPr>
          <w:p>
            <w:pPr>
              <w:pStyle w:val="TableContents"/>
              <w:spacing w:before="0" w:after="283"/>
              <w:jc w:val="left"/>
              <w:rPr/>
            </w:pPr>
            <w:r>
              <w:rPr/>
              <w:t> </w:t>
            </w:r>
          </w:p>
        </w:tc>
        <w:tc>
          <w:tcPr>
            <w:tcW w:w="16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2" w:type="dxa"/>
            <w:tcBorders>
              <w:bottom w:val="double" w:sz="8" w:space="0" w:color="000000"/>
            </w:tcBorders>
            <w:shd w:fill="FFFFFF" w:val="clear"/>
            <w:vAlign w:val="bottom"/>
          </w:tcPr>
          <w:p>
            <w:pPr>
              <w:pStyle w:val="TableContents"/>
              <w:spacing w:before="0" w:after="283"/>
              <w:ind w:left="154" w:right="0" w:hanging="0"/>
              <w:jc w:val="right"/>
              <w:rPr>
                <w:rFonts w:ascii="times new roman" w:hAnsi="times new roman"/>
                <w:sz w:val="20"/>
              </w:rPr>
            </w:pPr>
            <w:bookmarkStart w:id="3636" w:name="TAB11841"/>
            <w:bookmarkEnd w:id="3636"/>
            <w:r>
              <w:rPr>
                <w:rFonts w:ascii="times new roman" w:hAnsi="times new roman"/>
                <w:sz w:val="20"/>
              </w:rPr>
              <w:t>9,371,582</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9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43" w:type="dxa"/>
            <w:tcBorders>
              <w:bottom w:val="double" w:sz="8" w:space="0" w:color="000000"/>
            </w:tcBorders>
            <w:shd w:fill="FFFFFF" w:val="clear"/>
            <w:vAlign w:val="bottom"/>
          </w:tcPr>
          <w:p>
            <w:pPr>
              <w:pStyle w:val="TableContents"/>
              <w:spacing w:before="0" w:after="283"/>
              <w:ind w:left="164" w:right="0" w:hanging="0"/>
              <w:jc w:val="right"/>
              <w:rPr>
                <w:rFonts w:ascii="times new roman" w:hAnsi="times new roman"/>
                <w:sz w:val="20"/>
              </w:rPr>
            </w:pPr>
            <w:bookmarkStart w:id="3637" w:name="TAB11842"/>
            <w:bookmarkEnd w:id="3637"/>
            <w:r>
              <w:rPr>
                <w:rFonts w:ascii="times new roman" w:hAnsi="times new roman"/>
                <w:sz w:val="20"/>
              </w:rPr>
              <w:t>2,566,704</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398"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0" w:type="dxa"/>
            <w:tcBorders>
              <w:bottom w:val="double" w:sz="8" w:space="0" w:color="000000"/>
            </w:tcBorders>
            <w:shd w:fill="FFFFFF" w:val="clear"/>
            <w:vAlign w:val="bottom"/>
          </w:tcPr>
          <w:p>
            <w:pPr>
              <w:pStyle w:val="TableContents"/>
              <w:spacing w:before="0" w:after="283"/>
              <w:ind w:left="122" w:right="0" w:hanging="0"/>
              <w:jc w:val="right"/>
              <w:rPr>
                <w:rFonts w:ascii="times new roman" w:hAnsi="times new roman"/>
                <w:sz w:val="20"/>
              </w:rPr>
            </w:pPr>
            <w:bookmarkStart w:id="3638" w:name="TAB11843"/>
            <w:bookmarkEnd w:id="3638"/>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62"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11,938,286</w:t>
            </w:r>
          </w:p>
        </w:tc>
        <w:tc>
          <w:tcPr>
            <w:tcW w:w="131"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738"/>
        <w:gridCol w:w="105"/>
        <w:gridCol w:w="161"/>
        <w:gridCol w:w="1263"/>
        <w:gridCol w:w="122"/>
        <w:gridCol w:w="105"/>
        <w:gridCol w:w="206"/>
        <w:gridCol w:w="1409"/>
        <w:gridCol w:w="122"/>
        <w:gridCol w:w="105"/>
        <w:gridCol w:w="396"/>
        <w:gridCol w:w="697"/>
        <w:gridCol w:w="105"/>
        <w:gridCol w:w="105"/>
        <w:gridCol w:w="160"/>
        <w:gridCol w:w="1263"/>
        <w:gridCol w:w="143"/>
      </w:tblGrid>
      <w:tr>
        <w:trPr/>
        <w:tc>
          <w:tcPr>
            <w:tcW w:w="3738"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5" w:type="dxa"/>
            <w:tcBorders/>
            <w:shd w:fill="auto" w:val="clear"/>
            <w:tcMar>
              <w:bottom w:w="0" w:type="dxa"/>
            </w:tcMar>
            <w:vAlign w:val="bottom"/>
          </w:tcPr>
          <w:p>
            <w:pPr>
              <w:pStyle w:val="TableContents"/>
              <w:spacing w:before="0" w:after="283"/>
              <w:rPr/>
            </w:pPr>
            <w:r>
              <w:rPr/>
              <w:t> </w:t>
            </w:r>
          </w:p>
        </w:tc>
        <w:tc>
          <w:tcPr>
            <w:tcW w:w="142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Plant and Equipment</w:t>
            </w:r>
          </w:p>
        </w:tc>
        <w:tc>
          <w:tcPr>
            <w:tcW w:w="122"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61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Leasehold</w:t>
            </w:r>
          </w:p>
          <w:p>
            <w:pPr>
              <w:pStyle w:val="TableContents"/>
              <w:spacing w:before="0" w:after="0"/>
              <w:ind w:left="0" w:right="0" w:hanging="0"/>
              <w:jc w:val="center"/>
              <w:rPr>
                <w:rFonts w:ascii="times new roman" w:hAnsi="times new roman"/>
                <w:b/>
                <w:sz w:val="20"/>
              </w:rPr>
            </w:pPr>
            <w:r>
              <w:rPr>
                <w:rFonts w:ascii="times new roman" w:hAnsi="times new roman"/>
                <w:b/>
                <w:sz w:val="20"/>
              </w:rPr>
              <w:t>Improvements</w:t>
            </w:r>
          </w:p>
        </w:tc>
        <w:tc>
          <w:tcPr>
            <w:tcW w:w="122"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09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 WIP</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42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43" w:type="dxa"/>
            <w:tcBorders/>
            <w:shd w:fill="auto" w:val="clear"/>
            <w:tcMar>
              <w:bottom w:w="0" w:type="dxa"/>
            </w:tcMar>
            <w:vAlign w:val="bottom"/>
          </w:tcPr>
          <w:p>
            <w:pPr>
              <w:pStyle w:val="TableContents"/>
              <w:spacing w:before="0" w:after="283"/>
              <w:jc w:val="left"/>
              <w:rPr/>
            </w:pPr>
            <w:r>
              <w:rPr/>
              <w:t> </w:t>
            </w:r>
          </w:p>
        </w:tc>
      </w:tr>
      <w:tr>
        <w:trPr/>
        <w:tc>
          <w:tcPr>
            <w:tcW w:w="3738"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Depreciation</w:t>
            </w:r>
          </w:p>
        </w:tc>
        <w:tc>
          <w:tcPr>
            <w:tcW w:w="105" w:type="dxa"/>
            <w:tcBorders/>
            <w:shd w:fill="auto" w:val="clear"/>
            <w:tcMar>
              <w:bottom w:w="0" w:type="dxa"/>
            </w:tcMar>
            <w:vAlign w:val="bottom"/>
          </w:tcPr>
          <w:p>
            <w:pPr>
              <w:pStyle w:val="TableContents"/>
              <w:spacing w:before="0" w:after="283"/>
              <w:rPr/>
            </w:pPr>
            <w:r>
              <w:rPr/>
              <w:t> </w:t>
            </w:r>
          </w:p>
        </w:tc>
        <w:tc>
          <w:tcPr>
            <w:tcW w:w="1424" w:type="dxa"/>
            <w:gridSpan w:val="2"/>
            <w:tcBorders/>
            <w:shd w:fill="auto" w:val="clear"/>
            <w:tcMar>
              <w:bottom w:w="0" w:type="dxa"/>
            </w:tcMar>
            <w:vAlign w:val="bottom"/>
          </w:tcPr>
          <w:p>
            <w:pPr>
              <w:pStyle w:val="TableContents"/>
              <w:spacing w:before="0" w:after="283"/>
              <w:rPr/>
            </w:pPr>
            <w:r>
              <w:rPr/>
              <w:t> </w:t>
            </w:r>
          </w:p>
        </w:tc>
        <w:tc>
          <w:tcPr>
            <w:tcW w:w="122"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615" w:type="dxa"/>
            <w:gridSpan w:val="2"/>
            <w:tcBorders/>
            <w:shd w:fill="auto" w:val="clear"/>
            <w:tcMar>
              <w:bottom w:w="0" w:type="dxa"/>
            </w:tcMar>
            <w:vAlign w:val="bottom"/>
          </w:tcPr>
          <w:p>
            <w:pPr>
              <w:pStyle w:val="TableContents"/>
              <w:spacing w:before="0" w:after="283"/>
              <w:rPr/>
            </w:pPr>
            <w:r>
              <w:rPr/>
              <w:t> </w:t>
            </w:r>
          </w:p>
        </w:tc>
        <w:tc>
          <w:tcPr>
            <w:tcW w:w="122"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093" w:type="dxa"/>
            <w:gridSpan w:val="2"/>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423" w:type="dxa"/>
            <w:gridSpan w:val="2"/>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r>
      <w:tr>
        <w:trPr/>
        <w:tc>
          <w:tcPr>
            <w:tcW w:w="373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January 1, 2008 (unaudited)</w:t>
            </w:r>
          </w:p>
        </w:tc>
        <w:tc>
          <w:tcPr>
            <w:tcW w:w="105"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3" w:type="dxa"/>
            <w:tcBorders/>
            <w:shd w:fill="CCEEFF" w:val="clear"/>
            <w:tcMar>
              <w:bottom w:w="0" w:type="dxa"/>
            </w:tcMar>
            <w:vAlign w:val="bottom"/>
          </w:tcPr>
          <w:p>
            <w:pPr>
              <w:pStyle w:val="TableContents"/>
              <w:spacing w:before="0" w:after="283"/>
              <w:ind w:left="142" w:right="0" w:hanging="0"/>
              <w:jc w:val="right"/>
              <w:rPr>
                <w:rFonts w:ascii="times new roman" w:hAnsi="times new roman"/>
                <w:sz w:val="20"/>
              </w:rPr>
            </w:pPr>
            <w:bookmarkStart w:id="3639" w:name="TAB11844"/>
            <w:bookmarkEnd w:id="3639"/>
            <w:r>
              <w:rPr>
                <w:rFonts w:ascii="times new roman" w:hAnsi="times new roman"/>
                <w:sz w:val="20"/>
              </w:rPr>
              <w:t>(6,637,732</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20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09" w:type="dxa"/>
            <w:tcBorders/>
            <w:shd w:fill="CCEEFF" w:val="clear"/>
            <w:tcMar>
              <w:bottom w:w="0" w:type="dxa"/>
            </w:tcMar>
            <w:vAlign w:val="bottom"/>
          </w:tcPr>
          <w:p>
            <w:pPr>
              <w:pStyle w:val="TableContents"/>
              <w:spacing w:before="0" w:after="283"/>
              <w:ind w:left="152" w:right="0" w:hanging="0"/>
              <w:jc w:val="right"/>
              <w:rPr>
                <w:rFonts w:ascii="times new roman" w:hAnsi="times new roman"/>
                <w:sz w:val="20"/>
              </w:rPr>
            </w:pPr>
            <w:bookmarkStart w:id="3640" w:name="TAB11845"/>
            <w:bookmarkEnd w:id="3640"/>
            <w:r>
              <w:rPr>
                <w:rFonts w:ascii="times new roman" w:hAnsi="times new roman"/>
                <w:sz w:val="20"/>
              </w:rPr>
              <w:t>(701,676</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39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7" w:type="dxa"/>
            <w:tcBorders/>
            <w:shd w:fill="CCEEFF" w:val="clear"/>
            <w:tcMar>
              <w:bottom w:w="0" w:type="dxa"/>
            </w:tcMar>
            <w:vAlign w:val="bottom"/>
          </w:tcPr>
          <w:p>
            <w:pPr>
              <w:pStyle w:val="TableContents"/>
              <w:spacing w:before="0" w:after="283"/>
              <w:ind w:left="116" w:right="0" w:hanging="0"/>
              <w:jc w:val="right"/>
              <w:rPr>
                <w:rFonts w:ascii="times new roman" w:hAnsi="times new roman"/>
                <w:sz w:val="20"/>
              </w:rPr>
            </w:pPr>
            <w:bookmarkStart w:id="3641" w:name="TAB11846"/>
            <w:bookmarkEnd w:id="3641"/>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(7,339,408</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38"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 for the year</w:t>
            </w:r>
          </w:p>
        </w:tc>
        <w:tc>
          <w:tcPr>
            <w:tcW w:w="105" w:type="dxa"/>
            <w:tcBorders/>
            <w:shd w:fill="FFFF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FFFFFF" w:val="clear"/>
            <w:vAlign w:val="bottom"/>
          </w:tcPr>
          <w:p>
            <w:pPr>
              <w:pStyle w:val="TableContents"/>
              <w:spacing w:before="0" w:after="283"/>
              <w:jc w:val="left"/>
              <w:rPr/>
            </w:pPr>
            <w:r>
              <w:rPr/>
              <w:t> </w:t>
            </w:r>
          </w:p>
        </w:tc>
        <w:tc>
          <w:tcPr>
            <w:tcW w:w="126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(597,033</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206" w:type="dxa"/>
            <w:tcBorders>
              <w:bottom w:val="single" w:sz="12" w:space="0" w:color="000000"/>
            </w:tcBorders>
            <w:shd w:fill="FFFFFF" w:val="clear"/>
            <w:vAlign w:val="bottom"/>
          </w:tcPr>
          <w:p>
            <w:pPr>
              <w:pStyle w:val="TableContents"/>
              <w:spacing w:before="0" w:after="283"/>
              <w:jc w:val="left"/>
              <w:rPr/>
            </w:pPr>
            <w:r>
              <w:rPr/>
              <w:t> </w:t>
            </w:r>
          </w:p>
        </w:tc>
        <w:tc>
          <w:tcPr>
            <w:tcW w:w="140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(85,910</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396" w:type="dxa"/>
            <w:tcBorders>
              <w:bottom w:val="single" w:sz="12" w:space="0" w:color="000000"/>
            </w:tcBorders>
            <w:shd w:fill="FFFFFF" w:val="clear"/>
            <w:vAlign w:val="bottom"/>
          </w:tcPr>
          <w:p>
            <w:pPr>
              <w:pStyle w:val="TableContents"/>
              <w:spacing w:before="0" w:after="283"/>
              <w:jc w:val="left"/>
              <w:rPr/>
            </w:pPr>
            <w:r>
              <w:rPr/>
              <w:t> </w:t>
            </w:r>
          </w:p>
        </w:tc>
        <w:tc>
          <w:tcPr>
            <w:tcW w:w="69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60" w:type="dxa"/>
            <w:tcBorders>
              <w:bottom w:val="single" w:sz="12" w:space="0" w:color="000000"/>
            </w:tcBorders>
            <w:shd w:fill="FFFFFF" w:val="clear"/>
            <w:vAlign w:val="bottom"/>
          </w:tcPr>
          <w:p>
            <w:pPr>
              <w:pStyle w:val="TableContents"/>
              <w:spacing w:before="0" w:after="283"/>
              <w:jc w:val="left"/>
              <w:rPr/>
            </w:pPr>
            <w:r>
              <w:rPr/>
              <w:t> </w:t>
            </w:r>
          </w:p>
        </w:tc>
        <w:tc>
          <w:tcPr>
            <w:tcW w:w="126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(682,943</w:t>
            </w:r>
          </w:p>
        </w:tc>
        <w:tc>
          <w:tcPr>
            <w:tcW w:w="14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38"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December 31, 2008 (unaudited)</w:t>
            </w:r>
          </w:p>
        </w:tc>
        <w:tc>
          <w:tcPr>
            <w:tcW w:w="105" w:type="dxa"/>
            <w:tcBorders/>
            <w:shd w:fill="CCEE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3" w:type="dxa"/>
            <w:tcBorders>
              <w:bottom w:val="single" w:sz="12" w:space="0" w:color="000000"/>
            </w:tcBorders>
            <w:shd w:fill="CCEEFF" w:val="clear"/>
            <w:vAlign w:val="bottom"/>
          </w:tcPr>
          <w:p>
            <w:pPr>
              <w:pStyle w:val="TableContents"/>
              <w:spacing w:before="0" w:after="283"/>
              <w:ind w:left="142" w:right="0" w:hanging="0"/>
              <w:jc w:val="right"/>
              <w:rPr>
                <w:rFonts w:ascii="times new roman" w:hAnsi="times new roman"/>
                <w:sz w:val="20"/>
              </w:rPr>
            </w:pPr>
            <w:bookmarkStart w:id="3642" w:name="TAB11847"/>
            <w:bookmarkEnd w:id="3642"/>
            <w:r>
              <w:rPr>
                <w:rFonts w:ascii="times new roman" w:hAnsi="times new roman"/>
                <w:sz w:val="20"/>
              </w:rPr>
              <w:t>(7,234,765</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206"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09" w:type="dxa"/>
            <w:tcBorders>
              <w:bottom w:val="single" w:sz="12" w:space="0" w:color="000000"/>
            </w:tcBorders>
            <w:shd w:fill="CCEEFF" w:val="clear"/>
            <w:vAlign w:val="bottom"/>
          </w:tcPr>
          <w:p>
            <w:pPr>
              <w:pStyle w:val="TableContents"/>
              <w:spacing w:before="0" w:after="283"/>
              <w:ind w:left="152" w:right="0" w:hanging="0"/>
              <w:jc w:val="right"/>
              <w:rPr>
                <w:rFonts w:ascii="times new roman" w:hAnsi="times new roman"/>
                <w:sz w:val="20"/>
              </w:rPr>
            </w:pPr>
            <w:bookmarkStart w:id="3643" w:name="TAB11848"/>
            <w:bookmarkEnd w:id="3643"/>
            <w:r>
              <w:rPr>
                <w:rFonts w:ascii="times new roman" w:hAnsi="times new roman"/>
                <w:sz w:val="20"/>
              </w:rPr>
              <w:t>(787,586</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396"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7" w:type="dxa"/>
            <w:tcBorders>
              <w:bottom w:val="single" w:sz="12" w:space="0" w:color="000000"/>
            </w:tcBorders>
            <w:shd w:fill="CCEEFF" w:val="clear"/>
            <w:vAlign w:val="bottom"/>
          </w:tcPr>
          <w:p>
            <w:pPr>
              <w:pStyle w:val="TableContents"/>
              <w:spacing w:before="0" w:after="283"/>
              <w:ind w:left="116" w:right="0" w:hanging="0"/>
              <w:jc w:val="right"/>
              <w:rPr>
                <w:rFonts w:ascii="times new roman" w:hAnsi="times new roman"/>
                <w:sz w:val="20"/>
              </w:rPr>
            </w:pPr>
            <w:bookmarkStart w:id="3644" w:name="TAB11849"/>
            <w:bookmarkEnd w:id="3644"/>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60"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(8,022,351</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38" w:type="dxa"/>
            <w:tcBorders/>
            <w:shd w:fill="FFFFFF" w:val="clear"/>
            <w:tcMar>
              <w:bottom w:w="0" w:type="dxa"/>
            </w:tcMar>
            <w:vAlign w:val="bottom"/>
          </w:tcPr>
          <w:p>
            <w:pPr>
              <w:pStyle w:val="TableContents"/>
              <w:spacing w:before="0" w:after="283"/>
              <w:rPr/>
            </w:pPr>
            <w:r>
              <w:rPr/>
              <w:t xml:space="preserve">  </w:t>
            </w:r>
          </w:p>
        </w:tc>
        <w:tc>
          <w:tcPr>
            <w:tcW w:w="105"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263"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206" w:type="dxa"/>
            <w:tcBorders/>
            <w:shd w:fill="FFFFFF" w:val="clear"/>
            <w:tcMar>
              <w:bottom w:w="0" w:type="dxa"/>
            </w:tcMar>
            <w:vAlign w:val="bottom"/>
          </w:tcPr>
          <w:p>
            <w:pPr>
              <w:pStyle w:val="TableContents"/>
              <w:spacing w:before="0" w:after="283"/>
              <w:jc w:val="left"/>
              <w:rPr/>
            </w:pPr>
            <w:r>
              <w:rPr/>
              <w:t> </w:t>
            </w:r>
          </w:p>
        </w:tc>
        <w:tc>
          <w:tcPr>
            <w:tcW w:w="140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396" w:type="dxa"/>
            <w:tcBorders/>
            <w:shd w:fill="FFFFFF" w:val="clear"/>
            <w:tcMar>
              <w:bottom w:w="0" w:type="dxa"/>
            </w:tcMar>
            <w:vAlign w:val="bottom"/>
          </w:tcPr>
          <w:p>
            <w:pPr>
              <w:pStyle w:val="TableContents"/>
              <w:spacing w:before="0" w:after="283"/>
              <w:jc w:val="left"/>
              <w:rPr/>
            </w:pPr>
            <w:r>
              <w:rPr/>
              <w:t> </w:t>
            </w:r>
          </w:p>
        </w:tc>
        <w:tc>
          <w:tcPr>
            <w:tcW w:w="697"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60" w:type="dxa"/>
            <w:tcBorders/>
            <w:shd w:fill="FFFFFF" w:val="clear"/>
            <w:tcMar>
              <w:bottom w:w="0" w:type="dxa"/>
            </w:tcMar>
            <w:vAlign w:val="bottom"/>
          </w:tcPr>
          <w:p>
            <w:pPr>
              <w:pStyle w:val="TableContents"/>
              <w:spacing w:before="0" w:after="283"/>
              <w:jc w:val="left"/>
              <w:rPr/>
            </w:pPr>
            <w:r>
              <w:rPr/>
              <w:t> </w:t>
            </w:r>
          </w:p>
        </w:tc>
        <w:tc>
          <w:tcPr>
            <w:tcW w:w="1263" w:type="dxa"/>
            <w:tcBorders/>
            <w:shd w:fill="FFFFFF" w:val="clear"/>
            <w:tcMar>
              <w:bottom w:w="0" w:type="dxa"/>
            </w:tcMar>
            <w:vAlign w:val="bottom"/>
          </w:tcPr>
          <w:p>
            <w:pPr>
              <w:pStyle w:val="TableContents"/>
              <w:spacing w:before="0" w:after="283"/>
              <w:jc w:val="right"/>
              <w:rPr/>
            </w:pPr>
            <w:r>
              <w:rPr/>
              <w:t> </w:t>
            </w:r>
          </w:p>
        </w:tc>
        <w:tc>
          <w:tcPr>
            <w:tcW w:w="143" w:type="dxa"/>
            <w:tcBorders/>
            <w:shd w:fill="FFFFFF" w:val="clear"/>
            <w:tcMar>
              <w:bottom w:w="0" w:type="dxa"/>
            </w:tcMar>
            <w:vAlign w:val="bottom"/>
          </w:tcPr>
          <w:p>
            <w:pPr>
              <w:pStyle w:val="TableContents"/>
              <w:spacing w:before="0" w:after="283"/>
              <w:jc w:val="left"/>
              <w:rPr/>
            </w:pPr>
            <w:r>
              <w:rPr/>
              <w:t> </w:t>
            </w:r>
          </w:p>
        </w:tc>
      </w:tr>
      <w:tr>
        <w:trPr/>
        <w:tc>
          <w:tcPr>
            <w:tcW w:w="3738"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January 1, 2009 (unaudited)</w:t>
            </w:r>
          </w:p>
        </w:tc>
        <w:tc>
          <w:tcPr>
            <w:tcW w:w="105" w:type="dxa"/>
            <w:tcBorders/>
            <w:shd w:fill="FFFFFF" w:val="clear"/>
            <w:tcMar>
              <w:bottom w:w="0" w:type="dxa"/>
            </w:tcMar>
            <w:vAlign w:val="bottom"/>
          </w:tcPr>
          <w:p>
            <w:pPr>
              <w:pStyle w:val="TableContents"/>
              <w:spacing w:before="0" w:after="283"/>
              <w:jc w:val="left"/>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26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(7,234,765</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206" w:type="dxa"/>
            <w:tcBorders/>
            <w:shd w:fill="FFFFFF" w:val="clear"/>
            <w:tcMar>
              <w:bottom w:w="0" w:type="dxa"/>
            </w:tcMar>
            <w:vAlign w:val="bottom"/>
          </w:tcPr>
          <w:p>
            <w:pPr>
              <w:pStyle w:val="TableContents"/>
              <w:spacing w:before="0" w:after="283"/>
              <w:jc w:val="left"/>
              <w:rPr/>
            </w:pPr>
            <w:r>
              <w:rPr/>
              <w:t> </w:t>
            </w:r>
          </w:p>
        </w:tc>
        <w:tc>
          <w:tcPr>
            <w:tcW w:w="140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(787,586</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396" w:type="dxa"/>
            <w:tcBorders/>
            <w:shd w:fill="FFFFFF" w:val="clear"/>
            <w:tcMar>
              <w:bottom w:w="0" w:type="dxa"/>
            </w:tcMar>
            <w:vAlign w:val="bottom"/>
          </w:tcPr>
          <w:p>
            <w:pPr>
              <w:pStyle w:val="TableContents"/>
              <w:spacing w:before="0" w:after="283"/>
              <w:jc w:val="left"/>
              <w:rPr/>
            </w:pPr>
            <w:r>
              <w:rPr/>
              <w:t> </w:t>
            </w:r>
          </w:p>
        </w:tc>
        <w:tc>
          <w:tcPr>
            <w:tcW w:w="69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60" w:type="dxa"/>
            <w:tcBorders/>
            <w:shd w:fill="FFFFFF" w:val="clear"/>
            <w:tcMar>
              <w:bottom w:w="0" w:type="dxa"/>
            </w:tcMar>
            <w:vAlign w:val="bottom"/>
          </w:tcPr>
          <w:p>
            <w:pPr>
              <w:pStyle w:val="TableContents"/>
              <w:spacing w:before="0" w:after="283"/>
              <w:jc w:val="left"/>
              <w:rPr/>
            </w:pPr>
            <w:r>
              <w:rPr/>
              <w:t> </w:t>
            </w:r>
          </w:p>
        </w:tc>
        <w:tc>
          <w:tcPr>
            <w:tcW w:w="126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(8,022,351</w:t>
            </w:r>
          </w:p>
        </w:tc>
        <w:tc>
          <w:tcPr>
            <w:tcW w:w="14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38"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 for the year</w:t>
            </w:r>
          </w:p>
        </w:tc>
        <w:tc>
          <w:tcPr>
            <w:tcW w:w="105" w:type="dxa"/>
            <w:tcBorders/>
            <w:shd w:fill="CCEE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CCEEFF" w:val="clear"/>
            <w:vAlign w:val="bottom"/>
          </w:tcPr>
          <w:p>
            <w:pPr>
              <w:pStyle w:val="TableContents"/>
              <w:spacing w:before="0" w:after="283"/>
              <w:jc w:val="left"/>
              <w:rPr/>
            </w:pPr>
            <w:r>
              <w:rPr/>
              <w:t> </w:t>
            </w:r>
          </w:p>
        </w:tc>
        <w:tc>
          <w:tcPr>
            <w:tcW w:w="126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(521,938</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206" w:type="dxa"/>
            <w:tcBorders>
              <w:bottom w:val="single" w:sz="12" w:space="0" w:color="000000"/>
            </w:tcBorders>
            <w:shd w:fill="CCEEFF" w:val="clear"/>
            <w:vAlign w:val="bottom"/>
          </w:tcPr>
          <w:p>
            <w:pPr>
              <w:pStyle w:val="TableContents"/>
              <w:spacing w:before="0" w:after="283"/>
              <w:jc w:val="left"/>
              <w:rPr/>
            </w:pPr>
            <w:r>
              <w:rPr/>
              <w:t> </w:t>
            </w:r>
          </w:p>
        </w:tc>
        <w:tc>
          <w:tcPr>
            <w:tcW w:w="1409"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(91,237</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396" w:type="dxa"/>
            <w:tcBorders>
              <w:bottom w:val="single" w:sz="12" w:space="0" w:color="000000"/>
            </w:tcBorders>
            <w:shd w:fill="CCEEFF" w:val="clear"/>
            <w:vAlign w:val="bottom"/>
          </w:tcPr>
          <w:p>
            <w:pPr>
              <w:pStyle w:val="TableContents"/>
              <w:spacing w:before="0" w:after="283"/>
              <w:jc w:val="left"/>
              <w:rPr/>
            </w:pPr>
            <w:r>
              <w:rPr/>
              <w:t> </w:t>
            </w:r>
          </w:p>
        </w:tc>
        <w:tc>
          <w:tcPr>
            <w:tcW w:w="69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60" w:type="dxa"/>
            <w:tcBorders>
              <w:bottom w:val="single" w:sz="12" w:space="0" w:color="000000"/>
            </w:tcBorders>
            <w:shd w:fill="CCEEFF" w:val="clear"/>
            <w:vAlign w:val="bottom"/>
          </w:tcPr>
          <w:p>
            <w:pPr>
              <w:pStyle w:val="TableContents"/>
              <w:spacing w:before="0" w:after="283"/>
              <w:jc w:val="left"/>
              <w:rPr/>
            </w:pPr>
            <w:r>
              <w:rPr/>
              <w:t> </w:t>
            </w:r>
          </w:p>
        </w:tc>
        <w:tc>
          <w:tcPr>
            <w:tcW w:w="126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(613,175</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38"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December 31, 2009 (unaudited)</w:t>
            </w:r>
          </w:p>
        </w:tc>
        <w:tc>
          <w:tcPr>
            <w:tcW w:w="105" w:type="dxa"/>
            <w:tcBorders/>
            <w:shd w:fill="FFFFFF" w:val="clear"/>
            <w:tcMar>
              <w:bottom w:w="0" w:type="dxa"/>
            </w:tcMar>
            <w:vAlign w:val="bottom"/>
          </w:tcPr>
          <w:p>
            <w:pPr>
              <w:pStyle w:val="TableContents"/>
              <w:spacing w:before="0" w:after="283"/>
              <w:jc w:val="left"/>
              <w:rPr/>
            </w:pPr>
            <w:r>
              <w:rPr/>
              <w:t> </w:t>
            </w:r>
          </w:p>
        </w:tc>
        <w:tc>
          <w:tcPr>
            <w:tcW w:w="161"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3" w:type="dxa"/>
            <w:tcBorders>
              <w:bottom w:val="double" w:sz="8" w:space="0" w:color="000000"/>
            </w:tcBorders>
            <w:shd w:fill="FFFFFF" w:val="clear"/>
            <w:vAlign w:val="bottom"/>
          </w:tcPr>
          <w:p>
            <w:pPr>
              <w:pStyle w:val="TableContents"/>
              <w:spacing w:before="0" w:after="283"/>
              <w:ind w:left="142" w:right="0" w:hanging="0"/>
              <w:jc w:val="right"/>
              <w:rPr>
                <w:rFonts w:ascii="times new roman" w:hAnsi="times new roman"/>
                <w:sz w:val="20"/>
              </w:rPr>
            </w:pPr>
            <w:bookmarkStart w:id="3645" w:name="TAB11850"/>
            <w:bookmarkEnd w:id="3645"/>
            <w:r>
              <w:rPr>
                <w:rFonts w:ascii="times new roman" w:hAnsi="times new roman"/>
                <w:sz w:val="20"/>
              </w:rPr>
              <w:t>(7,756,703</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20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09" w:type="dxa"/>
            <w:tcBorders>
              <w:bottom w:val="double" w:sz="8" w:space="0" w:color="000000"/>
            </w:tcBorders>
            <w:shd w:fill="FFFFFF" w:val="clear"/>
            <w:vAlign w:val="bottom"/>
          </w:tcPr>
          <w:p>
            <w:pPr>
              <w:pStyle w:val="TableContents"/>
              <w:spacing w:before="0" w:after="283"/>
              <w:ind w:left="152" w:right="0" w:hanging="0"/>
              <w:jc w:val="right"/>
              <w:rPr>
                <w:rFonts w:ascii="times new roman" w:hAnsi="times new roman"/>
                <w:sz w:val="20"/>
              </w:rPr>
            </w:pPr>
            <w:bookmarkStart w:id="3646" w:name="TAB11851"/>
            <w:bookmarkEnd w:id="3646"/>
            <w:r>
              <w:rPr>
                <w:rFonts w:ascii="times new roman" w:hAnsi="times new roman"/>
                <w:sz w:val="20"/>
              </w:rPr>
              <w:t>(878,823</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39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7" w:type="dxa"/>
            <w:tcBorders>
              <w:bottom w:val="double" w:sz="8" w:space="0" w:color="000000"/>
            </w:tcBorders>
            <w:shd w:fill="FFFFFF" w:val="clear"/>
            <w:vAlign w:val="bottom"/>
          </w:tcPr>
          <w:p>
            <w:pPr>
              <w:pStyle w:val="TableContents"/>
              <w:spacing w:before="0" w:after="283"/>
              <w:ind w:left="116" w:right="0" w:hanging="0"/>
              <w:jc w:val="right"/>
              <w:rPr>
                <w:rFonts w:ascii="times new roman" w:hAnsi="times new roman"/>
                <w:sz w:val="20"/>
              </w:rPr>
            </w:pPr>
            <w:bookmarkStart w:id="3647" w:name="TAB11852"/>
            <w:bookmarkEnd w:id="3647"/>
            <w:r>
              <w:rPr>
                <w:rFonts w:ascii="times new roman" w:hAnsi="times new roman"/>
                <w:sz w:val="20"/>
              </w:rPr>
              <w:t>--</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6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3"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(8,635,526</w:t>
            </w:r>
          </w:p>
        </w:tc>
        <w:tc>
          <w:tcPr>
            <w:tcW w:w="14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748"/>
        <w:gridCol w:w="108"/>
        <w:gridCol w:w="164"/>
        <w:gridCol w:w="1238"/>
        <w:gridCol w:w="108"/>
        <w:gridCol w:w="108"/>
        <w:gridCol w:w="195"/>
        <w:gridCol w:w="1447"/>
        <w:gridCol w:w="108"/>
        <w:gridCol w:w="108"/>
        <w:gridCol w:w="397"/>
        <w:gridCol w:w="730"/>
        <w:gridCol w:w="107"/>
        <w:gridCol w:w="108"/>
        <w:gridCol w:w="164"/>
        <w:gridCol w:w="1238"/>
        <w:gridCol w:w="129"/>
      </w:tblGrid>
      <w:tr>
        <w:trPr/>
        <w:tc>
          <w:tcPr>
            <w:tcW w:w="3748"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8" w:type="dxa"/>
            <w:tcBorders/>
            <w:shd w:fill="auto" w:val="clear"/>
            <w:tcMar>
              <w:bottom w:w="0" w:type="dxa"/>
            </w:tcMar>
            <w:vAlign w:val="bottom"/>
          </w:tcPr>
          <w:p>
            <w:pPr>
              <w:pStyle w:val="TableContents"/>
              <w:spacing w:before="0" w:after="283"/>
              <w:rPr/>
            </w:pPr>
            <w:r>
              <w:rPr/>
              <w:t> </w:t>
            </w:r>
          </w:p>
        </w:tc>
        <w:tc>
          <w:tcPr>
            <w:tcW w:w="140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Plant and Equipment</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64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Leasehold Improvements</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2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 WIP</w:t>
            </w:r>
          </w:p>
        </w:tc>
        <w:tc>
          <w:tcPr>
            <w:tcW w:w="107"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40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9" w:type="dxa"/>
            <w:tcBorders/>
            <w:shd w:fill="auto" w:val="clear"/>
            <w:tcMar>
              <w:bottom w:w="0" w:type="dxa"/>
            </w:tcMar>
            <w:vAlign w:val="bottom"/>
          </w:tcPr>
          <w:p>
            <w:pPr>
              <w:pStyle w:val="TableContents"/>
              <w:spacing w:before="0" w:after="283"/>
              <w:jc w:val="left"/>
              <w:rPr/>
            </w:pPr>
            <w:r>
              <w:rPr/>
              <w:t> </w:t>
            </w:r>
          </w:p>
        </w:tc>
      </w:tr>
      <w:tr>
        <w:trPr/>
        <w:tc>
          <w:tcPr>
            <w:tcW w:w="3748"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Carrying amounts</w:t>
            </w:r>
          </w:p>
        </w:tc>
        <w:tc>
          <w:tcPr>
            <w:tcW w:w="108" w:type="dxa"/>
            <w:tcBorders/>
            <w:shd w:fill="auto" w:val="clear"/>
            <w:tcMar>
              <w:bottom w:w="0" w:type="dxa"/>
            </w:tcMar>
            <w:vAlign w:val="bottom"/>
          </w:tcPr>
          <w:p>
            <w:pPr>
              <w:pStyle w:val="TableContents"/>
              <w:spacing w:before="0" w:after="283"/>
              <w:rPr/>
            </w:pPr>
            <w:r>
              <w:rPr/>
              <w:t> </w:t>
            </w:r>
          </w:p>
        </w:tc>
        <w:tc>
          <w:tcPr>
            <w:tcW w:w="1402" w:type="dxa"/>
            <w:gridSpan w:val="2"/>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642" w:type="dxa"/>
            <w:gridSpan w:val="2"/>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27" w:type="dxa"/>
            <w:gridSpan w:val="2"/>
            <w:tcBorders/>
            <w:shd w:fill="auto" w:val="clear"/>
            <w:tcMar>
              <w:bottom w:w="0" w:type="dxa"/>
            </w:tcMar>
            <w:vAlign w:val="bottom"/>
          </w:tcPr>
          <w:p>
            <w:pPr>
              <w:pStyle w:val="TableContents"/>
              <w:spacing w:before="0" w:after="283"/>
              <w:rPr/>
            </w:pPr>
            <w:r>
              <w:rPr/>
              <w:t> </w:t>
            </w:r>
          </w:p>
        </w:tc>
        <w:tc>
          <w:tcPr>
            <w:tcW w:w="107"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402" w:type="dxa"/>
            <w:gridSpan w:val="2"/>
            <w:tcBorders/>
            <w:shd w:fill="auto" w:val="clear"/>
            <w:tcMar>
              <w:bottom w:w="0" w:type="dxa"/>
            </w:tcMar>
            <w:vAlign w:val="bottom"/>
          </w:tcPr>
          <w:p>
            <w:pPr>
              <w:pStyle w:val="TableContents"/>
              <w:spacing w:before="0" w:after="283"/>
              <w:rPr/>
            </w:pPr>
            <w:r>
              <w:rPr/>
              <w:t> </w:t>
            </w:r>
          </w:p>
        </w:tc>
        <w:tc>
          <w:tcPr>
            <w:tcW w:w="129" w:type="dxa"/>
            <w:tcBorders/>
            <w:shd w:fill="auto" w:val="clear"/>
            <w:tcMar>
              <w:bottom w:w="0" w:type="dxa"/>
            </w:tcMar>
            <w:vAlign w:val="bottom"/>
          </w:tcPr>
          <w:p>
            <w:pPr>
              <w:pStyle w:val="TableContents"/>
              <w:spacing w:before="0" w:after="283"/>
              <w:jc w:val="left"/>
              <w:rPr/>
            </w:pPr>
            <w:r>
              <w:rPr/>
              <w:t> </w:t>
            </w:r>
          </w:p>
        </w:tc>
      </w:tr>
      <w:tr>
        <w:trPr/>
        <w:tc>
          <w:tcPr>
            <w:tcW w:w="3748"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At January 1, 2008 (unaudited)</w:t>
            </w:r>
          </w:p>
        </w:tc>
        <w:tc>
          <w:tcPr>
            <w:tcW w:w="108" w:type="dxa"/>
            <w:tcBorders/>
            <w:shd w:fill="CCEEFF" w:val="clear"/>
            <w:tcMar>
              <w:bottom w:w="0" w:type="dxa"/>
            </w:tcMar>
            <w:vAlign w:val="bottom"/>
          </w:tcPr>
          <w:p>
            <w:pPr>
              <w:pStyle w:val="TableContents"/>
              <w:spacing w:before="0" w:after="283"/>
              <w:jc w:val="left"/>
              <w:rPr/>
            </w:pPr>
            <w:r>
              <w:rPr/>
              <w:t> </w:t>
            </w:r>
          </w:p>
        </w:tc>
        <w:tc>
          <w:tcPr>
            <w:tcW w:w="16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8" w:type="dxa"/>
            <w:tcBorders/>
            <w:shd w:fill="CCEEFF" w:val="clear"/>
            <w:tcMar>
              <w:bottom w:w="0" w:type="dxa"/>
            </w:tcMar>
            <w:vAlign w:val="bottom"/>
          </w:tcPr>
          <w:p>
            <w:pPr>
              <w:pStyle w:val="TableContents"/>
              <w:spacing w:before="0" w:after="283"/>
              <w:ind w:left="162" w:right="0" w:hanging="0"/>
              <w:jc w:val="right"/>
              <w:rPr>
                <w:rFonts w:ascii="times new roman" w:hAnsi="times new roman"/>
                <w:sz w:val="20"/>
              </w:rPr>
            </w:pPr>
            <w:bookmarkStart w:id="3648" w:name="TAB11853"/>
            <w:bookmarkEnd w:id="3648"/>
            <w:r>
              <w:rPr>
                <w:rFonts w:ascii="times new roman" w:hAnsi="times new roman"/>
                <w:sz w:val="20"/>
              </w:rPr>
              <w:t>2,032,842</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9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47" w:type="dxa"/>
            <w:tcBorders/>
            <w:shd w:fill="CCEEFF" w:val="clear"/>
            <w:tcMar>
              <w:bottom w:w="0" w:type="dxa"/>
            </w:tcMar>
            <w:vAlign w:val="bottom"/>
          </w:tcPr>
          <w:p>
            <w:pPr>
              <w:pStyle w:val="TableContents"/>
              <w:spacing w:before="0" w:after="283"/>
              <w:ind w:left="140" w:right="0" w:hanging="0"/>
              <w:jc w:val="right"/>
              <w:rPr>
                <w:rFonts w:ascii="times new roman" w:hAnsi="times new roman"/>
                <w:sz w:val="20"/>
              </w:rPr>
            </w:pPr>
            <w:bookmarkStart w:id="3649" w:name="TAB11854"/>
            <w:bookmarkEnd w:id="3649"/>
            <w:r>
              <w:rPr>
                <w:rFonts w:ascii="times new roman" w:hAnsi="times new roman"/>
                <w:sz w:val="20"/>
              </w:rPr>
              <w:t>1,865,028</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39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0" w:type="dxa"/>
            <w:tcBorders/>
            <w:shd w:fill="CCEEFF" w:val="clear"/>
            <w:tcMar>
              <w:bottom w:w="0" w:type="dxa"/>
            </w:tcMar>
            <w:vAlign w:val="bottom"/>
          </w:tcPr>
          <w:p>
            <w:pPr>
              <w:pStyle w:val="TableContents"/>
              <w:spacing w:before="0" w:after="283"/>
              <w:ind w:left="117" w:right="0" w:hanging="0"/>
              <w:jc w:val="right"/>
              <w:rPr>
                <w:rFonts w:ascii="times new roman" w:hAnsi="times new roman"/>
                <w:sz w:val="20"/>
              </w:rPr>
            </w:pPr>
            <w:bookmarkStart w:id="3650" w:name="TAB11855"/>
            <w:bookmarkEnd w:id="3650"/>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6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8" w:type="dxa"/>
            <w:tcBorders/>
            <w:shd w:fill="CCEEFF" w:val="clear"/>
            <w:tcMar>
              <w:bottom w:w="0" w:type="dxa"/>
            </w:tcMar>
            <w:vAlign w:val="bottom"/>
          </w:tcPr>
          <w:p>
            <w:pPr>
              <w:pStyle w:val="TableContents"/>
              <w:spacing w:before="0" w:after="283"/>
              <w:ind w:left="5" w:right="0" w:hanging="0"/>
              <w:jc w:val="right"/>
              <w:rPr>
                <w:rFonts w:ascii="times new roman" w:hAnsi="times new roman"/>
                <w:sz w:val="20"/>
              </w:rPr>
            </w:pPr>
            <w:bookmarkStart w:id="3651" w:name="TAB11856"/>
            <w:bookmarkEnd w:id="3651"/>
            <w:r>
              <w:rPr>
                <w:rFonts w:ascii="times new roman" w:hAnsi="times new roman"/>
                <w:sz w:val="20"/>
              </w:rPr>
              <w:t>3,897,870</w:t>
            </w:r>
          </w:p>
        </w:tc>
        <w:tc>
          <w:tcPr>
            <w:tcW w:w="129" w:type="dxa"/>
            <w:tcBorders/>
            <w:shd w:fill="CCEEFF" w:val="clear"/>
            <w:tcMar>
              <w:bottom w:w="0" w:type="dxa"/>
            </w:tcMar>
            <w:vAlign w:val="bottom"/>
          </w:tcPr>
          <w:p>
            <w:pPr>
              <w:pStyle w:val="TableContents"/>
              <w:spacing w:before="0" w:after="283"/>
              <w:jc w:val="left"/>
              <w:rPr/>
            </w:pPr>
            <w:r>
              <w:rPr/>
              <w:t> </w:t>
            </w:r>
          </w:p>
        </w:tc>
      </w:tr>
      <w:tr>
        <w:trPr/>
        <w:tc>
          <w:tcPr>
            <w:tcW w:w="3748"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At December 31, 2008 (unaudited)</w:t>
            </w:r>
          </w:p>
        </w:tc>
        <w:tc>
          <w:tcPr>
            <w:tcW w:w="108" w:type="dxa"/>
            <w:tcBorders/>
            <w:shd w:fill="FFFFFF" w:val="clear"/>
            <w:tcMar>
              <w:bottom w:w="0" w:type="dxa"/>
            </w:tcMar>
            <w:vAlign w:val="bottom"/>
          </w:tcPr>
          <w:p>
            <w:pPr>
              <w:pStyle w:val="TableContents"/>
              <w:spacing w:before="0" w:after="283"/>
              <w:jc w:val="left"/>
              <w:rPr/>
            </w:pPr>
            <w:r>
              <w:rPr/>
              <w:t> </w:t>
            </w:r>
          </w:p>
        </w:tc>
        <w:tc>
          <w:tcPr>
            <w:tcW w:w="164" w:type="dxa"/>
            <w:tcBorders/>
            <w:shd w:fill="FFFFFF" w:val="clear"/>
            <w:tcMar>
              <w:bottom w:w="0" w:type="dxa"/>
            </w:tcMar>
            <w:vAlign w:val="bottom"/>
          </w:tcPr>
          <w:p>
            <w:pPr>
              <w:pStyle w:val="TableContents"/>
              <w:spacing w:before="0" w:after="283"/>
              <w:jc w:val="left"/>
              <w:rPr/>
            </w:pPr>
            <w:r>
              <w:rPr/>
              <w:t> </w:t>
            </w:r>
          </w:p>
        </w:tc>
        <w:tc>
          <w:tcPr>
            <w:tcW w:w="123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1,666,965</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44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1,779,118</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397" w:type="dxa"/>
            <w:tcBorders/>
            <w:shd w:fill="FFFFFF" w:val="clear"/>
            <w:tcMar>
              <w:bottom w:w="0" w:type="dxa"/>
            </w:tcMar>
            <w:vAlign w:val="bottom"/>
          </w:tcPr>
          <w:p>
            <w:pPr>
              <w:pStyle w:val="TableContents"/>
              <w:spacing w:before="0" w:after="283"/>
              <w:jc w:val="left"/>
              <w:rPr/>
            </w:pPr>
            <w:r>
              <w:rPr/>
              <w:t> </w:t>
            </w:r>
          </w:p>
        </w:tc>
        <w:tc>
          <w:tcPr>
            <w:tcW w:w="73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64" w:type="dxa"/>
            <w:tcBorders/>
            <w:shd w:fill="FFFFFF" w:val="clear"/>
            <w:tcMar>
              <w:bottom w:w="0" w:type="dxa"/>
            </w:tcMar>
            <w:vAlign w:val="bottom"/>
          </w:tcPr>
          <w:p>
            <w:pPr>
              <w:pStyle w:val="TableContents"/>
              <w:spacing w:before="0" w:after="283"/>
              <w:jc w:val="left"/>
              <w:rPr/>
            </w:pPr>
            <w:r>
              <w:rPr/>
              <w:t> </w:t>
            </w:r>
          </w:p>
        </w:tc>
        <w:tc>
          <w:tcPr>
            <w:tcW w:w="123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3,446,083</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3748"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At January 1, 2009 (unaudited)</w:t>
            </w:r>
          </w:p>
        </w:tc>
        <w:tc>
          <w:tcPr>
            <w:tcW w:w="108" w:type="dxa"/>
            <w:tcBorders/>
            <w:shd w:fill="CCEEFF" w:val="clear"/>
            <w:tcMar>
              <w:bottom w:w="0" w:type="dxa"/>
            </w:tcMar>
            <w:vAlign w:val="bottom"/>
          </w:tcPr>
          <w:p>
            <w:pPr>
              <w:pStyle w:val="TableContents"/>
              <w:spacing w:before="0" w:after="283"/>
              <w:jc w:val="left"/>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123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1,666,965</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95" w:type="dxa"/>
            <w:tcBorders/>
            <w:shd w:fill="CCEEFF" w:val="clear"/>
            <w:tcMar>
              <w:bottom w:w="0" w:type="dxa"/>
            </w:tcMar>
            <w:vAlign w:val="bottom"/>
          </w:tcPr>
          <w:p>
            <w:pPr>
              <w:pStyle w:val="TableContents"/>
              <w:spacing w:before="0" w:after="283"/>
              <w:jc w:val="left"/>
              <w:rPr/>
            </w:pPr>
            <w:r>
              <w:rPr/>
              <w:t> </w:t>
            </w:r>
          </w:p>
        </w:tc>
        <w:tc>
          <w:tcPr>
            <w:tcW w:w="144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1,779,118</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397" w:type="dxa"/>
            <w:tcBorders/>
            <w:shd w:fill="CCEEFF" w:val="clear"/>
            <w:tcMar>
              <w:bottom w:w="0" w:type="dxa"/>
            </w:tcMar>
            <w:vAlign w:val="bottom"/>
          </w:tcPr>
          <w:p>
            <w:pPr>
              <w:pStyle w:val="TableContents"/>
              <w:spacing w:before="0" w:after="283"/>
              <w:jc w:val="left"/>
              <w:rPr/>
            </w:pPr>
            <w:r>
              <w:rPr/>
              <w:t> </w:t>
            </w:r>
          </w:p>
        </w:tc>
        <w:tc>
          <w:tcPr>
            <w:tcW w:w="7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123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3,446,083</w:t>
            </w:r>
          </w:p>
        </w:tc>
        <w:tc>
          <w:tcPr>
            <w:tcW w:w="129" w:type="dxa"/>
            <w:tcBorders/>
            <w:shd w:fill="CCEEFF" w:val="clear"/>
            <w:tcMar>
              <w:bottom w:w="0" w:type="dxa"/>
            </w:tcMar>
            <w:vAlign w:val="bottom"/>
          </w:tcPr>
          <w:p>
            <w:pPr>
              <w:pStyle w:val="TableContents"/>
              <w:spacing w:before="0" w:after="283"/>
              <w:jc w:val="left"/>
              <w:rPr/>
            </w:pPr>
            <w:r>
              <w:rPr/>
              <w:t> </w:t>
            </w:r>
          </w:p>
        </w:tc>
      </w:tr>
      <w:tr>
        <w:trPr/>
        <w:tc>
          <w:tcPr>
            <w:tcW w:w="3748"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At December 31, 2009 (unaudited)</w:t>
            </w:r>
          </w:p>
        </w:tc>
        <w:tc>
          <w:tcPr>
            <w:tcW w:w="108" w:type="dxa"/>
            <w:tcBorders/>
            <w:shd w:fill="FFFFFF" w:val="clear"/>
            <w:tcMar>
              <w:bottom w:w="0" w:type="dxa"/>
            </w:tcMar>
            <w:vAlign w:val="bottom"/>
          </w:tcPr>
          <w:p>
            <w:pPr>
              <w:pStyle w:val="TableContents"/>
              <w:spacing w:before="0" w:after="283"/>
              <w:jc w:val="left"/>
              <w:rPr/>
            </w:pPr>
            <w:r>
              <w:rPr/>
              <w:t> </w:t>
            </w:r>
          </w:p>
        </w:tc>
        <w:tc>
          <w:tcPr>
            <w:tcW w:w="164" w:type="dxa"/>
            <w:tcBorders>
              <w:bottom w:val="double" w:sz="8" w:space="0" w:color="000000"/>
            </w:tcBorders>
            <w:shd w:fill="FFFFFF" w:val="clear"/>
            <w:vAlign w:val="bottom"/>
          </w:tcPr>
          <w:p>
            <w:pPr>
              <w:pStyle w:val="TableContents"/>
              <w:spacing w:before="0" w:after="283"/>
              <w:jc w:val="left"/>
              <w:rPr/>
            </w:pPr>
            <w:r>
              <w:rPr/>
              <w:t> </w:t>
            </w:r>
          </w:p>
        </w:tc>
        <w:tc>
          <w:tcPr>
            <w:tcW w:w="123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1,614,879</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95" w:type="dxa"/>
            <w:tcBorders>
              <w:bottom w:val="double" w:sz="8" w:space="0" w:color="000000"/>
            </w:tcBorders>
            <w:shd w:fill="FFFFFF" w:val="clear"/>
            <w:vAlign w:val="bottom"/>
          </w:tcPr>
          <w:p>
            <w:pPr>
              <w:pStyle w:val="TableContents"/>
              <w:spacing w:before="0" w:after="283"/>
              <w:jc w:val="left"/>
              <w:rPr/>
            </w:pPr>
            <w:r>
              <w:rPr/>
              <w:t> </w:t>
            </w:r>
          </w:p>
        </w:tc>
        <w:tc>
          <w:tcPr>
            <w:tcW w:w="144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1,687,881</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397" w:type="dxa"/>
            <w:tcBorders>
              <w:bottom w:val="double" w:sz="8" w:space="0" w:color="000000"/>
            </w:tcBorders>
            <w:shd w:fill="FFFFFF" w:val="clear"/>
            <w:vAlign w:val="bottom"/>
          </w:tcPr>
          <w:p>
            <w:pPr>
              <w:pStyle w:val="TableContents"/>
              <w:spacing w:before="0" w:after="283"/>
              <w:jc w:val="left"/>
              <w:rPr/>
            </w:pPr>
            <w:r>
              <w:rPr/>
              <w:t> </w:t>
            </w:r>
          </w:p>
        </w:tc>
        <w:tc>
          <w:tcPr>
            <w:tcW w:w="730"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64" w:type="dxa"/>
            <w:tcBorders>
              <w:bottom w:val="double" w:sz="8" w:space="0" w:color="000000"/>
            </w:tcBorders>
            <w:shd w:fill="FFFFFF" w:val="clear"/>
            <w:vAlign w:val="bottom"/>
          </w:tcPr>
          <w:p>
            <w:pPr>
              <w:pStyle w:val="TableContents"/>
              <w:spacing w:before="0" w:after="283"/>
              <w:jc w:val="left"/>
              <w:rPr/>
            </w:pPr>
            <w:r>
              <w:rPr/>
              <w:t> </w:t>
            </w:r>
          </w:p>
        </w:tc>
        <w:tc>
          <w:tcPr>
            <w:tcW w:w="123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3,302,760</w:t>
            </w:r>
          </w:p>
        </w:tc>
        <w:tc>
          <w:tcPr>
            <w:tcW w:w="129"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11.           Inventories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236"/>
        <w:gridCol w:w="113"/>
        <w:gridCol w:w="143"/>
        <w:gridCol w:w="1111"/>
        <w:gridCol w:w="113"/>
        <w:gridCol w:w="113"/>
        <w:gridCol w:w="143"/>
        <w:gridCol w:w="1111"/>
        <w:gridCol w:w="122"/>
      </w:tblGrid>
      <w:tr>
        <w:trPr/>
        <w:tc>
          <w:tcPr>
            <w:tcW w:w="7236"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3" w:type="dxa"/>
            <w:tcBorders/>
            <w:shd w:fill="auto" w:val="clear"/>
            <w:tcMar>
              <w:bottom w:w="0" w:type="dxa"/>
            </w:tcMar>
            <w:vAlign w:val="bottom"/>
          </w:tcPr>
          <w:p>
            <w:pPr>
              <w:pStyle w:val="TableContents"/>
              <w:spacing w:before="0" w:after="283"/>
              <w:rPr/>
            </w:pPr>
            <w:r>
              <w:rPr/>
              <w:t> </w:t>
            </w:r>
          </w:p>
        </w:tc>
        <w:tc>
          <w:tcPr>
            <w:tcW w:w="125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3"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25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2" w:type="dxa"/>
            <w:tcBorders/>
            <w:shd w:fill="auto" w:val="clear"/>
            <w:tcMar>
              <w:bottom w:w="0" w:type="dxa"/>
            </w:tcMar>
            <w:vAlign w:val="bottom"/>
          </w:tcPr>
          <w:p>
            <w:pPr>
              <w:pStyle w:val="TableContents"/>
              <w:spacing w:before="0" w:after="283"/>
              <w:jc w:val="left"/>
              <w:rPr/>
            </w:pPr>
            <w:r>
              <w:rPr/>
              <w:t> </w:t>
            </w:r>
          </w:p>
        </w:tc>
      </w:tr>
      <w:tr>
        <w:trPr/>
        <w:tc>
          <w:tcPr>
            <w:tcW w:w="7236"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 stores at cost</w:t>
            </w:r>
          </w:p>
        </w:tc>
        <w:tc>
          <w:tcPr>
            <w:tcW w:w="113"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bottom w:val="single" w:sz="12" w:space="0" w:color="000000"/>
            </w:tcBorders>
            <w:shd w:fill="CCEEFF" w:val="clear"/>
            <w:vAlign w:val="bottom"/>
          </w:tcPr>
          <w:p>
            <w:pPr>
              <w:pStyle w:val="TableContents"/>
              <w:spacing w:before="0" w:after="283"/>
              <w:ind w:left="121" w:right="0" w:hanging="0"/>
              <w:jc w:val="right"/>
              <w:rPr>
                <w:rFonts w:ascii="times new roman" w:hAnsi="times new roman"/>
                <w:sz w:val="20"/>
              </w:rPr>
            </w:pPr>
            <w:bookmarkStart w:id="3652" w:name="TAB11857"/>
            <w:bookmarkEnd w:id="3652"/>
            <w:r>
              <w:rPr>
                <w:rFonts w:ascii="times new roman" w:hAnsi="times new roman"/>
                <w:sz w:val="20"/>
              </w:rPr>
              <w:t>138,682</w:t>
            </w:r>
          </w:p>
        </w:tc>
        <w:tc>
          <w:tcPr>
            <w:tcW w:w="113" w:type="dxa"/>
            <w:tcBorders/>
            <w:shd w:fill="CCEEFF" w:val="clear"/>
            <w:tcMar>
              <w:bottom w:w="0" w:type="dxa"/>
            </w:tcMar>
            <w:vAlign w:val="bottom"/>
          </w:tcPr>
          <w:p>
            <w:pPr>
              <w:pStyle w:val="TableContents"/>
              <w:spacing w:before="0" w:after="283"/>
              <w:jc w:val="left"/>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bottom w:val="single" w:sz="12" w:space="0" w:color="000000"/>
            </w:tcBorders>
            <w:shd w:fill="CCEEFF" w:val="clear"/>
            <w:vAlign w:val="bottom"/>
          </w:tcPr>
          <w:p>
            <w:pPr>
              <w:pStyle w:val="TableContents"/>
              <w:spacing w:before="0" w:after="283"/>
              <w:ind w:left="121" w:right="0" w:hanging="0"/>
              <w:jc w:val="right"/>
              <w:rPr>
                <w:rFonts w:ascii="times new roman" w:hAnsi="times new roman"/>
                <w:sz w:val="20"/>
              </w:rPr>
            </w:pPr>
            <w:bookmarkStart w:id="3653" w:name="TAB11858"/>
            <w:bookmarkEnd w:id="3653"/>
            <w:r>
              <w:rPr>
                <w:rFonts w:ascii="times new roman" w:hAnsi="times new roman"/>
                <w:sz w:val="20"/>
              </w:rPr>
              <w:t>115,630</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236"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Carrying amount of inventories</w:t>
            </w:r>
          </w:p>
        </w:tc>
        <w:tc>
          <w:tcPr>
            <w:tcW w:w="113" w:type="dxa"/>
            <w:tcBorders/>
            <w:shd w:fill="FFFFFF" w:val="clear"/>
            <w:tcMar>
              <w:bottom w:w="0" w:type="dxa"/>
            </w:tcMar>
            <w:vAlign w:val="bottom"/>
          </w:tcPr>
          <w:p>
            <w:pPr>
              <w:pStyle w:val="TableContents"/>
              <w:spacing w:before="0" w:after="283"/>
              <w:jc w:val="left"/>
              <w:rPr/>
            </w:pPr>
            <w:r>
              <w:rPr/>
              <w:t> </w:t>
            </w:r>
          </w:p>
        </w:tc>
        <w:tc>
          <w:tcPr>
            <w:tcW w:w="143" w:type="dxa"/>
            <w:tcBorders>
              <w:bottom w:val="double" w:sz="8" w:space="0" w:color="000000"/>
            </w:tcBorders>
            <w:shd w:fill="FFFFFF" w:val="clear"/>
            <w:vAlign w:val="bottom"/>
          </w:tcPr>
          <w:p>
            <w:pPr>
              <w:pStyle w:val="TableContents"/>
              <w:spacing w:before="0" w:after="283"/>
              <w:jc w:val="left"/>
              <w:rPr/>
            </w:pPr>
            <w:r>
              <w:rPr/>
              <w:t> </w:t>
            </w:r>
          </w:p>
        </w:tc>
        <w:tc>
          <w:tcPr>
            <w:tcW w:w="111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138,682</w:t>
            </w:r>
          </w:p>
        </w:tc>
        <w:tc>
          <w:tcPr>
            <w:tcW w:w="113" w:type="dxa"/>
            <w:tcBorders/>
            <w:shd w:fill="FFFFFF" w:val="clear"/>
            <w:tcMar>
              <w:bottom w:w="0" w:type="dxa"/>
            </w:tcMar>
            <w:vAlign w:val="bottom"/>
          </w:tcPr>
          <w:p>
            <w:pPr>
              <w:pStyle w:val="TableContents"/>
              <w:spacing w:before="0" w:after="283"/>
              <w:jc w:val="left"/>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143" w:type="dxa"/>
            <w:tcBorders>
              <w:bottom w:val="double" w:sz="8" w:space="0" w:color="000000"/>
            </w:tcBorders>
            <w:shd w:fill="FFFFFF" w:val="clear"/>
            <w:vAlign w:val="bottom"/>
          </w:tcPr>
          <w:p>
            <w:pPr>
              <w:pStyle w:val="TableContents"/>
              <w:spacing w:before="0" w:after="283"/>
              <w:jc w:val="left"/>
              <w:rPr/>
            </w:pPr>
            <w:r>
              <w:rPr/>
              <w:t> </w:t>
            </w:r>
          </w:p>
        </w:tc>
        <w:tc>
          <w:tcPr>
            <w:tcW w:w="111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115,630</w:t>
            </w:r>
          </w:p>
        </w:tc>
        <w:tc>
          <w:tcPr>
            <w:tcW w:w="122"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1134" w:hanging="0"/>
        <w:jc w:val="left"/>
        <w:rPr>
          <w:rFonts w:ascii="Times New Roman" w:hAnsi="Times New Roman"/>
          <w:b/>
          <w:sz w:val="20"/>
        </w:rPr>
      </w:pPr>
      <w:r>
        <w:rPr>
          <w:rFonts w:ascii="Times New Roman" w:hAnsi="Times New Roman"/>
          <w:b/>
          <w:sz w:val="20"/>
        </w:rPr>
        <w:t>12.           Trade Receivables and Other Assets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920"/>
        <w:gridCol w:w="112"/>
        <w:gridCol w:w="124"/>
        <w:gridCol w:w="915"/>
        <w:gridCol w:w="112"/>
        <w:gridCol w:w="112"/>
        <w:gridCol w:w="150"/>
        <w:gridCol w:w="1130"/>
        <w:gridCol w:w="112"/>
        <w:gridCol w:w="112"/>
        <w:gridCol w:w="160"/>
        <w:gridCol w:w="1120"/>
        <w:gridCol w:w="126"/>
      </w:tblGrid>
      <w:tr>
        <w:trPr/>
        <w:tc>
          <w:tcPr>
            <w:tcW w:w="5920"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2" w:type="dxa"/>
            <w:tcBorders/>
            <w:shd w:fill="auto" w:val="clear"/>
            <w:tcMar>
              <w:bottom w:w="0" w:type="dxa"/>
            </w:tcMar>
            <w:vAlign w:val="bottom"/>
          </w:tcPr>
          <w:p>
            <w:pPr>
              <w:pStyle w:val="TableContents"/>
              <w:spacing w:before="0" w:after="283"/>
              <w:rPr/>
            </w:pPr>
            <w:r>
              <w:rPr/>
              <w:t> </w:t>
            </w:r>
          </w:p>
        </w:tc>
        <w:tc>
          <w:tcPr>
            <w:tcW w:w="103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28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28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6" w:type="dxa"/>
            <w:tcBorders/>
            <w:shd w:fill="auto" w:val="clear"/>
            <w:tcMar>
              <w:bottom w:w="0" w:type="dxa"/>
            </w:tcMar>
            <w:vAlign w:val="bottom"/>
          </w:tcPr>
          <w:p>
            <w:pPr>
              <w:pStyle w:val="TableContents"/>
              <w:spacing w:before="0" w:after="283"/>
              <w:jc w:val="left"/>
              <w:rPr/>
            </w:pPr>
            <w:r>
              <w:rPr/>
              <w:t> </w:t>
            </w:r>
          </w:p>
        </w:tc>
      </w:tr>
      <w:tr>
        <w:trPr/>
        <w:tc>
          <w:tcPr>
            <w:tcW w:w="592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receivables</w:t>
            </w:r>
          </w:p>
        </w:tc>
        <w:tc>
          <w:tcPr>
            <w:tcW w:w="112"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9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shd w:fill="CCEEFF" w:val="clear"/>
            <w:tcMar>
              <w:bottom w:w="0" w:type="dxa"/>
            </w:tcMar>
            <w:vAlign w:val="bottom"/>
          </w:tcPr>
          <w:p>
            <w:pPr>
              <w:pStyle w:val="TableContents"/>
              <w:spacing w:before="0" w:after="283"/>
              <w:ind w:left="152" w:right="0" w:hanging="0"/>
              <w:jc w:val="right"/>
              <w:rPr>
                <w:rFonts w:ascii="times new roman" w:hAnsi="times new roman"/>
                <w:sz w:val="20"/>
              </w:rPr>
            </w:pPr>
            <w:bookmarkStart w:id="3654" w:name="TAB11859"/>
            <w:bookmarkEnd w:id="3654"/>
            <w:r>
              <w:rPr>
                <w:rFonts w:ascii="times new roman" w:hAnsi="times new roman"/>
                <w:sz w:val="20"/>
              </w:rPr>
              <w:t>97,359</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6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0" w:type="dxa"/>
            <w:tcBorders/>
            <w:shd w:fill="CCEEFF" w:val="clear"/>
            <w:tcMar>
              <w:bottom w:w="0" w:type="dxa"/>
            </w:tcMar>
            <w:vAlign w:val="bottom"/>
          </w:tcPr>
          <w:p>
            <w:pPr>
              <w:pStyle w:val="TableContents"/>
              <w:spacing w:before="0" w:after="283"/>
              <w:ind w:left="152" w:right="0" w:hanging="0"/>
              <w:jc w:val="right"/>
              <w:rPr>
                <w:rFonts w:ascii="times new roman" w:hAnsi="times new roman"/>
                <w:sz w:val="20"/>
              </w:rPr>
            </w:pPr>
            <w:bookmarkStart w:id="3655" w:name="TAB11860"/>
            <w:bookmarkEnd w:id="3655"/>
            <w:r>
              <w:rPr>
                <w:rFonts w:ascii="times new roman" w:hAnsi="times new roman"/>
                <w:sz w:val="20"/>
              </w:rPr>
              <w:t>91,712</w:t>
            </w:r>
          </w:p>
        </w:tc>
        <w:tc>
          <w:tcPr>
            <w:tcW w:w="126" w:type="dxa"/>
            <w:tcBorders/>
            <w:shd w:fill="CCEEFF" w:val="clear"/>
            <w:tcMar>
              <w:bottom w:w="0" w:type="dxa"/>
            </w:tcMar>
            <w:vAlign w:val="bottom"/>
          </w:tcPr>
          <w:p>
            <w:pPr>
              <w:pStyle w:val="TableContents"/>
              <w:spacing w:before="0" w:after="283"/>
              <w:jc w:val="left"/>
              <w:rPr/>
            </w:pPr>
            <w:r>
              <w:rPr/>
              <w:t> </w:t>
            </w:r>
          </w:p>
        </w:tc>
      </w:tr>
      <w:tr>
        <w:trPr/>
        <w:tc>
          <w:tcPr>
            <w:tcW w:w="5920"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Prepayments</w:t>
            </w:r>
          </w:p>
        </w:tc>
        <w:tc>
          <w:tcPr>
            <w:tcW w:w="112" w:type="dxa"/>
            <w:tcBorders/>
            <w:shd w:fill="FFFFFF" w:val="clear"/>
            <w:tcMar>
              <w:bottom w:w="0" w:type="dxa"/>
            </w:tcMar>
            <w:vAlign w:val="bottom"/>
          </w:tcPr>
          <w:p>
            <w:pPr>
              <w:pStyle w:val="TableContents"/>
              <w:spacing w:before="0" w:after="283"/>
              <w:rPr/>
            </w:pPr>
            <w:r>
              <w:rPr/>
              <w:t> </w:t>
            </w:r>
          </w:p>
        </w:tc>
        <w:tc>
          <w:tcPr>
            <w:tcW w:w="124" w:type="dxa"/>
            <w:tcBorders>
              <w:bottom w:val="double" w:sz="8" w:space="0" w:color="000000"/>
            </w:tcBorders>
            <w:shd w:fill="FFFFFF" w:val="clear"/>
            <w:vAlign w:val="bottom"/>
          </w:tcPr>
          <w:p>
            <w:pPr>
              <w:pStyle w:val="TableContents"/>
              <w:spacing w:before="0" w:after="283"/>
              <w:jc w:val="left"/>
              <w:rPr/>
            </w:pPr>
            <w:r>
              <w:rPr/>
              <w:t> </w:t>
            </w:r>
          </w:p>
        </w:tc>
        <w:tc>
          <w:tcPr>
            <w:tcW w:w="915" w:type="dxa"/>
            <w:tcBorders>
              <w:bottom w:val="double" w:sz="8" w:space="0" w:color="000000"/>
            </w:tcBorders>
            <w:shd w:fill="FFFFFF" w:val="cle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50" w:type="dxa"/>
            <w:tcBorders>
              <w:bottom w:val="double" w:sz="8" w:space="0" w:color="000000"/>
            </w:tcBorders>
            <w:shd w:fill="FFFFFF" w:val="clear"/>
            <w:vAlign w:val="bottom"/>
          </w:tcPr>
          <w:p>
            <w:pPr>
              <w:pStyle w:val="TableContents"/>
              <w:spacing w:before="0" w:after="283"/>
              <w:jc w:val="left"/>
              <w:rPr/>
            </w:pPr>
            <w:r>
              <w:rPr/>
              <w:t> </w:t>
            </w:r>
          </w:p>
        </w:tc>
        <w:tc>
          <w:tcPr>
            <w:tcW w:w="1130"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109,099</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60" w:type="dxa"/>
            <w:tcBorders>
              <w:bottom w:val="double" w:sz="8" w:space="0" w:color="000000"/>
            </w:tcBorders>
            <w:shd w:fill="FFFFFF" w:val="clear"/>
            <w:vAlign w:val="bottom"/>
          </w:tcPr>
          <w:p>
            <w:pPr>
              <w:pStyle w:val="TableContents"/>
              <w:spacing w:before="0" w:after="283"/>
              <w:jc w:val="left"/>
              <w:rPr/>
            </w:pPr>
            <w:r>
              <w:rPr/>
              <w:t> </w:t>
            </w:r>
          </w:p>
        </w:tc>
        <w:tc>
          <w:tcPr>
            <w:tcW w:w="1120"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914</w:t>
            </w:r>
          </w:p>
        </w:tc>
        <w:tc>
          <w:tcPr>
            <w:tcW w:w="126"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56" w:name="PGBRK137"/>
      <w:bookmarkStart w:id="3657" w:name="PGBRK137"/>
      <w:bookmarkEnd w:id="36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58" w:name="FTR137"/>
      <w:bookmarkStart w:id="3659" w:name="FTR137"/>
      <w:bookmarkEnd w:id="36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60" w:name="GLFTR137"/>
      <w:bookmarkEnd w:id="36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661" w:name="PN137"/>
      <w:bookmarkEnd w:id="3661"/>
      <w:r>
        <w:rPr>
          <w:rFonts w:eastAsia="Times New Roman" w:cs="Times New Roman" w:ascii="Times New Roman" w:hAnsi="Times New Roman"/>
          <w:sz w:val="20"/>
          <w:szCs w:val="20"/>
        </w:rPr>
        <w:t>-137-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662" w:name="HDR137"/>
      <w:bookmarkStart w:id="3663" w:name="HDR137"/>
      <w:bookmarkEnd w:id="36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664" w:name="GLHDR137"/>
        <w:bookmarkEnd w:id="366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90" w:right="284" w:firstLine="720"/>
        <w:jc w:val="left"/>
        <w:rPr>
          <w:rFonts w:ascii="Times New Roman" w:hAnsi="Times New Roman"/>
          <w:sz w:val="20"/>
        </w:rPr>
      </w:pPr>
      <w:bookmarkStart w:id="3665" w:name="TAB11861"/>
      <w:bookmarkEnd w:id="3665"/>
      <w:r>
        <w:rPr>
          <w:rFonts w:ascii="Times New Roman" w:hAnsi="Times New Roman"/>
          <w:sz w:val="20"/>
        </w:rPr>
        <w:t>The Joint Venture’s exposure to credit and currency risks and impairment losses related to trade and other receivables are disclosed in Note 17.</w:t>
      </w:r>
    </w:p>
    <w:p>
      <w:pPr>
        <w:pStyle w:val="TextBody"/>
        <w:spacing w:before="0" w:after="0"/>
        <w:ind w:left="0" w:right="0" w:hanging="0"/>
        <w:rPr/>
      </w:pPr>
      <w:r>
        <w:rPr/>
      </w:r>
    </w:p>
    <w:p>
      <w:pPr>
        <w:pStyle w:val="TextBody"/>
        <w:spacing w:before="0" w:after="0"/>
        <w:ind w:left="0" w:right="1134" w:hanging="0"/>
        <w:jc w:val="left"/>
        <w:rPr>
          <w:rFonts w:ascii="Times New Roman" w:hAnsi="Times New Roman"/>
          <w:b/>
          <w:sz w:val="20"/>
        </w:rPr>
      </w:pPr>
      <w:r>
        <w:rPr>
          <w:rFonts w:ascii="Times New Roman" w:hAnsi="Times New Roman"/>
          <w:b/>
          <w:sz w:val="20"/>
        </w:rPr>
        <w:t>13.           Cash and Cash Equivalents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236"/>
        <w:gridCol w:w="113"/>
        <w:gridCol w:w="143"/>
        <w:gridCol w:w="1111"/>
        <w:gridCol w:w="113"/>
        <w:gridCol w:w="113"/>
        <w:gridCol w:w="143"/>
        <w:gridCol w:w="1111"/>
        <w:gridCol w:w="122"/>
      </w:tblGrid>
      <w:tr>
        <w:trPr/>
        <w:tc>
          <w:tcPr>
            <w:tcW w:w="7236"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3" w:type="dxa"/>
            <w:tcBorders/>
            <w:shd w:fill="auto" w:val="clear"/>
            <w:tcMar>
              <w:bottom w:w="0" w:type="dxa"/>
            </w:tcMar>
            <w:vAlign w:val="bottom"/>
          </w:tcPr>
          <w:p>
            <w:pPr>
              <w:pStyle w:val="TableContents"/>
              <w:spacing w:before="0" w:after="283"/>
              <w:rPr/>
            </w:pPr>
            <w:r>
              <w:rPr/>
              <w:t> </w:t>
            </w:r>
          </w:p>
        </w:tc>
        <w:tc>
          <w:tcPr>
            <w:tcW w:w="125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3"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25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2" w:type="dxa"/>
            <w:tcBorders/>
            <w:shd w:fill="auto" w:val="clear"/>
            <w:tcMar>
              <w:bottom w:w="0" w:type="dxa"/>
            </w:tcMar>
            <w:vAlign w:val="bottom"/>
          </w:tcPr>
          <w:p>
            <w:pPr>
              <w:pStyle w:val="TableContents"/>
              <w:spacing w:before="0" w:after="283"/>
              <w:jc w:val="left"/>
              <w:rPr/>
            </w:pPr>
            <w:r>
              <w:rPr/>
              <w:t> </w:t>
            </w:r>
          </w:p>
        </w:tc>
      </w:tr>
      <w:tr>
        <w:trPr/>
        <w:tc>
          <w:tcPr>
            <w:tcW w:w="723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Bank balances</w:t>
            </w:r>
          </w:p>
        </w:tc>
        <w:tc>
          <w:tcPr>
            <w:tcW w:w="113"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637,001</w:t>
            </w:r>
          </w:p>
        </w:tc>
        <w:tc>
          <w:tcPr>
            <w:tcW w:w="113" w:type="dxa"/>
            <w:tcBorders/>
            <w:shd w:fill="CCEEFF" w:val="clear"/>
            <w:tcMar>
              <w:bottom w:w="0" w:type="dxa"/>
            </w:tcMar>
            <w:vAlign w:val="bottom"/>
          </w:tcPr>
          <w:p>
            <w:pPr>
              <w:pStyle w:val="TableContents"/>
              <w:spacing w:before="0" w:after="283"/>
              <w:jc w:val="left"/>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877,438</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23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in transit</w:t>
            </w:r>
          </w:p>
        </w:tc>
        <w:tc>
          <w:tcPr>
            <w:tcW w:w="113"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11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106,599</w:t>
            </w:r>
          </w:p>
        </w:tc>
        <w:tc>
          <w:tcPr>
            <w:tcW w:w="113" w:type="dxa"/>
            <w:tcBorders/>
            <w:shd w:fill="FFFFFF" w:val="clear"/>
            <w:tcMar>
              <w:bottom w:w="0" w:type="dxa"/>
            </w:tcMar>
            <w:vAlign w:val="bottom"/>
          </w:tcPr>
          <w:p>
            <w:pPr>
              <w:pStyle w:val="TableContents"/>
              <w:spacing w:before="0" w:after="283"/>
              <w:jc w:val="left"/>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11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22,485</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236"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on hand</w:t>
            </w:r>
          </w:p>
        </w:tc>
        <w:tc>
          <w:tcPr>
            <w:tcW w:w="113"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11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35,700</w:t>
            </w:r>
          </w:p>
        </w:tc>
        <w:tc>
          <w:tcPr>
            <w:tcW w:w="113" w:type="dxa"/>
            <w:tcBorders/>
            <w:shd w:fill="CCEEFF" w:val="clear"/>
            <w:tcMar>
              <w:bottom w:w="0" w:type="dxa"/>
            </w:tcMar>
            <w:vAlign w:val="bottom"/>
          </w:tcPr>
          <w:p>
            <w:pPr>
              <w:pStyle w:val="TableContents"/>
              <w:spacing w:before="0" w:after="283"/>
              <w:jc w:val="left"/>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11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35,700</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236"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in the statement of cash flows</w:t>
            </w:r>
          </w:p>
        </w:tc>
        <w:tc>
          <w:tcPr>
            <w:tcW w:w="113" w:type="dxa"/>
            <w:tcBorders/>
            <w:shd w:fill="FFFFFF" w:val="clear"/>
            <w:tcMar>
              <w:bottom w:w="0" w:type="dxa"/>
            </w:tcMar>
            <w:vAlign w:val="bottom"/>
          </w:tcPr>
          <w:p>
            <w:pPr>
              <w:pStyle w:val="TableContents"/>
              <w:spacing w:before="0" w:after="283"/>
              <w:jc w:val="left"/>
              <w:rPr/>
            </w:pPr>
            <w:r>
              <w:rPr/>
              <w:t> </w:t>
            </w:r>
          </w:p>
        </w:tc>
        <w:tc>
          <w:tcPr>
            <w:tcW w:w="14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779,300</w:t>
            </w:r>
          </w:p>
        </w:tc>
        <w:tc>
          <w:tcPr>
            <w:tcW w:w="113" w:type="dxa"/>
            <w:tcBorders/>
            <w:shd w:fill="FFFFFF" w:val="clear"/>
            <w:tcMar>
              <w:bottom w:w="0" w:type="dxa"/>
            </w:tcMar>
            <w:vAlign w:val="bottom"/>
          </w:tcPr>
          <w:p>
            <w:pPr>
              <w:pStyle w:val="TableContents"/>
              <w:spacing w:before="0" w:after="283"/>
              <w:jc w:val="left"/>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14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935,623</w:t>
            </w:r>
          </w:p>
        </w:tc>
        <w:tc>
          <w:tcPr>
            <w:tcW w:w="122"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Joint Venture’s exposure to interest rate risk and a sensitivity analysis for financial assets and liabilities are disclosed in Note 17.</w:t>
      </w:r>
    </w:p>
    <w:p>
      <w:pPr>
        <w:pStyle w:val="TextBody"/>
        <w:spacing w:before="0" w:after="0"/>
        <w:ind w:left="0" w:right="0" w:hanging="0"/>
        <w:rPr/>
      </w:pPr>
      <w:r>
        <w:rPr/>
      </w:r>
    </w:p>
    <w:p>
      <w:pPr>
        <w:pStyle w:val="TextBody"/>
        <w:spacing w:before="0" w:after="0"/>
        <w:ind w:left="0" w:right="1134" w:hanging="0"/>
        <w:jc w:val="left"/>
        <w:rPr>
          <w:rFonts w:ascii="Times New Roman" w:hAnsi="Times New Roman"/>
          <w:b/>
          <w:sz w:val="20"/>
        </w:rPr>
      </w:pPr>
      <w:r>
        <w:rPr>
          <w:rFonts w:ascii="Times New Roman" w:hAnsi="Times New Roman"/>
          <w:b/>
          <w:sz w:val="20"/>
        </w:rPr>
        <w:t>14.           Employee Benefits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22"/>
        <w:gridCol w:w="115"/>
        <w:gridCol w:w="162"/>
        <w:gridCol w:w="1143"/>
        <w:gridCol w:w="115"/>
        <w:gridCol w:w="115"/>
        <w:gridCol w:w="162"/>
        <w:gridCol w:w="1143"/>
        <w:gridCol w:w="128"/>
      </w:tblGrid>
      <w:tr>
        <w:trPr/>
        <w:tc>
          <w:tcPr>
            <w:tcW w:w="7122" w:type="dxa"/>
            <w:tcBorders/>
            <w:shd w:fill="auto" w:val="clear"/>
            <w:vAlign w:val="bottom"/>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Current</w:t>
            </w:r>
          </w:p>
        </w:tc>
        <w:tc>
          <w:tcPr>
            <w:tcW w:w="115" w:type="dxa"/>
            <w:tcBorders/>
            <w:shd w:fill="auto" w:val="clear"/>
            <w:vAlign w:val="bottom"/>
          </w:tcPr>
          <w:p>
            <w:pPr>
              <w:pStyle w:val="TableContents"/>
              <w:spacing w:before="0" w:after="283"/>
              <w:rPr/>
            </w:pPr>
            <w:r>
              <w:rPr/>
              <w:t> </w:t>
            </w:r>
          </w:p>
        </w:tc>
        <w:tc>
          <w:tcPr>
            <w:tcW w:w="1305"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5" w:type="dxa"/>
            <w:tcBorders/>
            <w:shd w:fill="auto" w:val="clear"/>
            <w:vAlign w:val="bottom"/>
          </w:tcPr>
          <w:p>
            <w:pPr>
              <w:pStyle w:val="TableContents"/>
              <w:spacing w:before="0" w:after="283"/>
              <w:rPr/>
            </w:pPr>
            <w:r>
              <w:rPr/>
              <w:t> </w:t>
            </w:r>
          </w:p>
        </w:tc>
        <w:tc>
          <w:tcPr>
            <w:tcW w:w="1305"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r>
      <w:tr>
        <w:trPr/>
        <w:tc>
          <w:tcPr>
            <w:tcW w:w="7122"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5" w:type="dxa"/>
            <w:tcBorders/>
            <w:shd w:fill="auto" w:val="clear"/>
            <w:vAlign w:val="bottom"/>
          </w:tcPr>
          <w:p>
            <w:pPr>
              <w:pStyle w:val="TableContents"/>
              <w:spacing w:before="0" w:after="283"/>
              <w:rPr/>
            </w:pPr>
            <w:r>
              <w:rPr/>
              <w:t> </w:t>
            </w:r>
          </w:p>
        </w:tc>
        <w:tc>
          <w:tcPr>
            <w:tcW w:w="130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5" w:type="dxa"/>
            <w:tcBorders/>
            <w:shd w:fill="auto" w:val="clear"/>
            <w:vAlign w:val="bottom"/>
          </w:tcPr>
          <w:p>
            <w:pPr>
              <w:pStyle w:val="TableContents"/>
              <w:spacing w:before="0" w:after="283"/>
              <w:jc w:val="left"/>
              <w:rPr/>
            </w:pPr>
            <w:r>
              <w:rPr/>
              <w:t> </w:t>
            </w:r>
          </w:p>
        </w:tc>
        <w:tc>
          <w:tcPr>
            <w:tcW w:w="115" w:type="dxa"/>
            <w:tcBorders/>
            <w:shd w:fill="auto" w:val="clear"/>
            <w:vAlign w:val="bottom"/>
          </w:tcPr>
          <w:p>
            <w:pPr>
              <w:pStyle w:val="TableContents"/>
              <w:spacing w:before="0" w:after="283"/>
              <w:rPr/>
            </w:pPr>
            <w:r>
              <w:rPr/>
              <w:t> </w:t>
            </w:r>
          </w:p>
        </w:tc>
        <w:tc>
          <w:tcPr>
            <w:tcW w:w="130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8" w:type="dxa"/>
            <w:tcBorders/>
            <w:shd w:fill="auto" w:val="clear"/>
            <w:vAlign w:val="bottom"/>
          </w:tcPr>
          <w:p>
            <w:pPr>
              <w:pStyle w:val="TableContents"/>
              <w:spacing w:before="0" w:after="283"/>
              <w:jc w:val="left"/>
              <w:rPr/>
            </w:pPr>
            <w:r>
              <w:rPr/>
              <w:t> </w:t>
            </w:r>
          </w:p>
        </w:tc>
      </w:tr>
      <w:tr>
        <w:trPr/>
        <w:tc>
          <w:tcPr>
            <w:tcW w:w="712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Liability for annual leave</w:t>
            </w:r>
          </w:p>
        </w:tc>
        <w:tc>
          <w:tcPr>
            <w:tcW w:w="115" w:type="dxa"/>
            <w:tcBorders/>
            <w:shd w:fill="CCEEFF" w:val="clear"/>
            <w:vAlign w:val="bottom"/>
          </w:tcPr>
          <w:p>
            <w:pPr>
              <w:pStyle w:val="TableContents"/>
              <w:spacing w:before="0" w:after="283"/>
              <w:jc w:val="left"/>
              <w:rPr/>
            </w:pPr>
            <w:r>
              <w:rPr/>
              <w:t> </w:t>
            </w:r>
          </w:p>
        </w:tc>
        <w:tc>
          <w:tcPr>
            <w:tcW w:w="16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53,647</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6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39,597</w:t>
            </w:r>
          </w:p>
        </w:tc>
        <w:tc>
          <w:tcPr>
            <w:tcW w:w="128" w:type="dxa"/>
            <w:tcBorders/>
            <w:shd w:fill="CCEEFF" w:val="clear"/>
            <w:vAlign w:val="bottom"/>
          </w:tcPr>
          <w:p>
            <w:pPr>
              <w:pStyle w:val="TableContents"/>
              <w:spacing w:before="0" w:after="283"/>
              <w:jc w:val="left"/>
              <w:rPr/>
            </w:pPr>
            <w:r>
              <w:rPr/>
              <w:t> </w:t>
            </w:r>
          </w:p>
        </w:tc>
      </w:tr>
      <w:tr>
        <w:trPr/>
        <w:tc>
          <w:tcPr>
            <w:tcW w:w="7122"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Liability for long-service leave</w:t>
            </w:r>
          </w:p>
        </w:tc>
        <w:tc>
          <w:tcPr>
            <w:tcW w:w="115" w:type="dxa"/>
            <w:tcBorders/>
            <w:shd w:fill="FFFFFF" w:val="clear"/>
            <w:vAlign w:val="bottom"/>
          </w:tcPr>
          <w:p>
            <w:pPr>
              <w:pStyle w:val="TableContents"/>
              <w:spacing w:before="0" w:after="283"/>
              <w:jc w:val="left"/>
              <w:rPr/>
            </w:pPr>
            <w:r>
              <w:rPr/>
              <w:t> </w:t>
            </w:r>
          </w:p>
        </w:tc>
        <w:tc>
          <w:tcPr>
            <w:tcW w:w="16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16,571</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6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17,485</w:t>
            </w:r>
          </w:p>
        </w:tc>
        <w:tc>
          <w:tcPr>
            <w:tcW w:w="128" w:type="dxa"/>
            <w:tcBorders/>
            <w:shd w:fill="FFFFFF" w:val="clear"/>
            <w:vAlign w:val="bottom"/>
          </w:tcPr>
          <w:p>
            <w:pPr>
              <w:pStyle w:val="TableContents"/>
              <w:spacing w:before="0" w:after="283"/>
              <w:jc w:val="left"/>
              <w:rPr/>
            </w:pPr>
            <w:r>
              <w:rPr/>
              <w:t> </w:t>
            </w:r>
          </w:p>
        </w:tc>
      </w:tr>
      <w:tr>
        <w:trPr/>
        <w:tc>
          <w:tcPr>
            <w:tcW w:w="7122"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employee benefits - current</w:t>
            </w:r>
          </w:p>
        </w:tc>
        <w:tc>
          <w:tcPr>
            <w:tcW w:w="115" w:type="dxa"/>
            <w:tcBorders/>
            <w:shd w:fill="CCEEFF" w:val="clear"/>
            <w:vAlign w:val="bottom"/>
          </w:tcPr>
          <w:p>
            <w:pPr>
              <w:pStyle w:val="TableContents"/>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70,218</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57,082</w:t>
            </w:r>
          </w:p>
        </w:tc>
        <w:tc>
          <w:tcPr>
            <w:tcW w:w="12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22"/>
        <w:gridCol w:w="115"/>
        <w:gridCol w:w="162"/>
        <w:gridCol w:w="1143"/>
        <w:gridCol w:w="115"/>
        <w:gridCol w:w="115"/>
        <w:gridCol w:w="162"/>
        <w:gridCol w:w="1143"/>
        <w:gridCol w:w="128"/>
      </w:tblGrid>
      <w:tr>
        <w:trPr/>
        <w:tc>
          <w:tcPr>
            <w:tcW w:w="7122" w:type="dxa"/>
            <w:tcBorders/>
            <w:shd w:fill="auto" w:val="clear"/>
            <w:vAlign w:val="bottom"/>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Non-current</w:t>
            </w:r>
          </w:p>
        </w:tc>
        <w:tc>
          <w:tcPr>
            <w:tcW w:w="115" w:type="dxa"/>
            <w:tcBorders/>
            <w:shd w:fill="auto" w:val="clear"/>
            <w:vAlign w:val="bottom"/>
          </w:tcPr>
          <w:p>
            <w:pPr>
              <w:pStyle w:val="TableContents"/>
              <w:spacing w:before="0" w:after="283"/>
              <w:rPr/>
            </w:pPr>
            <w:r>
              <w:rPr/>
              <w:t> </w:t>
            </w:r>
          </w:p>
        </w:tc>
        <w:tc>
          <w:tcPr>
            <w:tcW w:w="2840" w:type="dxa"/>
            <w:gridSpan w:val="6"/>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r>
      <w:tr>
        <w:trPr/>
        <w:tc>
          <w:tcPr>
            <w:tcW w:w="7122"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5" w:type="dxa"/>
            <w:tcBorders/>
            <w:shd w:fill="auto" w:val="clear"/>
            <w:vAlign w:val="bottom"/>
          </w:tcPr>
          <w:p>
            <w:pPr>
              <w:pStyle w:val="TableContents"/>
              <w:spacing w:before="0" w:after="283"/>
              <w:rPr/>
            </w:pPr>
            <w:r>
              <w:rPr/>
              <w:t> </w:t>
            </w:r>
          </w:p>
        </w:tc>
        <w:tc>
          <w:tcPr>
            <w:tcW w:w="130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5" w:type="dxa"/>
            <w:tcBorders/>
            <w:shd w:fill="auto" w:val="clear"/>
            <w:vAlign w:val="bottom"/>
          </w:tcPr>
          <w:p>
            <w:pPr>
              <w:pStyle w:val="TableContents"/>
              <w:spacing w:before="0" w:after="283"/>
              <w:jc w:val="left"/>
              <w:rPr/>
            </w:pPr>
            <w:r>
              <w:rPr/>
              <w:t> </w:t>
            </w:r>
          </w:p>
        </w:tc>
        <w:tc>
          <w:tcPr>
            <w:tcW w:w="115" w:type="dxa"/>
            <w:tcBorders/>
            <w:shd w:fill="auto" w:val="clear"/>
            <w:vAlign w:val="bottom"/>
          </w:tcPr>
          <w:p>
            <w:pPr>
              <w:pStyle w:val="TableContents"/>
              <w:spacing w:before="0" w:after="283"/>
              <w:rPr/>
            </w:pPr>
            <w:r>
              <w:rPr/>
              <w:t> </w:t>
            </w:r>
          </w:p>
        </w:tc>
        <w:tc>
          <w:tcPr>
            <w:tcW w:w="130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8" w:type="dxa"/>
            <w:tcBorders/>
            <w:shd w:fill="auto" w:val="clear"/>
            <w:vAlign w:val="bottom"/>
          </w:tcPr>
          <w:p>
            <w:pPr>
              <w:pStyle w:val="TableContents"/>
              <w:spacing w:before="0" w:after="283"/>
              <w:jc w:val="left"/>
              <w:rPr/>
            </w:pPr>
            <w:r>
              <w:rPr/>
              <w:t> </w:t>
            </w:r>
          </w:p>
        </w:tc>
      </w:tr>
      <w:tr>
        <w:trPr/>
        <w:tc>
          <w:tcPr>
            <w:tcW w:w="7122"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Liability for long-service leave</w:t>
            </w:r>
          </w:p>
        </w:tc>
        <w:tc>
          <w:tcPr>
            <w:tcW w:w="115" w:type="dxa"/>
            <w:tcBorders/>
            <w:shd w:fill="CCEEFF" w:val="clear"/>
            <w:vAlign w:val="bottom"/>
          </w:tcPr>
          <w:p>
            <w:pPr>
              <w:pStyle w:val="TableContents"/>
              <w:spacing w:before="0" w:after="283"/>
              <w:jc w:val="left"/>
              <w:rPr/>
            </w:pPr>
            <w:r>
              <w:rPr/>
              <w:t> </w:t>
            </w:r>
          </w:p>
        </w:tc>
        <w:tc>
          <w:tcPr>
            <w:tcW w:w="162"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60,161</w:t>
            </w:r>
          </w:p>
        </w:tc>
        <w:tc>
          <w:tcPr>
            <w:tcW w:w="115" w:type="dxa"/>
            <w:tcBorders/>
            <w:shd w:fill="CCEEFF" w:val="clear"/>
            <w:vAlign w:val="bottom"/>
          </w:tcPr>
          <w:p>
            <w:pPr>
              <w:pStyle w:val="TableContents"/>
              <w:spacing w:before="0" w:after="283"/>
              <w:jc w:val="left"/>
              <w:rPr/>
            </w:pPr>
            <w:r>
              <w:rPr/>
              <w:t> </w:t>
            </w:r>
          </w:p>
        </w:tc>
        <w:tc>
          <w:tcPr>
            <w:tcW w:w="115" w:type="dxa"/>
            <w:tcBorders/>
            <w:shd w:fill="CCEEFF" w:val="clear"/>
            <w:vAlign w:val="bottom"/>
          </w:tcPr>
          <w:p>
            <w:pPr>
              <w:pStyle w:val="TableContents"/>
              <w:spacing w:before="0" w:after="283"/>
              <w:jc w:val="left"/>
              <w:rPr/>
            </w:pPr>
            <w:r>
              <w:rPr/>
              <w:t> </w:t>
            </w:r>
          </w:p>
        </w:tc>
        <w:tc>
          <w:tcPr>
            <w:tcW w:w="162"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68,603</w:t>
            </w:r>
          </w:p>
        </w:tc>
        <w:tc>
          <w:tcPr>
            <w:tcW w:w="128" w:type="dxa"/>
            <w:tcBorders/>
            <w:shd w:fill="CCEEFF" w:val="clear"/>
            <w:vAlign w:val="bottom"/>
          </w:tcPr>
          <w:p>
            <w:pPr>
              <w:pStyle w:val="TableContents"/>
              <w:spacing w:before="0" w:after="283"/>
              <w:jc w:val="left"/>
              <w:rPr/>
            </w:pPr>
            <w:r>
              <w:rPr/>
              <w:t> </w:t>
            </w:r>
          </w:p>
        </w:tc>
      </w:tr>
      <w:tr>
        <w:trPr/>
        <w:tc>
          <w:tcPr>
            <w:tcW w:w="7122"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employee benefits – non current</w:t>
            </w:r>
          </w:p>
        </w:tc>
        <w:tc>
          <w:tcPr>
            <w:tcW w:w="115" w:type="dxa"/>
            <w:tcBorders/>
            <w:shd w:fill="FFFFFF" w:val="clear"/>
            <w:vAlign w:val="bottom"/>
          </w:tcPr>
          <w:p>
            <w:pPr>
              <w:pStyle w:val="TableContents"/>
              <w:spacing w:before="0" w:after="283"/>
              <w:jc w:val="left"/>
              <w:rPr/>
            </w:pPr>
            <w:r>
              <w:rPr/>
              <w:t> </w:t>
            </w:r>
          </w:p>
        </w:tc>
        <w:tc>
          <w:tcPr>
            <w:tcW w:w="16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60,161</w:t>
            </w:r>
          </w:p>
        </w:tc>
        <w:tc>
          <w:tcPr>
            <w:tcW w:w="115" w:type="dxa"/>
            <w:tcBorders/>
            <w:shd w:fill="FFFFFF" w:val="clear"/>
            <w:vAlign w:val="bottom"/>
          </w:tcPr>
          <w:p>
            <w:pPr>
              <w:pStyle w:val="TableContents"/>
              <w:spacing w:before="0" w:after="283"/>
              <w:jc w:val="left"/>
              <w:rPr/>
            </w:pPr>
            <w:r>
              <w:rPr/>
              <w:t> </w:t>
            </w:r>
          </w:p>
        </w:tc>
        <w:tc>
          <w:tcPr>
            <w:tcW w:w="115" w:type="dxa"/>
            <w:tcBorders/>
            <w:shd w:fill="FFFFFF" w:val="clear"/>
            <w:vAlign w:val="bottom"/>
          </w:tcPr>
          <w:p>
            <w:pPr>
              <w:pStyle w:val="TableContents"/>
              <w:spacing w:before="0" w:after="283"/>
              <w:jc w:val="left"/>
              <w:rPr/>
            </w:pPr>
            <w:r>
              <w:rPr/>
              <w:t> </w:t>
            </w:r>
          </w:p>
        </w:tc>
        <w:tc>
          <w:tcPr>
            <w:tcW w:w="16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68,603</w:t>
            </w:r>
          </w:p>
        </w:tc>
        <w:tc>
          <w:tcPr>
            <w:tcW w:w="12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15.           Payables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024"/>
        <w:gridCol w:w="111"/>
        <w:gridCol w:w="119"/>
        <w:gridCol w:w="926"/>
        <w:gridCol w:w="111"/>
        <w:gridCol w:w="111"/>
        <w:gridCol w:w="140"/>
        <w:gridCol w:w="1090"/>
        <w:gridCol w:w="111"/>
        <w:gridCol w:w="110"/>
        <w:gridCol w:w="140"/>
        <w:gridCol w:w="1090"/>
        <w:gridCol w:w="122"/>
      </w:tblGrid>
      <w:tr>
        <w:trPr/>
        <w:tc>
          <w:tcPr>
            <w:tcW w:w="6024"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1" w:type="dxa"/>
            <w:tcBorders/>
            <w:shd w:fill="auto" w:val="clear"/>
            <w:tcMar>
              <w:bottom w:w="0" w:type="dxa"/>
            </w:tcMar>
            <w:vAlign w:val="bottom"/>
          </w:tcPr>
          <w:p>
            <w:pPr>
              <w:pStyle w:val="TableContents"/>
              <w:spacing w:before="0" w:after="283"/>
              <w:rPr/>
            </w:pPr>
            <w:r>
              <w:rPr/>
              <w:t> </w:t>
            </w:r>
          </w:p>
        </w:tc>
        <w:tc>
          <w:tcPr>
            <w:tcW w:w="104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1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rPr/>
            </w:pPr>
            <w:r>
              <w:rPr/>
              <w:t> </w:t>
            </w:r>
          </w:p>
        </w:tc>
        <w:tc>
          <w:tcPr>
            <w:tcW w:w="123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1"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3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2" w:type="dxa"/>
            <w:tcBorders/>
            <w:shd w:fill="auto" w:val="clear"/>
            <w:tcMar>
              <w:bottom w:w="0" w:type="dxa"/>
            </w:tcMar>
            <w:vAlign w:val="bottom"/>
          </w:tcPr>
          <w:p>
            <w:pPr>
              <w:pStyle w:val="TableContents"/>
              <w:spacing w:before="0" w:after="283"/>
              <w:jc w:val="left"/>
              <w:rPr/>
            </w:pPr>
            <w:r>
              <w:rPr/>
              <w:t> </w:t>
            </w:r>
          </w:p>
        </w:tc>
      </w:tr>
      <w:tr>
        <w:trPr/>
        <w:tc>
          <w:tcPr>
            <w:tcW w:w="602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payables</w:t>
            </w:r>
          </w:p>
        </w:tc>
        <w:tc>
          <w:tcPr>
            <w:tcW w:w="111" w:type="dxa"/>
            <w:tcBorders/>
            <w:shd w:fill="CCEEFF" w:val="clear"/>
            <w:tcMar>
              <w:bottom w:w="0" w:type="dxa"/>
            </w:tcMar>
            <w:vAlign w:val="bottom"/>
          </w:tcPr>
          <w:p>
            <w:pPr>
              <w:pStyle w:val="TableContents"/>
              <w:spacing w:before="0" w:after="283"/>
              <w:rPr/>
            </w:pPr>
            <w:r>
              <w:rPr/>
              <w:t> </w:t>
            </w:r>
          </w:p>
        </w:tc>
        <w:tc>
          <w:tcPr>
            <w:tcW w:w="1045" w:type="dxa"/>
            <w:gridSpan w:val="2"/>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tcMar>
              <w:bottom w:w="0" w:type="dxa"/>
            </w:tcMar>
            <w:vAlign w:val="bottom"/>
          </w:tcPr>
          <w:p>
            <w:pPr>
              <w:pStyle w:val="TableContents"/>
              <w:spacing w:before="0" w:after="283"/>
              <w:ind w:left="132" w:right="0" w:hanging="0"/>
              <w:jc w:val="right"/>
              <w:rPr>
                <w:rFonts w:ascii="times new roman" w:hAnsi="times new roman"/>
                <w:sz w:val="20"/>
              </w:rPr>
            </w:pPr>
            <w:bookmarkStart w:id="3666" w:name="TAB11862"/>
            <w:bookmarkEnd w:id="3666"/>
            <w:r>
              <w:rPr>
                <w:rFonts w:ascii="times new roman" w:hAnsi="times new roman"/>
                <w:sz w:val="20"/>
              </w:rPr>
              <w:t>340,213</w:t>
            </w:r>
          </w:p>
        </w:tc>
        <w:tc>
          <w:tcPr>
            <w:tcW w:w="111"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tcMar>
              <w:bottom w:w="0" w:type="dxa"/>
            </w:tcMar>
            <w:vAlign w:val="bottom"/>
          </w:tcPr>
          <w:p>
            <w:pPr>
              <w:pStyle w:val="TableContents"/>
              <w:spacing w:before="0" w:after="283"/>
              <w:ind w:left="132" w:right="0" w:hanging="0"/>
              <w:jc w:val="right"/>
              <w:rPr>
                <w:rFonts w:ascii="times new roman" w:hAnsi="times new roman"/>
                <w:sz w:val="20"/>
              </w:rPr>
            </w:pPr>
            <w:bookmarkStart w:id="3667" w:name="TAB11863"/>
            <w:bookmarkEnd w:id="3667"/>
            <w:r>
              <w:rPr>
                <w:rFonts w:ascii="times new roman" w:hAnsi="times new roman"/>
                <w:sz w:val="20"/>
              </w:rPr>
              <w:t>309,932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6024"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creditors and accruals</w:t>
            </w:r>
          </w:p>
        </w:tc>
        <w:tc>
          <w:tcPr>
            <w:tcW w:w="111" w:type="dxa"/>
            <w:tcBorders/>
            <w:shd w:fill="FFFFFF" w:val="clear"/>
            <w:tcMar>
              <w:bottom w:w="0" w:type="dxa"/>
            </w:tcMar>
            <w:vAlign w:val="bottom"/>
          </w:tcPr>
          <w:p>
            <w:pPr>
              <w:pStyle w:val="TableContents"/>
              <w:spacing w:before="0" w:after="283"/>
              <w:rPr/>
            </w:pPr>
            <w:r>
              <w:rPr/>
              <w:t> </w:t>
            </w:r>
          </w:p>
        </w:tc>
        <w:tc>
          <w:tcPr>
            <w:tcW w:w="1045" w:type="dxa"/>
            <w:gridSpan w:val="2"/>
            <w:tcBorders>
              <w:bottom w:val="single" w:sz="12" w:space="0" w:color="000000"/>
            </w:tcBorders>
            <w:shd w:fill="FFFFFF" w:val="cle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FFFFFF" w:val="clear"/>
            <w:vAlign w:val="bottom"/>
          </w:tcPr>
          <w:p>
            <w:pPr>
              <w:pStyle w:val="TableContents"/>
              <w:spacing w:before="0" w:after="283"/>
              <w:jc w:val="left"/>
              <w:rPr/>
            </w:pPr>
            <w:r>
              <w:rPr/>
              <w:t> </w:t>
            </w:r>
          </w:p>
        </w:tc>
        <w:tc>
          <w:tcPr>
            <w:tcW w:w="109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351,011</w:t>
            </w:r>
          </w:p>
        </w:tc>
        <w:tc>
          <w:tcPr>
            <w:tcW w:w="111"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FFFFFF" w:val="clear"/>
            <w:vAlign w:val="bottom"/>
          </w:tcPr>
          <w:p>
            <w:pPr>
              <w:pStyle w:val="TableContents"/>
              <w:spacing w:before="0" w:after="283"/>
              <w:jc w:val="left"/>
              <w:rPr/>
            </w:pPr>
            <w:r>
              <w:rPr/>
              <w:t> </w:t>
            </w:r>
          </w:p>
        </w:tc>
        <w:tc>
          <w:tcPr>
            <w:tcW w:w="109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370,538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6024"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payables</w:t>
            </w:r>
          </w:p>
        </w:tc>
        <w:tc>
          <w:tcPr>
            <w:tcW w:w="111" w:type="dxa"/>
            <w:tcBorders/>
            <w:shd w:fill="CCEEFF" w:val="clear"/>
            <w:tcMar>
              <w:bottom w:w="0" w:type="dxa"/>
            </w:tcMar>
            <w:vAlign w:val="bottom"/>
          </w:tcPr>
          <w:p>
            <w:pPr>
              <w:pStyle w:val="TableContents"/>
              <w:spacing w:before="0" w:after="283"/>
              <w:rPr/>
            </w:pPr>
            <w:r>
              <w:rPr/>
              <w:t> </w:t>
            </w:r>
          </w:p>
        </w:tc>
        <w:tc>
          <w:tcPr>
            <w:tcW w:w="119" w:type="dxa"/>
            <w:tcBorders>
              <w:bottom w:val="double" w:sz="8" w:space="0" w:color="000000"/>
            </w:tcBorders>
            <w:shd w:fill="CCEEFF" w:val="clear"/>
            <w:vAlign w:val="bottom"/>
          </w:tcPr>
          <w:p>
            <w:pPr>
              <w:pStyle w:val="TableContents"/>
              <w:spacing w:before="0" w:after="283"/>
              <w:jc w:val="left"/>
              <w:rPr/>
            </w:pPr>
            <w:r>
              <w:rPr/>
              <w:t> </w:t>
            </w:r>
          </w:p>
        </w:tc>
        <w:tc>
          <w:tcPr>
            <w:tcW w:w="92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4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CCEEFF" w:val="clear"/>
            <w:vAlign w:val="bottom"/>
          </w:tcPr>
          <w:p>
            <w:pPr>
              <w:pStyle w:val="TableContents"/>
              <w:spacing w:before="0" w:after="283"/>
              <w:ind w:left="132" w:right="0" w:hanging="0"/>
              <w:jc w:val="right"/>
              <w:rPr>
                <w:rFonts w:ascii="times new roman" w:hAnsi="times new roman"/>
                <w:sz w:val="20"/>
              </w:rPr>
            </w:pPr>
            <w:bookmarkStart w:id="3668" w:name="TAB11864"/>
            <w:bookmarkEnd w:id="3668"/>
            <w:r>
              <w:rPr>
                <w:rFonts w:ascii="times new roman" w:hAnsi="times new roman"/>
                <w:sz w:val="20"/>
              </w:rPr>
              <w:t>691,224</w:t>
            </w:r>
          </w:p>
        </w:tc>
        <w:tc>
          <w:tcPr>
            <w:tcW w:w="111"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4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CCEEFF" w:val="clear"/>
            <w:vAlign w:val="bottom"/>
          </w:tcPr>
          <w:p>
            <w:pPr>
              <w:pStyle w:val="TableContents"/>
              <w:spacing w:before="0" w:after="283"/>
              <w:ind w:left="132" w:right="0" w:hanging="0"/>
              <w:jc w:val="right"/>
              <w:rPr>
                <w:rFonts w:ascii="times new roman" w:hAnsi="times new roman"/>
                <w:sz w:val="20"/>
              </w:rPr>
            </w:pPr>
            <w:bookmarkStart w:id="3669" w:name="TAB11865"/>
            <w:bookmarkEnd w:id="3669"/>
            <w:r>
              <w:rPr>
                <w:rFonts w:ascii="times new roman" w:hAnsi="times new roman"/>
                <w:sz w:val="20"/>
              </w:rPr>
              <w:t>680,470</w:t>
            </w:r>
          </w:p>
        </w:tc>
        <w:tc>
          <w:tcPr>
            <w:tcW w:w="12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Joint Venture’s exposure to liquidity risk related to trade and other payables is disclosed in note 17.  Trade payables represents payments to trade creditors.  The Joint Venture makes these payments through the managing parties shared service centre and is charged a management fee for these services.  Disclosure regarding management fee is made in note 21.</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70" w:name="PGBRK138"/>
      <w:bookmarkStart w:id="3671" w:name="PGBRK138"/>
      <w:bookmarkEnd w:id="36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72" w:name="FTR138"/>
      <w:bookmarkStart w:id="3673" w:name="FTR138"/>
      <w:bookmarkEnd w:id="36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74" w:name="GLFTR138"/>
      <w:bookmarkEnd w:id="36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675" w:name="PN138"/>
      <w:bookmarkEnd w:id="3675"/>
      <w:r>
        <w:rPr>
          <w:rFonts w:eastAsia="Times New Roman" w:cs="Times New Roman" w:ascii="Times New Roman" w:hAnsi="Times New Roman"/>
          <w:sz w:val="20"/>
          <w:szCs w:val="20"/>
        </w:rPr>
        <w:t>-138-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676" w:name="HDR138"/>
      <w:bookmarkStart w:id="3677" w:name="HDR138"/>
      <w:bookmarkEnd w:id="36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678" w:name="GLHDR138"/>
        <w:bookmarkEnd w:id="367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134" w:hanging="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1134" w:hanging="0"/>
        <w:jc w:val="left"/>
        <w:rPr>
          <w:rFonts w:ascii="Times New Roman" w:hAnsi="Times New Roman"/>
          <w:b/>
          <w:sz w:val="20"/>
        </w:rPr>
      </w:pPr>
      <w:r>
        <w:rPr>
          <w:rFonts w:ascii="Times New Roman" w:hAnsi="Times New Roman"/>
          <w:b/>
          <w:sz w:val="20"/>
        </w:rPr>
        <w:t>16.           Deferred Revenue</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100"/>
        <w:gridCol w:w="116"/>
        <w:gridCol w:w="153"/>
        <w:gridCol w:w="1162"/>
        <w:gridCol w:w="116"/>
        <w:gridCol w:w="116"/>
        <w:gridCol w:w="162"/>
        <w:gridCol w:w="1152"/>
        <w:gridCol w:w="128"/>
      </w:tblGrid>
      <w:tr>
        <w:trPr/>
        <w:tc>
          <w:tcPr>
            <w:tcW w:w="7100"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6" w:type="dxa"/>
            <w:tcBorders/>
            <w:shd w:fill="auto" w:val="clear"/>
            <w:tcMar>
              <w:bottom w:w="0" w:type="dxa"/>
            </w:tcMar>
            <w:vAlign w:val="bottom"/>
          </w:tcPr>
          <w:p>
            <w:pPr>
              <w:pStyle w:val="TableContents"/>
              <w:spacing w:before="0" w:after="283"/>
              <w:rPr/>
            </w:pPr>
            <w:r>
              <w:rPr/>
              <w:t> </w:t>
            </w:r>
          </w:p>
        </w:tc>
        <w:tc>
          <w:tcPr>
            <w:tcW w:w="131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6" w:type="dxa"/>
            <w:tcBorders/>
            <w:shd w:fill="auto" w:val="clear"/>
            <w:tcMar>
              <w:bottom w:w="0" w:type="dxa"/>
            </w:tcMar>
            <w:vAlign w:val="bottom"/>
          </w:tcPr>
          <w:p>
            <w:pPr>
              <w:pStyle w:val="TableContents"/>
              <w:spacing w:before="0" w:after="283"/>
              <w:jc w:val="left"/>
              <w:rPr/>
            </w:pPr>
            <w:r>
              <w:rPr/>
              <w:t> </w:t>
            </w:r>
          </w:p>
        </w:tc>
        <w:tc>
          <w:tcPr>
            <w:tcW w:w="116" w:type="dxa"/>
            <w:tcBorders/>
            <w:shd w:fill="auto" w:val="clear"/>
            <w:tcMar>
              <w:bottom w:w="0" w:type="dxa"/>
            </w:tcMar>
            <w:vAlign w:val="bottom"/>
          </w:tcPr>
          <w:p>
            <w:pPr>
              <w:pStyle w:val="TableContents"/>
              <w:spacing w:before="0" w:after="283"/>
              <w:rPr/>
            </w:pPr>
            <w:r>
              <w:rPr/>
              <w:t> </w:t>
            </w:r>
          </w:p>
        </w:tc>
        <w:tc>
          <w:tcPr>
            <w:tcW w:w="13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8" w:type="dxa"/>
            <w:tcBorders/>
            <w:shd w:fill="auto" w:val="clear"/>
            <w:tcMar>
              <w:bottom w:w="0" w:type="dxa"/>
            </w:tcMar>
            <w:vAlign w:val="bottom"/>
          </w:tcPr>
          <w:p>
            <w:pPr>
              <w:pStyle w:val="TableContents"/>
              <w:spacing w:before="0" w:after="283"/>
              <w:jc w:val="left"/>
              <w:rPr/>
            </w:pPr>
            <w:r>
              <w:rPr/>
              <w:t> </w:t>
            </w:r>
          </w:p>
        </w:tc>
      </w:tr>
      <w:tr>
        <w:trPr/>
        <w:tc>
          <w:tcPr>
            <w:tcW w:w="7100"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16" w:type="dxa"/>
            <w:tcBorders/>
            <w:shd w:fill="auto" w:val="clear"/>
            <w:tcMar>
              <w:bottom w:w="0" w:type="dxa"/>
            </w:tcMar>
            <w:vAlign w:val="bottom"/>
          </w:tcPr>
          <w:p>
            <w:pPr>
              <w:pStyle w:val="TableContents"/>
              <w:spacing w:before="0" w:after="283"/>
              <w:jc w:val="left"/>
              <w:rPr/>
            </w:pPr>
            <w:r>
              <w:rPr/>
              <w:t> </w:t>
            </w:r>
          </w:p>
        </w:tc>
        <w:tc>
          <w:tcPr>
            <w:tcW w:w="153"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106,816</w:t>
            </w:r>
          </w:p>
        </w:tc>
        <w:tc>
          <w:tcPr>
            <w:tcW w:w="116" w:type="dxa"/>
            <w:tcBorders/>
            <w:shd w:fill="auto" w:val="clear"/>
            <w:tcMar>
              <w:bottom w:w="0" w:type="dxa"/>
            </w:tcMar>
            <w:vAlign w:val="bottom"/>
          </w:tcPr>
          <w:p>
            <w:pPr>
              <w:pStyle w:val="TableContents"/>
              <w:spacing w:before="0" w:after="283"/>
              <w:jc w:val="left"/>
              <w:rPr/>
            </w:pPr>
            <w:r>
              <w:rPr/>
              <w:t> </w:t>
            </w:r>
          </w:p>
        </w:tc>
        <w:tc>
          <w:tcPr>
            <w:tcW w:w="116" w:type="dxa"/>
            <w:tcBorders/>
            <w:shd w:fill="auto" w:val="clear"/>
            <w:tcMar>
              <w:bottom w:w="0" w:type="dxa"/>
            </w:tcMar>
            <w:vAlign w:val="bottom"/>
          </w:tcPr>
          <w:p>
            <w:pPr>
              <w:pStyle w:val="TableContents"/>
              <w:spacing w:before="0" w:after="283"/>
              <w:jc w:val="left"/>
              <w:rPr/>
            </w:pPr>
            <w:r>
              <w:rPr/>
              <w:t> </w:t>
            </w:r>
          </w:p>
        </w:tc>
        <w:tc>
          <w:tcPr>
            <w:tcW w:w="16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63,529</w:t>
            </w:r>
          </w:p>
        </w:tc>
        <w:tc>
          <w:tcPr>
            <w:tcW w:w="128"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Deferred revenue mainly consists of advance funds received from vendors for the exclusive rights to supply certain concession items.  Revenue is released over the term of the related contract on a straight-line basis and is classified as service revenue.  In addition deferred revenue includes the fair value of the award points relating to the customer loyalty programme.  This revenue is recognised when the points are redeemed.</w:t>
      </w:r>
    </w:p>
    <w:p>
      <w:pPr>
        <w:pStyle w:val="TextBody"/>
        <w:spacing w:before="0" w:after="0"/>
        <w:ind w:left="0" w:right="0" w:hanging="0"/>
        <w:rPr/>
      </w:pPr>
      <w:r>
        <w:rPr/>
      </w:r>
    </w:p>
    <w:p>
      <w:pPr>
        <w:pStyle w:val="TextBody"/>
        <w:spacing w:before="0" w:after="0"/>
        <w:ind w:left="0" w:right="1134" w:hanging="0"/>
        <w:jc w:val="left"/>
        <w:rPr>
          <w:rFonts w:ascii="Times New Roman" w:hAnsi="Times New Roman"/>
          <w:b/>
          <w:sz w:val="20"/>
        </w:rPr>
      </w:pPr>
      <w:r>
        <w:rPr>
          <w:rFonts w:ascii="Times New Roman" w:hAnsi="Times New Roman"/>
          <w:b/>
          <w:sz w:val="20"/>
        </w:rPr>
        <w:t>17.           Financial Instruments</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bookmarkStart w:id="3679" w:name="TAB11866"/>
      <w:bookmarkEnd w:id="3679"/>
      <w:r>
        <w:rPr>
          <w:rFonts w:ascii="Times New Roman" w:hAnsi="Times New Roman"/>
          <w:b/>
          <w:sz w:val="20"/>
        </w:rPr>
        <w:t>Credit Risk</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bookmarkStart w:id="3680" w:name="TAB11867"/>
      <w:bookmarkEnd w:id="3680"/>
      <w:r>
        <w:rPr>
          <w:rFonts w:ascii="Times New Roman" w:hAnsi="Times New Roman"/>
          <w:b/>
          <w:sz w:val="20"/>
        </w:rPr>
        <w:t>Exposure to Credit Risk</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carrying amount of the Joint Venture’s financial assets represents the maximum credit exposure.  The Joint Venture’s maximum exposure to credit risk at the reporting date was: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014"/>
        <w:gridCol w:w="111"/>
        <w:gridCol w:w="120"/>
        <w:gridCol w:w="918"/>
        <w:gridCol w:w="111"/>
        <w:gridCol w:w="111"/>
        <w:gridCol w:w="142"/>
        <w:gridCol w:w="1095"/>
        <w:gridCol w:w="110"/>
        <w:gridCol w:w="111"/>
        <w:gridCol w:w="142"/>
        <w:gridCol w:w="1095"/>
        <w:gridCol w:w="125"/>
      </w:tblGrid>
      <w:tr>
        <w:trPr/>
        <w:tc>
          <w:tcPr>
            <w:tcW w:w="6014"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038"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2695"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25" w:type="dxa"/>
            <w:tcBorders/>
            <w:shd w:fill="auto" w:val="clear"/>
            <w:vAlign w:val="bottom"/>
          </w:tcPr>
          <w:p>
            <w:pPr>
              <w:pStyle w:val="TableContents"/>
              <w:spacing w:before="0" w:after="283"/>
              <w:jc w:val="left"/>
              <w:rPr/>
            </w:pPr>
            <w:r>
              <w:rPr/>
              <w:t> </w:t>
            </w:r>
          </w:p>
        </w:tc>
      </w:tr>
      <w:tr>
        <w:trPr/>
        <w:tc>
          <w:tcPr>
            <w:tcW w:w="6014"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1" w:type="dxa"/>
            <w:tcBorders/>
            <w:shd w:fill="auto" w:val="clear"/>
            <w:vAlign w:val="bottom"/>
          </w:tcPr>
          <w:p>
            <w:pPr>
              <w:pStyle w:val="TableContents"/>
              <w:spacing w:before="0" w:after="283"/>
              <w:rPr/>
            </w:pPr>
            <w:r>
              <w:rPr/>
              <w:t> </w:t>
            </w:r>
          </w:p>
        </w:tc>
        <w:tc>
          <w:tcPr>
            <w:tcW w:w="103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3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0"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3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5" w:type="dxa"/>
            <w:tcBorders/>
            <w:shd w:fill="auto" w:val="clear"/>
            <w:vAlign w:val="bottom"/>
          </w:tcPr>
          <w:p>
            <w:pPr>
              <w:pStyle w:val="TableContents"/>
              <w:spacing w:before="0" w:after="283"/>
              <w:jc w:val="left"/>
              <w:rPr/>
            </w:pPr>
            <w:r>
              <w:rPr/>
              <w:t> </w:t>
            </w:r>
          </w:p>
        </w:tc>
      </w:tr>
      <w:tr>
        <w:trPr/>
        <w:tc>
          <w:tcPr>
            <w:tcW w:w="60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receivables</w:t>
            </w:r>
          </w:p>
        </w:tc>
        <w:tc>
          <w:tcPr>
            <w:tcW w:w="11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12</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vAlign w:val="bottom"/>
          </w:tcPr>
          <w:p>
            <w:pPr>
              <w:pStyle w:val="TableContents"/>
              <w:spacing w:before="0" w:after="283"/>
              <w:ind w:left="120" w:right="0" w:hanging="0"/>
              <w:jc w:val="right"/>
              <w:rPr>
                <w:rFonts w:ascii="times new roman" w:hAnsi="times new roman"/>
                <w:sz w:val="20"/>
              </w:rPr>
            </w:pPr>
            <w:bookmarkStart w:id="3681" w:name="TAB11868"/>
            <w:bookmarkEnd w:id="3681"/>
            <w:r>
              <w:rPr>
                <w:rFonts w:ascii="times new roman" w:hAnsi="times new roman"/>
                <w:sz w:val="20"/>
              </w:rPr>
              <w:t>97,359</w:t>
            </w:r>
          </w:p>
        </w:tc>
        <w:tc>
          <w:tcPr>
            <w:tcW w:w="110"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vAlign w:val="bottom"/>
          </w:tcPr>
          <w:p>
            <w:pPr>
              <w:pStyle w:val="TableContents"/>
              <w:spacing w:before="0" w:after="283"/>
              <w:ind w:left="120" w:right="0" w:hanging="0"/>
              <w:jc w:val="right"/>
              <w:rPr>
                <w:rFonts w:ascii="times new roman" w:hAnsi="times new roman"/>
                <w:sz w:val="20"/>
              </w:rPr>
            </w:pPr>
            <w:bookmarkStart w:id="3682" w:name="TAB11869"/>
            <w:bookmarkEnd w:id="3682"/>
            <w:r>
              <w:rPr>
                <w:rFonts w:ascii="times new roman" w:hAnsi="times new roman"/>
                <w:sz w:val="20"/>
              </w:rPr>
              <w:t>91,712</w:t>
            </w:r>
          </w:p>
        </w:tc>
        <w:tc>
          <w:tcPr>
            <w:tcW w:w="125" w:type="dxa"/>
            <w:tcBorders/>
            <w:shd w:fill="CCEEFF" w:val="clear"/>
            <w:vAlign w:val="bottom"/>
          </w:tcPr>
          <w:p>
            <w:pPr>
              <w:pStyle w:val="TableContents"/>
              <w:spacing w:before="0" w:after="283"/>
              <w:jc w:val="left"/>
              <w:rPr/>
            </w:pPr>
            <w:r>
              <w:rPr/>
              <w:t> </w:t>
            </w:r>
          </w:p>
        </w:tc>
      </w:tr>
      <w:tr>
        <w:trPr/>
        <w:tc>
          <w:tcPr>
            <w:tcW w:w="60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11"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13</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779,300</w:t>
            </w:r>
          </w:p>
        </w:tc>
        <w:tc>
          <w:tcPr>
            <w:tcW w:w="110"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935,623</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Joint Venture’s maximum exposure to credit risk for trade receivables at the reporting date by type of customer was: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29"/>
        <w:gridCol w:w="114"/>
        <w:gridCol w:w="163"/>
        <w:gridCol w:w="1141"/>
        <w:gridCol w:w="114"/>
        <w:gridCol w:w="114"/>
        <w:gridCol w:w="163"/>
        <w:gridCol w:w="1141"/>
        <w:gridCol w:w="126"/>
      </w:tblGrid>
      <w:tr>
        <w:trPr/>
        <w:tc>
          <w:tcPr>
            <w:tcW w:w="7129"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2836"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26" w:type="dxa"/>
            <w:tcBorders/>
            <w:shd w:fill="auto" w:val="clear"/>
            <w:vAlign w:val="bottom"/>
          </w:tcPr>
          <w:p>
            <w:pPr>
              <w:pStyle w:val="TableContents"/>
              <w:spacing w:before="0" w:after="283"/>
              <w:jc w:val="left"/>
              <w:rPr/>
            </w:pPr>
            <w:r>
              <w:rPr/>
              <w:t> </w:t>
            </w:r>
          </w:p>
        </w:tc>
      </w:tr>
      <w:tr>
        <w:trPr/>
        <w:tc>
          <w:tcPr>
            <w:tcW w:w="7129"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4" w:type="dxa"/>
            <w:tcBorders/>
            <w:shd w:fill="auto" w:val="clear"/>
            <w:vAlign w:val="bottom"/>
          </w:tcPr>
          <w:p>
            <w:pPr>
              <w:pStyle w:val="TableContents"/>
              <w:spacing w:before="0" w:after="283"/>
              <w:rPr/>
            </w:pPr>
            <w:r>
              <w:rPr/>
              <w:t> </w:t>
            </w:r>
          </w:p>
        </w:tc>
        <w:tc>
          <w:tcPr>
            <w:tcW w:w="13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3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6" w:type="dxa"/>
            <w:tcBorders/>
            <w:shd w:fill="auto" w:val="clear"/>
            <w:vAlign w:val="bottom"/>
          </w:tcPr>
          <w:p>
            <w:pPr>
              <w:pStyle w:val="TableContents"/>
              <w:spacing w:before="0" w:after="283"/>
              <w:jc w:val="left"/>
              <w:rPr/>
            </w:pPr>
            <w:r>
              <w:rPr/>
              <w:t> </w:t>
            </w:r>
          </w:p>
        </w:tc>
      </w:tr>
      <w:tr>
        <w:trPr/>
        <w:tc>
          <w:tcPr>
            <w:tcW w:w="71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Screen advertisers</w:t>
            </w:r>
          </w:p>
        </w:tc>
        <w:tc>
          <w:tcPr>
            <w:tcW w:w="114" w:type="dxa"/>
            <w:tcBorders/>
            <w:shd w:fill="CCEEFF" w:val="clear"/>
            <w:vAlign w:val="bottom"/>
          </w:tcPr>
          <w:p>
            <w:pPr>
              <w:pStyle w:val="TableContents"/>
              <w:spacing w:before="0" w:after="283"/>
              <w:jc w:val="left"/>
              <w:rPr/>
            </w:pPr>
            <w:r>
              <w:rPr/>
              <w:t> </w:t>
            </w:r>
          </w:p>
        </w:tc>
        <w:tc>
          <w:tcPr>
            <w:tcW w:w="16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vAlign w:val="bottom"/>
          </w:tcPr>
          <w:p>
            <w:pPr>
              <w:pStyle w:val="TableContents"/>
              <w:spacing w:before="0" w:after="283"/>
              <w:ind w:left="120" w:right="0" w:hanging="0"/>
              <w:jc w:val="right"/>
              <w:rPr>
                <w:rFonts w:ascii="times new roman" w:hAnsi="times new roman"/>
                <w:sz w:val="20"/>
              </w:rPr>
            </w:pPr>
            <w:bookmarkStart w:id="3683" w:name="TAB11870"/>
            <w:bookmarkEnd w:id="3683"/>
            <w:r>
              <w:rPr>
                <w:rFonts w:ascii="times new roman" w:hAnsi="times new roman"/>
                <w:sz w:val="20"/>
              </w:rPr>
              <w:t>60,669</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left"/>
              <w:rPr/>
            </w:pPr>
            <w:r>
              <w:rPr/>
              <w:t> </w:t>
            </w:r>
          </w:p>
        </w:tc>
        <w:tc>
          <w:tcPr>
            <w:tcW w:w="16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vAlign w:val="bottom"/>
          </w:tcPr>
          <w:p>
            <w:pPr>
              <w:pStyle w:val="TableContents"/>
              <w:spacing w:before="0" w:after="283"/>
              <w:ind w:left="120" w:right="0" w:hanging="0"/>
              <w:jc w:val="right"/>
              <w:rPr>
                <w:rFonts w:ascii="times new roman" w:hAnsi="times new roman"/>
                <w:sz w:val="20"/>
              </w:rPr>
            </w:pPr>
            <w:bookmarkStart w:id="3684" w:name="TAB11871"/>
            <w:bookmarkEnd w:id="3684"/>
            <w:r>
              <w:rPr>
                <w:rFonts w:ascii="times new roman" w:hAnsi="times new roman"/>
                <w:sz w:val="20"/>
              </w:rPr>
              <w:t>71,803</w:t>
            </w:r>
          </w:p>
        </w:tc>
        <w:tc>
          <w:tcPr>
            <w:tcW w:w="126" w:type="dxa"/>
            <w:tcBorders/>
            <w:shd w:fill="CCEEFF" w:val="clear"/>
            <w:vAlign w:val="bottom"/>
          </w:tcPr>
          <w:p>
            <w:pPr>
              <w:pStyle w:val="TableContents"/>
              <w:spacing w:before="0" w:after="283"/>
              <w:jc w:val="left"/>
              <w:rPr/>
            </w:pPr>
            <w:r>
              <w:rPr/>
              <w:t> </w:t>
            </w:r>
          </w:p>
        </w:tc>
      </w:tr>
      <w:tr>
        <w:trPr/>
        <w:tc>
          <w:tcPr>
            <w:tcW w:w="71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Credit card companies</w:t>
            </w:r>
          </w:p>
        </w:tc>
        <w:tc>
          <w:tcPr>
            <w:tcW w:w="114" w:type="dxa"/>
            <w:tcBorders/>
            <w:shd w:fill="FFFFFF" w:val="clear"/>
            <w:vAlign w:val="bottom"/>
          </w:tcPr>
          <w:p>
            <w:pPr>
              <w:pStyle w:val="TableContents"/>
              <w:spacing w:before="0" w:after="283"/>
              <w:jc w:val="left"/>
              <w:rPr/>
            </w:pPr>
            <w:r>
              <w:rPr/>
              <w:t> </w:t>
            </w:r>
          </w:p>
        </w:tc>
        <w:tc>
          <w:tcPr>
            <w:tcW w:w="163"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17,833</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jc w:val="left"/>
              <w:rPr/>
            </w:pPr>
            <w:r>
              <w:rPr/>
              <w:t> </w:t>
            </w:r>
          </w:p>
        </w:tc>
        <w:tc>
          <w:tcPr>
            <w:tcW w:w="163"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3,640</w:t>
            </w:r>
          </w:p>
        </w:tc>
        <w:tc>
          <w:tcPr>
            <w:tcW w:w="126" w:type="dxa"/>
            <w:tcBorders/>
            <w:shd w:fill="FFFFFF" w:val="clear"/>
            <w:vAlign w:val="bottom"/>
          </w:tcPr>
          <w:p>
            <w:pPr>
              <w:pStyle w:val="TableContents"/>
              <w:spacing w:before="0" w:after="283"/>
              <w:jc w:val="left"/>
              <w:rPr/>
            </w:pPr>
            <w:r>
              <w:rPr/>
              <w:t> </w:t>
            </w:r>
          </w:p>
        </w:tc>
      </w:tr>
      <w:tr>
        <w:trPr/>
        <w:tc>
          <w:tcPr>
            <w:tcW w:w="71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Screen hire</w:t>
            </w:r>
          </w:p>
        </w:tc>
        <w:tc>
          <w:tcPr>
            <w:tcW w:w="114" w:type="dxa"/>
            <w:tcBorders/>
            <w:shd w:fill="CCEEFF" w:val="clear"/>
            <w:vAlign w:val="bottom"/>
          </w:tcPr>
          <w:p>
            <w:pPr>
              <w:pStyle w:val="TableContents"/>
              <w:spacing w:before="0" w:after="283"/>
              <w:jc w:val="left"/>
              <w:rPr/>
            </w:pPr>
            <w:r>
              <w:rPr/>
              <w:t> </w:t>
            </w:r>
          </w:p>
        </w:tc>
        <w:tc>
          <w:tcPr>
            <w:tcW w:w="163"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left"/>
              <w:rPr/>
            </w:pPr>
            <w:r>
              <w:rPr/>
              <w:t> </w:t>
            </w:r>
          </w:p>
        </w:tc>
        <w:tc>
          <w:tcPr>
            <w:tcW w:w="163"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7129"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Games, machine and merchandising companies</w:t>
            </w:r>
          </w:p>
        </w:tc>
        <w:tc>
          <w:tcPr>
            <w:tcW w:w="114" w:type="dxa"/>
            <w:tcBorders/>
            <w:shd w:fill="FFFFFF" w:val="clear"/>
            <w:vAlign w:val="bottom"/>
          </w:tcPr>
          <w:p>
            <w:pPr>
              <w:pStyle w:val="TableContents"/>
              <w:spacing w:before="0" w:after="283"/>
              <w:jc w:val="left"/>
              <w:rPr/>
            </w:pPr>
            <w:r>
              <w:rPr/>
              <w:t> </w:t>
            </w:r>
          </w:p>
        </w:tc>
        <w:tc>
          <w:tcPr>
            <w:tcW w:w="16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18,857</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jc w:val="left"/>
              <w:rPr/>
            </w:pPr>
            <w:r>
              <w:rPr/>
              <w:t> </w:t>
            </w:r>
          </w:p>
        </w:tc>
        <w:tc>
          <w:tcPr>
            <w:tcW w:w="16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16,269</w:t>
            </w:r>
          </w:p>
        </w:tc>
        <w:tc>
          <w:tcPr>
            <w:tcW w:w="126" w:type="dxa"/>
            <w:tcBorders/>
            <w:shd w:fill="FFFFFF" w:val="clear"/>
            <w:vAlign w:val="bottom"/>
          </w:tcPr>
          <w:p>
            <w:pPr>
              <w:pStyle w:val="TableContents"/>
              <w:spacing w:before="0" w:after="283"/>
              <w:jc w:val="left"/>
              <w:rPr/>
            </w:pPr>
            <w:r>
              <w:rPr/>
              <w:t> </w:t>
            </w:r>
          </w:p>
        </w:tc>
      </w:tr>
      <w:tr>
        <w:trPr/>
        <w:tc>
          <w:tcPr>
            <w:tcW w:w="7129"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14" w:type="dxa"/>
            <w:tcBorders/>
            <w:shd w:fill="CCEEFF" w:val="clear"/>
            <w:vAlign w:val="bottom"/>
          </w:tcPr>
          <w:p>
            <w:pPr>
              <w:pStyle w:val="TableContents"/>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CCEEFF" w:val="clear"/>
            <w:tcMar>
              <w:bottom w:w="28" w:type="dxa"/>
            </w:tcMar>
            <w:vAlign w:val="bottom"/>
          </w:tcPr>
          <w:p>
            <w:pPr>
              <w:pStyle w:val="TableContents"/>
              <w:spacing w:before="0" w:after="283"/>
              <w:ind w:left="120" w:right="0" w:hanging="0"/>
              <w:jc w:val="right"/>
              <w:rPr>
                <w:rFonts w:ascii="times new roman" w:hAnsi="times new roman"/>
                <w:sz w:val="20"/>
              </w:rPr>
            </w:pPr>
            <w:bookmarkStart w:id="3685" w:name="TAB11872"/>
            <w:bookmarkEnd w:id="3685"/>
            <w:r>
              <w:rPr>
                <w:rFonts w:ascii="times new roman" w:hAnsi="times new roman"/>
                <w:sz w:val="20"/>
              </w:rPr>
              <w:t>97,359</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CCEEFF" w:val="clear"/>
            <w:tcMar>
              <w:bottom w:w="28" w:type="dxa"/>
            </w:tcMar>
            <w:vAlign w:val="bottom"/>
          </w:tcPr>
          <w:p>
            <w:pPr>
              <w:pStyle w:val="TableContents"/>
              <w:spacing w:before="0" w:after="283"/>
              <w:ind w:left="120" w:right="0" w:hanging="0"/>
              <w:jc w:val="right"/>
              <w:rPr>
                <w:rFonts w:ascii="times new roman" w:hAnsi="times new roman"/>
                <w:sz w:val="20"/>
              </w:rPr>
            </w:pPr>
            <w:bookmarkStart w:id="3686" w:name="TAB11873"/>
            <w:bookmarkEnd w:id="3686"/>
            <w:r>
              <w:rPr>
                <w:rFonts w:ascii="times new roman" w:hAnsi="times new roman"/>
                <w:sz w:val="20"/>
              </w:rPr>
              <w:t>91,712</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b/>
          <w:sz w:val="20"/>
        </w:rPr>
      </w:pPr>
      <w:r>
        <w:rPr>
          <w:rFonts w:ascii="Times New Roman" w:hAnsi="Times New Roman"/>
          <w:b/>
          <w:sz w:val="20"/>
        </w:rPr>
        <w:t>Impairment losses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There were no trade receivables at the reporting date or comparable period which were past due.  The carrying value of such receivables were $97,359 in 2009 (unaudited) (2008: $91,712).  There were no allowances for impairment during the reporting periods.</w:t>
      </w:r>
    </w:p>
    <w:p>
      <w:pPr>
        <w:pStyle w:val="TextBody"/>
        <w:spacing w:before="0" w:after="0"/>
        <w:ind w:left="0" w:right="0" w:hanging="0"/>
        <w:rPr/>
      </w:pPr>
      <w:r>
        <w:rPr/>
      </w:r>
    </w:p>
    <w:p>
      <w:pPr>
        <w:pStyle w:val="TextBody"/>
        <w:spacing w:before="0" w:after="0"/>
        <w:ind w:left="0" w:right="0" w:firstLine="720"/>
        <w:jc w:val="left"/>
        <w:rPr>
          <w:rFonts w:ascii="Times New Roman" w:hAnsi="Times New Roman"/>
          <w:b/>
          <w:sz w:val="20"/>
        </w:rPr>
      </w:pPr>
      <w:r>
        <w:rPr>
          <w:rFonts w:ascii="Times New Roman" w:hAnsi="Times New Roman"/>
          <w:b/>
          <w:sz w:val="20"/>
        </w:rPr>
        <w:t>Liquidity risk</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Financial liabilities are only trade payables all contractually due within 6 months.  The carrying value of such liabilities were $691,224 in 2009 (unaudited) (2008: $685,765).</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87" w:name="PGBRK139"/>
      <w:bookmarkStart w:id="3688" w:name="PGBRK139"/>
      <w:bookmarkEnd w:id="36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89" w:name="FTR139"/>
      <w:bookmarkStart w:id="3690" w:name="FTR139"/>
      <w:bookmarkEnd w:id="36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91" w:name="GLFTR139"/>
      <w:bookmarkEnd w:id="36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692" w:name="PN139"/>
      <w:bookmarkEnd w:id="3692"/>
      <w:r>
        <w:rPr>
          <w:rFonts w:eastAsia="Times New Roman" w:cs="Times New Roman" w:ascii="Times New Roman" w:hAnsi="Times New Roman"/>
          <w:sz w:val="20"/>
          <w:szCs w:val="20"/>
        </w:rPr>
        <w:t>-139-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693" w:name="HDR139"/>
      <w:bookmarkStart w:id="3694" w:name="HDR139"/>
      <w:bookmarkEnd w:id="36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695" w:name="GLHDR139"/>
        <w:bookmarkEnd w:id="369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936" w:firstLine="720"/>
        <w:jc w:val="left"/>
        <w:rPr>
          <w:rFonts w:ascii="Times New Roman" w:hAnsi="Times New Roman"/>
          <w:b/>
          <w:sz w:val="20"/>
        </w:rPr>
      </w:pPr>
      <w:r>
        <w:rPr>
          <w:rFonts w:ascii="Times New Roman" w:hAnsi="Times New Roman"/>
          <w:b/>
          <w:sz w:val="20"/>
        </w:rPr>
        <w:t>Interest rate risk</w:t>
      </w:r>
    </w:p>
    <w:p>
      <w:pPr>
        <w:pStyle w:val="TextBody"/>
        <w:spacing w:before="0" w:after="0"/>
        <w:ind w:left="0" w:right="0" w:hanging="0"/>
        <w:rPr/>
      </w:pPr>
      <w:r>
        <w:rPr/>
      </w:r>
    </w:p>
    <w:p>
      <w:pPr>
        <w:pStyle w:val="TextBody"/>
        <w:spacing w:before="0" w:after="0"/>
        <w:ind w:left="720" w:right="936" w:hanging="0"/>
        <w:jc w:val="left"/>
        <w:rPr>
          <w:rFonts w:ascii="Times New Roman" w:hAnsi="Times New Roman"/>
          <w:b/>
          <w:sz w:val="20"/>
        </w:rPr>
      </w:pPr>
      <w:bookmarkStart w:id="3696" w:name="TAB11874"/>
      <w:bookmarkEnd w:id="3696"/>
      <w:r>
        <w:rPr>
          <w:rFonts w:ascii="Times New Roman" w:hAnsi="Times New Roman"/>
          <w:b/>
          <w:sz w:val="20"/>
        </w:rPr>
        <w:t>Profile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the reporting date the interest rate profile of the Joint Venture’s interest-bearing financial instruments was: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274"/>
        <w:gridCol w:w="111"/>
        <w:gridCol w:w="140"/>
        <w:gridCol w:w="1097"/>
        <w:gridCol w:w="111"/>
        <w:gridCol w:w="111"/>
        <w:gridCol w:w="140"/>
        <w:gridCol w:w="1097"/>
        <w:gridCol w:w="124"/>
      </w:tblGrid>
      <w:tr>
        <w:trPr/>
        <w:tc>
          <w:tcPr>
            <w:tcW w:w="7274"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Variable rate instruments</w:t>
            </w:r>
          </w:p>
        </w:tc>
        <w:tc>
          <w:tcPr>
            <w:tcW w:w="111" w:type="dxa"/>
            <w:tcBorders/>
            <w:shd w:fill="auto" w:val="clear"/>
            <w:vAlign w:val="bottom"/>
          </w:tcPr>
          <w:p>
            <w:pPr>
              <w:pStyle w:val="TableContents"/>
              <w:spacing w:before="0" w:after="283"/>
              <w:rPr/>
            </w:pPr>
            <w:r>
              <w:rPr/>
              <w:t> </w:t>
            </w:r>
          </w:p>
        </w:tc>
        <w:tc>
          <w:tcPr>
            <w:tcW w:w="2696"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24" w:type="dxa"/>
            <w:tcBorders/>
            <w:shd w:fill="auto" w:val="clear"/>
            <w:vAlign w:val="bottom"/>
          </w:tcPr>
          <w:p>
            <w:pPr>
              <w:pStyle w:val="TableContents"/>
              <w:spacing w:before="0" w:after="283"/>
              <w:jc w:val="left"/>
              <w:rPr/>
            </w:pPr>
            <w:r>
              <w:rPr/>
              <w:t> </w:t>
            </w:r>
          </w:p>
        </w:tc>
      </w:tr>
      <w:tr>
        <w:trPr/>
        <w:tc>
          <w:tcPr>
            <w:tcW w:w="7274"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1" w:type="dxa"/>
            <w:tcBorders/>
            <w:shd w:fill="auto" w:val="clear"/>
            <w:vAlign w:val="bottom"/>
          </w:tcPr>
          <w:p>
            <w:pPr>
              <w:pStyle w:val="TableContents"/>
              <w:spacing w:before="0" w:after="283"/>
              <w:rPr/>
            </w:pPr>
            <w:r>
              <w:rPr/>
              <w:t> </w:t>
            </w:r>
          </w:p>
        </w:tc>
        <w:tc>
          <w:tcPr>
            <w:tcW w:w="123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3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4" w:type="dxa"/>
            <w:tcBorders/>
            <w:shd w:fill="auto" w:val="clear"/>
            <w:vAlign w:val="bottom"/>
          </w:tcPr>
          <w:p>
            <w:pPr>
              <w:pStyle w:val="TableContents"/>
              <w:spacing w:before="0" w:after="283"/>
              <w:jc w:val="left"/>
              <w:rPr/>
            </w:pPr>
            <w:r>
              <w:rPr/>
              <w:t> </w:t>
            </w:r>
          </w:p>
        </w:tc>
      </w:tr>
      <w:tr>
        <w:trPr/>
        <w:tc>
          <w:tcPr>
            <w:tcW w:w="727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Bank Balances</w:t>
            </w:r>
          </w:p>
        </w:tc>
        <w:tc>
          <w:tcPr>
            <w:tcW w:w="111" w:type="dxa"/>
            <w:tcBorders/>
            <w:shd w:fill="auto" w:val="clear"/>
            <w:vAlign w:val="bottom"/>
          </w:tcPr>
          <w:p>
            <w:pPr>
              <w:pStyle w:val="TableContents"/>
              <w:spacing w:before="0" w:after="283"/>
              <w:jc w:val="left"/>
              <w:rPr/>
            </w:pPr>
            <w:r>
              <w:rPr/>
              <w:t> </w:t>
            </w:r>
          </w:p>
        </w:tc>
        <w:tc>
          <w:tcPr>
            <w:tcW w:w="1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637,001</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left"/>
              <w:rPr/>
            </w:pPr>
            <w:r>
              <w:rPr/>
              <w:t> </w:t>
            </w:r>
          </w:p>
        </w:tc>
        <w:tc>
          <w:tcPr>
            <w:tcW w:w="14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877,438</w:t>
            </w:r>
          </w:p>
        </w:tc>
        <w:tc>
          <w:tcPr>
            <w:tcW w:w="124"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Joint Venture held no fixed rate instruments during financial year 2009 (unaudited) or 2008 (unaudited).</w:t>
      </w:r>
    </w:p>
    <w:p>
      <w:pPr>
        <w:pStyle w:val="TextBody"/>
        <w:spacing w:before="0" w:after="0"/>
        <w:ind w:left="0" w:right="0" w:hanging="0"/>
        <w:rPr/>
      </w:pPr>
      <w:r>
        <w:rPr/>
      </w:r>
    </w:p>
    <w:p>
      <w:pPr>
        <w:pStyle w:val="TextBody"/>
        <w:spacing w:before="0" w:after="0"/>
        <w:ind w:left="0" w:right="0" w:firstLine="720"/>
        <w:jc w:val="left"/>
        <w:rPr>
          <w:rFonts w:ascii="Times New Roman" w:hAnsi="Times New Roman"/>
          <w:b/>
          <w:sz w:val="20"/>
        </w:rPr>
      </w:pPr>
      <w:r>
        <w:rPr>
          <w:rFonts w:ascii="Times New Roman" w:hAnsi="Times New Roman"/>
          <w:b/>
          <w:sz w:val="20"/>
        </w:rPr>
        <w:t>Cash Flow Sensitivity Analysis for Variable Rate Instruments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 change of one percentage point in interest rates at the reporting date would have increased (decreased) equity and profit or loss by the amounts shown below. This analysis assumes that all other variables remain constant. The analysis is performed on the same basis for 2009.</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131"/>
        <w:gridCol w:w="106"/>
        <w:gridCol w:w="194"/>
        <w:gridCol w:w="1101"/>
        <w:gridCol w:w="106"/>
        <w:gridCol w:w="106"/>
        <w:gridCol w:w="183"/>
        <w:gridCol w:w="1112"/>
        <w:gridCol w:w="119"/>
        <w:gridCol w:w="106"/>
        <w:gridCol w:w="194"/>
        <w:gridCol w:w="1101"/>
        <w:gridCol w:w="105"/>
        <w:gridCol w:w="106"/>
        <w:gridCol w:w="183"/>
        <w:gridCol w:w="1112"/>
        <w:gridCol w:w="140"/>
      </w:tblGrid>
      <w:tr>
        <w:trPr/>
        <w:tc>
          <w:tcPr>
            <w:tcW w:w="4131" w:type="dxa"/>
            <w:tcBorders>
              <w:bottom w:val="double" w:sz="8" w:space="0" w:color="000000"/>
            </w:tcBorders>
            <w:shd w:fill="auto" w:val="clear"/>
            <w:vAlign w:val="bottom"/>
          </w:tcPr>
          <w:p>
            <w:pPr>
              <w:pStyle w:val="TableContents"/>
              <w:spacing w:before="0" w:after="283"/>
              <w:rPr/>
            </w:pPr>
            <w:r>
              <w:rPr/>
              <w:t xml:space="preserve">  </w:t>
            </w:r>
          </w:p>
        </w:tc>
        <w:tc>
          <w:tcPr>
            <w:tcW w:w="106" w:type="dxa"/>
            <w:tcBorders/>
            <w:shd w:fill="auto" w:val="clear"/>
            <w:tcMar>
              <w:bottom w:w="0" w:type="dxa"/>
            </w:tcMar>
            <w:vAlign w:val="bottom"/>
          </w:tcPr>
          <w:p>
            <w:pPr>
              <w:pStyle w:val="TableContents"/>
              <w:spacing w:before="0" w:after="283"/>
              <w:rPr/>
            </w:pPr>
            <w:r>
              <w:rPr/>
              <w:t> </w:t>
            </w:r>
          </w:p>
        </w:tc>
        <w:tc>
          <w:tcPr>
            <w:tcW w:w="2802" w:type="dxa"/>
            <w:gridSpan w:val="6"/>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Profit or loss</w:t>
            </w:r>
          </w:p>
        </w:tc>
        <w:tc>
          <w:tcPr>
            <w:tcW w:w="119"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2801" w:type="dxa"/>
            <w:gridSpan w:val="6"/>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Equity</w:t>
            </w:r>
          </w:p>
        </w:tc>
        <w:tc>
          <w:tcPr>
            <w:tcW w:w="140" w:type="dxa"/>
            <w:tcBorders/>
            <w:shd w:fill="auto" w:val="clear"/>
            <w:tcMar>
              <w:bottom w:w="0" w:type="dxa"/>
            </w:tcMar>
            <w:vAlign w:val="bottom"/>
          </w:tcPr>
          <w:p>
            <w:pPr>
              <w:pStyle w:val="TableContents"/>
              <w:spacing w:before="0" w:after="283"/>
              <w:jc w:val="left"/>
              <w:rPr/>
            </w:pPr>
            <w:r>
              <w:rPr/>
              <w:t> </w:t>
            </w:r>
          </w:p>
        </w:tc>
      </w:tr>
      <w:tr>
        <w:trPr/>
        <w:tc>
          <w:tcPr>
            <w:tcW w:w="4131" w:type="dxa"/>
            <w:tcBorders>
              <w:bottom w:val="single" w:sz="12"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Effect In AUS$</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percentage point</w:t>
            </w:r>
          </w:p>
          <w:p>
            <w:pPr>
              <w:pStyle w:val="TableContents"/>
              <w:spacing w:before="0" w:after="0"/>
              <w:ind w:left="0" w:right="0" w:hanging="0"/>
              <w:jc w:val="center"/>
              <w:rPr>
                <w:rFonts w:ascii="times new roman" w:hAnsi="times new roman"/>
                <w:b/>
                <w:sz w:val="20"/>
              </w:rPr>
            </w:pPr>
            <w:r>
              <w:rPr>
                <w:rFonts w:ascii="times new roman" w:hAnsi="times new roman"/>
                <w:b/>
                <w:sz w:val="20"/>
              </w:rPr>
              <w:t>Increase</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percentage point</w:t>
            </w:r>
          </w:p>
          <w:p>
            <w:pPr>
              <w:pStyle w:val="TableContents"/>
              <w:spacing w:before="0" w:after="0"/>
              <w:ind w:left="0" w:right="0" w:hanging="0"/>
              <w:jc w:val="center"/>
              <w:rPr>
                <w:rFonts w:ascii="times new roman" w:hAnsi="times new roman"/>
                <w:b/>
                <w:sz w:val="20"/>
              </w:rPr>
            </w:pPr>
            <w:r>
              <w:rPr>
                <w:rFonts w:ascii="times new roman" w:hAnsi="times new roman"/>
                <w:b/>
                <w:sz w:val="20"/>
              </w:rPr>
              <w:t>Decrease</w:t>
            </w:r>
          </w:p>
        </w:tc>
        <w:tc>
          <w:tcPr>
            <w:tcW w:w="119"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percentage point</w:t>
            </w:r>
          </w:p>
          <w:p>
            <w:pPr>
              <w:pStyle w:val="TableContents"/>
              <w:spacing w:before="0" w:after="0"/>
              <w:ind w:left="0" w:right="0" w:hanging="0"/>
              <w:jc w:val="center"/>
              <w:rPr>
                <w:rFonts w:ascii="times new roman" w:hAnsi="times new roman"/>
                <w:b/>
                <w:sz w:val="20"/>
              </w:rPr>
            </w:pPr>
            <w:r>
              <w:rPr>
                <w:rFonts w:ascii="times new roman" w:hAnsi="times new roman"/>
                <w:b/>
                <w:sz w:val="20"/>
              </w:rPr>
              <w:t>Increase</w:t>
            </w:r>
          </w:p>
        </w:tc>
        <w:tc>
          <w:tcPr>
            <w:tcW w:w="105"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percentage point</w:t>
            </w:r>
          </w:p>
          <w:p>
            <w:pPr>
              <w:pStyle w:val="TableContents"/>
              <w:spacing w:before="0" w:after="0"/>
              <w:ind w:left="0" w:right="0" w:hanging="0"/>
              <w:jc w:val="center"/>
              <w:rPr>
                <w:rFonts w:ascii="times new roman" w:hAnsi="times new roman"/>
                <w:b/>
                <w:sz w:val="20"/>
              </w:rPr>
            </w:pPr>
            <w:r>
              <w:rPr>
                <w:rFonts w:ascii="times new roman" w:hAnsi="times new roman"/>
                <w:b/>
                <w:sz w:val="20"/>
              </w:rPr>
              <w:t>Decrease</w:t>
            </w:r>
          </w:p>
        </w:tc>
        <w:tc>
          <w:tcPr>
            <w:tcW w:w="140" w:type="dxa"/>
            <w:tcBorders/>
            <w:shd w:fill="auto" w:val="clear"/>
            <w:tcMar>
              <w:bottom w:w="0" w:type="dxa"/>
            </w:tcMar>
            <w:vAlign w:val="bottom"/>
          </w:tcPr>
          <w:p>
            <w:pPr>
              <w:pStyle w:val="TableContents"/>
              <w:spacing w:before="0" w:after="283"/>
              <w:jc w:val="left"/>
              <w:rPr/>
            </w:pPr>
            <w:r>
              <w:rPr/>
              <w:t> </w:t>
            </w:r>
          </w:p>
        </w:tc>
      </w:tr>
      <w:tr>
        <w:trPr/>
        <w:tc>
          <w:tcPr>
            <w:tcW w:w="4131"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December 31, 2009 (unaudited)</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shd w:fill="auto" w:val="clear"/>
            <w:tcMar>
              <w:bottom w:w="0" w:type="dxa"/>
            </w:tcMar>
            <w:vAlign w:val="bottom"/>
          </w:tcPr>
          <w:p>
            <w:pPr>
              <w:pStyle w:val="TableContents"/>
              <w:spacing w:before="0" w:after="283"/>
              <w:rPr/>
            </w:pPr>
            <w:r>
              <w:rPr/>
              <w:t> </w:t>
            </w:r>
          </w:p>
        </w:tc>
        <w:tc>
          <w:tcPr>
            <w:tcW w:w="119"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shd w:fill="auto" w:val="clear"/>
            <w:tcMar>
              <w:bottom w:w="0" w:type="dxa"/>
            </w:tcMar>
            <w:vAlign w:val="bottom"/>
          </w:tcPr>
          <w:p>
            <w:pPr>
              <w:pStyle w:val="TableContents"/>
              <w:spacing w:before="0" w:after="283"/>
              <w:rPr/>
            </w:pPr>
            <w:r>
              <w:rPr/>
              <w:t> </w:t>
            </w:r>
          </w:p>
        </w:tc>
        <w:tc>
          <w:tcPr>
            <w:tcW w:w="140" w:type="dxa"/>
            <w:tcBorders/>
            <w:shd w:fill="auto" w:val="clear"/>
            <w:tcMar>
              <w:bottom w:w="0" w:type="dxa"/>
            </w:tcMar>
            <w:vAlign w:val="bottom"/>
          </w:tcPr>
          <w:p>
            <w:pPr>
              <w:pStyle w:val="TableContents"/>
              <w:spacing w:before="0" w:after="283"/>
              <w:jc w:val="left"/>
              <w:rPr/>
            </w:pPr>
            <w:r>
              <w:rPr/>
              <w:t> </w:t>
            </w:r>
          </w:p>
        </w:tc>
      </w:tr>
      <w:tr>
        <w:trPr/>
        <w:tc>
          <w:tcPr>
            <w:tcW w:w="41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Variable rate instruments</w:t>
            </w:r>
          </w:p>
        </w:tc>
        <w:tc>
          <w:tcPr>
            <w:tcW w:w="106"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1" w:type="dxa"/>
            <w:tcBorders/>
            <w:shd w:fill="CCEEFF" w:val="clear"/>
            <w:tcMar>
              <w:bottom w:w="0" w:type="dxa"/>
            </w:tcMar>
            <w:vAlign w:val="bottom"/>
          </w:tcPr>
          <w:p>
            <w:pPr>
              <w:pStyle w:val="TableContents"/>
              <w:spacing w:before="0" w:after="283"/>
              <w:ind w:left="142" w:right="0" w:hanging="0"/>
              <w:jc w:val="right"/>
              <w:rPr>
                <w:rFonts w:ascii="times new roman" w:hAnsi="times new roman"/>
                <w:sz w:val="20"/>
              </w:rPr>
            </w:pPr>
            <w:bookmarkStart w:id="3697" w:name="TAB11875"/>
            <w:bookmarkEnd w:id="3697"/>
            <w:r>
              <w:rPr>
                <w:rFonts w:ascii="times new roman" w:hAnsi="times new roman"/>
                <w:sz w:val="20"/>
              </w:rPr>
              <w:t>2,377</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8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shd w:fill="CCEEFF" w:val="clear"/>
            <w:tcMar>
              <w:bottom w:w="0" w:type="dxa"/>
            </w:tcMar>
            <w:vAlign w:val="bottom"/>
          </w:tcPr>
          <w:p>
            <w:pPr>
              <w:pStyle w:val="TableContents"/>
              <w:spacing w:before="0" w:after="283"/>
              <w:ind w:left="110" w:right="0" w:hanging="0"/>
              <w:jc w:val="right"/>
              <w:rPr>
                <w:rFonts w:ascii="times new roman" w:hAnsi="times new roman"/>
                <w:sz w:val="20"/>
              </w:rPr>
            </w:pPr>
            <w:bookmarkStart w:id="3698" w:name="TAB11876"/>
            <w:bookmarkEnd w:id="3698"/>
            <w:r>
              <w:rPr>
                <w:rFonts w:ascii="times new roman" w:hAnsi="times new roman"/>
                <w:sz w:val="20"/>
              </w:rPr>
              <w:t>(2,377</w:t>
            </w:r>
          </w:p>
        </w:tc>
        <w:tc>
          <w:tcPr>
            <w:tcW w:w="1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1" w:type="dxa"/>
            <w:tcBorders/>
            <w:shd w:fill="CCEEFF" w:val="clear"/>
            <w:tcMar>
              <w:bottom w:w="0" w:type="dxa"/>
            </w:tcMar>
            <w:vAlign w:val="bottom"/>
          </w:tcPr>
          <w:p>
            <w:pPr>
              <w:pStyle w:val="TableContents"/>
              <w:spacing w:before="0" w:after="283"/>
              <w:ind w:left="167" w:right="0" w:hanging="0"/>
              <w:jc w:val="right"/>
              <w:rPr>
                <w:rFonts w:ascii="times new roman" w:hAnsi="times new roman"/>
                <w:sz w:val="20"/>
              </w:rPr>
            </w:pPr>
            <w:bookmarkStart w:id="3699" w:name="TAB11877"/>
            <w:bookmarkEnd w:id="3699"/>
            <w:r>
              <w:rPr>
                <w:rFonts w:ascii="times new roman" w:hAnsi="times new roman"/>
                <w:sz w:val="20"/>
              </w:rPr>
              <w:t>2,377</w:t>
            </w:r>
          </w:p>
        </w:tc>
        <w:tc>
          <w:tcPr>
            <w:tcW w:w="105"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8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shd w:fill="CCEEFF" w:val="clear"/>
            <w:tcMar>
              <w:bottom w:w="0" w:type="dxa"/>
            </w:tcMar>
            <w:vAlign w:val="bottom"/>
          </w:tcPr>
          <w:p>
            <w:pPr>
              <w:pStyle w:val="TableContents"/>
              <w:spacing w:before="0" w:after="283"/>
              <w:ind w:left="135" w:right="0" w:hanging="0"/>
              <w:jc w:val="right"/>
              <w:rPr>
                <w:rFonts w:ascii="times new roman" w:hAnsi="times new roman"/>
                <w:sz w:val="20"/>
              </w:rPr>
            </w:pPr>
            <w:bookmarkStart w:id="3700" w:name="TAB11878"/>
            <w:bookmarkEnd w:id="3700"/>
            <w:r>
              <w:rPr>
                <w:rFonts w:ascii="times new roman" w:hAnsi="times new roman"/>
                <w:sz w:val="20"/>
              </w:rPr>
              <w:t>(2,377</w:t>
            </w:r>
          </w:p>
        </w:tc>
        <w:tc>
          <w:tcPr>
            <w:tcW w:w="1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 sensitivity</w:t>
            </w:r>
          </w:p>
        </w:tc>
        <w:tc>
          <w:tcPr>
            <w:tcW w:w="106"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10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2,377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83" w:type="dxa"/>
            <w:tcBorders/>
            <w:shd w:fill="FFFFFF" w:val="clear"/>
            <w:tcMar>
              <w:bottom w:w="0" w:type="dxa"/>
            </w:tcMar>
            <w:vAlign w:val="bottom"/>
          </w:tcPr>
          <w:p>
            <w:pPr>
              <w:pStyle w:val="TableContents"/>
              <w:spacing w:before="0" w:after="283"/>
              <w:jc w:val="left"/>
              <w:rPr/>
            </w:pPr>
            <w:r>
              <w:rPr/>
              <w:t> </w:t>
            </w:r>
          </w:p>
        </w:tc>
        <w:tc>
          <w:tcPr>
            <w:tcW w:w="111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(2,377</w:t>
            </w:r>
          </w:p>
        </w:tc>
        <w:tc>
          <w:tcPr>
            <w:tcW w:w="1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10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2,377</w:t>
            </w:r>
          </w:p>
        </w:tc>
        <w:tc>
          <w:tcPr>
            <w:tcW w:w="105"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83" w:type="dxa"/>
            <w:tcBorders/>
            <w:shd w:fill="FFFFFF" w:val="clear"/>
            <w:tcMar>
              <w:bottom w:w="0" w:type="dxa"/>
            </w:tcMar>
            <w:vAlign w:val="bottom"/>
          </w:tcPr>
          <w:p>
            <w:pPr>
              <w:pStyle w:val="TableContents"/>
              <w:spacing w:before="0" w:after="283"/>
              <w:jc w:val="left"/>
              <w:rPr/>
            </w:pPr>
            <w:r>
              <w:rPr/>
              <w:t> </w:t>
            </w:r>
          </w:p>
        </w:tc>
        <w:tc>
          <w:tcPr>
            <w:tcW w:w="111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(2,377</w:t>
            </w:r>
          </w:p>
        </w:tc>
        <w:tc>
          <w:tcPr>
            <w:tcW w:w="14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131"/>
        <w:gridCol w:w="106"/>
        <w:gridCol w:w="194"/>
        <w:gridCol w:w="1101"/>
        <w:gridCol w:w="106"/>
        <w:gridCol w:w="106"/>
        <w:gridCol w:w="183"/>
        <w:gridCol w:w="1112"/>
        <w:gridCol w:w="119"/>
        <w:gridCol w:w="106"/>
        <w:gridCol w:w="194"/>
        <w:gridCol w:w="1101"/>
        <w:gridCol w:w="105"/>
        <w:gridCol w:w="106"/>
        <w:gridCol w:w="183"/>
        <w:gridCol w:w="1112"/>
        <w:gridCol w:w="140"/>
      </w:tblGrid>
      <w:tr>
        <w:trPr/>
        <w:tc>
          <w:tcPr>
            <w:tcW w:w="4131" w:type="dxa"/>
            <w:tcBorders>
              <w:bottom w:val="double" w:sz="8" w:space="0" w:color="000000"/>
            </w:tcBorders>
            <w:shd w:fill="auto" w:val="clear"/>
            <w:vAlign w:val="bottom"/>
          </w:tcPr>
          <w:p>
            <w:pPr>
              <w:pStyle w:val="TableContents"/>
              <w:spacing w:before="0" w:after="283"/>
              <w:rPr/>
            </w:pPr>
            <w:r>
              <w:rPr/>
              <w:t xml:space="preserve">  </w:t>
            </w:r>
          </w:p>
        </w:tc>
        <w:tc>
          <w:tcPr>
            <w:tcW w:w="106" w:type="dxa"/>
            <w:tcBorders/>
            <w:shd w:fill="auto" w:val="clear"/>
            <w:tcMar>
              <w:bottom w:w="0" w:type="dxa"/>
            </w:tcMar>
            <w:vAlign w:val="bottom"/>
          </w:tcPr>
          <w:p>
            <w:pPr>
              <w:pStyle w:val="TableContents"/>
              <w:spacing w:before="0" w:after="283"/>
              <w:rPr/>
            </w:pPr>
            <w:r>
              <w:rPr/>
              <w:t> </w:t>
            </w:r>
          </w:p>
        </w:tc>
        <w:tc>
          <w:tcPr>
            <w:tcW w:w="2802" w:type="dxa"/>
            <w:gridSpan w:val="6"/>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Profit or loss</w:t>
            </w:r>
          </w:p>
        </w:tc>
        <w:tc>
          <w:tcPr>
            <w:tcW w:w="119"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2801" w:type="dxa"/>
            <w:gridSpan w:val="6"/>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Equity</w:t>
            </w:r>
          </w:p>
        </w:tc>
        <w:tc>
          <w:tcPr>
            <w:tcW w:w="140" w:type="dxa"/>
            <w:tcBorders/>
            <w:shd w:fill="auto" w:val="clear"/>
            <w:tcMar>
              <w:bottom w:w="0" w:type="dxa"/>
            </w:tcMar>
            <w:vAlign w:val="bottom"/>
          </w:tcPr>
          <w:p>
            <w:pPr>
              <w:pStyle w:val="TableContents"/>
              <w:spacing w:before="0" w:after="283"/>
              <w:jc w:val="left"/>
              <w:rPr/>
            </w:pPr>
            <w:r>
              <w:rPr/>
              <w:t> </w:t>
            </w:r>
          </w:p>
        </w:tc>
      </w:tr>
      <w:tr>
        <w:trPr/>
        <w:tc>
          <w:tcPr>
            <w:tcW w:w="4131" w:type="dxa"/>
            <w:tcBorders>
              <w:bottom w:val="single" w:sz="12"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Effect In AUS$</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percentage point</w:t>
            </w:r>
          </w:p>
          <w:p>
            <w:pPr>
              <w:pStyle w:val="TableContents"/>
              <w:spacing w:before="0" w:after="0"/>
              <w:ind w:left="0" w:right="0" w:hanging="0"/>
              <w:jc w:val="center"/>
              <w:rPr>
                <w:rFonts w:ascii="times new roman" w:hAnsi="times new roman"/>
                <w:b/>
                <w:sz w:val="20"/>
              </w:rPr>
            </w:pPr>
            <w:r>
              <w:rPr>
                <w:rFonts w:ascii="times new roman" w:hAnsi="times new roman"/>
                <w:b/>
                <w:sz w:val="20"/>
              </w:rPr>
              <w:t>Increase</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percentage point</w:t>
            </w:r>
          </w:p>
          <w:p>
            <w:pPr>
              <w:pStyle w:val="TableContents"/>
              <w:spacing w:before="0" w:after="0"/>
              <w:ind w:left="0" w:right="0" w:hanging="0"/>
              <w:jc w:val="center"/>
              <w:rPr>
                <w:rFonts w:ascii="times new roman" w:hAnsi="times new roman"/>
                <w:b/>
                <w:sz w:val="20"/>
              </w:rPr>
            </w:pPr>
            <w:r>
              <w:rPr>
                <w:rFonts w:ascii="times new roman" w:hAnsi="times new roman"/>
                <w:b/>
                <w:sz w:val="20"/>
              </w:rPr>
              <w:t>Decrease</w:t>
            </w:r>
          </w:p>
        </w:tc>
        <w:tc>
          <w:tcPr>
            <w:tcW w:w="119"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percentage point</w:t>
            </w:r>
          </w:p>
          <w:p>
            <w:pPr>
              <w:pStyle w:val="TableContents"/>
              <w:spacing w:before="0" w:after="0"/>
              <w:ind w:left="0" w:right="0" w:hanging="0"/>
              <w:jc w:val="center"/>
              <w:rPr>
                <w:rFonts w:ascii="times new roman" w:hAnsi="times new roman"/>
                <w:b/>
                <w:sz w:val="20"/>
              </w:rPr>
            </w:pPr>
            <w:r>
              <w:rPr>
                <w:rFonts w:ascii="times new roman" w:hAnsi="times new roman"/>
                <w:b/>
                <w:sz w:val="20"/>
              </w:rPr>
              <w:t>Increase</w:t>
            </w:r>
          </w:p>
        </w:tc>
        <w:tc>
          <w:tcPr>
            <w:tcW w:w="105"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percentage point</w:t>
            </w:r>
          </w:p>
          <w:p>
            <w:pPr>
              <w:pStyle w:val="TableContents"/>
              <w:spacing w:before="0" w:after="0"/>
              <w:ind w:left="0" w:right="0" w:hanging="0"/>
              <w:jc w:val="center"/>
              <w:rPr>
                <w:rFonts w:ascii="times new roman" w:hAnsi="times new roman"/>
                <w:b/>
                <w:sz w:val="20"/>
              </w:rPr>
            </w:pPr>
            <w:r>
              <w:rPr>
                <w:rFonts w:ascii="times new roman" w:hAnsi="times new roman"/>
                <w:b/>
                <w:sz w:val="20"/>
              </w:rPr>
              <w:t>Decrease</w:t>
            </w:r>
          </w:p>
        </w:tc>
        <w:tc>
          <w:tcPr>
            <w:tcW w:w="140" w:type="dxa"/>
            <w:tcBorders/>
            <w:shd w:fill="auto" w:val="clear"/>
            <w:tcMar>
              <w:bottom w:w="0" w:type="dxa"/>
            </w:tcMar>
            <w:vAlign w:val="bottom"/>
          </w:tcPr>
          <w:p>
            <w:pPr>
              <w:pStyle w:val="TableContents"/>
              <w:spacing w:before="0" w:after="283"/>
              <w:jc w:val="left"/>
              <w:rPr/>
            </w:pPr>
            <w:r>
              <w:rPr/>
              <w:t> </w:t>
            </w:r>
          </w:p>
        </w:tc>
      </w:tr>
      <w:tr>
        <w:trPr/>
        <w:tc>
          <w:tcPr>
            <w:tcW w:w="4131"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December 31, 2008 (unaudited)</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shd w:fill="auto" w:val="clear"/>
            <w:tcMar>
              <w:bottom w:w="0" w:type="dxa"/>
            </w:tcMar>
            <w:vAlign w:val="bottom"/>
          </w:tcPr>
          <w:p>
            <w:pPr>
              <w:pStyle w:val="TableContents"/>
              <w:spacing w:before="0" w:after="283"/>
              <w:rPr/>
            </w:pPr>
            <w:r>
              <w:rPr/>
              <w:t> </w:t>
            </w:r>
          </w:p>
        </w:tc>
        <w:tc>
          <w:tcPr>
            <w:tcW w:w="119"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95" w:type="dxa"/>
            <w:gridSpan w:val="2"/>
            <w:tcBorders/>
            <w:shd w:fill="auto" w:val="clear"/>
            <w:tcMar>
              <w:bottom w:w="0" w:type="dxa"/>
            </w:tcMar>
            <w:vAlign w:val="bottom"/>
          </w:tcPr>
          <w:p>
            <w:pPr>
              <w:pStyle w:val="TableContents"/>
              <w:spacing w:before="0" w:after="283"/>
              <w:rPr/>
            </w:pPr>
            <w:r>
              <w:rPr/>
              <w:t> </w:t>
            </w:r>
          </w:p>
        </w:tc>
        <w:tc>
          <w:tcPr>
            <w:tcW w:w="140" w:type="dxa"/>
            <w:tcBorders/>
            <w:shd w:fill="auto" w:val="clear"/>
            <w:tcMar>
              <w:bottom w:w="0" w:type="dxa"/>
            </w:tcMar>
            <w:vAlign w:val="bottom"/>
          </w:tcPr>
          <w:p>
            <w:pPr>
              <w:pStyle w:val="TableContents"/>
              <w:spacing w:before="0" w:after="283"/>
              <w:jc w:val="left"/>
              <w:rPr/>
            </w:pPr>
            <w:r>
              <w:rPr/>
              <w:t> </w:t>
            </w:r>
          </w:p>
        </w:tc>
      </w:tr>
      <w:tr>
        <w:trPr/>
        <w:tc>
          <w:tcPr>
            <w:tcW w:w="41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Variable rate instruments</w:t>
            </w:r>
          </w:p>
        </w:tc>
        <w:tc>
          <w:tcPr>
            <w:tcW w:w="106"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1" w:type="dxa"/>
            <w:tcBorders/>
            <w:shd w:fill="CCEEFF" w:val="clear"/>
            <w:tcMar>
              <w:bottom w:w="0" w:type="dxa"/>
            </w:tcMar>
            <w:vAlign w:val="bottom"/>
          </w:tcPr>
          <w:p>
            <w:pPr>
              <w:pStyle w:val="TableContents"/>
              <w:spacing w:before="0" w:after="283"/>
              <w:ind w:left="142" w:right="0" w:hanging="0"/>
              <w:jc w:val="right"/>
              <w:rPr>
                <w:rFonts w:ascii="times new roman" w:hAnsi="times new roman"/>
                <w:sz w:val="20"/>
              </w:rPr>
            </w:pPr>
            <w:bookmarkStart w:id="3701" w:name="TAB11879"/>
            <w:bookmarkEnd w:id="3701"/>
            <w:r>
              <w:rPr>
                <w:rFonts w:ascii="times new roman" w:hAnsi="times new roman"/>
                <w:sz w:val="20"/>
              </w:rPr>
              <w:t>4,942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8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shd w:fill="CCEEFF" w:val="clear"/>
            <w:tcMar>
              <w:bottom w:w="0" w:type="dxa"/>
            </w:tcMar>
            <w:vAlign w:val="bottom"/>
          </w:tcPr>
          <w:p>
            <w:pPr>
              <w:pStyle w:val="TableContents"/>
              <w:spacing w:before="0" w:after="283"/>
              <w:ind w:left="110" w:right="0" w:hanging="0"/>
              <w:jc w:val="right"/>
              <w:rPr>
                <w:rFonts w:ascii="times new roman" w:hAnsi="times new roman"/>
                <w:sz w:val="20"/>
              </w:rPr>
            </w:pPr>
            <w:bookmarkStart w:id="3702" w:name="TAB11880"/>
            <w:bookmarkEnd w:id="3702"/>
            <w:r>
              <w:rPr>
                <w:rFonts w:ascii="times new roman" w:hAnsi="times new roman"/>
                <w:sz w:val="20"/>
              </w:rPr>
              <w:t>(4,942</w:t>
            </w:r>
          </w:p>
        </w:tc>
        <w:tc>
          <w:tcPr>
            <w:tcW w:w="11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1" w:type="dxa"/>
            <w:tcBorders/>
            <w:shd w:fill="CCEEFF" w:val="clear"/>
            <w:tcMar>
              <w:bottom w:w="0" w:type="dxa"/>
            </w:tcMar>
            <w:vAlign w:val="bottom"/>
          </w:tcPr>
          <w:p>
            <w:pPr>
              <w:pStyle w:val="TableContents"/>
              <w:spacing w:before="0" w:after="283"/>
              <w:ind w:left="167" w:right="0" w:hanging="0"/>
              <w:jc w:val="right"/>
              <w:rPr>
                <w:rFonts w:ascii="times new roman" w:hAnsi="times new roman"/>
                <w:sz w:val="20"/>
              </w:rPr>
            </w:pPr>
            <w:bookmarkStart w:id="3703" w:name="TAB11881"/>
            <w:bookmarkEnd w:id="3703"/>
            <w:r>
              <w:rPr>
                <w:rFonts w:ascii="times new roman" w:hAnsi="times new roman"/>
                <w:sz w:val="20"/>
              </w:rPr>
              <w:t>4,942</w:t>
            </w:r>
          </w:p>
        </w:tc>
        <w:tc>
          <w:tcPr>
            <w:tcW w:w="105"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8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shd w:fill="CCEEFF" w:val="clear"/>
            <w:tcMar>
              <w:bottom w:w="0" w:type="dxa"/>
            </w:tcMar>
            <w:vAlign w:val="bottom"/>
          </w:tcPr>
          <w:p>
            <w:pPr>
              <w:pStyle w:val="TableContents"/>
              <w:spacing w:before="0" w:after="283"/>
              <w:ind w:left="135" w:right="0" w:hanging="0"/>
              <w:jc w:val="right"/>
              <w:rPr>
                <w:rFonts w:ascii="times new roman" w:hAnsi="times new roman"/>
                <w:sz w:val="20"/>
              </w:rPr>
            </w:pPr>
            <w:bookmarkStart w:id="3704" w:name="TAB11882"/>
            <w:bookmarkEnd w:id="3704"/>
            <w:r>
              <w:rPr>
                <w:rFonts w:ascii="times new roman" w:hAnsi="times new roman"/>
                <w:sz w:val="20"/>
              </w:rPr>
              <w:t>(4,942</w:t>
            </w:r>
          </w:p>
        </w:tc>
        <w:tc>
          <w:tcPr>
            <w:tcW w:w="1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 sensitivity</w:t>
            </w:r>
          </w:p>
        </w:tc>
        <w:tc>
          <w:tcPr>
            <w:tcW w:w="106"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10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4,942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83" w:type="dxa"/>
            <w:tcBorders/>
            <w:shd w:fill="FFFFFF" w:val="clear"/>
            <w:tcMar>
              <w:bottom w:w="0" w:type="dxa"/>
            </w:tcMar>
            <w:vAlign w:val="bottom"/>
          </w:tcPr>
          <w:p>
            <w:pPr>
              <w:pStyle w:val="TableContents"/>
              <w:spacing w:before="0" w:after="283"/>
              <w:jc w:val="left"/>
              <w:rPr/>
            </w:pPr>
            <w:r>
              <w:rPr/>
              <w:t> </w:t>
            </w:r>
          </w:p>
        </w:tc>
        <w:tc>
          <w:tcPr>
            <w:tcW w:w="111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(4,942</w:t>
            </w:r>
          </w:p>
        </w:tc>
        <w:tc>
          <w:tcPr>
            <w:tcW w:w="11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10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4,942</w:t>
            </w:r>
          </w:p>
        </w:tc>
        <w:tc>
          <w:tcPr>
            <w:tcW w:w="105"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83" w:type="dxa"/>
            <w:tcBorders/>
            <w:shd w:fill="FFFFFF" w:val="clear"/>
            <w:tcMar>
              <w:bottom w:w="0" w:type="dxa"/>
            </w:tcMar>
            <w:vAlign w:val="bottom"/>
          </w:tcPr>
          <w:p>
            <w:pPr>
              <w:pStyle w:val="TableContents"/>
              <w:spacing w:before="0" w:after="283"/>
              <w:jc w:val="left"/>
              <w:rPr/>
            </w:pPr>
            <w:r>
              <w:rPr/>
              <w:t> </w:t>
            </w:r>
          </w:p>
        </w:tc>
        <w:tc>
          <w:tcPr>
            <w:tcW w:w="111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(4,942</w:t>
            </w:r>
          </w:p>
        </w:tc>
        <w:tc>
          <w:tcPr>
            <w:tcW w:w="14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b/>
          <w:sz w:val="20"/>
        </w:rPr>
      </w:pPr>
      <w:r>
        <w:rPr>
          <w:rFonts w:ascii="Times New Roman" w:hAnsi="Times New Roman"/>
          <w:b/>
          <w:sz w:val="20"/>
        </w:rPr>
        <w:t>Fair Values</w:t>
      </w:r>
    </w:p>
    <w:p>
      <w:pPr>
        <w:pStyle w:val="TextBody"/>
        <w:spacing w:before="0" w:after="0"/>
        <w:ind w:left="0" w:right="0" w:hanging="0"/>
        <w:rPr/>
      </w:pPr>
      <w:r>
        <w:rPr/>
      </w:r>
    </w:p>
    <w:p>
      <w:pPr>
        <w:pStyle w:val="TextBody"/>
        <w:spacing w:before="0" w:after="0"/>
        <w:ind w:left="0" w:right="936" w:firstLine="720"/>
        <w:jc w:val="left"/>
        <w:rPr>
          <w:rFonts w:ascii="Times New Roman" w:hAnsi="Times New Roman"/>
          <w:b/>
          <w:sz w:val="20"/>
        </w:rPr>
      </w:pPr>
      <w:r>
        <w:rPr>
          <w:rFonts w:ascii="Times New Roman" w:hAnsi="Times New Roman"/>
          <w:b/>
          <w:sz w:val="20"/>
        </w:rPr>
        <w:t>Fair Values versus Carrying Amounts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fair values of financial assets and liabilities, together with the carrying amounts shown in the balance sheet, are as follows: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862"/>
        <w:gridCol w:w="105"/>
        <w:gridCol w:w="125"/>
        <w:gridCol w:w="997"/>
        <w:gridCol w:w="105"/>
        <w:gridCol w:w="105"/>
        <w:gridCol w:w="125"/>
        <w:gridCol w:w="997"/>
        <w:gridCol w:w="105"/>
        <w:gridCol w:w="105"/>
        <w:gridCol w:w="125"/>
        <w:gridCol w:w="997"/>
        <w:gridCol w:w="105"/>
        <w:gridCol w:w="104"/>
        <w:gridCol w:w="125"/>
        <w:gridCol w:w="997"/>
        <w:gridCol w:w="121"/>
      </w:tblGrid>
      <w:tr>
        <w:trPr/>
        <w:tc>
          <w:tcPr>
            <w:tcW w:w="4862" w:type="dxa"/>
            <w:tcBorders>
              <w:bottom w:val="double" w:sz="8" w:space="0" w:color="000000"/>
            </w:tcBorders>
            <w:shd w:fill="auto" w:val="cle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2454" w:type="dxa"/>
            <w:gridSpan w:val="6"/>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2453" w:type="dxa"/>
            <w:gridSpan w:val="6"/>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1" w:type="dxa"/>
            <w:tcBorders/>
            <w:shd w:fill="auto" w:val="clear"/>
            <w:tcMar>
              <w:bottom w:w="0" w:type="dxa"/>
            </w:tcMar>
            <w:vAlign w:val="bottom"/>
          </w:tcPr>
          <w:p>
            <w:pPr>
              <w:pStyle w:val="TableContents"/>
              <w:spacing w:before="0" w:after="283"/>
              <w:jc w:val="left"/>
              <w:rPr/>
            </w:pPr>
            <w:r>
              <w:rPr/>
              <w:t> </w:t>
            </w:r>
          </w:p>
        </w:tc>
      </w:tr>
      <w:tr>
        <w:trPr/>
        <w:tc>
          <w:tcPr>
            <w:tcW w:w="4862" w:type="dxa"/>
            <w:tcBorders>
              <w:bottom w:val="single" w:sz="12"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5" w:type="dxa"/>
            <w:tcBorders/>
            <w:shd w:fill="auto" w:val="clear"/>
            <w:tcMar>
              <w:bottom w:w="0" w:type="dxa"/>
            </w:tcMar>
            <w:vAlign w:val="bottom"/>
          </w:tcPr>
          <w:p>
            <w:pPr>
              <w:pStyle w:val="TableContents"/>
              <w:spacing w:before="0" w:after="283"/>
              <w:rPr/>
            </w:pPr>
            <w:r>
              <w:rPr/>
              <w:t> </w:t>
            </w:r>
          </w:p>
        </w:tc>
        <w:tc>
          <w:tcPr>
            <w:tcW w:w="112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2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2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05"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12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w:t>
            </w:r>
          </w:p>
        </w:tc>
        <w:tc>
          <w:tcPr>
            <w:tcW w:w="121" w:type="dxa"/>
            <w:tcBorders/>
            <w:shd w:fill="auto" w:val="clear"/>
            <w:tcMar>
              <w:bottom w:w="0" w:type="dxa"/>
            </w:tcMar>
            <w:vAlign w:val="bottom"/>
          </w:tcPr>
          <w:p>
            <w:pPr>
              <w:pStyle w:val="TableContents"/>
              <w:spacing w:before="0" w:after="283"/>
              <w:jc w:val="left"/>
              <w:rPr/>
            </w:pPr>
            <w:r>
              <w:rPr/>
              <w:t> </w:t>
            </w:r>
          </w:p>
        </w:tc>
      </w:tr>
      <w:tr>
        <w:trPr/>
        <w:tc>
          <w:tcPr>
            <w:tcW w:w="486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receivables</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97,359</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97,359</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91,712</w:t>
            </w:r>
          </w:p>
        </w:tc>
        <w:tc>
          <w:tcPr>
            <w:tcW w:w="105"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91,712</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6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779,300</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779,300</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935,623</w:t>
            </w:r>
          </w:p>
        </w:tc>
        <w:tc>
          <w:tcPr>
            <w:tcW w:w="105"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935,623</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6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payables</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691,224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691,224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680,470</w:t>
            </w:r>
          </w:p>
        </w:tc>
        <w:tc>
          <w:tcPr>
            <w:tcW w:w="105"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680,470</w:t>
            </w:r>
          </w:p>
        </w:tc>
        <w:tc>
          <w:tcPr>
            <w:tcW w:w="121"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basis for determining fair values is disclosed in Note 4.</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05" w:name="PGBRK140"/>
      <w:bookmarkStart w:id="3706" w:name="PGBRK140"/>
      <w:bookmarkEnd w:id="37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07" w:name="FTR140"/>
      <w:bookmarkStart w:id="3708" w:name="FTR140"/>
      <w:bookmarkEnd w:id="37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09" w:name="GLFTR140"/>
      <w:bookmarkEnd w:id="37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710" w:name="PN140"/>
      <w:bookmarkEnd w:id="3710"/>
      <w:r>
        <w:rPr>
          <w:rFonts w:eastAsia="Times New Roman" w:cs="Times New Roman" w:ascii="Times New Roman" w:hAnsi="Times New Roman"/>
          <w:sz w:val="20"/>
          <w:szCs w:val="20"/>
        </w:rPr>
        <w:t>-140-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711" w:name="HDR140"/>
      <w:bookmarkStart w:id="3712" w:name="HDR140"/>
      <w:bookmarkEnd w:id="37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713" w:name="GLHDR140"/>
        <w:bookmarkEnd w:id="371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936" w:hanging="0"/>
        <w:jc w:val="left"/>
        <w:rPr>
          <w:rFonts w:ascii="Times New Roman" w:hAnsi="Times New Roman"/>
          <w:b/>
          <w:sz w:val="20"/>
        </w:rPr>
      </w:pPr>
      <w:r>
        <w:rPr>
          <w:rFonts w:ascii="Times New Roman" w:hAnsi="Times New Roman"/>
          <w:b/>
          <w:sz w:val="20"/>
        </w:rPr>
        <w:t>18.           Operating Leases</w:t>
      </w:r>
    </w:p>
    <w:p>
      <w:pPr>
        <w:pStyle w:val="TextBody"/>
        <w:spacing w:before="0" w:after="0"/>
        <w:ind w:left="0" w:right="0" w:hanging="0"/>
        <w:rPr/>
      </w:pPr>
      <w:r>
        <w:rPr/>
      </w:r>
    </w:p>
    <w:p>
      <w:pPr>
        <w:pStyle w:val="TextBody"/>
        <w:spacing w:before="0" w:after="0"/>
        <w:ind w:left="720" w:right="935" w:hanging="0"/>
        <w:jc w:val="left"/>
        <w:rPr>
          <w:rFonts w:ascii="Times New Roman" w:hAnsi="Times New Roman"/>
          <w:b/>
          <w:sz w:val="20"/>
        </w:rPr>
      </w:pPr>
      <w:bookmarkStart w:id="3714" w:name="TAB11883"/>
      <w:bookmarkEnd w:id="3714"/>
      <w:r>
        <w:rPr>
          <w:rFonts w:ascii="Times New Roman" w:hAnsi="Times New Roman"/>
          <w:b/>
          <w:sz w:val="20"/>
        </w:rPr>
        <w:t>Leases as Lessee</w:t>
      </w:r>
    </w:p>
    <w:p>
      <w:pPr>
        <w:pStyle w:val="TextBody"/>
        <w:spacing w:before="0" w:after="0"/>
        <w:ind w:left="0" w:right="0" w:hanging="0"/>
        <w:rPr/>
      </w:pPr>
      <w:r>
        <w:rPr/>
      </w:r>
    </w:p>
    <w:p>
      <w:pPr>
        <w:pStyle w:val="Normal"/>
        <w:spacing w:before="0" w:after="0"/>
        <w:rPr>
          <w:sz w:val="4"/>
          <w:szCs w:val="4"/>
        </w:rPr>
      </w:pPr>
      <w:r>
        <w:rPr>
          <w:sz w:val="4"/>
          <w:szCs w:val="4"/>
        </w:rPr>
      </w:r>
      <w:bookmarkStart w:id="3715" w:name="hangingindent8"/>
      <w:bookmarkStart w:id="3716" w:name="hangingindent8"/>
      <w:bookmarkEnd w:id="3716"/>
    </w:p>
    <w:tbl>
      <w:tblPr>
        <w:tblW w:w="5000" w:type="pct"/>
        <w:jc w:val="center"/>
        <w:tblInd w:w="0" w:type="dxa"/>
        <w:tblCellMar>
          <w:top w:w="0" w:type="dxa"/>
          <w:left w:w="0" w:type="dxa"/>
          <w:bottom w:w="0" w:type="dxa"/>
          <w:right w:w="0" w:type="dxa"/>
        </w:tblCellMar>
      </w:tblPr>
      <w:tblGrid>
        <w:gridCol w:w="234"/>
        <w:gridCol w:w="9971"/>
      </w:tblGrid>
      <w:tr>
        <w:trPr/>
        <w:tc>
          <w:tcPr>
            <w:tcW w:w="234" w:type="dxa"/>
            <w:tcBorders/>
            <w:shd w:fill="auto" w:val="clear"/>
          </w:tcPr>
          <w:p>
            <w:pPr>
              <w:pStyle w:val="TableContents"/>
              <w:spacing w:before="0" w:after="0"/>
              <w:rPr/>
            </w:pPr>
            <w:r>
              <w:rPr/>
              <w:t xml:space="preserve">  </w:t>
            </w:r>
          </w:p>
        </w:tc>
        <w:tc>
          <w:tcPr>
            <w:tcW w:w="99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Non-cancellable operating lease rentals are payable as follows:</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343"/>
        <w:gridCol w:w="108"/>
        <w:gridCol w:w="125"/>
        <w:gridCol w:w="1086"/>
        <w:gridCol w:w="108"/>
        <w:gridCol w:w="108"/>
        <w:gridCol w:w="125"/>
        <w:gridCol w:w="1086"/>
        <w:gridCol w:w="116"/>
      </w:tblGrid>
      <w:tr>
        <w:trPr/>
        <w:tc>
          <w:tcPr>
            <w:tcW w:w="7343"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8" w:type="dxa"/>
            <w:tcBorders/>
            <w:shd w:fill="auto" w:val="clear"/>
            <w:tcMar>
              <w:bottom w:w="0" w:type="dxa"/>
            </w:tcMar>
            <w:vAlign w:val="bottom"/>
          </w:tcPr>
          <w:p>
            <w:pPr>
              <w:pStyle w:val="TableContents"/>
              <w:spacing w:before="0" w:after="283"/>
              <w:rPr/>
            </w:pPr>
            <w:r>
              <w:rPr/>
              <w:t> </w:t>
            </w:r>
          </w:p>
        </w:tc>
        <w:tc>
          <w:tcPr>
            <w:tcW w:w="121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1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6" w:type="dxa"/>
            <w:tcBorders/>
            <w:shd w:fill="auto" w:val="clear"/>
            <w:tcMar>
              <w:bottom w:w="0" w:type="dxa"/>
            </w:tcMar>
            <w:vAlign w:val="bottom"/>
          </w:tcPr>
          <w:p>
            <w:pPr>
              <w:pStyle w:val="TableContents"/>
              <w:spacing w:before="0" w:after="283"/>
              <w:jc w:val="left"/>
              <w:rPr/>
            </w:pPr>
            <w:r>
              <w:rPr/>
              <w:t> </w:t>
            </w:r>
          </w:p>
        </w:tc>
      </w:tr>
      <w:tr>
        <w:trPr/>
        <w:tc>
          <w:tcPr>
            <w:tcW w:w="734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than one year</w:t>
            </w:r>
          </w:p>
        </w:tc>
        <w:tc>
          <w:tcPr>
            <w:tcW w:w="108"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tcMar>
              <w:bottom w:w="0" w:type="dxa"/>
            </w:tcMar>
            <w:vAlign w:val="bottom"/>
          </w:tcPr>
          <w:p>
            <w:pPr>
              <w:pStyle w:val="TableContents"/>
              <w:spacing w:before="0" w:after="283"/>
              <w:ind w:left="252" w:right="0" w:hanging="0"/>
              <w:jc w:val="right"/>
              <w:rPr>
                <w:rFonts w:ascii="times new roman" w:hAnsi="times new roman"/>
                <w:sz w:val="20"/>
              </w:rPr>
            </w:pPr>
            <w:bookmarkStart w:id="3717" w:name="TAB11884"/>
            <w:bookmarkEnd w:id="3717"/>
            <w:r>
              <w:rPr>
                <w:rFonts w:ascii="times new roman" w:hAnsi="times new roman"/>
                <w:sz w:val="20"/>
              </w:rPr>
              <w:t>1,296,409</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tcMar>
              <w:bottom w:w="0" w:type="dxa"/>
            </w:tcMar>
            <w:vAlign w:val="bottom"/>
          </w:tcPr>
          <w:p>
            <w:pPr>
              <w:pStyle w:val="TableContents"/>
              <w:spacing w:before="0" w:after="283"/>
              <w:ind w:left="252" w:right="0" w:hanging="0"/>
              <w:jc w:val="right"/>
              <w:rPr>
                <w:rFonts w:ascii="times new roman" w:hAnsi="times new roman"/>
                <w:sz w:val="20"/>
              </w:rPr>
            </w:pPr>
            <w:bookmarkStart w:id="3718" w:name="TAB11885"/>
            <w:bookmarkEnd w:id="3718"/>
            <w:r>
              <w:rPr>
                <w:rFonts w:ascii="times new roman" w:hAnsi="times new roman"/>
                <w:sz w:val="20"/>
              </w:rPr>
              <w:t>1,123,654</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734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Between one and five years</w:t>
            </w:r>
          </w:p>
        </w:tc>
        <w:tc>
          <w:tcPr>
            <w:tcW w:w="1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5,185,635</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4,494,614</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7343"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More than five years</w:t>
            </w:r>
          </w:p>
        </w:tc>
        <w:tc>
          <w:tcPr>
            <w:tcW w:w="108"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8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5,135,910</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8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5,575,169</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7343"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8"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bottom w:val="double" w:sz="8" w:space="0" w:color="000000"/>
            </w:tcBorders>
            <w:shd w:fill="FFFFFF" w:val="clear"/>
            <w:vAlign w:val="bottom"/>
          </w:tcPr>
          <w:p>
            <w:pPr>
              <w:pStyle w:val="TableContents"/>
              <w:spacing w:before="0" w:after="283"/>
              <w:ind w:left="252" w:right="0" w:hanging="0"/>
              <w:jc w:val="right"/>
              <w:rPr>
                <w:rFonts w:ascii="times new roman" w:hAnsi="times new roman"/>
                <w:sz w:val="20"/>
              </w:rPr>
            </w:pPr>
            <w:bookmarkStart w:id="3719" w:name="TAB11886"/>
            <w:bookmarkEnd w:id="3719"/>
            <w:r>
              <w:rPr>
                <w:rFonts w:ascii="times new roman" w:hAnsi="times new roman"/>
                <w:sz w:val="20"/>
              </w:rPr>
              <w:t>11,617,954</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bottom w:val="double" w:sz="8" w:space="0" w:color="000000"/>
            </w:tcBorders>
            <w:shd w:fill="FFFFFF" w:val="clear"/>
            <w:vAlign w:val="bottom"/>
          </w:tcPr>
          <w:p>
            <w:pPr>
              <w:pStyle w:val="TableContents"/>
              <w:spacing w:before="0" w:after="283"/>
              <w:ind w:left="252" w:right="0" w:hanging="0"/>
              <w:jc w:val="right"/>
              <w:rPr>
                <w:rFonts w:ascii="times new roman" w:hAnsi="times new roman"/>
                <w:sz w:val="20"/>
              </w:rPr>
            </w:pPr>
            <w:bookmarkStart w:id="3720" w:name="TAB11887"/>
            <w:bookmarkEnd w:id="3720"/>
            <w:r>
              <w:rPr>
                <w:rFonts w:ascii="times new roman" w:hAnsi="times new roman"/>
                <w:sz w:val="20"/>
              </w:rPr>
              <w:t>11,193,437</w:t>
            </w:r>
          </w:p>
        </w:tc>
        <w:tc>
          <w:tcPr>
            <w:tcW w:w="116"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Joint Venture leases the cinema property under operating leases expiring over 9 years.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19.           Contingencies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nature of the Joint Venture’s operations results in claims for personal injuries (including public liability and workers compensation) being received from time to time.  As at period end there were no material current or ongoing outstanding claims.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20.           Reconciliation of Cash Flows from Operating Activities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906"/>
        <w:gridCol w:w="103"/>
        <w:gridCol w:w="111"/>
        <w:gridCol w:w="854"/>
        <w:gridCol w:w="103"/>
        <w:gridCol w:w="103"/>
        <w:gridCol w:w="125"/>
        <w:gridCol w:w="1034"/>
        <w:gridCol w:w="110"/>
        <w:gridCol w:w="103"/>
        <w:gridCol w:w="125"/>
        <w:gridCol w:w="1034"/>
        <w:gridCol w:w="110"/>
        <w:gridCol w:w="103"/>
        <w:gridCol w:w="124"/>
        <w:gridCol w:w="1034"/>
        <w:gridCol w:w="123"/>
      </w:tblGrid>
      <w:tr>
        <w:trPr/>
        <w:tc>
          <w:tcPr>
            <w:tcW w:w="4906"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3" w:type="dxa"/>
            <w:tcBorders/>
            <w:shd w:fill="auto" w:val="clear"/>
            <w:tcMar>
              <w:bottom w:w="0" w:type="dxa"/>
            </w:tcMar>
            <w:vAlign w:val="bottom"/>
          </w:tcPr>
          <w:p>
            <w:pPr>
              <w:pStyle w:val="TableContents"/>
              <w:spacing w:before="0" w:after="283"/>
              <w:rPr/>
            </w:pPr>
            <w:r>
              <w:rPr/>
              <w:t> </w:t>
            </w:r>
          </w:p>
        </w:tc>
        <w:tc>
          <w:tcPr>
            <w:tcW w:w="96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5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0"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5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0"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5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3" w:type="dxa"/>
            <w:tcBorders/>
            <w:shd w:fill="auto" w:val="clear"/>
            <w:tcMar>
              <w:bottom w:w="0" w:type="dxa"/>
            </w:tcMar>
            <w:vAlign w:val="bottom"/>
          </w:tcPr>
          <w:p>
            <w:pPr>
              <w:pStyle w:val="TableContents"/>
              <w:spacing w:before="0" w:after="283"/>
              <w:jc w:val="left"/>
              <w:rPr/>
            </w:pPr>
            <w:r>
              <w:rPr/>
              <w:t> </w:t>
            </w:r>
          </w:p>
        </w:tc>
      </w:tr>
      <w:tr>
        <w:trPr/>
        <w:tc>
          <w:tcPr>
            <w:tcW w:w="4906" w:type="dxa"/>
            <w:tcBorders/>
            <w:shd w:fill="auto" w:val="clear"/>
            <w:tcMar>
              <w:bottom w:w="0" w:type="dxa"/>
            </w:tcMar>
            <w:vAlign w:val="bottom"/>
          </w:tcPr>
          <w:p>
            <w:pPr>
              <w:pStyle w:val="TableContents"/>
              <w:spacing w:before="0" w:after="0"/>
              <w:ind w:left="0" w:right="935" w:hanging="0"/>
              <w:jc w:val="left"/>
              <w:rPr>
                <w:rFonts w:ascii="times new roman" w:hAnsi="times new roman"/>
                <w:b/>
                <w:sz w:val="20"/>
              </w:rPr>
            </w:pPr>
            <w:r>
              <w:rPr>
                <w:rFonts w:ascii="times new roman" w:hAnsi="times new roman"/>
                <w:b/>
                <w:sz w:val="20"/>
              </w:rPr>
              <w:t>Cash flows from operating activities</w:t>
            </w:r>
          </w:p>
        </w:tc>
        <w:tc>
          <w:tcPr>
            <w:tcW w:w="103" w:type="dxa"/>
            <w:tcBorders/>
            <w:shd w:fill="auto" w:val="clear"/>
            <w:tcMar>
              <w:bottom w:w="0" w:type="dxa"/>
            </w:tcMar>
            <w:vAlign w:val="bottom"/>
          </w:tcPr>
          <w:p>
            <w:pPr>
              <w:pStyle w:val="TableContents"/>
              <w:spacing w:before="0" w:after="283"/>
              <w:rPr/>
            </w:pPr>
            <w:r>
              <w:rPr/>
              <w:t> </w:t>
            </w:r>
          </w:p>
        </w:tc>
        <w:tc>
          <w:tcPr>
            <w:tcW w:w="965" w:type="dxa"/>
            <w:gridSpan w:val="2"/>
            <w:tcBorders/>
            <w:shd w:fill="auto" w:val="clear"/>
            <w:tcMar>
              <w:bottom w:w="0" w:type="dxa"/>
            </w:tcMar>
            <w:vAlign w:val="bottom"/>
          </w:tcPr>
          <w:p>
            <w:pPr>
              <w:pStyle w:val="TableContents"/>
              <w:spacing w:before="0" w:after="283"/>
              <w:rPr/>
            </w:pPr>
            <w:r>
              <w:rPr/>
              <w:t> </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59"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59"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58" w:type="dxa"/>
            <w:gridSpan w:val="2"/>
            <w:tcBorders/>
            <w:shd w:fill="auto" w:val="clear"/>
            <w:tcMar>
              <w:bottom w:w="0" w:type="dxa"/>
            </w:tcMar>
            <w:vAlign w:val="bottom"/>
          </w:tcPr>
          <w:p>
            <w:pPr>
              <w:pStyle w:val="TableContents"/>
              <w:spacing w:before="0" w:after="283"/>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490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Profit for the period</w:t>
            </w:r>
          </w:p>
        </w:tc>
        <w:tc>
          <w:tcPr>
            <w:tcW w:w="103" w:type="dxa"/>
            <w:tcBorders/>
            <w:shd w:fill="CCEEFF" w:val="clear"/>
            <w:tcMar>
              <w:bottom w:w="0" w:type="dxa"/>
            </w:tcMar>
            <w:vAlign w:val="bottom"/>
          </w:tcPr>
          <w:p>
            <w:pPr>
              <w:pStyle w:val="TableContents"/>
              <w:spacing w:before="0" w:after="283"/>
              <w:rPr/>
            </w:pPr>
            <w:r>
              <w:rPr/>
              <w:t> </w:t>
            </w:r>
          </w:p>
        </w:tc>
        <w:tc>
          <w:tcPr>
            <w:tcW w:w="965" w:type="dxa"/>
            <w:gridSpan w:val="2"/>
            <w:tcBorders/>
            <w:shd w:fill="CCEEFF" w:val="clear"/>
            <w:tcMar>
              <w:bottom w:w="0" w:type="dxa"/>
            </w:tcMar>
            <w:vAlign w:val="bottom"/>
          </w:tcPr>
          <w:p>
            <w:pPr>
              <w:pStyle w:val="TableContents"/>
              <w:spacing w:before="0" w:after="283"/>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CCEEFF" w:val="clear"/>
            <w:tcMar>
              <w:bottom w:w="0" w:type="dxa"/>
            </w:tcMar>
            <w:vAlign w:val="bottom"/>
          </w:tcPr>
          <w:p>
            <w:pPr>
              <w:pStyle w:val="TableContents"/>
              <w:spacing w:before="0" w:after="283"/>
              <w:ind w:left="133" w:right="0" w:hanging="0"/>
              <w:jc w:val="right"/>
              <w:rPr>
                <w:rFonts w:ascii="times new roman" w:hAnsi="times new roman"/>
                <w:sz w:val="20"/>
              </w:rPr>
            </w:pPr>
            <w:bookmarkStart w:id="3721" w:name="TAB11888"/>
            <w:bookmarkEnd w:id="3721"/>
            <w:r>
              <w:rPr>
                <w:rFonts w:ascii="times new roman" w:hAnsi="times new roman"/>
                <w:sz w:val="20"/>
              </w:rPr>
              <w:t>3,318,503</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CCEEFF" w:val="clear"/>
            <w:tcMar>
              <w:bottom w:w="0" w:type="dxa"/>
            </w:tcMar>
            <w:vAlign w:val="bottom"/>
          </w:tcPr>
          <w:p>
            <w:pPr>
              <w:pStyle w:val="TableContents"/>
              <w:spacing w:before="0" w:after="283"/>
              <w:ind w:left="133" w:right="0" w:hanging="0"/>
              <w:jc w:val="right"/>
              <w:rPr>
                <w:rFonts w:ascii="times new roman" w:hAnsi="times new roman"/>
                <w:sz w:val="20"/>
              </w:rPr>
            </w:pPr>
            <w:bookmarkStart w:id="3722" w:name="TAB11889"/>
            <w:bookmarkEnd w:id="3722"/>
            <w:r>
              <w:rPr>
                <w:rFonts w:ascii="times new roman" w:hAnsi="times new roman"/>
                <w:sz w:val="20"/>
              </w:rPr>
              <w:t>2,667,093</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CCEEFF" w:val="clear"/>
            <w:tcMar>
              <w:bottom w:w="0" w:type="dxa"/>
            </w:tcMar>
            <w:vAlign w:val="bottom"/>
          </w:tcPr>
          <w:p>
            <w:pPr>
              <w:pStyle w:val="TableContents"/>
              <w:spacing w:before="0" w:after="283"/>
              <w:ind w:left="163" w:right="0" w:hanging="0"/>
              <w:jc w:val="right"/>
              <w:rPr>
                <w:rFonts w:ascii="times new roman" w:hAnsi="times new roman"/>
                <w:sz w:val="20"/>
              </w:rPr>
            </w:pPr>
            <w:bookmarkStart w:id="3723" w:name="TAB11890"/>
            <w:bookmarkEnd w:id="3723"/>
            <w:r>
              <w:rPr>
                <w:rFonts w:ascii="times new roman" w:hAnsi="times new roman"/>
                <w:sz w:val="20"/>
              </w:rPr>
              <w:t>2,851,507</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90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for:</w:t>
            </w:r>
          </w:p>
        </w:tc>
        <w:tc>
          <w:tcPr>
            <w:tcW w:w="103" w:type="dxa"/>
            <w:tcBorders/>
            <w:shd w:fill="FFFFFF" w:val="clear"/>
            <w:tcMar>
              <w:bottom w:w="0" w:type="dxa"/>
            </w:tcMar>
            <w:vAlign w:val="bottom"/>
          </w:tcPr>
          <w:p>
            <w:pPr>
              <w:pStyle w:val="TableContents"/>
              <w:spacing w:before="0" w:after="283"/>
              <w:rPr/>
            </w:pPr>
            <w:r>
              <w:rPr/>
              <w:t> </w:t>
            </w:r>
          </w:p>
        </w:tc>
        <w:tc>
          <w:tcPr>
            <w:tcW w:w="965" w:type="dxa"/>
            <w:gridSpan w:val="2"/>
            <w:tcBorders/>
            <w:shd w:fill="FFFFFF" w:val="clear"/>
            <w:tcMar>
              <w:bottom w:w="0" w:type="dxa"/>
            </w:tcMar>
            <w:vAlign w:val="bottom"/>
          </w:tcPr>
          <w:p>
            <w:pPr>
              <w:pStyle w:val="TableContents"/>
              <w:spacing w:before="0" w:after="283"/>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4"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4"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34"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906"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single" w:sz="12" w:space="0" w:color="000000"/>
            </w:tcBorders>
            <w:shd w:fill="CCEEFF" w:val="clear"/>
            <w:vAlign w:val="bottom"/>
          </w:tcPr>
          <w:p>
            <w:pPr>
              <w:pStyle w:val="TableContents"/>
              <w:spacing w:before="0" w:after="283"/>
              <w:jc w:val="left"/>
              <w:rPr/>
            </w:pPr>
            <w:r>
              <w:rPr/>
              <w:t> </w:t>
            </w:r>
          </w:p>
        </w:tc>
        <w:tc>
          <w:tcPr>
            <w:tcW w:w="8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3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613,175</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3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682,943</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CCEEFF" w:val="clear"/>
            <w:vAlign w:val="bottom"/>
          </w:tcPr>
          <w:p>
            <w:pPr>
              <w:pStyle w:val="TableContents"/>
              <w:spacing w:before="0" w:after="283"/>
              <w:jc w:val="left"/>
              <w:rPr/>
            </w:pPr>
            <w:r>
              <w:rPr/>
              <w:t> </w:t>
            </w:r>
          </w:p>
        </w:tc>
        <w:tc>
          <w:tcPr>
            <w:tcW w:w="103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653,342</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90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profit before changes in working capital</w:t>
            </w:r>
          </w:p>
        </w:tc>
        <w:tc>
          <w:tcPr>
            <w:tcW w:w="103" w:type="dxa"/>
            <w:tcBorders/>
            <w:shd w:fill="FFFFFF" w:val="clear"/>
            <w:tcMar>
              <w:bottom w:w="0" w:type="dxa"/>
            </w:tcMar>
            <w:vAlign w:val="bottom"/>
          </w:tcPr>
          <w:p>
            <w:pPr>
              <w:pStyle w:val="TableContents"/>
              <w:spacing w:before="0" w:after="283"/>
              <w:rPr/>
            </w:pPr>
            <w:r>
              <w:rPr/>
              <w:t> </w:t>
            </w:r>
          </w:p>
        </w:tc>
        <w:tc>
          <w:tcPr>
            <w:tcW w:w="111" w:type="dxa"/>
            <w:tcBorders>
              <w:bottom w:val="single" w:sz="12" w:space="0" w:color="000000"/>
            </w:tcBorders>
            <w:shd w:fill="FFFFFF" w:val="clear"/>
            <w:vAlign w:val="bottom"/>
          </w:tcPr>
          <w:p>
            <w:pPr>
              <w:pStyle w:val="TableContents"/>
              <w:spacing w:before="0" w:after="283"/>
              <w:jc w:val="left"/>
              <w:rPr/>
            </w:pPr>
            <w:r>
              <w:rPr/>
              <w:t> </w:t>
            </w:r>
          </w:p>
        </w:tc>
        <w:tc>
          <w:tcPr>
            <w:tcW w:w="854" w:type="dxa"/>
            <w:tcBorders>
              <w:bottom w:val="single" w:sz="12" w:space="0" w:color="000000"/>
            </w:tcBorders>
            <w:shd w:fill="FFFFFF" w:val="cle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bottom w:val="single" w:sz="12" w:space="0" w:color="000000"/>
            </w:tcBorders>
            <w:shd w:fill="FFFFFF" w:val="clear"/>
            <w:vAlign w:val="bottom"/>
          </w:tcPr>
          <w:p>
            <w:pPr>
              <w:pStyle w:val="TableContents"/>
              <w:spacing w:before="0" w:after="283"/>
              <w:ind w:left="133" w:right="0" w:hanging="0"/>
              <w:jc w:val="right"/>
              <w:rPr>
                <w:rFonts w:ascii="times new roman" w:hAnsi="times new roman"/>
                <w:sz w:val="20"/>
              </w:rPr>
            </w:pPr>
            <w:bookmarkStart w:id="3724" w:name="TAB11891"/>
            <w:bookmarkEnd w:id="3724"/>
            <w:r>
              <w:rPr>
                <w:rFonts w:ascii="times new roman" w:hAnsi="times new roman"/>
                <w:sz w:val="20"/>
              </w:rPr>
              <w:t>3,931,678</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bottom w:val="single" w:sz="12" w:space="0" w:color="000000"/>
            </w:tcBorders>
            <w:shd w:fill="FFFFFF" w:val="clear"/>
            <w:vAlign w:val="bottom"/>
          </w:tcPr>
          <w:p>
            <w:pPr>
              <w:pStyle w:val="TableContents"/>
              <w:spacing w:before="0" w:after="283"/>
              <w:ind w:left="133" w:right="0" w:hanging="0"/>
              <w:jc w:val="right"/>
              <w:rPr>
                <w:rFonts w:ascii="times new roman" w:hAnsi="times new roman"/>
                <w:sz w:val="20"/>
              </w:rPr>
            </w:pPr>
            <w:bookmarkStart w:id="3725" w:name="TAB11892"/>
            <w:bookmarkEnd w:id="3725"/>
            <w:r>
              <w:rPr>
                <w:rFonts w:ascii="times new roman" w:hAnsi="times new roman"/>
                <w:sz w:val="20"/>
              </w:rPr>
              <w:t>3,350,036</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bottom w:val="single" w:sz="12" w:space="0" w:color="000000"/>
            </w:tcBorders>
            <w:shd w:fill="FFFFFF" w:val="clear"/>
            <w:vAlign w:val="bottom"/>
          </w:tcPr>
          <w:p>
            <w:pPr>
              <w:pStyle w:val="TableContents"/>
              <w:spacing w:before="0" w:after="283"/>
              <w:ind w:left="163" w:right="0" w:hanging="0"/>
              <w:jc w:val="right"/>
              <w:rPr>
                <w:rFonts w:ascii="times new roman" w:hAnsi="times new roman"/>
                <w:sz w:val="20"/>
              </w:rPr>
            </w:pPr>
            <w:bookmarkStart w:id="3726" w:name="TAB11893"/>
            <w:bookmarkEnd w:id="3726"/>
            <w:r>
              <w:rPr>
                <w:rFonts w:ascii="times new roman" w:hAnsi="times new roman"/>
                <w:sz w:val="20"/>
              </w:rPr>
              <w:t>3,504,849</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90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trade receivables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(5,647</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5,885</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(31,679</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inventories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(23,052</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(27,313</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3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20,320</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90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other assets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(108,185</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40,193</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90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trade payables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10,754</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(114,263</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3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262,897</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90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employee benefits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4,694</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2,544</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3,381</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90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deferred revenue</w:t>
            </w:r>
          </w:p>
        </w:tc>
        <w:tc>
          <w:tcPr>
            <w:tcW w:w="103" w:type="dxa"/>
            <w:tcBorders/>
            <w:shd w:fill="FFFFFF" w:val="clear"/>
            <w:tcMar>
              <w:bottom w:w="0" w:type="dxa"/>
            </w:tcMar>
            <w:vAlign w:val="bottom"/>
          </w:tcPr>
          <w:p>
            <w:pPr>
              <w:pStyle w:val="TableContents"/>
              <w:spacing w:before="0" w:after="283"/>
              <w:rPr/>
            </w:pPr>
            <w:r>
              <w:rPr/>
              <w:t> </w:t>
            </w:r>
          </w:p>
        </w:tc>
        <w:tc>
          <w:tcPr>
            <w:tcW w:w="111" w:type="dxa"/>
            <w:tcBorders>
              <w:bottom w:val="single" w:sz="12" w:space="0" w:color="000000"/>
            </w:tcBorders>
            <w:shd w:fill="FFFFFF" w:val="clear"/>
            <w:vAlign w:val="bottom"/>
          </w:tcPr>
          <w:p>
            <w:pPr>
              <w:pStyle w:val="TableContents"/>
              <w:spacing w:before="0" w:after="283"/>
              <w:jc w:val="left"/>
              <w:rPr/>
            </w:pPr>
            <w:r>
              <w:rPr/>
              <w:t> </w:t>
            </w:r>
          </w:p>
        </w:tc>
        <w:tc>
          <w:tcPr>
            <w:tcW w:w="8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3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43,287</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3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(14,116</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3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(19,411</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06"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from operating activities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double" w:sz="8" w:space="0" w:color="000000"/>
            </w:tcBorders>
            <w:shd w:fill="CCEEFF" w:val="clear"/>
            <w:vAlign w:val="bottom"/>
          </w:tcPr>
          <w:p>
            <w:pPr>
              <w:pStyle w:val="TableContents"/>
              <w:spacing w:before="0" w:after="283"/>
              <w:jc w:val="left"/>
              <w:rPr/>
            </w:pPr>
            <w:r>
              <w:rPr/>
              <w:t> </w:t>
            </w:r>
          </w:p>
        </w:tc>
        <w:tc>
          <w:tcPr>
            <w:tcW w:w="854" w:type="dxa"/>
            <w:tcBorders>
              <w:bottom w:val="double" w:sz="8"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bottom w:val="double" w:sz="8" w:space="0" w:color="000000"/>
            </w:tcBorders>
            <w:shd w:fill="CCEEFF" w:val="clear"/>
            <w:vAlign w:val="bottom"/>
          </w:tcPr>
          <w:p>
            <w:pPr>
              <w:pStyle w:val="TableContents"/>
              <w:spacing w:before="0" w:after="283"/>
              <w:ind w:left="133" w:right="0" w:hanging="0"/>
              <w:jc w:val="right"/>
              <w:rPr>
                <w:rFonts w:ascii="times new roman" w:hAnsi="times new roman"/>
                <w:sz w:val="20"/>
              </w:rPr>
            </w:pPr>
            <w:bookmarkStart w:id="3727" w:name="TAB11894"/>
            <w:bookmarkEnd w:id="3727"/>
            <w:r>
              <w:rPr>
                <w:rFonts w:ascii="times new roman" w:hAnsi="times new roman"/>
                <w:sz w:val="20"/>
              </w:rPr>
              <w:t>3,853,529</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bottom w:val="double" w:sz="8" w:space="0" w:color="000000"/>
            </w:tcBorders>
            <w:shd w:fill="CCEEFF" w:val="clear"/>
            <w:vAlign w:val="bottom"/>
          </w:tcPr>
          <w:p>
            <w:pPr>
              <w:pStyle w:val="TableContents"/>
              <w:spacing w:before="0" w:after="283"/>
              <w:ind w:left="133" w:right="0" w:hanging="0"/>
              <w:jc w:val="right"/>
              <w:rPr>
                <w:rFonts w:ascii="times new roman" w:hAnsi="times new roman"/>
                <w:sz w:val="20"/>
              </w:rPr>
            </w:pPr>
            <w:bookmarkStart w:id="3728" w:name="TAB11895"/>
            <w:bookmarkEnd w:id="3728"/>
            <w:r>
              <w:rPr>
                <w:rFonts w:ascii="times new roman" w:hAnsi="times new roman"/>
                <w:sz w:val="20"/>
              </w:rPr>
              <w:t>3,202,393</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bottom w:val="double" w:sz="8" w:space="0" w:color="000000"/>
            </w:tcBorders>
            <w:shd w:fill="CCEEFF" w:val="clear"/>
            <w:vAlign w:val="bottom"/>
          </w:tcPr>
          <w:p>
            <w:pPr>
              <w:pStyle w:val="TableContents"/>
              <w:spacing w:before="0" w:after="283"/>
              <w:ind w:left="163" w:right="0" w:hanging="0"/>
              <w:jc w:val="right"/>
              <w:rPr>
                <w:rFonts w:ascii="times new roman" w:hAnsi="times new roman"/>
                <w:sz w:val="20"/>
              </w:rPr>
            </w:pPr>
            <w:bookmarkStart w:id="3729" w:name="TAB11896"/>
            <w:bookmarkEnd w:id="3729"/>
            <w:r>
              <w:rPr>
                <w:rFonts w:ascii="times new roman" w:hAnsi="times new roman"/>
                <w:sz w:val="20"/>
              </w:rPr>
              <w:t>3,780,550</w:t>
            </w:r>
          </w:p>
        </w:tc>
        <w:tc>
          <w:tcPr>
            <w:tcW w:w="123"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21.           Related Parties</w:t>
      </w:r>
    </w:p>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Entities with joint control or significant influence over the Joint Venture.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managing Joint Venturer is paid an annual management fee, which is presented separately in the income statement.  The management fee paid is as per the Joint Venture agreement and is to cover the costs of the managing Joint Venturer for managing and operating the cinema complex and providing all relevant accounting and support services.  The management fee is based on a contracted base amount, increased by the Consumer Price Index for the City of Brisbane as published by the Australian Bureau of Statistics on an annual basis.  Such management fee agreement is binding over the life of the agreement which shall continue in existence until the Joint Venture is terminated under agreement by the Joint Venturers.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of 31 December 2009 (unaudited) and 31 December 2008, there were no outstanding payable amounts.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30" w:name="PGBRK141"/>
      <w:bookmarkStart w:id="3731" w:name="PGBRK141"/>
      <w:bookmarkEnd w:id="37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32" w:name="FTR141"/>
      <w:bookmarkStart w:id="3733" w:name="FTR141"/>
      <w:bookmarkEnd w:id="37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34" w:name="GLFTR141"/>
      <w:bookmarkEnd w:id="37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735" w:name="PN141"/>
      <w:bookmarkEnd w:id="3735"/>
      <w:r>
        <w:rPr>
          <w:rFonts w:eastAsia="Times New Roman" w:cs="Times New Roman" w:ascii="Times New Roman" w:hAnsi="Times New Roman"/>
          <w:sz w:val="20"/>
          <w:szCs w:val="20"/>
        </w:rPr>
        <w:t>-141-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736" w:name="HDR141"/>
      <w:bookmarkStart w:id="3737" w:name="HDR141"/>
      <w:bookmarkEnd w:id="37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738" w:name="GLHDR141"/>
        <w:bookmarkEnd w:id="373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rPr>
      </w:pPr>
      <w:r>
        <w:rPr>
          <w:rFonts w:ascii="Times New Roman" w:hAnsi="Times New Roman"/>
          <w:b/>
          <w:sz w:val="20"/>
        </w:rPr>
        <w:t>22.           Subsequent Events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Subsequent to 31 December 2009 (unaudited), there were no events which would have a material effect on the financial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39" w:name="PGBRK142"/>
      <w:bookmarkStart w:id="3740" w:name="PGBRK142"/>
      <w:bookmarkEnd w:id="3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41" w:name="FTR142"/>
      <w:bookmarkStart w:id="3742" w:name="FTR142"/>
      <w:bookmarkEnd w:id="37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43" w:name="GLFTR142"/>
      <w:bookmarkEnd w:id="37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744" w:name="PN142"/>
      <w:bookmarkEnd w:id="3744"/>
      <w:r>
        <w:rPr>
          <w:rFonts w:eastAsia="Times New Roman" w:cs="Times New Roman" w:ascii="Times New Roman" w:hAnsi="Times New Roman"/>
          <w:sz w:val="20"/>
          <w:szCs w:val="20"/>
        </w:rPr>
        <w:t>-142-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745" w:name="HDR142"/>
      <w:bookmarkStart w:id="3746" w:name="HDR142"/>
      <w:bookmarkEnd w:id="37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747" w:name="GLHDR142"/>
        <w:bookmarkEnd w:id="374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Independent Auditors’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Management Committee and Joint Venturers</w:t>
      </w:r>
    </w:p>
    <w:p>
      <w:pPr>
        <w:pStyle w:val="TextBody"/>
        <w:spacing w:before="0" w:after="0"/>
        <w:ind w:left="0" w:right="0" w:hanging="0"/>
        <w:jc w:val="left"/>
        <w:rPr>
          <w:rFonts w:ascii="Times New Roman" w:hAnsi="Times New Roman"/>
          <w:sz w:val="20"/>
        </w:rPr>
      </w:pPr>
      <w:r>
        <w:rPr>
          <w:rFonts w:ascii="Times New Roman" w:hAnsi="Times New Roman"/>
          <w:sz w:val="20"/>
        </w:rPr>
        <w:t>Mt. Gravatt Cinemas Joint Venture: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have audited the accompanying income statement, statement of recognised income and expense, and statement of cash flows of Mt. Gravatt Cinemas Joint Venture for the year ended December 31, 2007.  These financial statements are the responsibility of the Joint Venture’s management.  Our responsibility is to express an opinion on these financial statements based on our audit.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Joint Venture’s internal control over financial reporting.  Accordingly, we express no such opinion.  An audit also includes examining, on a test basis, evidence supporting the amounts and disclosures in the financial statements, assessing the accounting principles used and significan t estimates made by management, as well as evaluating the overall financial statement presentation.  We believe that our audit provides a reasonable basis for our opinion.</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our opinion, the financial statements referred to above present fairly, in all material respects, the results of operations and the cash flows of Mt. Gravatt Cinemas Joint Venture for the year ended December 31, 2007, in conformity with International Financial Reporting Standards as published by the International Accounting Standards Board.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KPMG</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Sydney, Australia</w:t>
      </w:r>
    </w:p>
    <w:p>
      <w:pPr>
        <w:pStyle w:val="TextBody"/>
        <w:spacing w:before="0" w:after="0"/>
        <w:ind w:left="0" w:right="0" w:hanging="0"/>
        <w:jc w:val="left"/>
        <w:rPr>
          <w:rFonts w:ascii="Times New Roman" w:hAnsi="Times New Roman"/>
          <w:sz w:val="20"/>
        </w:rPr>
      </w:pPr>
      <w:r>
        <w:rPr>
          <w:rFonts w:ascii="Times New Roman" w:hAnsi="Times New Roman"/>
          <w:sz w:val="20"/>
        </w:rPr>
        <w:t>March 13, 2008</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48" w:name="PGBRK143"/>
      <w:bookmarkStart w:id="3749" w:name="PGBRK143"/>
      <w:bookmarkEnd w:id="37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50" w:name="FTR143"/>
      <w:bookmarkStart w:id="3751" w:name="FTR143"/>
      <w:bookmarkEnd w:id="37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52" w:name="GLFTR143"/>
      <w:bookmarkEnd w:id="37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753" w:name="PN143"/>
      <w:bookmarkEnd w:id="3753"/>
      <w:r>
        <w:rPr>
          <w:rFonts w:eastAsia="Times New Roman" w:cs="Times New Roman" w:ascii="Times New Roman" w:hAnsi="Times New Roman"/>
          <w:sz w:val="20"/>
          <w:szCs w:val="20"/>
        </w:rPr>
        <w:t>-143-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754" w:name="HDR143"/>
      <w:bookmarkStart w:id="3755" w:name="HDR143"/>
      <w:bookmarkEnd w:id="3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756" w:name="GLHDR143"/>
        <w:bookmarkEnd w:id="375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sz w:val="20"/>
          <w:u w:val="single"/>
        </w:rPr>
      </w:pPr>
      <w:bookmarkStart w:id="3757" w:name="exhibits"/>
      <w:bookmarkEnd w:id="3757"/>
      <w:r>
        <w:rPr>
          <w:rFonts w:ascii="Times New Roman" w:hAnsi="Times New Roman"/>
          <w:b/>
          <w:sz w:val="20"/>
          <w:u w:val="single"/>
        </w:rPr>
        <w:t>Exhibits (listed by numbers corresponding to Item 601 of Regulation S-K)</w:t>
      </w:r>
    </w:p>
    <w:p>
      <w:pPr>
        <w:pStyle w:val="TextBody"/>
        <w:spacing w:before="0" w:after="0"/>
        <w:ind w:left="0" w:right="0" w:hanging="0"/>
        <w:rPr/>
      </w:pPr>
      <w:r>
        <w:rPr/>
      </w:r>
    </w:p>
    <w:p>
      <w:pPr>
        <w:pStyle w:val="Normal"/>
        <w:spacing w:before="0" w:after="0"/>
        <w:rPr>
          <w:sz w:val="4"/>
          <w:szCs w:val="4"/>
        </w:rPr>
      </w:pPr>
      <w:r>
        <w:rPr>
          <w:sz w:val="4"/>
          <w:szCs w:val="4"/>
        </w:rPr>
      </w:r>
      <w:bookmarkStart w:id="3758" w:name="hangingindent9"/>
      <w:bookmarkStart w:id="3759" w:name="hangingindent9"/>
      <w:bookmarkEnd w:id="3759"/>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3.1</w:t>
            </w:r>
          </w:p>
        </w:tc>
        <w:tc>
          <w:tcPr>
            <w:tcW w:w="99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Certificate of Amendment of Restatement Articles of Incorporation of Citadel Holding Corporation (filed as Exhibit 3.1 to the Company’s Annual Report on Form 10-K for the year ended December 31, 1999,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60" w:name="hangingindent10"/>
      <w:bookmarkStart w:id="3761" w:name="hangingindent10"/>
      <w:bookmarkEnd w:id="3761"/>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3.2</w:t>
            </w:r>
          </w:p>
        </w:tc>
        <w:tc>
          <w:tcPr>
            <w:tcW w:w="99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Restated By-laws of Citadel Holding Corporation, a Nevada corporation (filed as Exhibit 3.2 to the Company’s Annual Report on Form 10-K for the year ended December 31, 1999,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62" w:name="list240"/>
      <w:bookmarkStart w:id="3763" w:name="list240"/>
      <w:bookmarkEnd w:id="3763"/>
    </w:p>
    <w:tbl>
      <w:tblPr>
        <w:tblW w:w="5000" w:type="pct"/>
        <w:jc w:val="left"/>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3.3  </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Certificate of Amendment of Articles of Incorporation of Citadel Holding Corporation (filed as Exhibit 3.3 to the Company’s Annual Report on Form 10-K for the year ended December 31, 2001).</w:t>
            </w:r>
          </w:p>
        </w:tc>
      </w:tr>
    </w:tbl>
    <w:p>
      <w:pPr>
        <w:pStyle w:val="TextBody"/>
        <w:spacing w:before="0" w:after="0"/>
        <w:ind w:left="0" w:right="0" w:hanging="0"/>
        <w:rPr/>
      </w:pPr>
      <w:r>
        <w:rPr/>
      </w:r>
    </w:p>
    <w:p>
      <w:pPr>
        <w:pStyle w:val="Normal"/>
        <w:spacing w:before="0" w:after="0"/>
        <w:rPr>
          <w:sz w:val="4"/>
          <w:szCs w:val="4"/>
        </w:rPr>
      </w:pPr>
      <w:r>
        <w:rPr>
          <w:sz w:val="4"/>
          <w:szCs w:val="4"/>
        </w:rPr>
      </w:r>
      <w:bookmarkStart w:id="3764" w:name="list241"/>
      <w:bookmarkStart w:id="3765" w:name="list241"/>
      <w:bookmarkEnd w:id="3765"/>
    </w:p>
    <w:tbl>
      <w:tblPr>
        <w:tblW w:w="5000" w:type="pct"/>
        <w:jc w:val="left"/>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3.4  </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Articles of Merger of Craig Merger Sub, Inc. with and into Craig Corporation (filed as Exhibit 3.4 to the Company’s Annual Report on Form 10-K for the year ended December 31, 2001).</w:t>
            </w:r>
          </w:p>
        </w:tc>
      </w:tr>
    </w:tbl>
    <w:p>
      <w:pPr>
        <w:pStyle w:val="TextBody"/>
        <w:spacing w:before="0" w:after="0"/>
        <w:ind w:left="0" w:right="0" w:hanging="0"/>
        <w:rPr/>
      </w:pPr>
      <w:r>
        <w:rPr/>
      </w:r>
    </w:p>
    <w:p>
      <w:pPr>
        <w:pStyle w:val="Normal"/>
        <w:spacing w:before="0" w:after="0"/>
        <w:rPr>
          <w:sz w:val="4"/>
          <w:szCs w:val="4"/>
        </w:rPr>
      </w:pPr>
      <w:r>
        <w:rPr>
          <w:sz w:val="4"/>
          <w:szCs w:val="4"/>
        </w:rPr>
      </w:r>
      <w:bookmarkStart w:id="3766" w:name="list242"/>
      <w:bookmarkStart w:id="3767" w:name="list242"/>
      <w:bookmarkEnd w:id="3767"/>
    </w:p>
    <w:tbl>
      <w:tblPr>
        <w:tblW w:w="5000" w:type="pct"/>
        <w:jc w:val="left"/>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3.5  </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Articles of Merger of Reading Merger Sub, Inc. with and into Reading Entertainment, Inc. (filed as Exhibit 3.5 to the Company’s Annual Report on Form 10-K for the year ended December 31, 2001).</w:t>
            </w:r>
          </w:p>
        </w:tc>
      </w:tr>
    </w:tbl>
    <w:p>
      <w:pPr>
        <w:pStyle w:val="TextBody"/>
        <w:spacing w:before="0" w:after="0"/>
        <w:ind w:left="0" w:right="0" w:hanging="0"/>
        <w:rPr/>
      </w:pPr>
      <w:r>
        <w:rPr/>
      </w:r>
    </w:p>
    <w:p>
      <w:pPr>
        <w:pStyle w:val="Normal"/>
        <w:spacing w:before="0" w:after="0"/>
        <w:rPr>
          <w:sz w:val="4"/>
          <w:szCs w:val="4"/>
        </w:rPr>
      </w:pPr>
      <w:r>
        <w:rPr>
          <w:sz w:val="4"/>
          <w:szCs w:val="4"/>
        </w:rPr>
      </w:r>
      <w:bookmarkStart w:id="3768" w:name="list243"/>
      <w:bookmarkStart w:id="3769" w:name="list243"/>
      <w:bookmarkEnd w:id="3769"/>
    </w:p>
    <w:tbl>
      <w:tblPr>
        <w:tblW w:w="5000" w:type="pct"/>
        <w:jc w:val="left"/>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3.6  </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Restated By-laws of Reading International, Inc., a Nevada corporation (filed as Exhibit 3.6 to the Company’s Annual Report on Form 10-K for the year ended December 31, 2004,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70" w:name="list244"/>
      <w:bookmarkStart w:id="3771" w:name="list244"/>
      <w:bookmarkEnd w:id="3771"/>
    </w:p>
    <w:tbl>
      <w:tblPr>
        <w:tblW w:w="5000" w:type="pct"/>
        <w:jc w:val="left"/>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3.7  </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Amendment to Article V of the Amended and Restated Bylaws of the Company (filed as exhibit 3.2 to the Company’s report on Form 8-K dated December 27,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72" w:name="list245"/>
      <w:bookmarkStart w:id="3773" w:name="list245"/>
      <w:bookmarkEnd w:id="3773"/>
    </w:p>
    <w:tbl>
      <w:tblPr>
        <w:tblW w:w="5000" w:type="pct"/>
        <w:jc w:val="left"/>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3.8  </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Amendment and Restatement of Articles of Incorporation of the Company as filed with the Nevada Secretary of State on May 22, 2003 (filed as Exhibit 3.8 to the Company’s report on Form 10-Q for the period ended June 30, 2009,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74" w:name="hangingindent11"/>
      <w:bookmarkStart w:id="3775" w:name="hangingindent11"/>
      <w:bookmarkEnd w:id="3775"/>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4.1</w:t>
            </w:r>
          </w:p>
        </w:tc>
        <w:tc>
          <w:tcPr>
            <w:tcW w:w="99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1999 Stock Option Plan of Reading International, Inc. as amended on December 31, 2001 (filed as Exhibit 4.1 to the Company’s Registration Statement on Form S-8 filed on January 21, 2004,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76" w:name="hangingindent12"/>
      <w:bookmarkStart w:id="3777" w:name="hangingindent12"/>
      <w:bookmarkEnd w:id="3777"/>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4.2</w:t>
            </w:r>
          </w:p>
        </w:tc>
        <w:tc>
          <w:tcPr>
            <w:tcW w:w="99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Form of Preferred Security Certificate evidencing the preferred securities of Reading International Trust I (filed as Exhibit 4.1 to the Company’s report on Form 8-K dated February 5,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78" w:name="hangingindent13"/>
      <w:bookmarkStart w:id="3779" w:name="hangingindent13"/>
      <w:bookmarkEnd w:id="3779"/>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4.3</w:t>
            </w:r>
          </w:p>
        </w:tc>
        <w:tc>
          <w:tcPr>
            <w:tcW w:w="99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Form of Common Security Certificate evidencing common securities of Reading International Trust I (filed as Exhibit 4.2 to the Company’s report on Form 8-K dated February 5,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80" w:name="hangingindent14"/>
      <w:bookmarkStart w:id="3781" w:name="hangingindent14"/>
      <w:bookmarkEnd w:id="3781"/>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4.4</w:t>
            </w:r>
          </w:p>
        </w:tc>
        <w:tc>
          <w:tcPr>
            <w:tcW w:w="99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Form of Reading International, Inc. Floating Rate Junior Subordinated Debt Security due 2027 (filed as Exhibit 4.3 to the Company’s report on Form 8-K dated February 5,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82" w:name="hangingindent15"/>
      <w:bookmarkStart w:id="3783" w:name="hangingindent15"/>
      <w:bookmarkEnd w:id="3783"/>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w:t>
            </w:r>
          </w:p>
        </w:tc>
        <w:tc>
          <w:tcPr>
            <w:tcW w:w="98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Tax Disaffiliation Agreement, dated as of August 4, 1994, by and between Citadel Holding Corporation and Fidelity Federal Bank (filed as Exhibit 10.27 to the Company’s Quarterly Report on Form 10-Q for the quarter ended June 30, 1994,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84" w:name="hangingindent16"/>
      <w:bookmarkStart w:id="3785" w:name="hangingindent16"/>
      <w:bookmarkEnd w:id="3785"/>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w:t>
            </w:r>
          </w:p>
        </w:tc>
        <w:tc>
          <w:tcPr>
            <w:tcW w:w="98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Standard Office lease, dated as of July 15, 1994, by and between Citadel Realty, Inc. and Fidelity Federal Bank (filed as Exhibit 10.42 to the Company’s Quarterly Report on Form 10-Q for the quarter ended March 31, 1995, and incorporated herein by reference).</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86" w:name="PGBRK144"/>
      <w:bookmarkStart w:id="3787" w:name="PGBRK144"/>
      <w:bookmarkEnd w:id="37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88" w:name="FTR144"/>
      <w:bookmarkStart w:id="3789" w:name="FTR144"/>
      <w:bookmarkEnd w:id="37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90" w:name="GLFTR144"/>
      <w:bookmarkEnd w:id="37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791" w:name="PN144"/>
      <w:bookmarkEnd w:id="3791"/>
      <w:r>
        <w:rPr>
          <w:rFonts w:eastAsia="Times New Roman" w:cs="Times New Roman" w:ascii="Times New Roman" w:hAnsi="Times New Roman"/>
          <w:sz w:val="20"/>
          <w:szCs w:val="20"/>
        </w:rPr>
        <w:t>-144-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792" w:name="HDR144"/>
      <w:bookmarkStart w:id="3793" w:name="HDR144"/>
      <w:bookmarkEnd w:id="37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794" w:name="GLHDR144"/>
        <w:bookmarkEnd w:id="37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Normal"/>
        <w:spacing w:before="0" w:after="0"/>
        <w:rPr>
          <w:sz w:val="4"/>
          <w:szCs w:val="4"/>
        </w:rPr>
      </w:pPr>
      <w:r>
        <w:rPr>
          <w:sz w:val="4"/>
          <w:szCs w:val="4"/>
        </w:rPr>
      </w:r>
      <w:bookmarkStart w:id="3795" w:name="hangingindent17"/>
      <w:bookmarkStart w:id="3796" w:name="hangingindent17"/>
      <w:bookmarkEnd w:id="3796"/>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w:t>
            </w:r>
          </w:p>
        </w:tc>
        <w:tc>
          <w:tcPr>
            <w:tcW w:w="98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First Amendment to Standard Office Lease, dated May 15, 1995, by and between Citadel Realty, Inc. and Fidelity Federal Bank (filed as Exhibit 10.43 to the Company’s Quarterly Report on Form 10-Q for the quarter ended March 31, 1995,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97" w:name="hangingindent18"/>
      <w:bookmarkStart w:id="3798" w:name="hangingindent18"/>
      <w:bookmarkEnd w:id="3798"/>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w:t>
            </w:r>
          </w:p>
        </w:tc>
        <w:tc>
          <w:tcPr>
            <w:tcW w:w="98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Guaranty of Payment dated May 15, 1995 by Citadel Holding Corporation in favor of Fidelity Federal Bank (filed as Exhibit 10.47 to the Company’s Quarterly Report on Form 10-Q for the quarter ended March 31, 1995,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799" w:name="hangingindent19"/>
      <w:bookmarkStart w:id="3800" w:name="hangingindent19"/>
      <w:bookmarkEnd w:id="3800"/>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10.5</w:t>
            </w:r>
          </w:p>
        </w:tc>
        <w:tc>
          <w:tcPr>
            <w:tcW w:w="98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Exchange Agreement dated September 4, 1996 among Citadel Holding Corporation, Citadel Acquisition Corp., Inc. Craig Corporation, Craig Management, Inc., Reading Entertainment, Inc., Reading Company (filed as Exhibit 10.51 to the Company’s Annual Report on Form 10-K for the year ended December 31, 1996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01" w:name="hangingindent20"/>
      <w:bookmarkStart w:id="3802" w:name="hangingindent20"/>
      <w:bookmarkEnd w:id="3802"/>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w:t>
            </w:r>
          </w:p>
        </w:tc>
        <w:tc>
          <w:tcPr>
            <w:tcW w:w="98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Asset Put and Registration Rights Agreement dated October 15, 1996 among Citadel Holding Corporation, Citadel Acquisition Corp., Inc., Reading Entertainment, Inc., and Craig Corporation (filed as Exhibit 10.52 to the Company’s Annual Report on Form 10-K for the year ended December 31, 1996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03" w:name="hangingindent21"/>
      <w:bookmarkStart w:id="3804" w:name="hangingindent21"/>
      <w:bookmarkEnd w:id="3804"/>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w:t>
            </w:r>
          </w:p>
        </w:tc>
        <w:tc>
          <w:tcPr>
            <w:tcW w:w="98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Articles of Incorporation of Reading Entertainment, Inc., A Nevada Corporation (filed as Exhibit 10.7 to the Company’s Annual Report on Form 10-K for the year ended December 31, 1999, and incorporated herein by reference).</w:t>
            </w:r>
          </w:p>
        </w:tc>
      </w:tr>
    </w:tbl>
    <w:p>
      <w:pPr>
        <w:pStyle w:val="TextBody"/>
        <w:spacing w:before="0" w:after="0"/>
        <w:ind w:left="0" w:right="0" w:hanging="0"/>
        <w:jc w:val="both"/>
        <w:rPr/>
      </w:pPr>
      <w:r>
        <w:rPr/>
        <w:t> </w:t>
      </w:r>
      <w:r>
        <w:rPr>
          <w:rFonts w:ascii="Times New Roman" w:hAnsi="Times New Roman"/>
          <w:sz w:val="20"/>
        </w:rPr>
        <w:br/>
        <w:t> </w:t>
      </w:r>
    </w:p>
    <w:p>
      <w:pPr>
        <w:pStyle w:val="Normal"/>
        <w:spacing w:before="0" w:after="0"/>
        <w:rPr>
          <w:sz w:val="4"/>
          <w:szCs w:val="4"/>
        </w:rPr>
      </w:pPr>
      <w:r>
        <w:rPr>
          <w:sz w:val="4"/>
          <w:szCs w:val="4"/>
        </w:rPr>
      </w:r>
      <w:bookmarkStart w:id="3805" w:name="hangingindent22"/>
      <w:bookmarkStart w:id="3806" w:name="hangingindent22"/>
      <w:bookmarkEnd w:id="3806"/>
    </w:p>
    <w:tbl>
      <w:tblPr>
        <w:tblW w:w="5000" w:type="pct"/>
        <w:jc w:val="center"/>
        <w:tblInd w:w="0" w:type="dxa"/>
        <w:tblCellMar>
          <w:top w:w="0" w:type="dxa"/>
          <w:left w:w="0" w:type="dxa"/>
          <w:bottom w:w="0" w:type="dxa"/>
          <w:right w:w="0" w:type="dxa"/>
        </w:tblCellMar>
      </w:tblPr>
      <w:tblGrid>
        <w:gridCol w:w="469"/>
        <w:gridCol w:w="9736"/>
      </w:tblGrid>
      <w:tr>
        <w:trPr/>
        <w:tc>
          <w:tcPr>
            <w:tcW w:w="4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10.7a</w:t>
            </w:r>
          </w:p>
        </w:tc>
        <w:tc>
          <w:tcPr>
            <w:tcW w:w="97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Certificate of Designation of the Series A Voting Cumulative Convertible preferred stock of Reading Entertainment, Inc. (filed as Exhibit 10.7a to the Company’s Annual Report on Form 10-K for the year ended December 31, 1999,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07" w:name="list246"/>
      <w:bookmarkStart w:id="3808" w:name="list246"/>
      <w:bookmarkEnd w:id="3808"/>
    </w:p>
    <w:tbl>
      <w:tblPr>
        <w:tblW w:w="5000" w:type="pct"/>
        <w:jc w:val="left"/>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10.8  </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Lease between Citadel Realty, Inc., Lesser and Disney Enterprises, Inc., Lessee dated October 1, 1996 (filed as Exhibit 10.54 to the Company’s Quarterly Report on Form 10-Q for the quarter ended September 30, 1996,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09" w:name="hangingindent23"/>
      <w:bookmarkStart w:id="3810" w:name="hangingindent23"/>
      <w:bookmarkEnd w:id="3810"/>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10.9</w:t>
            </w:r>
          </w:p>
        </w:tc>
        <w:tc>
          <w:tcPr>
            <w:tcW w:w="98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Second Amendment to Standard Office Lease between Citadel Realty, Inc. and Fidelity Federal Bank dated October 1, 1996 (filed as Exhibit 10.55 to the Company’s Quarterly Report on Form 10-Q for the quarter ended September 30, 1996,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11" w:name="hangingindent24"/>
      <w:bookmarkStart w:id="3812" w:name="hangingindent24"/>
      <w:bookmarkEnd w:id="381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10.10</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Citadel 1996 Non-employee Director Stock Option Plan (filed as Exhibit 10.57 to the Company’s Annual Report on Form 10-K for the year ended December 31, 1996,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13" w:name="hangingindent25"/>
      <w:bookmarkStart w:id="3814" w:name="hangingindent25"/>
      <w:bookmarkEnd w:id="381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10.11</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Reading Entertainment, Inc. Annual Report on Form 10-K for the year ended December 31, 1997 (filed as Exhibit 10.58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15" w:name="hangingindent26"/>
      <w:bookmarkStart w:id="3816" w:name="hangingindent26"/>
      <w:bookmarkEnd w:id="381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10.12</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Stock Purchase Agreement dated as of April 11, 1997 by and between Citadel Holding Corporation and Craig Corporation (filed as Exhibit 10.56 to the Company’s Quarterly Report on Form 10-Q for the quarter ended March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17" w:name="hangingindent27"/>
      <w:bookmarkStart w:id="3818" w:name="hangingindent27"/>
      <w:bookmarkEnd w:id="381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10.13</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Secured Promissory Note dated as of April 11, 1997 issued by Craig Corporation to Citadel Holding Corporation in the principal amount of $1,998,000 (filed as Exhibit 10.60 to the Company’s Quarterly Report on Form 10-Q for the quarter ended March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19" w:name="hangingindent28"/>
      <w:bookmarkStart w:id="3820" w:name="hangingindent28"/>
      <w:bookmarkEnd w:id="382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10.14</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Agreement for Purchase and Sale of Real Property between Prudential Insurance Company of America and Big 4 Farming LLC dated August 29, 1997 (filed as Exhibit 10.61 to the Company’s Quarterly Report on Form 10-Q for the quarter ended September 30,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21" w:name="hangingindent29"/>
      <w:bookmarkStart w:id="3822" w:name="hangingindent29"/>
      <w:bookmarkEnd w:id="382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10.15</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Second Amendment to Agreement of Purchase and Sale between Prudential Insurance Company of America and Big 4 Farming LLC dated November 5, 1997 (filed as Exhibit 10.62 to the Company’s Quarterly Report on Form 10-Q for the quarter ended September 30, 1997, and incorporated herein by reference).</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23" w:name="PGBRK145"/>
      <w:bookmarkStart w:id="3824" w:name="PGBRK145"/>
      <w:bookmarkEnd w:id="3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25" w:name="FTR145"/>
      <w:bookmarkStart w:id="3826" w:name="FTR145"/>
      <w:bookmarkEnd w:id="38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27" w:name="GLFTR145"/>
      <w:bookmarkEnd w:id="38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828" w:name="PN145"/>
      <w:bookmarkEnd w:id="3828"/>
      <w:r>
        <w:rPr>
          <w:rFonts w:eastAsia="Times New Roman" w:cs="Times New Roman" w:ascii="Times New Roman" w:hAnsi="Times New Roman"/>
          <w:sz w:val="20"/>
          <w:szCs w:val="20"/>
        </w:rPr>
        <w:t>-145-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829" w:name="HDR145"/>
      <w:bookmarkStart w:id="3830" w:name="HDR145"/>
      <w:bookmarkEnd w:id="38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831" w:name="GLHDR145"/>
        <w:bookmarkEnd w:id="383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Normal"/>
        <w:spacing w:before="0" w:after="0"/>
        <w:rPr>
          <w:sz w:val="4"/>
          <w:szCs w:val="4"/>
        </w:rPr>
      </w:pPr>
      <w:r>
        <w:rPr>
          <w:sz w:val="4"/>
          <w:szCs w:val="4"/>
        </w:rPr>
      </w:r>
      <w:bookmarkStart w:id="3832" w:name="hangingindent30"/>
      <w:bookmarkStart w:id="3833" w:name="hangingindent30"/>
      <w:bookmarkEnd w:id="3833"/>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10.16</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Partnership Agreement of Citadel Agricultural Partners No. 1 dated December 19, 1997 (filed as Exhibit 10.63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34" w:name="hangingindent31"/>
      <w:bookmarkStart w:id="3835" w:name="hangingindent31"/>
      <w:bookmarkEnd w:id="3835"/>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10.17</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Partnership Agreement of Citadel Agricultural Partners No. 2 dated December 19, 1997 (filed as Exhibit 10.64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36" w:name="hangingindent32"/>
      <w:bookmarkStart w:id="3837" w:name="hangingindent32"/>
      <w:bookmarkEnd w:id="3837"/>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10.18</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Partnership Agreement of Citadel Agricultural Partners No. 3 dated December 19, 1997 (filed as Exhibit 10.65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38" w:name="hangingindent33"/>
      <w:bookmarkStart w:id="3839" w:name="hangingindent33"/>
      <w:bookmarkEnd w:id="3839"/>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10.19</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Farm Management Agreement dated December 26, 1997 between Citadel Agricultural Partner No. 1 and Big 4 Farming LLC (filed as Exhibit 10.67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40" w:name="hangingindent34"/>
      <w:bookmarkStart w:id="3841" w:name="hangingindent34"/>
      <w:bookmarkEnd w:id="3841"/>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10.20</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Farm Management Agreement dated December 26, 1997 between Citadel Agricultural Partner No. 2 and Big 4 Farming LLC (filed as Exhibit 10.68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42" w:name="hangingindent35"/>
      <w:bookmarkStart w:id="3843" w:name="hangingindent35"/>
      <w:bookmarkEnd w:id="3843"/>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10.21</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Farm Management Agreement dated December 26, 1997 between Citadel Agricultural Partner No. 3 and Big 4 Farming LLC (filed as Exhibit 10.69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44" w:name="hangingindent36"/>
      <w:bookmarkStart w:id="3845" w:name="hangingindent36"/>
      <w:bookmarkEnd w:id="3845"/>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10.22</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Line of Credit Agreement dated December 29, 1997 between Citadel Holding Corporation and Big 4 Ranch, Inc. (filed as Exhibit 10.70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46" w:name="hangingindent37"/>
      <w:bookmarkStart w:id="3847" w:name="hangingindent37"/>
      <w:bookmarkEnd w:id="3847"/>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10.23</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Services Agreement dated December 26, 1997 between Big 4 Farming LLC and Cecelia Packing (filed as Exhibit 10.71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48" w:name="hangingindent38"/>
      <w:bookmarkStart w:id="3849" w:name="hangingindent38"/>
      <w:bookmarkEnd w:id="3849"/>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10.24</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Agricultural Loan Agreement dated December 29, 1997 between Citadel Holding Corporation and Citadel Agriculture Partner No. 1 (filed as Exhibit 10.72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50" w:name="hangingindent39"/>
      <w:bookmarkStart w:id="3851" w:name="hangingindent39"/>
      <w:bookmarkEnd w:id="3851"/>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10.25</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Agricultural Loan Agreement dated December 29, 1997 between Citadel Holding Corporation and Citadel Agriculture Partner No. 2 (filed as Exhibit 10.73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52" w:name="hangingindent40"/>
      <w:bookmarkStart w:id="3853" w:name="hangingindent40"/>
      <w:bookmarkEnd w:id="3853"/>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10.26</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Agricultural Loan Agreement dated December 29, 1997 between Citadel Holding Corporation and Citadel Agriculture Partner No. 3 (filed as Exhibit 10.74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54" w:name="hangingindent41"/>
      <w:bookmarkStart w:id="3855" w:name="hangingindent41"/>
      <w:bookmarkEnd w:id="3855"/>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10.27</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Promissory Note dated December 29, 1997 between Citadel Holding Corporation and Citadel Agricultural Partners No. 1 (filed as Exhibit 10.75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56" w:name="hangingindent42"/>
      <w:bookmarkStart w:id="3857" w:name="hangingindent42"/>
      <w:bookmarkEnd w:id="3857"/>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10.28</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Promissory Note dated December 29, 1997 between Citadel Holding Corporation and Citadel Agricultural Partners No. 2 (filed as Exhibit 10.76 to the Company’s Annual Report on Form 10-K for the year ended December 31, 1997 and incorporated herein by reference).</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58" w:name="PGBRK146"/>
      <w:bookmarkStart w:id="3859" w:name="PGBRK146"/>
      <w:bookmarkEnd w:id="38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60" w:name="FTR146"/>
      <w:bookmarkStart w:id="3861" w:name="FTR146"/>
      <w:bookmarkEnd w:id="38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62" w:name="GLFTR146"/>
      <w:bookmarkEnd w:id="38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863" w:name="PN146"/>
      <w:bookmarkEnd w:id="3863"/>
      <w:r>
        <w:rPr>
          <w:rFonts w:eastAsia="Times New Roman" w:cs="Times New Roman" w:ascii="Times New Roman" w:hAnsi="Times New Roman"/>
          <w:sz w:val="20"/>
          <w:szCs w:val="20"/>
        </w:rPr>
        <w:t>-146-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864" w:name="HDR146"/>
      <w:bookmarkStart w:id="3865" w:name="HDR146"/>
      <w:bookmarkEnd w:id="38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866" w:name="GLHDR146"/>
        <w:bookmarkEnd w:id="386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Normal"/>
        <w:spacing w:before="0" w:after="0"/>
        <w:rPr>
          <w:sz w:val="4"/>
          <w:szCs w:val="4"/>
        </w:rPr>
      </w:pPr>
      <w:r>
        <w:rPr>
          <w:sz w:val="4"/>
          <w:szCs w:val="4"/>
        </w:rPr>
      </w:r>
      <w:bookmarkStart w:id="3867" w:name="hangingindent43"/>
      <w:bookmarkStart w:id="3868" w:name="hangingindent43"/>
      <w:bookmarkEnd w:id="386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10.29</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Promissory Note dated December 29, 1997 between Citadel Holding Corporation and Citadel Agricultural Partners No. 3 (filed as Exhibit 10.77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69" w:name="hangingindent44"/>
      <w:bookmarkStart w:id="3870" w:name="hangingindent44"/>
      <w:bookmarkEnd w:id="387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10.30</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Security Agreement dated December 29, 1997 between Citadel Holding Corporation and Citadel Agricultural Partnership No. 1 (filed as Exhibit 10.78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71" w:name="hangingindent45"/>
      <w:bookmarkStart w:id="3872" w:name="hangingindent45"/>
      <w:bookmarkEnd w:id="387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10.31</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Security Agreement dated December 29, 1997 between Citadel Holding Corporation and Citadel Agricultural Partnership No. 2 (filed as Exhibit 10.79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73" w:name="hangingindent46"/>
      <w:bookmarkStart w:id="3874" w:name="hangingindent46"/>
      <w:bookmarkEnd w:id="387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10.32</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Security Agreement dated December 29, 1997 between Citadel Holding Corporation and Citadel Agricultural Partnership No. 3 (filed as Exhibit 10.80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75" w:name="hangingindent47"/>
      <w:bookmarkStart w:id="3876" w:name="hangingindent47"/>
      <w:bookmarkEnd w:id="387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10.33</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Administrative Services Agreement between Citadel Holding Corporation and Big 4 Ranch, Inc. dated December 29, 1997 (filed as Exhibit 10.81 to the Company’s Annual Report on Form 10-K for the year ended December 31, 1997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77" w:name="hangingindent48"/>
      <w:bookmarkStart w:id="3878" w:name="hangingindent48"/>
      <w:bookmarkEnd w:id="387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10.34</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Reading Entertainment, Inc. Annual Report on Form 10-K for the year ended December 31, 1998 (filed as Exhibit as 10.41 to the Company’s Annual Report on Form 10-K for the year ended December 31, 1998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79" w:name="hangingindent49"/>
      <w:bookmarkStart w:id="3880" w:name="hangingindent49"/>
      <w:bookmarkEnd w:id="388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10.35</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Reading Entertainment, Inc. Annual Report on Form 10-K for the year ended December 31, 1999 (filed by Reading Entertainment Inc. as Form 10-K for the year ended December 31, 1999 on April 14, 2000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81" w:name="hangingindent50"/>
      <w:bookmarkStart w:id="3882" w:name="hangingindent50"/>
      <w:bookmarkEnd w:id="388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10.36</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Promissory Note dated December 20, 1999 between Citadel Holding Corporation and Nationwide Life Insurance 3 (filed as Exhibit 10.36 to the Company’s Annual Report on Form 10-K for the year ended December 31, 1999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83" w:name="hangingindent51"/>
      <w:bookmarkStart w:id="3884" w:name="hangingindent51"/>
      <w:bookmarkEnd w:id="3884"/>
    </w:p>
    <w:tbl>
      <w:tblPr>
        <w:tblW w:w="5000" w:type="pct"/>
        <w:jc w:val="center"/>
        <w:tblInd w:w="0" w:type="dxa"/>
        <w:tblCellMar>
          <w:top w:w="0" w:type="dxa"/>
          <w:left w:w="0" w:type="dxa"/>
          <w:bottom w:w="0" w:type="dxa"/>
          <w:right w:w="0" w:type="dxa"/>
        </w:tblCellMar>
      </w:tblPr>
      <w:tblGrid>
        <w:gridCol w:w="537"/>
        <w:gridCol w:w="9668"/>
      </w:tblGrid>
      <w:tr>
        <w:trPr/>
        <w:tc>
          <w:tcPr>
            <w:tcW w:w="5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10.37*</w:t>
            </w:r>
          </w:p>
        </w:tc>
        <w:tc>
          <w:tcPr>
            <w:tcW w:w="966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Employment Agreement between Citadel Holding Corporation and Andrzej Matyczynski (filed as Exhibit 10.37 to the Company’s Annual Report on Form 10-K for the year ended December 31, 1999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85" w:name="hangingindent52"/>
      <w:bookmarkStart w:id="3886" w:name="hangingindent52"/>
      <w:bookmarkEnd w:id="388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10.38</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Citadel 1999 Employee Stock Option Plan (filed as Exhibit 10.38 to the Company’s Annual Report on Form 10-K for the year ended December 31, 1999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87" w:name="hangingindent53"/>
      <w:bookmarkStart w:id="3888" w:name="hangingindent53"/>
      <w:bookmarkEnd w:id="388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10.39</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Amendment and Plan of Merger By and Among Citadel Holding Corporation and Off-Broadway Theatres, Inc. (filed as Exhibit A to the Company’s Proxy Statement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89" w:name="hangingindent54"/>
      <w:bookmarkStart w:id="3890" w:name="hangingindent54"/>
      <w:bookmarkEnd w:id="389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10.40</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Amended and Restated Lease Agreement dated as of July 28, 2000 as amended and restated as of January 29, 2002 between Sutton Hill Capital, L.L.C. and Citadel Cinemas, Inc. (filed as Exhibit 10.40 to the Company’s Annual Report on Form 10-K for the year ended December 31, 2002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91" w:name="hangingindent55"/>
      <w:bookmarkStart w:id="3892" w:name="hangingindent55"/>
      <w:bookmarkEnd w:id="389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10.41</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Amended and Restated Citadel Standby Credit Facility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93" w:name="hangingindent56"/>
      <w:bookmarkStart w:id="3894" w:name="hangingindent56"/>
      <w:bookmarkEnd w:id="389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10.42</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Amended and Restated Security Agreement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95" w:name="PGBRK147"/>
      <w:bookmarkStart w:id="3896" w:name="PGBRK147"/>
      <w:bookmarkEnd w:id="38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97" w:name="FTR147"/>
      <w:bookmarkStart w:id="3898" w:name="FTR147"/>
      <w:bookmarkEnd w:id="38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99" w:name="GLFTR147"/>
      <w:bookmarkEnd w:id="38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900" w:name="PN147"/>
      <w:bookmarkEnd w:id="3900"/>
      <w:r>
        <w:rPr>
          <w:rFonts w:eastAsia="Times New Roman" w:cs="Times New Roman" w:ascii="Times New Roman" w:hAnsi="Times New Roman"/>
          <w:sz w:val="20"/>
          <w:szCs w:val="20"/>
        </w:rPr>
        <w:t>-147-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901" w:name="HDR147"/>
      <w:bookmarkStart w:id="3902" w:name="HDR147"/>
      <w:bookmarkEnd w:id="39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903" w:name="GLHDR147"/>
        <w:bookmarkEnd w:id="390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Normal"/>
        <w:spacing w:before="0" w:after="0"/>
        <w:rPr>
          <w:sz w:val="4"/>
          <w:szCs w:val="4"/>
        </w:rPr>
      </w:pPr>
      <w:r>
        <w:rPr>
          <w:sz w:val="4"/>
          <w:szCs w:val="4"/>
        </w:rPr>
      </w:r>
      <w:bookmarkStart w:id="3904" w:name="hangingindent57"/>
      <w:bookmarkStart w:id="3905" w:name="hangingindent57"/>
      <w:bookmarkEnd w:id="3905"/>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10.43</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Amended and Restated Pledge Agreement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06" w:name="hangingindent58"/>
      <w:bookmarkStart w:id="3907" w:name="hangingindent58"/>
      <w:bookmarkEnd w:id="3907"/>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10.44</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Amended and Restated Intercreditor Agreement dated as of July 28, 2000 as amended and restated as of January 29, 2002 between Sutton Hill Capital, L.L.C. and Reading International, Inc. and Nationwide Theatres Corp. (filed as Exhibit 10.40 to the Company’s Annual Report on Form 10-K for the year ended December 31, 2002 and incorporated herein by reference).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08" w:name="hangingindent59"/>
      <w:bookmarkStart w:id="3909" w:name="hangingindent59"/>
      <w:bookmarkEnd w:id="3909"/>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10.45</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Guaranty dated July 28, 2000 by Michael R. Forman and James J. Cotter in favor of Citadel Cinemas, Inc. and Citadel Realty, Inc. (filed as Exhibit 10.40 to the Company’s Annual Report on Form 10-K for the year ended December 31, 2002 and incorporated herein by reference).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10" w:name="hangingindent60"/>
      <w:bookmarkStart w:id="3911" w:name="hangingindent60"/>
      <w:bookmarkEnd w:id="3911"/>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10.46</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Amended and Restated Agreement with Respect to Fee Option dated as of July 28, 2000 as amended and restated as of January 29, 2002 between Sutton Hill Capital, L.L.C. and Citadel Realty, Inc. (filed as Exhibit 10.40 to the Company’s Annual Report on Form 10-K for the year ended December 31, 2002 and incorporated herein by reference).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12" w:name="hangingindent61"/>
      <w:bookmarkStart w:id="3913" w:name="hangingindent61"/>
      <w:bookmarkEnd w:id="3913"/>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10.47</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Theater Management Agreement between Liberty Theaters, Inc. and OBI LLC (filed as Exhibit 10.40 to the Company’s Annual Report on Form 10-K for the year ended December 31, 2002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14" w:name="hangingindent62"/>
      <w:bookmarkStart w:id="3915" w:name="hangingindent62"/>
      <w:bookmarkEnd w:id="3915"/>
    </w:p>
    <w:tbl>
      <w:tblPr>
        <w:tblW w:w="5000" w:type="pct"/>
        <w:jc w:val="center"/>
        <w:tblInd w:w="0" w:type="dxa"/>
        <w:tblCellMar>
          <w:top w:w="0" w:type="dxa"/>
          <w:left w:w="0" w:type="dxa"/>
          <w:bottom w:w="0" w:type="dxa"/>
          <w:right w:w="0" w:type="dxa"/>
        </w:tblCellMar>
      </w:tblPr>
      <w:tblGrid>
        <w:gridCol w:w="537"/>
        <w:gridCol w:w="9668"/>
      </w:tblGrid>
      <w:tr>
        <w:trPr/>
        <w:tc>
          <w:tcPr>
            <w:tcW w:w="5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10.48*</w:t>
            </w:r>
          </w:p>
        </w:tc>
        <w:tc>
          <w:tcPr>
            <w:tcW w:w="966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Non-qualified Stock Option Agreement between Reading International, Inc. and James J. Cotter (filed as Exhibit 10.40 to the Company’s Annual Report on Form 10-K for the year ended December 31, 2002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16" w:name="list247"/>
      <w:bookmarkStart w:id="3917" w:name="list247"/>
      <w:bookmarkEnd w:id="3917"/>
    </w:p>
    <w:tbl>
      <w:tblPr>
        <w:tblW w:w="5000" w:type="pct"/>
        <w:jc w:val="left"/>
        <w:tblInd w:w="0" w:type="dxa"/>
        <w:tblCellMar>
          <w:top w:w="0" w:type="dxa"/>
          <w:left w:w="0" w:type="dxa"/>
          <w:bottom w:w="0" w:type="dxa"/>
          <w:right w:w="0" w:type="dxa"/>
        </w:tblCellMar>
      </w:tblPr>
      <w:tblGrid>
        <w:gridCol w:w="589"/>
        <w:gridCol w:w="9616"/>
      </w:tblGrid>
      <w:tr>
        <w:trPr/>
        <w:tc>
          <w:tcPr>
            <w:tcW w:w="5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10.49  </w:t>
            </w:r>
          </w:p>
        </w:tc>
        <w:tc>
          <w:tcPr>
            <w:tcW w:w="96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Omnibus Agreement between Citadel Cinemas, Inc. and Sutton Hill Capital, LLC, dated October 22, 2003 (filed on Quarterly Report Form 10-Q for the period ended September 30, 2003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18" w:name="list248"/>
      <w:bookmarkStart w:id="3919" w:name="list248"/>
      <w:bookmarkEnd w:id="3919"/>
    </w:p>
    <w:tbl>
      <w:tblPr>
        <w:tblW w:w="5000" w:type="pct"/>
        <w:jc w:val="left"/>
        <w:tblInd w:w="0" w:type="dxa"/>
        <w:tblCellMar>
          <w:top w:w="0" w:type="dxa"/>
          <w:left w:w="0" w:type="dxa"/>
          <w:bottom w:w="0" w:type="dxa"/>
          <w:right w:w="0" w:type="dxa"/>
        </w:tblCellMar>
      </w:tblPr>
      <w:tblGrid>
        <w:gridCol w:w="589"/>
        <w:gridCol w:w="9616"/>
      </w:tblGrid>
      <w:tr>
        <w:trPr/>
        <w:tc>
          <w:tcPr>
            <w:tcW w:w="5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10.50  </w:t>
            </w:r>
          </w:p>
        </w:tc>
        <w:tc>
          <w:tcPr>
            <w:tcW w:w="96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Pledge Agreement between Citadel Cinemas, Inc. and Sutton Hill Capital, LLC, dated October 22, 2003 (filed on Quarterly Report Form 10-Q for the period ended September 30, 2003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20" w:name="list249"/>
      <w:bookmarkStart w:id="3921" w:name="list249"/>
      <w:bookmarkEnd w:id="3921"/>
    </w:p>
    <w:tbl>
      <w:tblPr>
        <w:tblW w:w="5000" w:type="pct"/>
        <w:jc w:val="left"/>
        <w:tblInd w:w="0" w:type="dxa"/>
        <w:tblCellMar>
          <w:top w:w="0" w:type="dxa"/>
          <w:left w:w="0" w:type="dxa"/>
          <w:bottom w:w="0" w:type="dxa"/>
          <w:right w:w="0" w:type="dxa"/>
        </w:tblCellMar>
      </w:tblPr>
      <w:tblGrid>
        <w:gridCol w:w="589"/>
        <w:gridCol w:w="9616"/>
      </w:tblGrid>
      <w:tr>
        <w:trPr/>
        <w:tc>
          <w:tcPr>
            <w:tcW w:w="5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10.51  </w:t>
            </w:r>
          </w:p>
        </w:tc>
        <w:tc>
          <w:tcPr>
            <w:tcW w:w="96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Guarantee of Lenders Obligation Under Standby Credit Agreement in favor of Sutton Hill Capital, LLC, dated October 22, 2003 (filed on Quarterly Report Form 10-Q for the period ended September 30, 2003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22" w:name="hangingindent63"/>
      <w:bookmarkStart w:id="3923" w:name="hangingindent63"/>
      <w:bookmarkEnd w:id="3923"/>
    </w:p>
    <w:tbl>
      <w:tblPr>
        <w:tblW w:w="5000" w:type="pct"/>
        <w:jc w:val="center"/>
        <w:tblInd w:w="0" w:type="dxa"/>
        <w:tblCellMar>
          <w:top w:w="0" w:type="dxa"/>
          <w:left w:w="0" w:type="dxa"/>
          <w:bottom w:w="0" w:type="dxa"/>
          <w:right w:w="0" w:type="dxa"/>
        </w:tblCellMar>
      </w:tblPr>
      <w:tblGrid>
        <w:gridCol w:w="537"/>
        <w:gridCol w:w="9668"/>
      </w:tblGrid>
      <w:tr>
        <w:trPr/>
        <w:tc>
          <w:tcPr>
            <w:tcW w:w="5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10.52*</w:t>
            </w:r>
          </w:p>
        </w:tc>
        <w:tc>
          <w:tcPr>
            <w:tcW w:w="966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Employment agreement between Reading International, Inc. and Wayne D. Smith (filed as exhibit 10.52 to the Company’s Annual Report on Form 10-K for the year ended December 31, 2004,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24" w:name="hangingindent64"/>
      <w:bookmarkStart w:id="3925" w:name="hangingindent64"/>
      <w:bookmarkEnd w:id="3925"/>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10.53</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Contract of Sale between Sutton Hill Capital L.L.C. and Sutton Hill Properties, LLC dated as of September 19, 2005 (filed as exhibit 10.53 to the Company’s report on Form 8-K filed on September 21, 2005,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26" w:name="hangingindent65"/>
      <w:bookmarkStart w:id="3927" w:name="hangingindent65"/>
      <w:bookmarkEnd w:id="3927"/>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10.54</w:t>
            </w:r>
          </w:p>
        </w:tc>
        <w:tc>
          <w:tcPr>
            <w:tcW w:w="972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Installment Sale Note dated as of September 19, 2005 (filed as exhibit 10.54 to the Company’s report on Form 8-K filed on September 21, 2005,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28" w:name="hangingindent66"/>
      <w:bookmarkStart w:id="3929" w:name="hangingindent66"/>
      <w:bookmarkEnd w:id="3929"/>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10.55</w:t>
            </w:r>
          </w:p>
        </w:tc>
        <w:tc>
          <w:tcPr>
            <w:tcW w:w="972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Guaranty by Reading International, Inc. dated as of September 1, 2005 (filed as exhibit 10.55 to the Company’s report on Form 8-K filed on September 21, 2005, and incorporated herein by reference).</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30" w:name="PGBRK148"/>
      <w:bookmarkStart w:id="3931" w:name="PGBRK148"/>
      <w:bookmarkEnd w:id="39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32" w:name="FTR148"/>
      <w:bookmarkStart w:id="3933" w:name="FTR148"/>
      <w:bookmarkEnd w:id="39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34" w:name="GLFTR148"/>
      <w:bookmarkEnd w:id="39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935" w:name="PN148"/>
      <w:bookmarkEnd w:id="3935"/>
      <w:r>
        <w:rPr>
          <w:rFonts w:eastAsia="Times New Roman" w:cs="Times New Roman" w:ascii="Times New Roman" w:hAnsi="Times New Roman"/>
          <w:sz w:val="20"/>
          <w:szCs w:val="20"/>
        </w:rPr>
        <w:t>-148-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936" w:name="HDR148"/>
      <w:bookmarkStart w:id="3937" w:name="HDR148"/>
      <w:bookmarkEnd w:id="39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938" w:name="GLHDR148"/>
        <w:bookmarkEnd w:id="393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Normal"/>
        <w:spacing w:before="0" w:after="0"/>
        <w:rPr>
          <w:sz w:val="4"/>
          <w:szCs w:val="4"/>
        </w:rPr>
      </w:pPr>
      <w:r>
        <w:rPr>
          <w:sz w:val="4"/>
          <w:szCs w:val="4"/>
        </w:rPr>
      </w:r>
      <w:bookmarkStart w:id="3939" w:name="hangingindent67"/>
      <w:bookmarkStart w:id="3940" w:name="hangingindent67"/>
      <w:bookmarkEnd w:id="394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10.56</w:t>
            </w:r>
          </w:p>
        </w:tc>
        <w:tc>
          <w:tcPr>
            <w:tcW w:w="972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Assignment and Assumption of Lease between Sutton Hill Capital L.L.C. and Sutton Hill Properties, LLC dated as of September 19, 2005 (filed as exhibit 10.56 to the Company’s report on Form 8-K filed on September 21, 2005,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41" w:name="hangingindent68"/>
      <w:bookmarkStart w:id="3942" w:name="hangingindent68"/>
      <w:bookmarkEnd w:id="394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10.57</w:t>
            </w:r>
          </w:p>
        </w:tc>
        <w:tc>
          <w:tcPr>
            <w:tcW w:w="972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License and Option Agreement between Sutton Hill Properties, LLC and Sutton Hill Capital L.L.C. dated as of September 19, 2005 (filed as exhibit 10.57 to the Company’s report on Form 8-K filed on September 21, 2005,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43" w:name="hangingindent69"/>
      <w:bookmarkStart w:id="3944" w:name="hangingindent69"/>
      <w:bookmarkEnd w:id="394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10.58</w:t>
            </w:r>
          </w:p>
        </w:tc>
        <w:tc>
          <w:tcPr>
            <w:tcW w:w="972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Second Amendment to Amended and Restated Master Operating Lease dated as of September 1, 2005 (filed as exhibit 10.58 to the Company’s report on Form 8-K filed on September 21, 2005,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45" w:name="hangingindent70"/>
      <w:bookmarkStart w:id="3946" w:name="hangingindent70"/>
      <w:bookmarkEnd w:id="394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10.59</w:t>
            </w:r>
          </w:p>
        </w:tc>
        <w:tc>
          <w:tcPr>
            <w:tcW w:w="972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Letter from James J. Cotter dated August 11, 2005 regarding liens (filed as exhibit 10.59 to the Company’s report on Form 8-K filed on September 21, 2005,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47" w:name="hangingindent71"/>
      <w:bookmarkStart w:id="3948" w:name="hangingindent71"/>
      <w:bookmarkEnd w:id="394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10.60</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Letter amending effective date of transaction to September 19, 2005 (filed as exhibit 10.60 to the Company’s report on Form 8-K filed on September 21, 2005,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49" w:name="hangingindent72"/>
      <w:bookmarkStart w:id="3950" w:name="hangingindent72"/>
      <w:bookmarkEnd w:id="395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10.61</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Promissory Note by Citadel Cinemas, Inc. in favor of Sutton Hill Capital L.L.C. dated September 14, 2004 (filed as exhibit 10.61 to the Company’s Annual Report on Form 10-K for the year ended December 31, 2005,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51" w:name="hangingindent73"/>
      <w:bookmarkStart w:id="3952" w:name="hangingindent73"/>
      <w:bookmarkEnd w:id="395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10.62</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Guaranty by Reading International, Inc. in favor of Sutton Hill Capital L.L.C. dated September 14, 2004 (filed as exhibit 10.62 to the Company’s Annual Report on Form 10-K for the year ended December 31, 2005,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53" w:name="hangingindent74"/>
      <w:bookmarkStart w:id="3954" w:name="hangingindent74"/>
      <w:bookmarkEnd w:id="395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10.63</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Purchase Agreement, dated February 5, 2007, among Reading International, Inc., Reading International Trust I, and Kodiak Warehouse JPM LLC (filed as Exhibit 10.1 to the Company’s report on Form 8-K dated February 5,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55" w:name="hangingindent75"/>
      <w:bookmarkStart w:id="3956" w:name="hangingindent75"/>
      <w:bookmarkEnd w:id="395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10.64</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Amended and Restated Declaration of Trust, dated February 5, 2007, among Reading International Inc., as sponsor, the Administrators named therein, and Wells Fargo Bank, N.A., as property trustee, and Wells Fargo Delaware Trust Company as Delaware trustee (filed as Exhibit 10.2 to the Company’s report on Form 8-K dated February 5,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57" w:name="hangingindent76"/>
      <w:bookmarkStart w:id="3958" w:name="hangingindent76"/>
      <w:bookmarkEnd w:id="395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10.65</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Indenture among Reading International, Inc., Reading New Zealand Limited, and Wells Fargo Bank, N.A., as indenture trustee (filed as Exhibit 10.4 to the Company’s report on Form 8-K dated February 5,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59" w:name="hangingindent77"/>
      <w:bookmarkStart w:id="3960" w:name="hangingindent77"/>
      <w:bookmarkEnd w:id="3960"/>
    </w:p>
    <w:tbl>
      <w:tblPr>
        <w:tblW w:w="5000" w:type="pct"/>
        <w:jc w:val="center"/>
        <w:tblInd w:w="0" w:type="dxa"/>
        <w:tblCellMar>
          <w:top w:w="0" w:type="dxa"/>
          <w:left w:w="0" w:type="dxa"/>
          <w:bottom w:w="0" w:type="dxa"/>
          <w:right w:w="0" w:type="dxa"/>
        </w:tblCellMar>
      </w:tblPr>
      <w:tblGrid>
        <w:gridCol w:w="537"/>
        <w:gridCol w:w="9668"/>
      </w:tblGrid>
      <w:tr>
        <w:trPr/>
        <w:tc>
          <w:tcPr>
            <w:tcW w:w="5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10.66*</w:t>
            </w:r>
          </w:p>
        </w:tc>
        <w:tc>
          <w:tcPr>
            <w:tcW w:w="966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Employment Agreement between Reading International, Inc. and John Hunter (filed as Exhibit 10.66 to the Company’s report on Form 10-K for the year ended December 31, 2006,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61" w:name="hangingindent78"/>
      <w:bookmarkStart w:id="3962" w:name="hangingindent78"/>
      <w:bookmarkEnd w:id="396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10.67</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Asset Purchase and Sale Agreement dated October 8, 2007 among Pacific Theatres Exhibition Corp., Consolidated Amusement Theatres, Inc., a Hawaii corporation, Michael Forman, Christopher Forman, Consolidated Amusement Theatres, Inc., a Nevada corporation, and Reading International, Inc. (filed as Exhibit 10.67 to the Company’s report on Form 10-K for the year ended December 31,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63" w:name="hangingindent79"/>
      <w:bookmarkStart w:id="3964" w:name="hangingindent79"/>
      <w:bookmarkEnd w:id="396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10.68</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Real Property Purchase and Sale Agreement dated October 8, 2007 between Consolidated Amusement Theatres, Inc., a Hawaii corporation, and Consolidated Amusement Theatres, Inc., a Nevada corporation (filed as Exhibit 10.68 to the Company’s report on Form 10-K for the year ended December 31, 2007, and incorporated herein by reference).</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65" w:name="PGBRK149"/>
      <w:bookmarkStart w:id="3966" w:name="PGBRK149"/>
      <w:bookmarkEnd w:id="39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67" w:name="FTR149"/>
      <w:bookmarkStart w:id="3968" w:name="FTR149"/>
      <w:bookmarkEnd w:id="39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69" w:name="GLFTR149"/>
      <w:bookmarkEnd w:id="39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970" w:name="PN149"/>
      <w:bookmarkEnd w:id="3970"/>
      <w:r>
        <w:rPr>
          <w:rFonts w:eastAsia="Times New Roman" w:cs="Times New Roman" w:ascii="Times New Roman" w:hAnsi="Times New Roman"/>
          <w:sz w:val="20"/>
          <w:szCs w:val="20"/>
        </w:rPr>
        <w:t>-149-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971" w:name="HDR149"/>
      <w:bookmarkStart w:id="3972" w:name="HDR149"/>
      <w:bookmarkEnd w:id="39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973" w:name="GLHDR149"/>
        <w:bookmarkEnd w:id="397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Normal"/>
        <w:spacing w:before="0" w:after="0"/>
        <w:rPr>
          <w:sz w:val="4"/>
          <w:szCs w:val="4"/>
        </w:rPr>
      </w:pPr>
      <w:r>
        <w:rPr>
          <w:sz w:val="4"/>
          <w:szCs w:val="4"/>
        </w:rPr>
      </w:r>
      <w:bookmarkStart w:id="3974" w:name="hangingindent80"/>
      <w:bookmarkStart w:id="3975" w:name="hangingindent80"/>
      <w:bookmarkEnd w:id="3975"/>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10.69</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Leasehold Purchase and Sale Agreement dated October 8, 2007 between Kenmore Rohnert, LLC and Consolidated Amusement Theatres, Inc., a Nevada corporation (filed as Exhibit 10.69 to the Company’s report on Form 10-K for the year ended December 31,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76" w:name="hangingindent81"/>
      <w:bookmarkStart w:id="3977" w:name="hangingindent81"/>
      <w:bookmarkEnd w:id="3977"/>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10.70</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Amendment No. 1 to Asset Purchase and Sale Agreement dated February 8, 2008 among Pacific Theatres Exhibition Corp., Consolidated Amusement Theatres, Inc., a Hawaii corporation, Michael Forman, Christopher Forman, Consolidated Amusement Theatres, Inc., a Nevada corporation, and Reading International, Inc. (filed as Exhibit 10.70 to the Company’s report on Form 10-K for the year ended December 31,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78" w:name="hangingindent82"/>
      <w:bookmarkStart w:id="3979" w:name="hangingindent82"/>
      <w:bookmarkEnd w:id="3979"/>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10.71</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Amendment No. 2 to Asset Purchase and Sale Agreement dated February 14, 2008 among Pacific Theatres Exhibition Corp., Consolidated Amusement Theatres, Inc., a Hawaii corporation, Michael Forman, Christopher Forman, Consolidated Amusement Theatres, Inc., a Nevada corporation, and Reading International, Inc. (filed as Exhibit 10.71 to the Company’s report on Form 10-K for the year ended December 31,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80" w:name="hangingindent83"/>
      <w:bookmarkStart w:id="3981" w:name="hangingindent83"/>
      <w:bookmarkEnd w:id="3981"/>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10.72</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Credit Agreement dated February 21, 2008 among Consolidated Amusement Theatres, Inc., a Nevada corporation, General Electric Capital Corporation, and GE Capital Markets, Inc. (filed as Exhibit 10.72 to the Company’s report on Form 10-K for the year ended December 31,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82" w:name="hangingindent84"/>
      <w:bookmarkStart w:id="3983" w:name="hangingindent84"/>
      <w:bookmarkEnd w:id="3983"/>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10.73</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Reading Guaranty Agreement dated February 21, 2008 among Consolidated Amusement Theatres, Inc., a Nevada corporation, General Electric Capital Corporation, and GE Capital Markets, Inc. (filed as Exhibit 10.73 to the Company’s report on Form 10-K for the year ended December 31,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84" w:name="hangingindent85"/>
      <w:bookmarkStart w:id="3985" w:name="hangingindent85"/>
      <w:bookmarkEnd w:id="3985"/>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10.74</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Pledge and Security Agreement dated February 22, 2008 by Reading Consolidated Holdings, Inc. in favor of Nationwide Theatres Corp (filed as Exhibit 10.74 to the Company’s report on Form 10-K for the year ended December 31,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86" w:name="hangingindent86"/>
      <w:bookmarkStart w:id="3987" w:name="hangingindent86"/>
      <w:bookmarkEnd w:id="3987"/>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10.75</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Promissory Note dated February 22, 2008 by Reading Consolidated Holdings, inc. in favor of Nationwide Theatres Corp. (filed as Exhibit 10.75 to the Company’s report on Form 10-K for the year ended December 31, 2007,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88" w:name="hangingindent87"/>
      <w:bookmarkStart w:id="3989" w:name="hangingindent87"/>
      <w:bookmarkEnd w:id="3989"/>
    </w:p>
    <w:tbl>
      <w:tblPr>
        <w:tblW w:w="5000" w:type="pct"/>
        <w:jc w:val="center"/>
        <w:tblInd w:w="0" w:type="dxa"/>
        <w:tblCellMar>
          <w:top w:w="0" w:type="dxa"/>
          <w:left w:w="0" w:type="dxa"/>
          <w:bottom w:w="0" w:type="dxa"/>
          <w:right w:w="0" w:type="dxa"/>
        </w:tblCellMar>
      </w:tblPr>
      <w:tblGrid>
        <w:gridCol w:w="537"/>
        <w:gridCol w:w="9668"/>
      </w:tblGrid>
      <w:tr>
        <w:trPr/>
        <w:tc>
          <w:tcPr>
            <w:tcW w:w="5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10.76*</w:t>
            </w:r>
          </w:p>
        </w:tc>
        <w:tc>
          <w:tcPr>
            <w:tcW w:w="966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Employment Agreement dated June 5, 2008 between the Company and Jay Laifman (filed as Exhibit 10.76 to the Company’s report on form 10-Q for the period ended June 30, 2008,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90" w:name="hangingindent88"/>
      <w:bookmarkStart w:id="3991" w:name="hangingindent88"/>
      <w:bookmarkEnd w:id="3991"/>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10.77</w:t>
            </w:r>
          </w:p>
        </w:tc>
        <w:tc>
          <w:tcPr>
            <w:tcW w:w="9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Form of Indemnity, as routinely granted to the Company’s officers and directors (filed as Exhibit 10.77 to the Company’s report on Form 10-Q for the period ended September 30, 2008, and incorporated herein by reference).</w:t>
            </w:r>
          </w:p>
        </w:tc>
      </w:tr>
    </w:tbl>
    <w:p>
      <w:pPr>
        <w:pStyle w:val="TextBody"/>
        <w:spacing w:before="0" w:after="0"/>
        <w:ind w:left="0" w:right="0" w:hanging="0"/>
        <w:rPr/>
      </w:pPr>
      <w:r>
        <w:rPr/>
      </w:r>
    </w:p>
    <w:p>
      <w:pPr>
        <w:pStyle w:val="Normal"/>
        <w:spacing w:before="0" w:after="0"/>
        <w:rPr>
          <w:sz w:val="4"/>
          <w:szCs w:val="4"/>
        </w:rPr>
      </w:pPr>
      <w:r>
        <w:rPr>
          <w:sz w:val="4"/>
          <w:szCs w:val="4"/>
        </w:rPr>
      </w:r>
      <w:bookmarkStart w:id="3992" w:name="hangingindent89"/>
      <w:bookmarkStart w:id="3993" w:name="hangingindent89"/>
      <w:bookmarkEnd w:id="3993"/>
    </w:p>
    <w:tbl>
      <w:tblPr>
        <w:tblW w:w="5000" w:type="pct"/>
        <w:jc w:val="center"/>
        <w:tblInd w:w="0" w:type="dxa"/>
        <w:tblCellMar>
          <w:top w:w="0" w:type="dxa"/>
          <w:left w:w="0" w:type="dxa"/>
          <w:bottom w:w="0" w:type="dxa"/>
          <w:right w:w="0" w:type="dxa"/>
        </w:tblCellMar>
      </w:tblPr>
      <w:tblGrid>
        <w:gridCol w:w="331"/>
        <w:gridCol w:w="9874"/>
      </w:tblGrid>
      <w:tr>
        <w:trPr/>
        <w:tc>
          <w:tcPr>
            <w:tcW w:w="33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18</w:t>
            </w:r>
          </w:p>
        </w:tc>
        <w:tc>
          <w:tcPr>
            <w:tcW w:w="987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Preferability letter of Independent Auditors, Deloitte &amp; Touche LLP (filed herewith).</w:t>
            </w:r>
          </w:p>
        </w:tc>
      </w:tr>
    </w:tbl>
    <w:p>
      <w:pPr>
        <w:pStyle w:val="TextBody"/>
        <w:spacing w:before="0" w:after="0"/>
        <w:ind w:left="0" w:right="0" w:hanging="0"/>
        <w:rPr/>
      </w:pPr>
      <w:r>
        <w:rPr/>
      </w:r>
    </w:p>
    <w:p>
      <w:pPr>
        <w:pStyle w:val="Normal"/>
        <w:spacing w:before="0" w:after="0"/>
        <w:rPr>
          <w:sz w:val="4"/>
          <w:szCs w:val="4"/>
        </w:rPr>
      </w:pPr>
      <w:r>
        <w:rPr>
          <w:sz w:val="4"/>
          <w:szCs w:val="4"/>
        </w:rPr>
      </w:r>
      <w:bookmarkStart w:id="3994" w:name="hangingindent90"/>
      <w:bookmarkStart w:id="3995" w:name="hangingindent90"/>
      <w:bookmarkEnd w:id="3995"/>
    </w:p>
    <w:tbl>
      <w:tblPr>
        <w:tblW w:w="5000" w:type="pct"/>
        <w:jc w:val="center"/>
        <w:tblInd w:w="0" w:type="dxa"/>
        <w:tblCellMar>
          <w:top w:w="0" w:type="dxa"/>
          <w:left w:w="0" w:type="dxa"/>
          <w:bottom w:w="0" w:type="dxa"/>
          <w:right w:w="0" w:type="dxa"/>
        </w:tblCellMar>
      </w:tblPr>
      <w:tblGrid>
        <w:gridCol w:w="746"/>
        <w:gridCol w:w="9459"/>
      </w:tblGrid>
      <w:tr>
        <w:trPr/>
        <w:tc>
          <w:tcPr>
            <w:tcW w:w="74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21</w:t>
            </w:r>
          </w:p>
        </w:tc>
        <w:tc>
          <w:tcPr>
            <w:tcW w:w="945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List of Subsidiaries (filed herewith).</w:t>
            </w:r>
          </w:p>
        </w:tc>
      </w:tr>
    </w:tbl>
    <w:p>
      <w:pPr>
        <w:pStyle w:val="TextBody"/>
        <w:spacing w:before="0" w:after="0"/>
        <w:ind w:left="0" w:right="0" w:hanging="0"/>
        <w:rPr/>
      </w:pPr>
      <w:r>
        <w:rPr/>
      </w:r>
    </w:p>
    <w:p>
      <w:pPr>
        <w:pStyle w:val="Normal"/>
        <w:spacing w:before="0" w:after="0"/>
        <w:rPr>
          <w:sz w:val="4"/>
          <w:szCs w:val="4"/>
        </w:rPr>
      </w:pPr>
      <w:r>
        <w:rPr>
          <w:sz w:val="4"/>
          <w:szCs w:val="4"/>
        </w:rPr>
      </w:r>
      <w:bookmarkStart w:id="3996" w:name="hangingindent91"/>
      <w:bookmarkStart w:id="3997" w:name="hangingindent91"/>
      <w:bookmarkEnd w:id="3997"/>
    </w:p>
    <w:tbl>
      <w:tblPr>
        <w:tblW w:w="5000" w:type="pct"/>
        <w:jc w:val="center"/>
        <w:tblInd w:w="0" w:type="dxa"/>
        <w:tblCellMar>
          <w:top w:w="0" w:type="dxa"/>
          <w:left w:w="0" w:type="dxa"/>
          <w:bottom w:w="0" w:type="dxa"/>
          <w:right w:w="0" w:type="dxa"/>
        </w:tblCellMar>
      </w:tblPr>
      <w:tblGrid>
        <w:gridCol w:w="602"/>
        <w:gridCol w:w="9603"/>
      </w:tblGrid>
      <w:tr>
        <w:trPr/>
        <w:tc>
          <w:tcPr>
            <w:tcW w:w="6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23.1</w:t>
            </w:r>
          </w:p>
        </w:tc>
        <w:tc>
          <w:tcPr>
            <w:tcW w:w="960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Consent of Independent Auditors, Deloitte &amp; Touche LLP (filed herewith).</w:t>
            </w:r>
          </w:p>
        </w:tc>
      </w:tr>
    </w:tbl>
    <w:p>
      <w:pPr>
        <w:pStyle w:val="TextBody"/>
        <w:spacing w:before="0" w:after="0"/>
        <w:ind w:left="0" w:right="0" w:hanging="0"/>
        <w:rPr/>
      </w:pPr>
      <w:r>
        <w:rPr/>
      </w:r>
    </w:p>
    <w:p>
      <w:pPr>
        <w:pStyle w:val="Normal"/>
        <w:spacing w:before="0" w:after="0"/>
        <w:rPr>
          <w:sz w:val="4"/>
          <w:szCs w:val="4"/>
        </w:rPr>
      </w:pPr>
      <w:r>
        <w:rPr>
          <w:sz w:val="4"/>
          <w:szCs w:val="4"/>
        </w:rPr>
      </w:r>
      <w:bookmarkStart w:id="3998" w:name="hangingindent92"/>
      <w:bookmarkStart w:id="3999" w:name="hangingindent92"/>
      <w:bookmarkEnd w:id="3999"/>
    </w:p>
    <w:tbl>
      <w:tblPr>
        <w:tblW w:w="5000" w:type="pct"/>
        <w:jc w:val="center"/>
        <w:tblInd w:w="0" w:type="dxa"/>
        <w:tblCellMar>
          <w:top w:w="0" w:type="dxa"/>
          <w:left w:w="0" w:type="dxa"/>
          <w:bottom w:w="0" w:type="dxa"/>
          <w:right w:w="0" w:type="dxa"/>
        </w:tblCellMar>
      </w:tblPr>
      <w:tblGrid>
        <w:gridCol w:w="564"/>
        <w:gridCol w:w="9641"/>
      </w:tblGrid>
      <w:tr>
        <w:trPr/>
        <w:tc>
          <w:tcPr>
            <w:tcW w:w="5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23.2</w:t>
            </w:r>
          </w:p>
        </w:tc>
        <w:tc>
          <w:tcPr>
            <w:tcW w:w="964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Consent of Independent Auditors, Pricewaterhousecoopers LLP (filed herewith).</w:t>
            </w:r>
          </w:p>
        </w:tc>
      </w:tr>
    </w:tbl>
    <w:p>
      <w:pPr>
        <w:pStyle w:val="TextBody"/>
        <w:spacing w:before="0" w:after="0"/>
        <w:ind w:left="0" w:right="0" w:hanging="0"/>
        <w:rPr/>
      </w:pPr>
      <w:r>
        <w:rPr/>
      </w:r>
    </w:p>
    <w:p>
      <w:pPr>
        <w:pStyle w:val="Normal"/>
        <w:spacing w:before="0" w:after="0"/>
        <w:rPr>
          <w:sz w:val="4"/>
          <w:szCs w:val="4"/>
        </w:rPr>
      </w:pPr>
      <w:r>
        <w:rPr>
          <w:sz w:val="4"/>
          <w:szCs w:val="4"/>
        </w:rPr>
      </w:r>
      <w:bookmarkStart w:id="4000" w:name="hangingindent93"/>
      <w:bookmarkStart w:id="4001" w:name="hangingindent93"/>
      <w:bookmarkEnd w:id="4001"/>
    </w:p>
    <w:tbl>
      <w:tblPr>
        <w:tblW w:w="5000" w:type="pct"/>
        <w:jc w:val="center"/>
        <w:tblInd w:w="0" w:type="dxa"/>
        <w:tblCellMar>
          <w:top w:w="0" w:type="dxa"/>
          <w:left w:w="0" w:type="dxa"/>
          <w:bottom w:w="0" w:type="dxa"/>
          <w:right w:w="0" w:type="dxa"/>
        </w:tblCellMar>
      </w:tblPr>
      <w:tblGrid>
        <w:gridCol w:w="661"/>
        <w:gridCol w:w="9544"/>
      </w:tblGrid>
      <w:tr>
        <w:trPr/>
        <w:tc>
          <w:tcPr>
            <w:tcW w:w="66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23.3</w:t>
            </w:r>
          </w:p>
        </w:tc>
        <w:tc>
          <w:tcPr>
            <w:tcW w:w="95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Consent of Independent Auditors, KPMG Australia (filed herewith).</w:t>
            </w:r>
          </w:p>
        </w:tc>
      </w:tr>
    </w:tbl>
    <w:p>
      <w:pPr>
        <w:pStyle w:val="TextBody"/>
        <w:spacing w:before="0" w:after="0"/>
        <w:ind w:left="0" w:right="0" w:hanging="0"/>
        <w:rPr/>
      </w:pPr>
      <w:r>
        <w:rPr/>
      </w:r>
    </w:p>
    <w:p>
      <w:pPr>
        <w:pStyle w:val="Normal"/>
        <w:spacing w:before="0" w:after="0"/>
        <w:rPr>
          <w:sz w:val="4"/>
          <w:szCs w:val="4"/>
        </w:rPr>
      </w:pPr>
      <w:r>
        <w:rPr>
          <w:sz w:val="4"/>
          <w:szCs w:val="4"/>
        </w:rPr>
      </w:r>
      <w:bookmarkStart w:id="4002" w:name="hangingindent94"/>
      <w:bookmarkStart w:id="4003" w:name="hangingindent94"/>
      <w:bookmarkEnd w:id="4003"/>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31.1</w:t>
            </w:r>
          </w:p>
        </w:tc>
        <w:tc>
          <w:tcPr>
            <w:tcW w:w="982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Certification of Principal Executive Officer dated March 12, 2010 pursuant to Section 302 of the Sarbanes-Oxley Act of 2002 (filed herewith).</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04" w:name="PGBRK150"/>
      <w:bookmarkStart w:id="4005" w:name="PGBRK150"/>
      <w:bookmarkEnd w:id="40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06" w:name="FTR150"/>
      <w:bookmarkStart w:id="4007" w:name="FTR150"/>
      <w:bookmarkEnd w:id="40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08" w:name="GLFTR150"/>
      <w:bookmarkEnd w:id="40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009" w:name="PN150"/>
      <w:bookmarkEnd w:id="4009"/>
      <w:r>
        <w:rPr>
          <w:rFonts w:eastAsia="Times New Roman" w:cs="Times New Roman" w:ascii="Times New Roman" w:hAnsi="Times New Roman"/>
          <w:sz w:val="20"/>
          <w:szCs w:val="20"/>
        </w:rPr>
        <w:t>-150-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010" w:name="HDR150"/>
      <w:bookmarkStart w:id="4011" w:name="HDR150"/>
      <w:bookmarkEnd w:id="40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012" w:name="GLHDR150"/>
        <w:bookmarkEnd w:id="401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Normal"/>
        <w:spacing w:before="0" w:after="0"/>
        <w:rPr>
          <w:sz w:val="4"/>
          <w:szCs w:val="4"/>
        </w:rPr>
      </w:pPr>
      <w:r>
        <w:rPr>
          <w:sz w:val="4"/>
          <w:szCs w:val="4"/>
        </w:rPr>
      </w:r>
      <w:bookmarkStart w:id="4013" w:name="list250"/>
      <w:bookmarkStart w:id="4014" w:name="list250"/>
      <w:bookmarkEnd w:id="4014"/>
    </w:p>
    <w:tbl>
      <w:tblPr>
        <w:tblW w:w="5000" w:type="pct"/>
        <w:jc w:val="left"/>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31.2  </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Financial Officer dated March 12, 2010 pursuant to Section 302 of the Sarbanes-Oxley Act of 2002 (filed herewith).</w:t>
            </w:r>
          </w:p>
        </w:tc>
      </w:tr>
    </w:tbl>
    <w:p>
      <w:pPr>
        <w:pStyle w:val="TextBody"/>
        <w:spacing w:before="0" w:after="0"/>
        <w:ind w:left="0" w:right="0" w:hanging="0"/>
        <w:rPr/>
      </w:pPr>
      <w:r>
        <w:rPr/>
      </w:r>
    </w:p>
    <w:p>
      <w:pPr>
        <w:pStyle w:val="Normal"/>
        <w:spacing w:before="0" w:after="0"/>
        <w:rPr>
          <w:sz w:val="4"/>
          <w:szCs w:val="4"/>
        </w:rPr>
      </w:pPr>
      <w:r>
        <w:rPr>
          <w:sz w:val="4"/>
          <w:szCs w:val="4"/>
        </w:rPr>
      </w:r>
      <w:bookmarkStart w:id="4015" w:name="hangingindent95"/>
      <w:bookmarkStart w:id="4016" w:name="hangingindent95"/>
      <w:bookmarkEnd w:id="4016"/>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32.1</w:t>
            </w:r>
          </w:p>
        </w:tc>
        <w:tc>
          <w:tcPr>
            <w:tcW w:w="982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Certification of Principal Executive Officer dated March 12, 2010 pursuant to 18 U.S.C. Section 1350, as adopted pursuant to Section 906 of the Sarbanes-Oxley Act of 2002 (filed herewith).</w:t>
            </w:r>
          </w:p>
        </w:tc>
      </w:tr>
    </w:tbl>
    <w:p>
      <w:pPr>
        <w:pStyle w:val="TextBody"/>
        <w:spacing w:before="0" w:after="0"/>
        <w:ind w:left="0" w:right="0" w:hanging="0"/>
        <w:rPr/>
      </w:pPr>
      <w:r>
        <w:rPr/>
      </w:r>
    </w:p>
    <w:p>
      <w:pPr>
        <w:pStyle w:val="Normal"/>
        <w:spacing w:before="0" w:after="0"/>
        <w:rPr>
          <w:sz w:val="4"/>
          <w:szCs w:val="4"/>
        </w:rPr>
      </w:pPr>
      <w:r>
        <w:rPr>
          <w:sz w:val="4"/>
          <w:szCs w:val="4"/>
        </w:rPr>
      </w:r>
      <w:bookmarkStart w:id="4017" w:name="hangingindent96"/>
      <w:bookmarkStart w:id="4018" w:name="hangingindent96"/>
      <w:bookmarkEnd w:id="4018"/>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32.2</w:t>
            </w:r>
          </w:p>
        </w:tc>
        <w:tc>
          <w:tcPr>
            <w:tcW w:w="982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Certification of Principal Financial Officer dated March 12, 2010 pursuant to 18 U.S.C. Section 1350, as adopted pursuant to Section 906 of the Sarbanes-Oxley Act of 2002 (filed herewith).</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*These exhibits constitute the executive compensation plans and arrangements of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19" w:name="PGBRK151"/>
      <w:bookmarkStart w:id="4020" w:name="PGBRK151"/>
      <w:bookmarkEnd w:id="40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21" w:name="FTR151"/>
      <w:bookmarkStart w:id="4022" w:name="FTR151"/>
      <w:bookmarkEnd w:id="40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23" w:name="GLFTR151"/>
      <w:bookmarkEnd w:id="40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024" w:name="PN151"/>
      <w:bookmarkEnd w:id="4024"/>
      <w:r>
        <w:rPr>
          <w:rFonts w:eastAsia="Times New Roman" w:cs="Times New Roman" w:ascii="Times New Roman" w:hAnsi="Times New Roman"/>
          <w:sz w:val="20"/>
          <w:szCs w:val="20"/>
        </w:rPr>
        <w:t>-151-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025" w:name="HDR151"/>
      <w:bookmarkStart w:id="4026" w:name="HDR151"/>
      <w:bookmarkEnd w:id="40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027" w:name="GLHDR151"/>
        <w:bookmarkEnd w:id="402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center"/>
        <w:rPr>
          <w:rFonts w:ascii="Times New Roman" w:hAnsi="Times New Roman"/>
          <w:b/>
          <w:sz w:val="20"/>
          <w:u w:val="single"/>
        </w:rPr>
      </w:pPr>
      <w:bookmarkStart w:id="4028" w:name="signatures"/>
      <w:bookmarkEnd w:id="4028"/>
      <w:r>
        <w:rPr>
          <w:rFonts w:ascii="Times New Roman" w:hAnsi="Times New Roman"/>
          <w:b/>
          <w:sz w:val="20"/>
          <w:u w:val="single"/>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READING INTERNATIONAL,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(Registrant)</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233"/>
        <w:gridCol w:w="654"/>
        <w:gridCol w:w="4318"/>
      </w:tblGrid>
      <w:tr>
        <w:trPr/>
        <w:tc>
          <w:tcPr>
            <w:tcW w:w="52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March 12, 2010</w:t>
            </w:r>
          </w:p>
        </w:tc>
        <w:tc>
          <w:tcPr>
            <w:tcW w:w="6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318"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r>
      <w:tr>
        <w:trPr/>
        <w:tc>
          <w:tcPr>
            <w:tcW w:w="5233" w:type="dxa"/>
            <w:tcBorders/>
            <w:shd w:fill="auto" w:val="clear"/>
          </w:tcPr>
          <w:p>
            <w:pPr>
              <w:pStyle w:val="TableContents"/>
              <w:spacing w:before="0" w:after="283"/>
              <w:rPr/>
            </w:pPr>
            <w:r>
              <w:rPr/>
              <w:t xml:space="preserve">  </w:t>
            </w:r>
          </w:p>
        </w:tc>
        <w:tc>
          <w:tcPr>
            <w:tcW w:w="654" w:type="dxa"/>
            <w:tcBorders/>
            <w:shd w:fill="auto" w:val="clear"/>
          </w:tcPr>
          <w:p>
            <w:pPr>
              <w:pStyle w:val="TableContents"/>
              <w:spacing w:before="0" w:after="283"/>
              <w:rPr/>
            </w:pPr>
            <w:r>
              <w:rPr/>
              <w:t xml:space="preserve">  </w:t>
            </w:r>
          </w:p>
        </w:tc>
        <w:tc>
          <w:tcPr>
            <w:tcW w:w="431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r>
      <w:tr>
        <w:trPr/>
        <w:tc>
          <w:tcPr>
            <w:tcW w:w="5233" w:type="dxa"/>
            <w:tcBorders/>
            <w:shd w:fill="auto" w:val="clear"/>
          </w:tcPr>
          <w:p>
            <w:pPr>
              <w:pStyle w:val="TableContents"/>
              <w:spacing w:before="0" w:after="283"/>
              <w:rPr/>
            </w:pPr>
            <w:r>
              <w:rPr/>
              <w:t xml:space="preserve">  </w:t>
            </w:r>
          </w:p>
        </w:tc>
        <w:tc>
          <w:tcPr>
            <w:tcW w:w="654" w:type="dxa"/>
            <w:tcBorders/>
            <w:shd w:fill="auto" w:val="clear"/>
          </w:tcPr>
          <w:p>
            <w:pPr>
              <w:pStyle w:val="TableContents"/>
              <w:spacing w:before="0" w:after="283"/>
              <w:rPr/>
            </w:pPr>
            <w:r>
              <w:rPr/>
              <w:t xml:space="preserve">  </w:t>
            </w:r>
          </w:p>
        </w:tc>
        <w:tc>
          <w:tcPr>
            <w:tcW w:w="4318" w:type="dxa"/>
            <w:tcBorders/>
            <w:shd w:fill="auto"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Chief Financial Officer and Treasurer</w:t>
            </w:r>
          </w:p>
        </w:tc>
      </w:tr>
      <w:tr>
        <w:trPr/>
        <w:tc>
          <w:tcPr>
            <w:tcW w:w="5233" w:type="dxa"/>
            <w:tcBorders/>
            <w:shd w:fill="auto" w:val="clear"/>
          </w:tcPr>
          <w:p>
            <w:pPr>
              <w:pStyle w:val="TableContents"/>
              <w:spacing w:before="0" w:after="283"/>
              <w:rPr/>
            </w:pPr>
            <w:r>
              <w:rPr/>
              <w:t xml:space="preserve">  </w:t>
            </w:r>
          </w:p>
        </w:tc>
        <w:tc>
          <w:tcPr>
            <w:tcW w:w="654" w:type="dxa"/>
            <w:tcBorders/>
            <w:shd w:fill="auto" w:val="clear"/>
          </w:tcPr>
          <w:p>
            <w:pPr>
              <w:pStyle w:val="TableContents"/>
              <w:spacing w:before="0" w:after="283"/>
              <w:rPr/>
            </w:pPr>
            <w:r>
              <w:rPr/>
              <w:t xml:space="preserve">  </w:t>
            </w:r>
          </w:p>
        </w:tc>
        <w:tc>
          <w:tcPr>
            <w:tcW w:w="4318" w:type="dxa"/>
            <w:tcBorders/>
            <w:shd w:fill="auto"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(Principal Financial and Accounting Officer)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Pursuant to the requirements of the Securities and Exchange Act of 1934, this report has been signed below by the following persons on behalf of Registrant and in the capacities and on the dates indicated.</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583"/>
        <w:gridCol w:w="5813"/>
        <w:gridCol w:w="1809"/>
      </w:tblGrid>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Signature</w:t>
            </w:r>
          </w:p>
        </w:tc>
        <w:tc>
          <w:tcPr>
            <w:tcW w:w="581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Title(s)</w:t>
            </w:r>
          </w:p>
        </w:tc>
        <w:tc>
          <w:tcPr>
            <w:tcW w:w="180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James J. Cotter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 and Director and Chief Executive Officer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12, 2010</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12, 2010</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Eric Barr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12, 2010</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Eric Barr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James J. Cotter, Jr.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12, 2010</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Jr.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Margaret Cotter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12, 2010</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Margaret Cotter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William D. Gould</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12, 2010</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William D. Gould</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Edward L. Kane</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12, 2010</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Edward L Kane</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Gerard P. Laheney</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12, 2010</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Gerard P. Laheney</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Alfred Villaseñor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12, 2010</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Alfred Villaseñor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29" w:name="PGBRK152"/>
      <w:bookmarkStart w:id="4030" w:name="PGBRK152"/>
      <w:bookmarkEnd w:id="40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31" w:name="FTR152"/>
      <w:bookmarkStart w:id="4032" w:name="FTR152"/>
      <w:bookmarkEnd w:id="40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33" w:name="GLFTR152"/>
      <w:bookmarkEnd w:id="40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034" w:name="PN152"/>
      <w:bookmarkEnd w:id="4034"/>
      <w:r>
        <w:rPr>
          <w:rFonts w:eastAsia="Times New Roman" w:cs="Times New Roman" w:ascii="Times New Roman" w:hAnsi="Times New Roman"/>
          <w:sz w:val="20"/>
          <w:szCs w:val="20"/>
        </w:rPr>
        <w:t>-152-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035" w:name="HDR152"/>
      <w:bookmarkStart w:id="4036" w:name="HDR152"/>
      <w:bookmarkEnd w:id="40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37" w:name="GLHDR152"/>
      <w:bookmarkEnd w:id="40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eastAsia="Times New Roman" w:cs="Times New Roman"/>
          <w:b/>
          <w:sz w:val="20"/>
          <w:szCs w:val="20"/>
        </w:rPr>
      </w:pPr>
      <w:bookmarkStart w:id="4038" w:name="exhibit18.htm"/>
      <w:bookmarkStart w:id="4039" w:name="ksexhibit18"/>
      <w:bookmarkEnd w:id="4038"/>
      <w:bookmarkEnd w:id="4039"/>
      <w:r>
        <w:rPr>
          <w:rFonts w:eastAsia="Times New Roman" w:cs="Times New Roman" w:ascii="Times New Roman" w:hAnsi="Times New Roman"/>
          <w:b/>
          <w:sz w:val="20"/>
          <w:szCs w:val="20"/>
        </w:rPr>
        <w:t>EXHIBIT 18</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March 12,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Reading International, Inc.</w:t>
      </w:r>
    </w:p>
    <w:p>
      <w:pPr>
        <w:pStyle w:val="TextBody"/>
        <w:spacing w:before="0" w:after="0"/>
        <w:ind w:left="0" w:right="0" w:hanging="0"/>
        <w:jc w:val="left"/>
        <w:rPr>
          <w:rFonts w:ascii="Times New Roman" w:hAnsi="Times New Roman"/>
          <w:sz w:val="20"/>
        </w:rPr>
      </w:pPr>
      <w:r>
        <w:rPr>
          <w:rFonts w:ascii="Times New Roman" w:hAnsi="Times New Roman"/>
          <w:sz w:val="20"/>
        </w:rPr>
        <w:t>500 Citadel Drive, Suite 300</w:t>
      </w:r>
    </w:p>
    <w:p>
      <w:pPr>
        <w:pStyle w:val="TextBody"/>
        <w:spacing w:before="0" w:after="0"/>
        <w:ind w:left="0" w:right="0" w:hanging="0"/>
        <w:jc w:val="left"/>
        <w:rPr>
          <w:rFonts w:ascii="Times New Roman" w:hAnsi="Times New Roman"/>
          <w:sz w:val="20"/>
        </w:rPr>
      </w:pPr>
      <w:r>
        <w:rPr>
          <w:rFonts w:ascii="Times New Roman" w:hAnsi="Times New Roman"/>
          <w:sz w:val="20"/>
        </w:rPr>
        <w:t>Commerce, CA  90040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Dear Sirs/Madams: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consolidated financial statements of Reading International, Inc. and subsidiaries (the “Company”) as of December 31, 2009 and 2008 and for each of the three years in the period ended December 31, 2009, included in your Annual Report on Form 10-K to the Securities and Exchange Commission and have issued our report thereon dated March 12, 2010, which expresses an unqualified opinion.  Note 10 to such consolidated financial statements contains a description of your change in the date of your annual goodwill impairment test for one reporting unit during the year ended December 31, 2009.  In our judgment, such change is to an alternative accounting principle that is preferable under the circumstances.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Yours truly,</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DELOITTE &amp; TOUCHE LLP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ind w:left="0" w:right="0" w:hanging="0"/>
        <w:jc w:val="left"/>
        <w:rPr>
          <w:rFonts w:ascii="Times New Roman" w:hAnsi="Times New Roman"/>
          <w:sz w:val="20"/>
        </w:rPr>
      </w:pPr>
      <w:r>
        <w:rPr>
          <w:rFonts w:ascii="Times New Roman" w:hAnsi="Times New Roman"/>
          <w:sz w:val="20"/>
        </w:rPr>
        <w:t>March 12, 2010</w:t>
      </w:r>
      <w:r>
        <w:br w:type="page"/>
      </w:r>
    </w:p>
    <w:p>
      <w:pPr>
        <w:pStyle w:val="TextBody"/>
        <w:spacing w:before="0" w:after="0"/>
        <w:ind w:left="0" w:right="0" w:hanging="0"/>
        <w:jc w:val="right"/>
        <w:rPr>
          <w:rFonts w:ascii="Times New Roman" w:hAnsi="Times New Roman"/>
          <w:sz w:val="20"/>
        </w:rPr>
      </w:pPr>
      <w:bookmarkStart w:id="4040" w:name="exhibit21.htm"/>
      <w:bookmarkStart w:id="4041" w:name="ksexhibit21"/>
      <w:bookmarkEnd w:id="4040"/>
      <w:bookmarkEnd w:id="4041"/>
      <w:r>
        <w:rPr>
          <w:rFonts w:ascii="Times New Roman" w:hAnsi="Times New Roman"/>
          <w:sz w:val="20"/>
        </w:rPr>
        <w:t>EXHIBIT 21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READING INTERNATIONAL, INC. – LIST OF SUBSIDIARIES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179"/>
        <w:gridCol w:w="4026"/>
      </w:tblGrid>
      <w:tr>
        <w:trPr/>
        <w:tc>
          <w:tcPr>
            <w:tcW w:w="6179"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Subsidiary</w:t>
            </w:r>
          </w:p>
        </w:tc>
        <w:tc>
          <w:tcPr>
            <w:tcW w:w="4026"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Jurisdiction of Incorporation</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AHGP, Inc.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AHLP, Inc.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Angelika Film Center Mosaic,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Angelika Film Centers (Dallas), Inc.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Texas</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Angelika Film Centers (Plano) LP</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Angelika Film Centers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 Country Cinemas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South Wales,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Australian Equipment Supply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Bayou Cinemas LP</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Bogart Holdings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Burwood Developments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Carmel Theatres,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Citadel 57th Street,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Citadel Agriculture, Inc.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California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Citadel Cinemas, Inc.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Citadel Realty, Inc.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City Cinemas,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Amusement Holdings, Inc.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Entertainment, Inc.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Copenhagen Courtenay Central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Courtenay Car Park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Craig Corporation</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Darnelle Enterprises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Dimension Specialty, Inc.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Epping Cinemas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Gaslamp Theatres,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Hope Street Hospitality,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Hotel Newmarket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Landplan Property Partners Lake Taupo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Landplan Property Partners Manukau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Landplan Property Partners New Zealand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Landplan Property Partners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Landplan Property Partners Taupo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Liberty Live,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Liberty Theaters,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Liberty Theatricals,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Minetta Live,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Movieland Cinemas (NZ)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Newmarket Properties No. 2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Newmarket Properties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Orpheum Live,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Queenstown Land Holdings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Arthouse Distribution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Arthouse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Auburn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Australia Leasing (E&amp;R)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Belmont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Bundaberg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Capital Corporation</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Center Development Corporation</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Charlestown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Courtenay Central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Management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NJ, Inc.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of Puerto Rico, Inc.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Puerto Rico</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South Wales,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Puerto Rico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USA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Colac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Company</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Consolidated Holdings, Inc.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Courtenay Central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Dandenong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Elizabeth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Entertainment Australia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South Wales,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Exhibition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Holdings, Inc.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International Cinemas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International Services Company</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California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Licenses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Maitland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Malulani,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Melton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Moonee Ponds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New Zealand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Pacific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Properties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Property Holdings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Property Partners No. 1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Queenstown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Real Estate Company</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Rouse Hill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Royal George,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Sunbury Pty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Theaters, Inc.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Wellington Properties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Rhodes Peninsula Cinema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Rialto Brands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Rialto Cinemas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Rialto Distribution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Rialto Entertainment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Ronwood Investments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Rydal Equipment Co.</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Sails Apartments Management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Sutton Hill Properties,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Tobrooke Holdings Ltd</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Trans-Pacific Finance Fund I, LLC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Trenton-Princeton Traction Company</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Jersey</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Twin Cities Cinemas, Inc.</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 Development, LLC</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 International Property Finance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Washington and Franklin Railway Company</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Westlakes Cinema Pty Ltd</w:t>
            </w:r>
          </w:p>
        </w:tc>
        <w:tc>
          <w:tcPr>
            <w:tcW w:w="402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Victoria, Australia</w:t>
            </w:r>
          </w:p>
        </w:tc>
      </w:tr>
      <w:tr>
        <w:trPr/>
        <w:tc>
          <w:tcPr>
            <w:tcW w:w="6179"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The Wilmington and Northern Railroad Company</w:t>
            </w:r>
          </w:p>
        </w:tc>
        <w:tc>
          <w:tcPr>
            <w:tcW w:w="402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bl>
    <w:p>
      <w:pPr>
        <w:pStyle w:val="TextBody"/>
        <w:spacing w:before="0" w:after="0"/>
        <w:ind w:left="0" w:right="0" w:hanging="0"/>
        <w:jc w:val="right"/>
        <w:rPr>
          <w:rFonts w:ascii="Times New Roman" w:hAnsi="Times New Roman"/>
          <w:sz w:val="20"/>
        </w:rPr>
      </w:pPr>
      <w:r>
        <w:br w:type="page"/>
      </w:r>
      <w:bookmarkStart w:id="4042" w:name="exhibit23_1.htm"/>
      <w:bookmarkStart w:id="4043" w:name="ksexhibit23_1"/>
      <w:bookmarkEnd w:id="4042"/>
      <w:bookmarkEnd w:id="4043"/>
      <w:r>
        <w:rPr>
          <w:rFonts w:ascii="Times New Roman" w:hAnsi="Times New Roman"/>
          <w:sz w:val="20"/>
        </w:rPr>
        <w:t>EXHIBIT 23.1</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CONSENT OF INDEPENDENT REGISTERED PUBLIC ACCOUNTING FIRM</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consent to the incorporation by reference in Registration Statement No. 333-36277 on Form S-8 and in Registration Statement No. 333-162581 on Form S-3 of our reports dated March 12, 2010, relating to the financial statements and financial statement schedule of Reading International, Inc. and subsidiaries (the “Company”), and the effectiveness of the Company's internal control over financial reporting (which report expresses an adverse opinion on the effectiveness of the Company’s internal control over financial reporting because of a material weakness), appearing in this Annual Report on Form 10-K of Reading International, Inc. and subsidiaries for the year ended December 31, 2009.</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DELOITTE &amp; TOUCHE LLP</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before="0" w:after="0"/>
        <w:ind w:left="0" w:right="0" w:hanging="0"/>
        <w:jc w:val="left"/>
        <w:rPr>
          <w:rFonts w:ascii="Times New Roman" w:hAnsi="Times New Roman"/>
          <w:sz w:val="20"/>
        </w:rPr>
      </w:pPr>
      <w:r>
        <w:rPr>
          <w:rFonts w:ascii="Times New Roman" w:hAnsi="Times New Roman"/>
          <w:sz w:val="20"/>
        </w:rPr>
        <w:t>March 12, 2010</w:t>
      </w:r>
    </w:p>
    <w:p>
      <w:pPr>
        <w:pStyle w:val="TextBody"/>
        <w:spacing w:before="0" w:after="0"/>
        <w:ind w:left="0" w:right="0" w:hanging="0"/>
        <w:rPr/>
      </w:pPr>
      <w:r>
        <w:rPr/>
      </w:r>
    </w:p>
    <w:p>
      <w:pPr>
        <w:pStyle w:val="TextBody"/>
        <w:ind w:left="0" w:right="0" w:hanging="0"/>
        <w:jc w:val="both"/>
        <w:rPr/>
      </w:pPr>
      <w:r>
        <w:rPr/>
        <w:t> </w:t>
      </w:r>
      <w:r>
        <w:br w:type="page"/>
      </w:r>
    </w:p>
    <w:p>
      <w:pPr>
        <w:pStyle w:val="TextBody"/>
        <w:spacing w:before="0" w:after="0"/>
        <w:ind w:left="0" w:right="0" w:hanging="0"/>
        <w:jc w:val="right"/>
        <w:rPr>
          <w:rFonts w:ascii="Times New Roman" w:hAnsi="Times New Roman"/>
          <w:sz w:val="20"/>
        </w:rPr>
      </w:pPr>
      <w:bookmarkStart w:id="4044" w:name="exhibit23_2.htm"/>
      <w:bookmarkStart w:id="4045" w:name="ksexhibit23_2"/>
      <w:bookmarkEnd w:id="4044"/>
      <w:bookmarkEnd w:id="4045"/>
      <w:r>
        <w:rPr>
          <w:rFonts w:ascii="Times New Roman" w:hAnsi="Times New Roman"/>
          <w:sz w:val="20"/>
        </w:rPr>
        <w:t>EXHIBIT 23.2</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CONSENT OF INDEPENDENT ACCOUNTANTS</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hereby consent to the incorporation by reference in the Registration Statement on Form S-8 (No. 333-36277) and Form S-3 (no. 333-162581) of Reading International, Inc. of our report dated February 11, 2008 relating to the financial statements of 205-209 East 57th Street Associates, LLC, which appears in this Form 10-K.</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PricewaterhouseCoopers LLP</w:t>
      </w:r>
    </w:p>
    <w:p>
      <w:pPr>
        <w:pStyle w:val="TextBody"/>
        <w:spacing w:before="0" w:after="0"/>
        <w:ind w:left="0" w:right="0" w:hanging="0"/>
        <w:jc w:val="left"/>
        <w:rPr>
          <w:rFonts w:ascii="Times New Roman" w:hAnsi="Times New Roman"/>
          <w:sz w:val="20"/>
        </w:rPr>
      </w:pPr>
      <w:r>
        <w:rPr>
          <w:rFonts w:ascii="Times New Roman" w:hAnsi="Times New Roman"/>
          <w:sz w:val="20"/>
        </w:rPr>
        <w:t>New York, New York</w:t>
      </w:r>
    </w:p>
    <w:p>
      <w:pPr>
        <w:pStyle w:val="TextBody"/>
        <w:ind w:left="0" w:right="0" w:hanging="0"/>
        <w:jc w:val="left"/>
        <w:rPr>
          <w:rFonts w:ascii="Times New Roman" w:hAnsi="Times New Roman"/>
          <w:sz w:val="20"/>
        </w:rPr>
      </w:pPr>
      <w:r>
        <w:rPr>
          <w:rFonts w:ascii="Times New Roman" w:hAnsi="Times New Roman"/>
          <w:sz w:val="20"/>
        </w:rPr>
        <w:t>March 10, 2010</w:t>
      </w:r>
      <w:r>
        <w:br w:type="page"/>
      </w:r>
    </w:p>
    <w:p>
      <w:pPr>
        <w:pStyle w:val="TextBody"/>
        <w:spacing w:before="0" w:after="0"/>
        <w:ind w:left="0" w:right="0" w:hanging="0"/>
        <w:jc w:val="right"/>
        <w:rPr>
          <w:rFonts w:ascii="Times New Roman" w:hAnsi="Times New Roman"/>
          <w:sz w:val="20"/>
        </w:rPr>
      </w:pPr>
      <w:bookmarkStart w:id="4046" w:name="exhibit23_3.htm"/>
      <w:bookmarkStart w:id="4047" w:name="ksexhibit23_3"/>
      <w:bookmarkEnd w:id="4046"/>
      <w:bookmarkEnd w:id="4047"/>
      <w:r>
        <w:rPr>
          <w:rFonts w:ascii="Times New Roman" w:hAnsi="Times New Roman"/>
          <w:sz w:val="20"/>
        </w:rPr>
        <w:t>EXHIBIT 23.3</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Consent of Independent Auditors</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Management Committee and Joint Venturers</w:t>
      </w:r>
    </w:p>
    <w:p>
      <w:pPr>
        <w:pStyle w:val="TextBody"/>
        <w:spacing w:before="0" w:after="0"/>
        <w:ind w:left="0" w:right="0" w:hanging="0"/>
        <w:jc w:val="left"/>
        <w:rPr>
          <w:rFonts w:ascii="Times New Roman" w:hAnsi="Times New Roman"/>
          <w:sz w:val="20"/>
        </w:rPr>
      </w:pPr>
      <w:r>
        <w:rPr>
          <w:rFonts w:ascii="Times New Roman" w:hAnsi="Times New Roman"/>
          <w:sz w:val="20"/>
        </w:rPr>
        <w:t>Mt. Gravatt Cinemas Joint Venture: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consent to the incorporation by reference in the registration statements No. 333-162581 on Form S-3 and No. 333-36277 on Form S-8 of Reading International, Inc., of our report dated March 13, 2008, with respect to the income statement, statement of changes in members' equity, and statement of cash flows of Mt. Gravatt Cinemas Joint Venture  for the year ended December 31, 2007, which report appears in the December 31, 2009, annual report on Form 10-K of Reading International, Inc.</w:t>
      </w:r>
    </w:p>
    <w:p>
      <w:pPr>
        <w:pStyle w:val="TextBody"/>
        <w:spacing w:before="0" w:after="0"/>
        <w:ind w:left="0" w:right="0" w:hanging="0"/>
        <w:jc w:val="left"/>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KPMG</w:t>
      </w:r>
    </w:p>
    <w:p>
      <w:pPr>
        <w:pStyle w:val="TextBody"/>
        <w:spacing w:before="0" w:after="0"/>
        <w:ind w:left="0" w:right="0" w:hanging="0"/>
        <w:jc w:val="left"/>
        <w:rPr>
          <w:rFonts w:ascii="Times New Roman" w:hAnsi="Times New Roman"/>
          <w:sz w:val="20"/>
        </w:rPr>
      </w:pPr>
      <w:r>
        <w:rPr>
          <w:rFonts w:ascii="Times New Roman" w:hAnsi="Times New Roman"/>
          <w:sz w:val="20"/>
        </w:rPr>
        <w:t>Sydney, Australia</w:t>
      </w:r>
    </w:p>
    <w:p>
      <w:pPr>
        <w:pStyle w:val="TextBody"/>
        <w:spacing w:before="0" w:after="0"/>
        <w:ind w:left="0" w:right="0" w:hanging="0"/>
        <w:jc w:val="left"/>
        <w:rPr/>
      </w:pPr>
      <w:r>
        <w:rPr/>
        <w:t> </w:t>
      </w:r>
    </w:p>
    <w:p>
      <w:pPr>
        <w:pStyle w:val="TextBody"/>
        <w:ind w:left="0" w:right="0" w:hanging="0"/>
        <w:jc w:val="left"/>
        <w:rPr>
          <w:rFonts w:ascii="Times New Roman" w:hAnsi="Times New Roman"/>
          <w:sz w:val="20"/>
        </w:rPr>
      </w:pPr>
      <w:r>
        <w:rPr>
          <w:rFonts w:ascii="Times New Roman" w:hAnsi="Times New Roman"/>
          <w:sz w:val="20"/>
        </w:rPr>
        <w:t>March 12, 2010</w:t>
      </w:r>
      <w:r>
        <w:br w:type="page"/>
      </w:r>
    </w:p>
    <w:p>
      <w:pPr>
        <w:pStyle w:val="TextBody"/>
        <w:spacing w:before="0" w:after="0"/>
        <w:ind w:left="0" w:right="0" w:hanging="0"/>
        <w:jc w:val="right"/>
        <w:rPr>
          <w:rFonts w:ascii="Times New Roman" w:hAnsi="Times New Roman"/>
          <w:b/>
          <w:sz w:val="20"/>
        </w:rPr>
      </w:pPr>
      <w:bookmarkStart w:id="4048" w:name="exhibit31_1.htm"/>
      <w:bookmarkStart w:id="4049" w:name="ksexhibit31_1"/>
      <w:bookmarkEnd w:id="4048"/>
      <w:bookmarkEnd w:id="4049"/>
      <w:r>
        <w:rPr>
          <w:rFonts w:ascii="Times New Roman" w:hAnsi="Times New Roman"/>
          <w:b/>
          <w:sz w:val="20"/>
        </w:rPr>
        <w:t>EXHIBIT 31.1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THE SARBANES-OXLEY ACT OF 2002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James J. Cotter,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50" w:name="list251"/>
      <w:bookmarkStart w:id="4051" w:name="list251"/>
      <w:bookmarkEnd w:id="4051"/>
    </w:p>
    <w:tbl>
      <w:tblPr>
        <w:tblW w:w="5000" w:type="pct"/>
        <w:jc w:val="left"/>
        <w:tblInd w:w="0" w:type="dxa"/>
        <w:tblCellMar>
          <w:top w:w="0" w:type="dxa"/>
          <w:left w:w="0" w:type="dxa"/>
          <w:bottom w:w="0" w:type="dxa"/>
          <w:right w:w="0" w:type="dxa"/>
        </w:tblCellMar>
      </w:tblPr>
      <w:tblGrid>
        <w:gridCol w:w="553"/>
        <w:gridCol w:w="9652"/>
      </w:tblGrid>
      <w:tr>
        <w:trPr/>
        <w:tc>
          <w:tcPr>
            <w:tcW w:w="5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6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Form 10-K of Reading International,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52" w:name="list252"/>
      <w:bookmarkStart w:id="4053" w:name="list252"/>
      <w:bookmarkEnd w:id="4053"/>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54" w:name="list253"/>
      <w:bookmarkStart w:id="4055" w:name="list253"/>
      <w:bookmarkEnd w:id="4055"/>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56" w:name="list254"/>
      <w:bookmarkStart w:id="4057" w:name="list254"/>
      <w:bookmarkEnd w:id="4057"/>
    </w:p>
    <w:tbl>
      <w:tblPr>
        <w:tblW w:w="5000" w:type="pct"/>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9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58" w:name="list255"/>
      <w:bookmarkStart w:id="4059" w:name="list255"/>
      <w:bookmarkEnd w:id="4059"/>
    </w:p>
    <w:tbl>
      <w:tblPr>
        <w:tblW w:w="5000" w:type="pct"/>
        <w:jc w:val="left"/>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60" w:name="list256"/>
      <w:bookmarkStart w:id="4061" w:name="list256"/>
      <w:bookmarkEnd w:id="4061"/>
    </w:p>
    <w:tbl>
      <w:tblPr>
        <w:tblW w:w="5000" w:type="pct"/>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62" w:name="list257"/>
      <w:bookmarkStart w:id="4063" w:name="list257"/>
      <w:bookmarkEnd w:id="4063"/>
    </w:p>
    <w:tbl>
      <w:tblPr>
        <w:tblW w:w="5000" w:type="pct"/>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64" w:name="list258"/>
      <w:bookmarkStart w:id="4065" w:name="list258"/>
      <w:bookmarkEnd w:id="4065"/>
    </w:p>
    <w:tbl>
      <w:tblPr>
        <w:tblW w:w="5000" w:type="pct"/>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66" w:name="list259"/>
      <w:bookmarkStart w:id="4067" w:name="list259"/>
      <w:bookmarkEnd w:id="4067"/>
    </w:p>
    <w:tbl>
      <w:tblPr>
        <w:tblW w:w="5000" w:type="pct"/>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99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68" w:name="list260"/>
      <w:bookmarkStart w:id="4069" w:name="list260"/>
      <w:bookmarkEnd w:id="4069"/>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70" w:name="list261"/>
      <w:bookmarkStart w:id="4071" w:name="list261"/>
      <w:bookmarkEnd w:id="4071"/>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/s/ James J. Cotter</w:t>
      </w:r>
      <w:r>
        <w:rPr>
          <w:rFonts w:ascii="Times New Roman" w:hAnsi="Times New Roman"/>
          <w:sz w:val="20"/>
        </w:rPr>
        <w:t>                                           </w:t>
      </w:r>
    </w:p>
    <w:p>
      <w:pPr>
        <w:pStyle w:val="TextBody"/>
        <w:spacing w:before="0" w:after="0"/>
        <w:ind w:left="0" w:right="0" w:hanging="0"/>
        <w:jc w:val="left"/>
        <w:rPr>
          <w:rFonts w:ascii="Times New Roman" w:hAnsi="Times New Roman"/>
          <w:sz w:val="20"/>
        </w:rPr>
      </w:pPr>
      <w:r>
        <w:rPr>
          <w:rFonts w:ascii="Times New Roman" w:hAnsi="Times New Roman"/>
          <w:sz w:val="20"/>
        </w:rPr>
        <w:t>James J. Cotter</w:t>
      </w:r>
    </w:p>
    <w:p>
      <w:pPr>
        <w:pStyle w:val="TextBody"/>
        <w:spacing w:before="0" w:after="0"/>
        <w:ind w:left="0" w:right="0" w:hanging="0"/>
        <w:jc w:val="left"/>
        <w:rPr>
          <w:rFonts w:ascii="Times New Roman" w:hAnsi="Times New Roman"/>
          <w:sz w:val="20"/>
        </w:rPr>
      </w:pPr>
      <w:r>
        <w:rPr>
          <w:rFonts w:ascii="Times New Roman" w:hAnsi="Times New Roman"/>
          <w:sz w:val="20"/>
        </w:rPr>
        <w:t>Chief Executive Officer</w:t>
      </w:r>
    </w:p>
    <w:p>
      <w:pPr>
        <w:pStyle w:val="TextBody"/>
        <w:ind w:left="0" w:right="0" w:hanging="0"/>
        <w:jc w:val="left"/>
        <w:rPr>
          <w:rFonts w:ascii="Times New Roman" w:hAnsi="Times New Roman"/>
          <w:sz w:val="20"/>
        </w:rPr>
      </w:pPr>
      <w:r>
        <w:rPr>
          <w:rFonts w:ascii="Times New Roman" w:hAnsi="Times New Roman"/>
          <w:sz w:val="20"/>
        </w:rPr>
        <w:t>March 12, 2010                                </w:t>
      </w:r>
      <w:r>
        <w:br w:type="page"/>
      </w:r>
    </w:p>
    <w:p>
      <w:pPr>
        <w:pStyle w:val="TextBody"/>
        <w:spacing w:before="0" w:after="0"/>
        <w:ind w:left="0" w:right="0" w:hanging="0"/>
        <w:jc w:val="right"/>
        <w:rPr>
          <w:rFonts w:ascii="Times New Roman" w:hAnsi="Times New Roman"/>
          <w:b/>
          <w:sz w:val="20"/>
        </w:rPr>
      </w:pPr>
      <w:bookmarkStart w:id="4072" w:name="exhibit31_2.htm"/>
      <w:bookmarkStart w:id="4073" w:name="ksexhibit31_2"/>
      <w:bookmarkEnd w:id="4072"/>
      <w:bookmarkEnd w:id="4073"/>
      <w:r>
        <w:rPr>
          <w:rFonts w:ascii="Times New Roman" w:hAnsi="Times New Roman"/>
          <w:b/>
          <w:sz w:val="20"/>
        </w:rPr>
        <w:t>EXHIBIT 31.2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THE SARBANES-OXLEY ACT OF 2002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Andrzej Matyczynski,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74" w:name="list262"/>
      <w:bookmarkStart w:id="4075" w:name="list262"/>
      <w:bookmarkEnd w:id="4075"/>
    </w:p>
    <w:tbl>
      <w:tblPr>
        <w:tblW w:w="5000" w:type="pct"/>
        <w:jc w:val="left"/>
        <w:tblInd w:w="0" w:type="dxa"/>
        <w:tblCellMar>
          <w:top w:w="0" w:type="dxa"/>
          <w:left w:w="0" w:type="dxa"/>
          <w:bottom w:w="0" w:type="dxa"/>
          <w:right w:w="0" w:type="dxa"/>
        </w:tblCellMar>
      </w:tblPr>
      <w:tblGrid>
        <w:gridCol w:w="553"/>
        <w:gridCol w:w="9652"/>
      </w:tblGrid>
      <w:tr>
        <w:trPr/>
        <w:tc>
          <w:tcPr>
            <w:tcW w:w="5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6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Form 10-K of Reading International,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76" w:name="list263"/>
      <w:bookmarkStart w:id="4077" w:name="list263"/>
      <w:bookmarkEnd w:id="4077"/>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78" w:name="list264"/>
      <w:bookmarkStart w:id="4079" w:name="list264"/>
      <w:bookmarkEnd w:id="4079"/>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80" w:name="list265"/>
      <w:bookmarkStart w:id="4081" w:name="list265"/>
      <w:bookmarkEnd w:id="4081"/>
    </w:p>
    <w:tbl>
      <w:tblPr>
        <w:tblW w:w="5000" w:type="pct"/>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9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82" w:name="list266"/>
      <w:bookmarkStart w:id="4083" w:name="list266"/>
      <w:bookmarkEnd w:id="4083"/>
    </w:p>
    <w:tbl>
      <w:tblPr>
        <w:tblW w:w="5000" w:type="pct"/>
        <w:jc w:val="left"/>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84" w:name="list267"/>
      <w:bookmarkStart w:id="4085" w:name="list267"/>
      <w:bookmarkEnd w:id="4085"/>
    </w:p>
    <w:tbl>
      <w:tblPr>
        <w:tblW w:w="5000" w:type="pct"/>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86" w:name="list268"/>
      <w:bookmarkStart w:id="4087" w:name="list268"/>
      <w:bookmarkEnd w:id="4087"/>
    </w:p>
    <w:tbl>
      <w:tblPr>
        <w:tblW w:w="5000" w:type="pct"/>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88" w:name="list269"/>
      <w:bookmarkStart w:id="4089" w:name="list269"/>
      <w:bookmarkEnd w:id="4089"/>
    </w:p>
    <w:tbl>
      <w:tblPr>
        <w:tblW w:w="5000" w:type="pct"/>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90" w:name="list270"/>
      <w:bookmarkStart w:id="4091" w:name="list270"/>
      <w:bookmarkEnd w:id="4091"/>
    </w:p>
    <w:tbl>
      <w:tblPr>
        <w:tblW w:w="5000" w:type="pct"/>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99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92" w:name="list271"/>
      <w:bookmarkStart w:id="4093" w:name="list271"/>
      <w:bookmarkEnd w:id="4093"/>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94" w:name="list272"/>
      <w:bookmarkStart w:id="4095" w:name="list272"/>
      <w:bookmarkEnd w:id="4095"/>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u w:val="single"/>
        </w:rPr>
        <w:t>/s/ Andrzej Matyczynski</w:t>
      </w:r>
      <w:r>
        <w:rPr>
          <w:rFonts w:ascii="Times New Roman" w:hAnsi="Times New Roman"/>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t>Andrzej Matyczynski</w:t>
      </w:r>
    </w:p>
    <w:p>
      <w:pPr>
        <w:pStyle w:val="TextBody"/>
        <w:spacing w:before="0" w:after="0"/>
        <w:ind w:left="0" w:right="0" w:hanging="0"/>
        <w:jc w:val="both"/>
        <w:rPr>
          <w:rFonts w:ascii="Times New Roman" w:hAnsi="Times New Roman"/>
          <w:sz w:val="20"/>
        </w:rPr>
      </w:pPr>
      <w:r>
        <w:rPr>
          <w:rFonts w:ascii="Times New Roman" w:hAnsi="Times New Roman"/>
          <w:sz w:val="20"/>
        </w:rPr>
        <w:t>Chief Financial Officer</w:t>
      </w:r>
    </w:p>
    <w:p>
      <w:pPr>
        <w:pStyle w:val="TextBody"/>
        <w:ind w:left="0" w:right="0" w:hanging="0"/>
        <w:jc w:val="left"/>
        <w:rPr>
          <w:rFonts w:ascii="Times New Roman" w:hAnsi="Times New Roman"/>
          <w:sz w:val="20"/>
        </w:rPr>
      </w:pPr>
      <w:r>
        <w:rPr>
          <w:rFonts w:ascii="Times New Roman" w:hAnsi="Times New Roman"/>
          <w:sz w:val="20"/>
        </w:rPr>
        <w:t>March 12, 2010</w:t>
      </w:r>
      <w:r>
        <w:br w:type="page"/>
      </w:r>
    </w:p>
    <w:p>
      <w:pPr>
        <w:pStyle w:val="TextBody"/>
        <w:spacing w:before="0" w:after="0"/>
        <w:ind w:left="0" w:right="0" w:hanging="0"/>
        <w:jc w:val="right"/>
        <w:rPr>
          <w:rFonts w:ascii="Times New Roman" w:hAnsi="Times New Roman"/>
          <w:b/>
          <w:sz w:val="20"/>
        </w:rPr>
      </w:pPr>
      <w:bookmarkStart w:id="4096" w:name="exhibit32_1.htm"/>
      <w:bookmarkStart w:id="4097" w:name="ksexhibit32_1"/>
      <w:bookmarkEnd w:id="4096"/>
      <w:bookmarkEnd w:id="4097"/>
      <w:r>
        <w:rPr>
          <w:rFonts w:ascii="Times New Roman" w:hAnsi="Times New Roman"/>
          <w:b/>
          <w:sz w:val="20"/>
        </w:rPr>
        <w:t>EXHIBIT 32.1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906 OF THE SARBANES-OXLEY ACT OF 2002</w:t>
      </w:r>
    </w:p>
    <w:p>
      <w:pPr>
        <w:pStyle w:val="TextBody"/>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connection with the accompanying Annual Report of Reading International, Inc. (the “Company”) on Form 10-K for the fiscal year ended December 31, 2009 (the “Report”), I, James J. Cotter, Chief Executive Officer of the Company, certify, pursuant to 18 U.S.C. §1350, as adopted pursuant to §906 of the Sarbanes-Oxley Act of 2002, that:</w:t>
      </w:r>
    </w:p>
    <w:p>
      <w:pPr>
        <w:pStyle w:val="TextBody"/>
        <w:spacing w:before="0" w:after="0"/>
        <w:ind w:left="0" w:right="0" w:hanging="0"/>
        <w:rPr/>
      </w:pPr>
      <w:r>
        <w:rPr/>
      </w:r>
    </w:p>
    <w:p>
      <w:pPr>
        <w:pStyle w:val="Normal"/>
        <w:spacing w:before="0" w:after="0"/>
        <w:rPr>
          <w:sz w:val="4"/>
          <w:szCs w:val="4"/>
        </w:rPr>
      </w:pPr>
      <w:r>
        <w:rPr>
          <w:sz w:val="4"/>
          <w:szCs w:val="4"/>
        </w:rPr>
      </w:r>
      <w:bookmarkStart w:id="4098" w:name="list273"/>
      <w:bookmarkStart w:id="4099" w:name="list273"/>
      <w:bookmarkEnd w:id="4099"/>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Report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100" w:name="list274"/>
      <w:bookmarkStart w:id="4101" w:name="list274"/>
      <w:bookmarkEnd w:id="4101"/>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/s/ James J. Cotter</w:t>
      </w:r>
      <w:r>
        <w:rPr>
          <w:rFonts w:ascii="Times New Roman" w:hAnsi="Times New Roman"/>
          <w:sz w:val="20"/>
        </w:rPr>
        <w:t>                                           </w:t>
      </w:r>
    </w:p>
    <w:p>
      <w:pPr>
        <w:pStyle w:val="TextBody"/>
        <w:spacing w:before="0" w:after="0"/>
        <w:ind w:left="0" w:right="0" w:hanging="0"/>
        <w:jc w:val="left"/>
        <w:rPr>
          <w:rFonts w:ascii="Times New Roman" w:hAnsi="Times New Roman"/>
          <w:sz w:val="20"/>
        </w:rPr>
      </w:pPr>
      <w:r>
        <w:rPr>
          <w:rFonts w:ascii="Times New Roman" w:hAnsi="Times New Roman"/>
          <w:sz w:val="20"/>
        </w:rPr>
        <w:t>James J. Cotter</w:t>
      </w:r>
    </w:p>
    <w:p>
      <w:pPr>
        <w:pStyle w:val="TextBody"/>
        <w:spacing w:before="0" w:after="0"/>
        <w:ind w:left="0" w:right="0" w:hanging="0"/>
        <w:jc w:val="left"/>
        <w:rPr>
          <w:rFonts w:ascii="Times New Roman" w:hAnsi="Times New Roman"/>
          <w:sz w:val="20"/>
        </w:rPr>
      </w:pPr>
      <w:r>
        <w:rPr>
          <w:rFonts w:ascii="Times New Roman" w:hAnsi="Times New Roman"/>
          <w:sz w:val="20"/>
        </w:rPr>
        <w:t>Chief Executive Officer</w:t>
      </w:r>
    </w:p>
    <w:p>
      <w:pPr>
        <w:pStyle w:val="TextBody"/>
        <w:ind w:left="0" w:right="0" w:hanging="0"/>
        <w:jc w:val="left"/>
        <w:rPr>
          <w:rFonts w:ascii="Times New Roman" w:hAnsi="Times New Roman"/>
          <w:sz w:val="20"/>
        </w:rPr>
      </w:pPr>
      <w:r>
        <w:rPr>
          <w:rFonts w:ascii="Times New Roman" w:hAnsi="Times New Roman"/>
          <w:sz w:val="20"/>
        </w:rPr>
        <w:t>March 12, 2010</w:t>
      </w:r>
      <w:r>
        <w:br w:type="page"/>
      </w:r>
    </w:p>
    <w:p>
      <w:pPr>
        <w:pStyle w:val="TextBody"/>
        <w:spacing w:before="0" w:after="0"/>
        <w:ind w:left="0" w:right="0" w:hanging="0"/>
        <w:jc w:val="right"/>
        <w:rPr>
          <w:rFonts w:ascii="Times New Roman" w:hAnsi="Times New Roman"/>
          <w:b/>
          <w:sz w:val="20"/>
        </w:rPr>
      </w:pPr>
      <w:bookmarkStart w:id="4102" w:name="exhibit32_2.htm"/>
      <w:bookmarkStart w:id="4103" w:name="ksexhibit32_2"/>
      <w:bookmarkEnd w:id="4102"/>
      <w:bookmarkEnd w:id="4103"/>
      <w:r>
        <w:rPr>
          <w:rFonts w:ascii="Times New Roman" w:hAnsi="Times New Roman"/>
          <w:b/>
          <w:sz w:val="20"/>
        </w:rPr>
        <w:t>EXHIBIT 32.2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906 OF THE SARBANES-OXLEY ACT OF 2002</w:t>
      </w:r>
    </w:p>
    <w:p>
      <w:pPr>
        <w:pStyle w:val="TextBody"/>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connection with the accompanying Annual Report of Reading International, Inc. (the “Company”) on Form 10-K for the fiscal year ended December 31, 2009 (the “Report”), I, Andrzej Matyczynski, Chief Financial Officer of the Company, certify, pursuant to 18 U.S.C. §1350, as adopted pursuant to §906 of the Sarbanes-Oxley Act of 2002, that:</w:t>
      </w:r>
    </w:p>
    <w:p>
      <w:pPr>
        <w:pStyle w:val="TextBody"/>
        <w:spacing w:before="0" w:after="0"/>
        <w:ind w:left="0" w:right="0" w:hanging="0"/>
        <w:rPr/>
      </w:pPr>
      <w:r>
        <w:rPr/>
      </w:r>
    </w:p>
    <w:p>
      <w:pPr>
        <w:pStyle w:val="Normal"/>
        <w:spacing w:before="0" w:after="0"/>
        <w:rPr>
          <w:sz w:val="4"/>
          <w:szCs w:val="4"/>
        </w:rPr>
      </w:pPr>
      <w:r>
        <w:rPr>
          <w:sz w:val="4"/>
          <w:szCs w:val="4"/>
        </w:rPr>
      </w:r>
      <w:bookmarkStart w:id="4104" w:name="list275"/>
      <w:bookmarkStart w:id="4105" w:name="list275"/>
      <w:bookmarkEnd w:id="4105"/>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Report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106" w:name="list276"/>
      <w:bookmarkStart w:id="4107" w:name="list276"/>
      <w:bookmarkEnd w:id="4107"/>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u w:val="single"/>
        </w:rPr>
        <w:t>/s/ Andrzej Matyczynski</w:t>
      </w:r>
      <w:r>
        <w:rPr>
          <w:rFonts w:ascii="Times New Roman" w:hAnsi="Times New Roman"/>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t>Andrzej Matyczynski</w:t>
      </w:r>
    </w:p>
    <w:p>
      <w:pPr>
        <w:pStyle w:val="TextBody"/>
        <w:spacing w:before="0" w:after="0"/>
        <w:ind w:left="0" w:right="0" w:hanging="0"/>
        <w:jc w:val="both"/>
        <w:rPr>
          <w:rFonts w:ascii="Times New Roman" w:hAnsi="Times New Roman"/>
          <w:sz w:val="20"/>
        </w:rPr>
      </w:pPr>
      <w:r>
        <w:rPr>
          <w:rFonts w:ascii="Times New Roman" w:hAnsi="Times New Roman"/>
          <w:sz w:val="20"/>
        </w:rPr>
        <w:t>Chief Financial Officer</w:t>
      </w:r>
    </w:p>
    <w:p>
      <w:pPr>
        <w:pStyle w:val="TextBody"/>
        <w:spacing w:before="0" w:after="283"/>
        <w:ind w:left="0" w:right="0" w:hanging="0"/>
        <w:jc w:val="left"/>
        <w:rPr>
          <w:rFonts w:ascii="Times New Roman" w:hAnsi="Times New Roman"/>
          <w:sz w:val="20"/>
        </w:rPr>
      </w:pPr>
      <w:r>
        <w:rPr>
          <w:rFonts w:ascii="Times New Roman" w:hAnsi="Times New Roman"/>
          <w:sz w:val="20"/>
        </w:rPr>
        <w:t>March 12, 2010</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29</Pages>
  <Words>77185</Words>
  <CharactersWithSpaces>496169</CharactersWithSpaces>
  <Paragraphs>20837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