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ind w:left="380" w:hanging="97"/>
        <w:spacing w:after="0" w:line="235" w:lineRule="auto"/>
        <w:tabs>
          <w:tab w:leader="none" w:pos="380" w:val="left"/>
        </w:tabs>
        <w:numPr>
          <w:ilvl w:val="0"/>
          <w:numId w:val="1"/>
        </w:numPr>
        <w:rPr>
          <w:rFonts w:ascii="Arial" w:cs="Arial" w:eastAsia="Arial" w:hAnsi="Arial"/>
          <w:sz w:val="17"/>
          <w:szCs w:val="17"/>
          <w:color w:val="auto"/>
        </w:rPr>
      </w:pPr>
      <w:r>
        <w:rPr>
          <w:rFonts w:ascii="Arial" w:cs="Arial" w:eastAsia="Arial" w:hAnsi="Arial"/>
          <w:sz w:val="16"/>
          <w:szCs w:val="16"/>
          <w:color w:val="auto"/>
        </w:rPr>
        <w:t>ANNUAL REPORT PURSUANT TO SECTION 13 OR 15(d) OF THE SECURITIES EXCHANGE ACT OF 1934</w:t>
      </w:r>
    </w:p>
    <w:p>
      <w:pPr>
        <w:spacing w:after="0" w:line="18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For the fiscal year ended December 31, 2014 or</w:t>
      </w:r>
    </w:p>
    <w:p>
      <w:pPr>
        <w:spacing w:after="0" w:line="192" w:lineRule="exact"/>
        <w:rPr>
          <w:sz w:val="24"/>
          <w:szCs w:val="24"/>
          <w:color w:val="auto"/>
        </w:rPr>
      </w:pPr>
    </w:p>
    <w:p>
      <w:pPr>
        <w:ind w:left="560" w:right="1280" w:hanging="281"/>
        <w:spacing w:after="0" w:line="265" w:lineRule="auto"/>
        <w:rPr>
          <w:sz w:val="20"/>
          <w:szCs w:val="20"/>
          <w:color w:val="auto"/>
        </w:rPr>
      </w:pPr>
      <w:r>
        <w:rPr>
          <w:rFonts w:ascii="Arial" w:cs="Arial" w:eastAsia="Arial" w:hAnsi="Arial"/>
          <w:sz w:val="16"/>
          <w:szCs w:val="16"/>
          <w:color w:val="auto"/>
        </w:rPr>
        <w:t>¨TRANSITION REPORT PURSUANT TO SECTION 13 OR 15(d) OF THE SECURITIES EXCHANGE ACT OF 1934 For the transition period from _______ to ______</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No. 1-8625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READING INTERNATIONAL,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220" w:type="dxa"/>
        <w:tblCellMar>
          <w:top w:w="0" w:type="dxa"/>
          <w:left w:w="0" w:type="dxa"/>
          <w:bottom w:w="0" w:type="dxa"/>
          <w:right w:w="0" w:type="dxa"/>
        </w:tblCellMar>
      </w:tblPr>
      <w:tr>
        <w:trPr>
          <w:trHeight w:val="192"/>
        </w:trPr>
        <w:tc>
          <w:tcPr>
            <w:tcW w:w="4140" w:type="dxa"/>
            <w:vAlign w:val="bottom"/>
          </w:tcPr>
          <w:p>
            <w:pPr>
              <w:jc w:val="center"/>
              <w:ind w:right="322"/>
              <w:spacing w:after="0"/>
              <w:rPr>
                <w:sz w:val="20"/>
                <w:szCs w:val="20"/>
                <w:color w:val="auto"/>
              </w:rPr>
            </w:pPr>
            <w:r>
              <w:rPr>
                <w:rFonts w:ascii="Arial" w:cs="Arial" w:eastAsia="Arial" w:hAnsi="Arial"/>
                <w:sz w:val="16"/>
                <w:szCs w:val="16"/>
                <w:b w:val="1"/>
                <w:bCs w:val="1"/>
                <w:color w:val="auto"/>
                <w:w w:val="97"/>
              </w:rPr>
              <w:t>NEVADA</w:t>
            </w:r>
          </w:p>
        </w:tc>
        <w:tc>
          <w:tcPr>
            <w:tcW w:w="2960" w:type="dxa"/>
            <w:vAlign w:val="bottom"/>
          </w:tcPr>
          <w:p>
            <w:pPr>
              <w:jc w:val="right"/>
              <w:ind w:right="822"/>
              <w:spacing w:after="0"/>
              <w:rPr>
                <w:sz w:val="20"/>
                <w:szCs w:val="20"/>
                <w:color w:val="auto"/>
              </w:rPr>
            </w:pPr>
            <w:r>
              <w:rPr>
                <w:rFonts w:ascii="Arial" w:cs="Arial" w:eastAsia="Arial" w:hAnsi="Arial"/>
                <w:sz w:val="16"/>
                <w:szCs w:val="16"/>
                <w:b w:val="1"/>
                <w:bCs w:val="1"/>
                <w:color w:val="auto"/>
              </w:rPr>
              <w:t>95-3885184</w:t>
            </w:r>
          </w:p>
        </w:tc>
      </w:tr>
      <w:tr>
        <w:trPr>
          <w:trHeight w:val="188"/>
        </w:trPr>
        <w:tc>
          <w:tcPr>
            <w:tcW w:w="4140" w:type="dxa"/>
            <w:vAlign w:val="bottom"/>
          </w:tcPr>
          <w:p>
            <w:pPr>
              <w:jc w:val="center"/>
              <w:ind w:right="322"/>
              <w:spacing w:after="0"/>
              <w:rPr>
                <w:sz w:val="20"/>
                <w:szCs w:val="20"/>
                <w:color w:val="auto"/>
              </w:rPr>
            </w:pPr>
            <w:r>
              <w:rPr>
                <w:rFonts w:ascii="Arial" w:cs="Arial" w:eastAsia="Arial" w:hAnsi="Arial"/>
                <w:sz w:val="16"/>
                <w:szCs w:val="16"/>
                <w:color w:val="auto"/>
                <w:w w:val="90"/>
              </w:rPr>
              <w:t>(State or other jurisdiction of incorporation or organization)</w:t>
            </w:r>
          </w:p>
        </w:tc>
        <w:tc>
          <w:tcPr>
            <w:tcW w:w="2960" w:type="dxa"/>
            <w:vAlign w:val="bottom"/>
          </w:tcPr>
          <w:p>
            <w:pPr>
              <w:jc w:val="center"/>
              <w:ind w:left="322"/>
              <w:spacing w:after="0"/>
              <w:rPr>
                <w:sz w:val="20"/>
                <w:szCs w:val="20"/>
                <w:color w:val="auto"/>
              </w:rPr>
            </w:pPr>
            <w:r>
              <w:rPr>
                <w:rFonts w:ascii="Arial" w:cs="Arial" w:eastAsia="Arial" w:hAnsi="Arial"/>
                <w:sz w:val="16"/>
                <w:szCs w:val="16"/>
                <w:color w:val="auto"/>
                <w:w w:val="91"/>
              </w:rPr>
              <w:t>(I.R.S. Employer Identification Number)</w:t>
            </w:r>
          </w:p>
        </w:tc>
      </w:tr>
      <w:tr>
        <w:trPr>
          <w:trHeight w:val="188"/>
        </w:trPr>
        <w:tc>
          <w:tcPr>
            <w:tcW w:w="4140" w:type="dxa"/>
            <w:vAlign w:val="bottom"/>
          </w:tcPr>
          <w:p>
            <w:pPr>
              <w:jc w:val="center"/>
              <w:ind w:right="302"/>
              <w:spacing w:after="0"/>
              <w:rPr>
                <w:sz w:val="20"/>
                <w:szCs w:val="20"/>
                <w:color w:val="auto"/>
              </w:rPr>
            </w:pPr>
            <w:r>
              <w:rPr>
                <w:rFonts w:ascii="Arial" w:cs="Arial" w:eastAsia="Arial" w:hAnsi="Arial"/>
                <w:sz w:val="16"/>
                <w:szCs w:val="16"/>
                <w:color w:val="auto"/>
                <w:w w:val="89"/>
              </w:rPr>
              <w:t>6100 Center Drive, Suite 900</w:t>
            </w:r>
          </w:p>
        </w:tc>
        <w:tc>
          <w:tcPr>
            <w:tcW w:w="2960" w:type="dxa"/>
            <w:vAlign w:val="bottom"/>
          </w:tcPr>
          <w:p>
            <w:pPr>
              <w:spacing w:after="0"/>
              <w:rPr>
                <w:sz w:val="16"/>
                <w:szCs w:val="16"/>
                <w:color w:val="auto"/>
              </w:rPr>
            </w:pPr>
          </w:p>
        </w:tc>
      </w:tr>
      <w:tr>
        <w:trPr>
          <w:trHeight w:val="188"/>
        </w:trPr>
        <w:tc>
          <w:tcPr>
            <w:tcW w:w="4140" w:type="dxa"/>
            <w:vAlign w:val="bottom"/>
          </w:tcPr>
          <w:p>
            <w:pPr>
              <w:jc w:val="center"/>
              <w:ind w:right="302"/>
              <w:spacing w:after="0"/>
              <w:rPr>
                <w:sz w:val="20"/>
                <w:szCs w:val="20"/>
                <w:color w:val="auto"/>
              </w:rPr>
            </w:pPr>
            <w:r>
              <w:rPr>
                <w:rFonts w:ascii="Arial" w:cs="Arial" w:eastAsia="Arial" w:hAnsi="Arial"/>
                <w:sz w:val="16"/>
                <w:szCs w:val="16"/>
                <w:color w:val="auto"/>
                <w:w w:val="90"/>
              </w:rPr>
              <w:t>Los Angeles, CA</w:t>
            </w:r>
          </w:p>
        </w:tc>
        <w:tc>
          <w:tcPr>
            <w:tcW w:w="2960" w:type="dxa"/>
            <w:vAlign w:val="bottom"/>
          </w:tcPr>
          <w:p>
            <w:pPr>
              <w:jc w:val="right"/>
              <w:ind w:right="1002"/>
              <w:spacing w:after="0"/>
              <w:rPr>
                <w:sz w:val="20"/>
                <w:szCs w:val="20"/>
                <w:color w:val="auto"/>
              </w:rPr>
            </w:pPr>
            <w:r>
              <w:rPr>
                <w:rFonts w:ascii="Arial" w:cs="Arial" w:eastAsia="Arial" w:hAnsi="Arial"/>
                <w:sz w:val="16"/>
                <w:szCs w:val="16"/>
                <w:color w:val="auto"/>
              </w:rPr>
              <w:t>90045</w:t>
            </w:r>
          </w:p>
        </w:tc>
      </w:tr>
      <w:tr>
        <w:trPr>
          <w:trHeight w:val="200"/>
        </w:trPr>
        <w:tc>
          <w:tcPr>
            <w:tcW w:w="4140" w:type="dxa"/>
            <w:vAlign w:val="bottom"/>
          </w:tcPr>
          <w:p>
            <w:pPr>
              <w:jc w:val="center"/>
              <w:ind w:right="302"/>
              <w:spacing w:after="0"/>
              <w:rPr>
                <w:sz w:val="20"/>
                <w:szCs w:val="20"/>
                <w:color w:val="auto"/>
              </w:rPr>
            </w:pPr>
            <w:r>
              <w:rPr>
                <w:rFonts w:ascii="Arial" w:cs="Arial" w:eastAsia="Arial" w:hAnsi="Arial"/>
                <w:sz w:val="16"/>
                <w:szCs w:val="16"/>
                <w:color w:val="auto"/>
                <w:w w:val="90"/>
              </w:rPr>
              <w:t>(Address of principal executive offices)</w:t>
            </w:r>
          </w:p>
        </w:tc>
        <w:tc>
          <w:tcPr>
            <w:tcW w:w="2960" w:type="dxa"/>
            <w:vAlign w:val="bottom"/>
          </w:tcPr>
          <w:p>
            <w:pPr>
              <w:jc w:val="center"/>
              <w:ind w:left="342"/>
              <w:spacing w:after="0"/>
              <w:rPr>
                <w:sz w:val="20"/>
                <w:szCs w:val="20"/>
                <w:color w:val="auto"/>
              </w:rPr>
            </w:pPr>
            <w:r>
              <w:rPr>
                <w:rFonts w:ascii="Arial" w:cs="Arial" w:eastAsia="Arial" w:hAnsi="Arial"/>
                <w:sz w:val="16"/>
                <w:szCs w:val="16"/>
                <w:color w:val="auto"/>
                <w:w w:val="92"/>
              </w:rPr>
              <w:t>(Zip Code)</w:t>
            </w:r>
          </w:p>
        </w:tc>
      </w:tr>
    </w:tbl>
    <w:p>
      <w:pPr>
        <w:jc w:val="center"/>
        <w:spacing w:after="0"/>
        <w:rPr>
          <w:sz w:val="20"/>
          <w:szCs w:val="20"/>
          <w:color w:val="auto"/>
        </w:rPr>
      </w:pPr>
      <w:r>
        <w:rPr>
          <w:rFonts w:ascii="Arial" w:cs="Arial" w:eastAsia="Arial" w:hAnsi="Arial"/>
          <w:sz w:val="16"/>
          <w:szCs w:val="16"/>
          <w:color w:val="auto"/>
        </w:rPr>
        <w:t>Registrant’s telephone number, including Area Code: (213) 235-2240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1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color w:val="auto"/>
                <w:w w:val="87"/>
              </w:rPr>
              <w:t>Title of each class</w:t>
            </w:r>
          </w:p>
        </w:tc>
        <w:tc>
          <w:tcPr>
            <w:tcW w:w="38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color w:val="auto"/>
                <w:w w:val="87"/>
              </w:rPr>
              <w:t>Name of each exchange on which registered</w:t>
            </w:r>
          </w:p>
        </w:tc>
      </w:tr>
      <w:tr>
        <w:trPr>
          <w:trHeight w:val="164"/>
        </w:trPr>
        <w:tc>
          <w:tcPr>
            <w:tcW w:w="4120" w:type="dxa"/>
            <w:vAlign w:val="bottom"/>
          </w:tcPr>
          <w:p>
            <w:pPr>
              <w:jc w:val="center"/>
              <w:ind w:right="82"/>
              <w:spacing w:after="0" w:line="164" w:lineRule="exact"/>
              <w:rPr>
                <w:sz w:val="20"/>
                <w:szCs w:val="20"/>
                <w:color w:val="auto"/>
              </w:rPr>
            </w:pPr>
            <w:r>
              <w:rPr>
                <w:rFonts w:ascii="Arial" w:cs="Arial" w:eastAsia="Arial" w:hAnsi="Arial"/>
                <w:sz w:val="16"/>
                <w:szCs w:val="16"/>
                <w:b w:val="1"/>
                <w:bCs w:val="1"/>
                <w:color w:val="auto"/>
                <w:w w:val="87"/>
              </w:rPr>
              <w:t>Class A Nonvoting Common Stock, $0.01 par value</w:t>
            </w:r>
          </w:p>
        </w:tc>
        <w:tc>
          <w:tcPr>
            <w:tcW w:w="3800" w:type="dxa"/>
            <w:vAlign w:val="bottom"/>
          </w:tcPr>
          <w:p>
            <w:pPr>
              <w:jc w:val="center"/>
              <w:ind w:right="102"/>
              <w:spacing w:after="0" w:line="164" w:lineRule="exact"/>
              <w:rPr>
                <w:sz w:val="20"/>
                <w:szCs w:val="20"/>
                <w:color w:val="auto"/>
              </w:rPr>
            </w:pPr>
            <w:r>
              <w:rPr>
                <w:rFonts w:ascii="Arial" w:cs="Arial" w:eastAsia="Arial" w:hAnsi="Arial"/>
                <w:sz w:val="16"/>
                <w:szCs w:val="16"/>
                <w:b w:val="1"/>
                <w:bCs w:val="1"/>
                <w:color w:val="auto"/>
                <w:w w:val="95"/>
              </w:rPr>
              <w:t>NASDAQ</w:t>
            </w:r>
          </w:p>
        </w:tc>
      </w:tr>
      <w:tr>
        <w:trPr>
          <w:trHeight w:val="204"/>
        </w:trPr>
        <w:tc>
          <w:tcPr>
            <w:tcW w:w="4120" w:type="dxa"/>
            <w:vAlign w:val="bottom"/>
          </w:tcPr>
          <w:p>
            <w:pPr>
              <w:jc w:val="center"/>
              <w:ind w:right="82"/>
              <w:spacing w:after="0"/>
              <w:rPr>
                <w:sz w:val="20"/>
                <w:szCs w:val="20"/>
                <w:color w:val="auto"/>
              </w:rPr>
            </w:pPr>
            <w:r>
              <w:rPr>
                <w:rFonts w:ascii="Arial" w:cs="Arial" w:eastAsia="Arial" w:hAnsi="Arial"/>
                <w:sz w:val="16"/>
                <w:szCs w:val="16"/>
                <w:b w:val="1"/>
                <w:bCs w:val="1"/>
                <w:color w:val="auto"/>
                <w:w w:val="88"/>
              </w:rPr>
              <w:t>Class B Voting Common Stock, $0.01 par value</w:t>
            </w:r>
          </w:p>
        </w:tc>
        <w:tc>
          <w:tcPr>
            <w:tcW w:w="3800" w:type="dxa"/>
            <w:vAlign w:val="bottom"/>
          </w:tcPr>
          <w:p>
            <w:pPr>
              <w:jc w:val="center"/>
              <w:ind w:right="102"/>
              <w:spacing w:after="0"/>
              <w:rPr>
                <w:sz w:val="20"/>
                <w:szCs w:val="20"/>
                <w:color w:val="auto"/>
              </w:rPr>
            </w:pPr>
            <w:r>
              <w:rPr>
                <w:rFonts w:ascii="Arial" w:cs="Arial" w:eastAsia="Arial" w:hAnsi="Arial"/>
                <w:sz w:val="16"/>
                <w:szCs w:val="16"/>
                <w:b w:val="1"/>
                <w:bCs w:val="1"/>
                <w:color w:val="auto"/>
                <w:w w:val="95"/>
              </w:rPr>
              <w:t>NASDAQ</w:t>
            </w:r>
          </w:p>
        </w:tc>
      </w:tr>
    </w:tbl>
    <w:p>
      <w:pPr>
        <w:spacing w:after="0" w:line="172"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6" w:lineRule="exact"/>
        <w:rPr>
          <w:sz w:val="24"/>
          <w:szCs w:val="24"/>
          <w:color w:val="auto"/>
        </w:rPr>
      </w:pPr>
    </w:p>
    <w:p>
      <w:pPr>
        <w:ind w:left="56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4" w:lineRule="exact"/>
        <w:rPr>
          <w:sz w:val="24"/>
          <w:szCs w:val="24"/>
          <w:color w:val="auto"/>
        </w:rPr>
      </w:pPr>
    </w:p>
    <w:p>
      <w:pPr>
        <w:jc w:val="both"/>
        <w:ind w:firstLine="564"/>
        <w:spacing w:after="0" w:line="203"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3" w:lineRule="exact"/>
        <w:rPr>
          <w:sz w:val="24"/>
          <w:szCs w:val="24"/>
          <w:color w:val="auto"/>
        </w:rPr>
      </w:pPr>
    </w:p>
    <w:p>
      <w:pPr>
        <w:jc w:val="both"/>
        <w:ind w:firstLine="564"/>
        <w:spacing w:after="0" w:line="251" w:lineRule="auto"/>
        <w:rPr>
          <w:sz w:val="20"/>
          <w:szCs w:val="20"/>
          <w:color w:val="auto"/>
        </w:rPr>
      </w:pPr>
      <w:r>
        <w:rPr>
          <w:rFonts w:ascii="Arial" w:cs="Arial" w:eastAsia="Arial" w:hAnsi="Arial"/>
          <w:sz w:val="13"/>
          <w:szCs w:val="13"/>
          <w:color w:val="auto"/>
        </w:rPr>
        <w:t>Indicate by check mark whether registrant (1) has filed all reports required to be filed by Section 13 or 15(d) of the Exchange Act of 1934 during the preceding 12 months (or for shorter period than the Registrant was required to file such reports), and (2) has been subject to such</w:t>
      </w:r>
    </w:p>
    <w:p>
      <w:pPr>
        <w:spacing w:after="0" w:line="1" w:lineRule="exact"/>
        <w:rPr>
          <w:sz w:val="24"/>
          <w:szCs w:val="24"/>
          <w:color w:val="auto"/>
        </w:rPr>
      </w:pPr>
    </w:p>
    <w:p>
      <w:pPr>
        <w:spacing w:after="0" w:line="184" w:lineRule="exact"/>
        <w:tabs>
          <w:tab w:leader="none" w:pos="3560" w:val="left"/>
        </w:tabs>
        <w:rPr>
          <w:sz w:val="20"/>
          <w:szCs w:val="20"/>
          <w:color w:val="auto"/>
        </w:rPr>
      </w:pPr>
      <w:r>
        <w:rPr>
          <w:rFonts w:ascii="Arial" w:cs="Arial" w:eastAsia="Arial" w:hAnsi="Arial"/>
          <w:sz w:val="16"/>
          <w:szCs w:val="16"/>
          <w:color w:val="auto"/>
        </w:rPr>
        <w:t xml:space="preserve">filing requirements for the past 90 days.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6" w:lineRule="exact"/>
        <w:rPr>
          <w:sz w:val="24"/>
          <w:szCs w:val="24"/>
          <w:color w:val="auto"/>
        </w:rPr>
      </w:pPr>
    </w:p>
    <w:p>
      <w:pPr>
        <w:jc w:val="both"/>
        <w:ind w:firstLine="564"/>
        <w:spacing w:after="0" w:line="198"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5" w:lineRule="exact"/>
        <w:rPr>
          <w:sz w:val="24"/>
          <w:szCs w:val="24"/>
          <w:color w:val="auto"/>
        </w:rPr>
      </w:pPr>
    </w:p>
    <w:p>
      <w:pPr>
        <w:jc w:val="both"/>
        <w:ind w:firstLine="564"/>
        <w:spacing w:after="0" w:line="198"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r>
        <w:rPr>
          <w:rFonts w:ascii="MS PGothic" w:cs="MS PGothic" w:eastAsia="MS PGothic" w:hAnsi="MS PGothic"/>
          <w:sz w:val="16"/>
          <w:szCs w:val="16"/>
          <w:color w:val="auto"/>
        </w:rPr>
        <w:t>☐</w:t>
      </w:r>
    </w:p>
    <w:p>
      <w:pPr>
        <w:spacing w:after="0" w:line="53" w:lineRule="exact"/>
        <w:rPr>
          <w:sz w:val="24"/>
          <w:szCs w:val="24"/>
          <w:color w:val="auto"/>
        </w:rPr>
      </w:pPr>
    </w:p>
    <w:p>
      <w:pPr>
        <w:jc w:val="both"/>
        <w:ind w:firstLine="564"/>
        <w:spacing w:after="0" w:line="20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 w:lineRule="exact"/>
        <w:rPr>
          <w:sz w:val="24"/>
          <w:szCs w:val="24"/>
          <w:color w:val="auto"/>
        </w:rPr>
      </w:pPr>
    </w:p>
    <w:p>
      <w:pPr>
        <w:spacing w:after="0" w:line="184" w:lineRule="exact"/>
        <w:tabs>
          <w:tab w:leader="none" w:pos="3060" w:val="left"/>
          <w:tab w:leader="none" w:pos="46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7"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2" w:lineRule="exact"/>
        <w:rPr>
          <w:sz w:val="24"/>
          <w:szCs w:val="24"/>
          <w:color w:val="auto"/>
        </w:rPr>
      </w:pPr>
    </w:p>
    <w:p>
      <w:pPr>
        <w:jc w:val="both"/>
        <w:ind w:firstLine="564"/>
        <w:spacing w:after="0" w:line="214"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March 13, 2015, there were 21,806,632 shares of class A non-voting common stock, par value $0.01 per share and 1,495,490 shares of class B voting common stock, par value $0.01 per share, outstanding. The aggregate market value of voting and nonvoting stock held by non-affiliates of the Registrant was $154,288,323 as of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93345</wp:posOffset>
            </wp:positionV>
            <wp:extent cx="5872480" cy="47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217" w:right="1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060" w:type="dxa"/>
            <w:vAlign w:val="bottom"/>
            <w:gridSpan w:val="3"/>
          </w:tcPr>
          <w:p>
            <w:pPr>
              <w:jc w:val="center"/>
              <w:ind w:left="2042"/>
              <w:spacing w:after="0"/>
              <w:rPr>
                <w:sz w:val="20"/>
                <w:szCs w:val="20"/>
                <w:color w:val="auto"/>
              </w:rPr>
            </w:pPr>
            <w:r>
              <w:rPr>
                <w:rFonts w:ascii="Arial" w:cs="Arial" w:eastAsia="Arial" w:hAnsi="Arial"/>
                <w:sz w:val="16"/>
                <w:szCs w:val="16"/>
                <w:b w:val="1"/>
                <w:bCs w:val="1"/>
                <w:color w:val="auto"/>
              </w:rPr>
              <w:t>READING INTERNATIONAL, INC.</w:t>
            </w: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7060" w:type="dxa"/>
            <w:vAlign w:val="bottom"/>
            <w:gridSpan w:val="3"/>
          </w:tcPr>
          <w:p>
            <w:pPr>
              <w:jc w:val="center"/>
              <w:ind w:left="2062"/>
              <w:spacing w:after="0"/>
              <w:rPr>
                <w:sz w:val="20"/>
                <w:szCs w:val="20"/>
                <w:color w:val="auto"/>
              </w:rPr>
            </w:pPr>
            <w:r>
              <w:rPr>
                <w:rFonts w:ascii="Arial" w:cs="Arial" w:eastAsia="Arial" w:hAnsi="Arial"/>
                <w:sz w:val="16"/>
                <w:szCs w:val="16"/>
                <w:b w:val="1"/>
                <w:bCs w:val="1"/>
                <w:color w:val="auto"/>
                <w:w w:val="97"/>
              </w:rPr>
              <w:t>ANNUAL REPORT ON FORM 10-K</w:t>
            </w:r>
          </w:p>
        </w:tc>
        <w:tc>
          <w:tcPr>
            <w:tcW w:w="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060" w:type="dxa"/>
            <w:vAlign w:val="bottom"/>
            <w:gridSpan w:val="3"/>
          </w:tcPr>
          <w:p>
            <w:pPr>
              <w:jc w:val="center"/>
              <w:ind w:left="2062"/>
              <w:spacing w:after="0"/>
              <w:rPr>
                <w:sz w:val="20"/>
                <w:szCs w:val="20"/>
                <w:color w:val="auto"/>
              </w:rPr>
            </w:pPr>
            <w:r>
              <w:rPr>
                <w:rFonts w:ascii="Arial" w:cs="Arial" w:eastAsia="Arial" w:hAnsi="Arial"/>
                <w:sz w:val="16"/>
                <w:szCs w:val="16"/>
                <w:b w:val="1"/>
                <w:bCs w:val="1"/>
                <w:color w:val="auto"/>
                <w:w w:val="95"/>
              </w:rPr>
              <w:t>YEAR ENDED DECEMBER 31, 2014</w:t>
            </w: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60" w:type="dxa"/>
            <w:vAlign w:val="bottom"/>
            <w:gridSpan w:val="3"/>
          </w:tcPr>
          <w:p>
            <w:pPr>
              <w:jc w:val="center"/>
              <w:ind w:left="2042"/>
              <w:spacing w:after="0" w:line="169" w:lineRule="exact"/>
              <w:rPr>
                <w:sz w:val="20"/>
                <w:szCs w:val="20"/>
                <w:color w:val="auto"/>
              </w:rPr>
            </w:pPr>
            <w:r>
              <w:rPr>
                <w:rFonts w:ascii="Arial" w:cs="Arial" w:eastAsia="Arial" w:hAnsi="Arial"/>
                <w:sz w:val="16"/>
                <w:szCs w:val="16"/>
                <w:b w:val="1"/>
                <w:bCs w:val="1"/>
                <w:color w:val="auto"/>
              </w:rPr>
              <w:t>INDEX</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9"/>
        </w:trPr>
        <w:tc>
          <w:tcPr>
            <w:tcW w:w="43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PART I</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1 – Our Business</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Item 1A – Risk Factors</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10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1B - Unresolved Staff Comments</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17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Item 2 – Properties</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18</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3 – Legal Proceedings</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PART II</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27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7060" w:type="dxa"/>
            <w:vAlign w:val="bottom"/>
            <w:gridSpan w:val="3"/>
          </w:tcPr>
          <w:p>
            <w:pPr>
              <w:ind w:left="100"/>
              <w:spacing w:after="0"/>
              <w:rPr>
                <w:sz w:val="20"/>
                <w:szCs w:val="20"/>
                <w:color w:val="auto"/>
              </w:rPr>
            </w:pPr>
            <w:r>
              <w:rPr>
                <w:rFonts w:ascii="Arial" w:cs="Arial" w:eastAsia="Arial" w:hAnsi="Arial"/>
                <w:sz w:val="16"/>
                <w:szCs w:val="16"/>
                <w:color w:val="auto"/>
                <w:w w:val="95"/>
              </w:rPr>
              <w:t>Item 5 – Market for Registrant’s Common Equity, Related Stockholder Matters and Issuer Purchases of</w:t>
            </w:r>
          </w:p>
        </w:tc>
        <w:tc>
          <w:tcPr>
            <w:tcW w:w="8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27</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Equity Securities</w:t>
            </w:r>
          </w:p>
        </w:tc>
        <w:tc>
          <w:tcPr>
            <w:tcW w:w="8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Item 6 – Selected Financial Data</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29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w w:val="99"/>
              </w:rPr>
              <w:t>Item 7 – Management’s Discussions and Analysis of Financial Condition and Results of Operations</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32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Item 7A – Quantitative and Qualitative Disclosure about Market Risk</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53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8 – Financial Statements and Supplementary Data</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54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Report of Independent Registered Public Accounting Firms</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55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Consolidated Balance Sheets as of December 31, 2014 and 2013</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56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2014</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58</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w w:val="91"/>
              </w:rPr>
              <w:t>Consolidated Statements of Comprehensive Income (Loss) for the Three Years Ended December 31, 2014</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59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Consolidated Statements of Stockholders’ Equity for the Three Years Ended December 31, 2014</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60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2014</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61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63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Schedule II – Valuation and Qualifying Accounts</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105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Item 9 – Change in and Disagreements with Accountants on Accounting and Financial Disclosure</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106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9A – Controls and Procedures</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107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PART III</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111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PART IV</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112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Item 15 – Exhibits, Financial Statement Schedules</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112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tcPr>
          <w:p>
            <w:pPr>
              <w:ind w:left="100"/>
              <w:spacing w:after="0"/>
              <w:rPr>
                <w:sz w:val="20"/>
                <w:szCs w:val="20"/>
                <w:color w:val="auto"/>
              </w:rPr>
            </w:pPr>
            <w:r>
              <w:rPr>
                <w:rFonts w:ascii="Arial" w:cs="Arial" w:eastAsia="Arial" w:hAnsi="Arial"/>
                <w:sz w:val="16"/>
                <w:szCs w:val="16"/>
                <w:b w:val="1"/>
                <w:bCs w:val="1"/>
                <w:color w:val="auto"/>
              </w:rPr>
              <w:t>SIGNATURES</w:t>
            </w:r>
          </w:p>
        </w:tc>
        <w:tc>
          <w:tcPr>
            <w:tcW w:w="860" w:type="dxa"/>
            <w:vAlign w:val="bottom"/>
          </w:tcPr>
          <w:p>
            <w:pPr>
              <w:ind w:left="100"/>
              <w:spacing w:after="0"/>
              <w:rPr>
                <w:sz w:val="20"/>
                <w:szCs w:val="20"/>
                <w:color w:val="auto"/>
              </w:rPr>
            </w:pPr>
            <w:r>
              <w:rPr>
                <w:rFonts w:ascii="Arial" w:cs="Arial" w:eastAsia="Arial" w:hAnsi="Arial"/>
                <w:sz w:val="16"/>
                <w:szCs w:val="16"/>
                <w:b w:val="1"/>
                <w:bCs w:val="1"/>
                <w:color w:val="auto"/>
              </w:rPr>
              <w:t>136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06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CERTIFICATIONS</w:t>
            </w:r>
          </w:p>
        </w:tc>
        <w:tc>
          <w:tcPr>
            <w:tcW w:w="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138</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4"/>
        </w:trPr>
        <w:tc>
          <w:tcPr>
            <w:tcW w:w="4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5790565</wp:posOffset>
            </wp:positionH>
            <wp:positionV relativeFrom="paragraph">
              <wp:posOffset>-34290</wp:posOffset>
            </wp:positionV>
            <wp:extent cx="33020" cy="47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160"/>
          </w:cols>
          <w:pgMar w:left="1360" w:top="499" w:right="13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u w:val="single" w:color="auto"/>
          <w:color w:val="auto"/>
        </w:rPr>
        <w:t>PART 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Item 1 –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Description of Our Business</w:t>
      </w:r>
    </w:p>
    <w:p>
      <w:pPr>
        <w:spacing w:after="0" w:line="161"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Reading International, Inc., a Nevada corporation (“RDI”), was incorporated in 1999 incident to our reincorporation in Nevada. Our class A non-voting common stock (“Class A Stock”) and class B voting common stock (“Class B Stock”) are listed for trading on the NASDAQ Capital Market (Nasdaq-CM) under the symbols RDI and RDIB, respectively. Our principal executive offices are located at 6100 Center Drive, Suite 900, Los Angeles, California 90045. Our general telephone number is (213) 235-2240 and our website is </w:t>
      </w:r>
      <w:r>
        <w:rPr>
          <w:rFonts w:ascii="Arial" w:cs="Arial" w:eastAsia="Arial" w:hAnsi="Arial"/>
          <w:sz w:val="15"/>
          <w:szCs w:val="15"/>
          <w:u w:val="single" w:color="auto"/>
          <w:color w:val="auto"/>
        </w:rPr>
        <w:t>www.readingrdi.com</w:t>
      </w:r>
      <w:r>
        <w:rPr>
          <w:rFonts w:ascii="Arial" w:cs="Arial" w:eastAsia="Arial" w:hAnsi="Arial"/>
          <w:sz w:val="15"/>
          <w:szCs w:val="15"/>
          <w:color w:val="auto"/>
        </w:rPr>
        <w:t>. It is our practice to make available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In this Annual Report, we from time to time use terms such as the “Company,” “Reading” and “we,” “us,” or “our” to refer collectively to RDI and our various consolidated subsidiaries and corporate predecessors.</w:t>
      </w:r>
    </w:p>
    <w:p>
      <w:pPr>
        <w:spacing w:after="0" w:line="120" w:lineRule="exact"/>
        <w:rPr>
          <w:sz w:val="20"/>
          <w:szCs w:val="20"/>
          <w:color w:val="auto"/>
        </w:rPr>
      </w:pPr>
    </w:p>
    <w:p>
      <w:pPr>
        <w:jc w:val="both"/>
        <w:ind w:firstLine="564"/>
        <w:spacing w:after="0" w:line="388" w:lineRule="auto"/>
        <w:rPr>
          <w:sz w:val="20"/>
          <w:szCs w:val="20"/>
          <w:color w:val="auto"/>
        </w:rPr>
      </w:pPr>
      <w:r>
        <w:rPr>
          <w:rFonts w:ascii="Arial" w:cs="Arial" w:eastAsia="Arial" w:hAnsi="Arial"/>
          <w:sz w:val="13"/>
          <w:szCs w:val="13"/>
          <w:b w:val="1"/>
          <w:bCs w:val="1"/>
          <w:color w:val="auto"/>
        </w:rPr>
        <w:t>We are an internationally diversified “hard asset” company principally focused on the development, ownership and operation of entertainment and real property assets in the United States, Australia, and New Zealand. Currently, we have two business segments:</w:t>
      </w:r>
    </w:p>
    <w:p>
      <w:pPr>
        <w:spacing w:after="0" w:line="57" w:lineRule="exact"/>
        <w:rPr>
          <w:sz w:val="20"/>
          <w:szCs w:val="20"/>
          <w:color w:val="auto"/>
        </w:rPr>
      </w:pPr>
    </w:p>
    <w:p>
      <w:pPr>
        <w:ind w:left="580" w:hanging="29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Cinema Exhibition, through our 58 cinemas, and</w:t>
      </w:r>
    </w:p>
    <w:p>
      <w:pPr>
        <w:spacing w:after="0" w:line="19" w:lineRule="exact"/>
        <w:rPr>
          <w:rFonts w:ascii="Arial" w:cs="Arial" w:eastAsia="Arial" w:hAnsi="Arial"/>
          <w:sz w:val="16"/>
          <w:szCs w:val="16"/>
          <w:color w:val="auto"/>
        </w:rPr>
      </w:pPr>
    </w:p>
    <w:p>
      <w:pPr>
        <w:ind w:left="420" w:hanging="137"/>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Real Estate, including real estate development and the rental of retail, commercial and live theater assets.</w:t>
      </w:r>
    </w:p>
    <w:p>
      <w:pPr>
        <w:spacing w:after="0" w:line="145"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We believe that these two business segments complement one another, as the comparatively consistent cash flows generated by our cinema operations allow us to be opportunistic in acquiring and holding real estate assets, and can be used not only to grow and develop our cinema business but also to help fund the front-end cash demands of our real estate development business.</w:t>
      </w:r>
    </w:p>
    <w:p>
      <w:pPr>
        <w:spacing w:after="0" w:line="113"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At December 31, 2014, the book value of our assets was $401.6 million, and, as of that same date, we had a consolidated stockholders’ book equity of $132.3 million. Calculated based on book value, $107.7 million or 27%, of our assets relate to our cinema exhibition activities and $219.7 million or 55%, of our assets relate to our real estate activities. At December 31, 2014, we had cash and cash equivalents of $50.2 million, which is accounted for as a corporate asset. Our cash included $10.1 million denominated in U.S. dollars, $32.4 million (AUS$39.6 million) in Australian dollars, and $7.7 million (NZ$9.9 million) in New Zealand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92710</wp:posOffset>
            </wp:positionV>
            <wp:extent cx="1760220" cy="139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0220"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For additional segment financial information, please see Note 22 – </w:t>
      </w:r>
      <w:r>
        <w:rPr>
          <w:rFonts w:ascii="Arial" w:cs="Arial" w:eastAsia="Arial" w:hAnsi="Arial"/>
          <w:sz w:val="16"/>
          <w:szCs w:val="16"/>
          <w:i w:val="1"/>
          <w:iCs w:val="1"/>
          <w:color w:val="auto"/>
        </w:rPr>
        <w:t>Business Segments and Geographic Area Information</w:t>
      </w:r>
      <w:r>
        <w:rPr>
          <w:rFonts w:ascii="Arial" w:cs="Arial" w:eastAsia="Arial" w:hAnsi="Arial"/>
          <w:sz w:val="16"/>
          <w:szCs w:val="16"/>
          <w:color w:val="auto"/>
        </w:rPr>
        <w:t xml:space="preserve"> to our 2014 Consolidated Financial Statements.</w:t>
      </w:r>
    </w:p>
    <w:p>
      <w:pPr>
        <w:spacing w:after="0" w:line="310"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We have diversified our assets among three countries: the United States, Australia, and New Zealand. Based on book value, at December 31, 2014, we had approximately 35% of our assets in the United States, 44% in Australia and 21% in New Zealand compared to 29%, 51%, and 20% respectively, at the end of 2013. For 2014, our gross revenue in these jurisdictions was $130.8 million, $97.3 million, and $26.6 million, respectively, compared to $131.5 million, $100.4 million, and $26.3 million for 2013. These changes are due primarily to fluctuations in the value of the US Dollar compared to the relative values of the Australian Dollar and the New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3" w:right="1419" w:bottom="1440" w:gutter="0" w:footer="0" w:header="0"/>
        </w:sectPr>
      </w:pPr>
    </w:p>
    <w:bookmarkStart w:id="3" w:name="page4"/>
    <w:bookmarkEnd w:id="3"/>
    <w:p>
      <w:pPr>
        <w:jc w:val="both"/>
        <w:spacing w:after="0" w:line="299" w:lineRule="auto"/>
        <w:rPr>
          <w:sz w:val="20"/>
          <w:szCs w:val="20"/>
          <w:color w:val="auto"/>
        </w:rPr>
      </w:pPr>
      <w:r>
        <w:rPr>
          <w:rFonts w:ascii="Arial" w:cs="Arial" w:eastAsia="Arial" w:hAnsi="Arial"/>
          <w:sz w:val="15"/>
          <w:szCs w:val="15"/>
          <w:color w:val="auto"/>
        </w:rPr>
        <w:t>Zealand Dollar. The exchange rate for the Australian Dollar and the New Zealand Dollar compared to the U.S. Dollar on December 31, 2014 and December 31, 2013 were 0.8173 and 0.8929 to US$1.00 and 0.7796 and 0.8229 to US$1.00,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70485</wp:posOffset>
            </wp:positionV>
            <wp:extent cx="2505710" cy="1387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5710" cy="138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For additional financial information concerning the geographic distribution of our business, please see Note 22 – </w:t>
      </w:r>
      <w:r>
        <w:rPr>
          <w:rFonts w:ascii="Arial" w:cs="Arial" w:eastAsia="Arial" w:hAnsi="Arial"/>
          <w:sz w:val="16"/>
          <w:szCs w:val="16"/>
          <w:i w:val="1"/>
          <w:iCs w:val="1"/>
          <w:color w:val="auto"/>
        </w:rPr>
        <w:t>Business Segments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Geographic Area Information </w:t>
      </w:r>
      <w:r>
        <w:rPr>
          <w:rFonts w:ascii="Arial" w:cs="Arial" w:eastAsia="Arial" w:hAnsi="Arial"/>
          <w:sz w:val="16"/>
          <w:szCs w:val="16"/>
          <w:color w:val="auto"/>
        </w:rPr>
        <w:t>to our 2014 Consolidated Financial Statements.</w:t>
      </w:r>
    </w:p>
    <w:p>
      <w:pPr>
        <w:spacing w:after="0" w:line="122"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While we do not believe the cinema exhibition business to be a growth business, we do believe it to be a business that will likely continue to generate fairly consistent cash flows in the years ahead even in recessionary or inflationary environments. This is based on our belief that people will continue to spend some reasonable portion of their entertainment dollar on entertainment outside of the home, and, that when compared to other forms of outside-the-home entertainment, movies continue to be a popular and competitively priced option. As we believe the cinema exhibition business to be a mature business with most markets either adequately screened or over-screened, we see growth in our cinema business coming principally from (i) the enhancement of our current cinemas (for example, by the addition of luxury seating and broadening our food and beverage offerings), (ii) the development in select markets of specialty cinemas, and (iii) the opportunistic acquisition of already existing cinemas, rather than from the development of new conventional cinemas. Our circuit has been completely converted to digital projection and sound systems.</w:t>
      </w:r>
    </w:p>
    <w:p>
      <w:pPr>
        <w:spacing w:after="0" w:line="129" w:lineRule="exact"/>
        <w:rPr>
          <w:sz w:val="20"/>
          <w:szCs w:val="20"/>
          <w:color w:val="auto"/>
        </w:rPr>
      </w:pPr>
    </w:p>
    <w:p>
      <w:pPr>
        <w:jc w:val="both"/>
        <w:ind w:firstLine="716"/>
        <w:spacing w:after="0" w:line="248" w:lineRule="auto"/>
        <w:rPr>
          <w:sz w:val="20"/>
          <w:szCs w:val="20"/>
          <w:color w:val="auto"/>
        </w:rPr>
      </w:pPr>
      <w:r>
        <w:rPr>
          <w:rFonts w:ascii="Arial" w:cs="Arial" w:eastAsia="Arial" w:hAnsi="Arial"/>
          <w:sz w:val="18"/>
          <w:szCs w:val="18"/>
          <w:color w:val="auto"/>
        </w:rPr>
        <w:t>In 2013, we acquired the 50% interest in the Angelika Film Center in New York City that had been previously held by a passive third party investor. In 2014, we took back, remodeled and upgraded to state-of-the-art status, an eight-screen cinema in New Zealand that, at the time we acquired the underlying fee interest, was leased to a competitor in Dunedin, New Zealand, and finalized an agreement to lease a new state-of-the-art eight plex cinema in a shopping center in Auckland scheduled to open in late 2015. In 2014, we completed an upgrade of our Cinemas 1,2,3 in New York City, which included the installation of luxury recliner seats. In 2014, we executed a long-term lease for a luxury, state-of-the-art cinema, which will be operated under our Consolidated Theatres brand, in the new Ka Makana Ali’i Shopping Center, a regional mall under development in Kapolei, Hawaii. It is expected that this cinema will open in 2016. In 2013 and 2014, in the United States, we continued to expand our Angelika Film Center brand: (i) in 2013, we acquired the leasehold interest of the Angelika Film Center in Plano, TX, which was previously operated as a managed cinema, (ii) entered into a long-term lease for a new, state-of-the-art Angelika Film Centerin the Union Market district of Washington D.C., which is anticipated to open in 2016, and (iii) began the process of converting one of our San Diego area cinemas to a state-of-the-art Angelika Film Center. In 2015, we intend to upgrade the food and beverage menu at a number of our U.S. cinemas.</w:t>
      </w:r>
    </w:p>
    <w:p>
      <w:pPr>
        <w:spacing w:after="0" w:line="118" w:lineRule="exact"/>
        <w:rPr>
          <w:sz w:val="20"/>
          <w:szCs w:val="20"/>
          <w:color w:val="auto"/>
        </w:rPr>
      </w:pPr>
    </w:p>
    <w:p>
      <w:pPr>
        <w:jc w:val="both"/>
        <w:ind w:firstLine="564"/>
        <w:spacing w:after="0" w:line="264" w:lineRule="auto"/>
        <w:rPr>
          <w:sz w:val="20"/>
          <w:szCs w:val="20"/>
          <w:color w:val="auto"/>
        </w:rPr>
      </w:pPr>
      <w:r>
        <w:rPr>
          <w:rFonts w:ascii="Arial" w:cs="Arial" w:eastAsia="Arial" w:hAnsi="Arial"/>
          <w:sz w:val="17"/>
          <w:szCs w:val="17"/>
          <w:color w:val="auto"/>
        </w:rPr>
        <w:t>Given the substantial increase in Manhattan commercial real estate values in recent periods, we are currently advancing plans for the redevelopment of our Cinemas 1, 2, 3 property and of our Union Square property. We currently anticipate that these properties will be redeveloped into approximately 94,000 square feet and 70,000 square feet, respectively, of net leasable area over the next 4 years. In 2012, we acquired in a foreclosure auction as a long-term investment in developable land a 202-acre property, then zoned for the development of over 800 single-family residential units, located in the City of Coachella, California, for $5.5 million. Our then Chairman, Chief Executive Officer and controlling stockholder, participated in that transaction, and holds a 50% non-management interest in the subsidiary that holds that investment. Overseas, in 2013, we entered into a lease agreement for a new grocery store anchor tenant in our Courtenay Central property in Wellington, New Zealand and are actively pursuing the development of the next phase of that center. Additionally, we have obtained the necessary land use approvals and are working on plans to add a cinema to our Newmarket shopping center in Brisbane, Australia.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4" w:name="page5"/>
    <w:bookmarkEnd w:id="4"/>
    <w:p>
      <w:pPr>
        <w:jc w:val="both"/>
        <w:ind w:firstLine="564"/>
        <w:spacing w:after="0" w:line="310" w:lineRule="auto"/>
        <w:rPr>
          <w:sz w:val="20"/>
          <w:szCs w:val="20"/>
          <w:color w:val="auto"/>
        </w:rPr>
      </w:pPr>
      <w:r>
        <w:rPr>
          <w:rFonts w:ascii="Arial" w:cs="Arial" w:eastAsia="Arial" w:hAnsi="Arial"/>
          <w:sz w:val="13"/>
          <w:szCs w:val="13"/>
          <w:color w:val="auto"/>
        </w:rPr>
        <w:t>Historically, it has not been our practice to sell assets, except in connection with the repositioning of such assets to a higher and better use. However, in light of market conditions and our desire to free up capital and pay down debt, in 2012, we sold our 24,000 square foot office building in Indooroopilly, Australia for $12.4 million (AUS$12.0 million). In 2013, we entered into a purchase and sale agreement to sell our 3.3-acre properties in Moonee Ponds for $21.4 million (AUS$23.0 million) which is scheduled to close on April 16, 2015 and is currently classified as land held for sale. In 2014, we sold our undeveloped 50.6-acre parcel in Burwood, Victoria, Australia, to an affiliate of Australand Holdings Limited for a purchase price of $59.1 million (AUS$65.0 million). We received $5.9 million (AUS$6.5 million) at the closing. The balance of the purchase price is due on December 31, 2017, subject to mandatory pre-payments in the event that any of the land is sold, equal to the greater of (a) 90% of the net sale price or (b) the balance of the purchase price multiplied by a fraction the numerator of which is the square footage of property being sold by the buyer and the denominator of which is the original square footage of the property being sold to the buyer. Because payment of 90% of the purchase price has not been received, the transaction has not been treated as a sale for U.S. GAAP purposes, and continues to be carried on our balance sheet as a long term asset.</w:t>
      </w:r>
    </w:p>
    <w:p>
      <w:pPr>
        <w:spacing w:after="0" w:line="32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Typically, we have endeavored to match the currency in which we have financed our development with the jurisdiction within which these developments are located. We have followed this approach to reduce our risk to currency fluctuations. This structure however, somewhat limits our ability to move cash from one jurisdiction to another.</w:t>
      </w:r>
    </w:p>
    <w:p>
      <w:pPr>
        <w:spacing w:after="0" w:line="130"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In summary, while we do have operating company attributes, we see ourselves principally as a geographically diversified real estate and cinema company and intend to add to stockholder value by building the value of our portfolio of tangible real estate and entertainment-oriented assets. We endeavor to maintain a reasonable asset allocation between our U.S. and international assets and operations, and between our cash generating cinema operations and our cash-consuming real estate development activities. We believe that by blending the cash generating capabilities of a cinema operation with the investment and development opportunities of our real estate operation coupled with our international diversification of assets, our business strategy is unique among public companies. While historically we have retained our properties through development, we continue to evaluate the sale of certain assets to provide capital to develop our remaining properties.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December 31, 2014, our principal assets included:</w:t>
      </w:r>
    </w:p>
    <w:p>
      <w:pPr>
        <w:spacing w:after="0" w:line="157" w:lineRule="exact"/>
        <w:rPr>
          <w:sz w:val="20"/>
          <w:szCs w:val="20"/>
          <w:color w:val="auto"/>
        </w:rPr>
      </w:pPr>
    </w:p>
    <w:p>
      <w:pPr>
        <w:jc w:val="both"/>
        <w:ind w:left="340" w:right="20" w:hanging="46"/>
        <w:spacing w:after="0" w:line="250" w:lineRule="auto"/>
        <w:rPr>
          <w:sz w:val="20"/>
          <w:szCs w:val="20"/>
          <w:color w:val="auto"/>
        </w:rPr>
      </w:pPr>
      <w:r>
        <w:rPr>
          <w:rFonts w:ascii="Arial" w:cs="Arial" w:eastAsia="Arial" w:hAnsi="Arial"/>
          <w:sz w:val="16"/>
          <w:szCs w:val="16"/>
          <w:color w:val="auto"/>
        </w:rPr>
        <w:t>·interests in 57 currently operational cinemas comprising some 472 screens, plus interests in two additional leasehold cinemas representing an additional 16 screens, currently under development in the United States, and an additional 8-screen complex being developed in Auckland, New Zealand;</w:t>
      </w:r>
    </w:p>
    <w:p>
      <w:pPr>
        <w:jc w:val="both"/>
        <w:ind w:left="340" w:hanging="46"/>
        <w:spacing w:after="0" w:line="245" w:lineRule="auto"/>
        <w:rPr>
          <w:sz w:val="20"/>
          <w:szCs w:val="20"/>
          <w:color w:val="auto"/>
        </w:rPr>
      </w:pPr>
      <w:r>
        <w:rPr>
          <w:rFonts w:ascii="Arial" w:cs="Arial" w:eastAsia="Arial" w:hAnsi="Arial"/>
          <w:sz w:val="16"/>
          <w:szCs w:val="16"/>
          <w:color w:val="auto"/>
        </w:rPr>
        <w:t>·fee interests in four live theaters (the Union Square, the Orpheum and Minetta Lane in Manhattan and the Royal George in Chicago) and one cinema (the Cinemas 1, 2, 3), in New York City;</w:t>
      </w:r>
    </w:p>
    <w:p>
      <w:pPr>
        <w:jc w:val="both"/>
        <w:ind w:left="340" w:hanging="46"/>
        <w:spacing w:after="0" w:line="245" w:lineRule="auto"/>
        <w:rPr>
          <w:sz w:val="20"/>
          <w:szCs w:val="20"/>
          <w:color w:val="auto"/>
        </w:rPr>
      </w:pPr>
      <w:r>
        <w:rPr>
          <w:rFonts w:ascii="Arial" w:cs="Arial" w:eastAsia="Arial" w:hAnsi="Arial"/>
          <w:sz w:val="16"/>
          <w:szCs w:val="16"/>
          <w:color w:val="auto"/>
        </w:rPr>
        <w:t>·In addition to the domestic fee interests described immediately above, fee ownership of approximately 21.6 million square feet of developed and undeveloped real estate; and</w:t>
      </w:r>
    </w:p>
    <w:p>
      <w:pPr>
        <w:ind w:left="280"/>
        <w:spacing w:after="0"/>
        <w:rPr>
          <w:sz w:val="20"/>
          <w:szCs w:val="20"/>
          <w:color w:val="auto"/>
        </w:rPr>
      </w:pPr>
      <w:r>
        <w:rPr>
          <w:rFonts w:ascii="Arial" w:cs="Arial" w:eastAsia="Arial" w:hAnsi="Arial"/>
          <w:sz w:val="16"/>
          <w:szCs w:val="16"/>
          <w:color w:val="auto"/>
        </w:rPr>
        <w:t>· cash and cash equivalents, aggregating $50.2 million.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Cinema Exhibition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General</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conduct our cinema operations on four basic and rather simple premises:</w:t>
      </w:r>
    </w:p>
    <w:p>
      <w:pPr>
        <w:spacing w:after="0" w:line="157" w:lineRule="exact"/>
        <w:rPr>
          <w:sz w:val="20"/>
          <w:szCs w:val="20"/>
          <w:color w:val="auto"/>
        </w:rPr>
      </w:pPr>
    </w:p>
    <w:p>
      <w:pPr>
        <w:jc w:val="both"/>
        <w:ind w:left="340" w:hanging="46"/>
        <w:spacing w:after="0" w:line="250" w:lineRule="auto"/>
        <w:rPr>
          <w:sz w:val="20"/>
          <w:szCs w:val="20"/>
          <w:color w:val="auto"/>
        </w:rPr>
      </w:pPr>
      <w:r>
        <w:rPr>
          <w:rFonts w:ascii="Arial" w:cs="Arial" w:eastAsia="Arial" w:hAnsi="Arial"/>
          <w:sz w:val="16"/>
          <w:szCs w:val="16"/>
          <w:color w:val="auto"/>
        </w:rPr>
        <w:t>·first, notwithstanding the enormous advances that have been made in home-entertainment technology, humans are essentially social beings and will continue to want to go beyond the home for their entertainment, provided that they are offered clean, comfortable and convenient facilities, with state of the art technology;</w:t>
      </w:r>
    </w:p>
    <w:p>
      <w:pPr>
        <w:jc w:val="both"/>
        <w:ind w:left="340" w:hanging="46"/>
        <w:spacing w:after="0" w:line="301" w:lineRule="auto"/>
        <w:rPr>
          <w:sz w:val="20"/>
          <w:szCs w:val="20"/>
          <w:color w:val="auto"/>
        </w:rPr>
      </w:pPr>
      <w:r>
        <w:rPr>
          <w:rFonts w:ascii="Arial" w:cs="Arial" w:eastAsia="Arial" w:hAnsi="Arial"/>
          <w:sz w:val="13"/>
          <w:szCs w:val="13"/>
          <w:color w:val="auto"/>
        </w:rPr>
        <w:t>·second, cinemas can be used as anchors for larger retail developments and our involvement in the cinema business can give us an advantage over other real estate developers or redevelopers who must identify and negotiate exclusively with third-party anchor tenants;</w:t>
      </w:r>
    </w:p>
    <w:p>
      <w:pPr>
        <w:spacing w:after="0" w:line="1" w:lineRule="exact"/>
        <w:rPr>
          <w:sz w:val="20"/>
          <w:szCs w:val="20"/>
          <w:color w:val="auto"/>
        </w:rPr>
      </w:pPr>
    </w:p>
    <w:p>
      <w:pPr>
        <w:jc w:val="both"/>
        <w:ind w:left="340" w:hanging="46"/>
        <w:spacing w:after="0" w:line="317" w:lineRule="auto"/>
        <w:rPr>
          <w:sz w:val="20"/>
          <w:szCs w:val="20"/>
          <w:color w:val="auto"/>
        </w:rPr>
      </w:pPr>
      <w:r>
        <w:rPr>
          <w:rFonts w:ascii="Arial" w:cs="Arial" w:eastAsia="Arial" w:hAnsi="Arial"/>
          <w:sz w:val="13"/>
          <w:szCs w:val="13"/>
          <w:color w:val="auto"/>
        </w:rPr>
        <w:t>·third, pure cinema operators can get themselves into financial difficulty as demands upon them to produce cinema-based earnings growth tempt them into reinvesting their cash flow into increasingly marginal cinema sites. While we believe that there will continue to be attractive opportunities to acquire cinema assets and/or to develop upper end specialty type theaters (like our Angelika Film Centers) in the future, we do not feel pressure to build or acquire cinemas for the sake of adding units. We intend to focus our use of cash flow on our real estate development and operating activities, to the extent that attractive cinema opportunities are not available to us; and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50" w:right="1419" w:bottom="1440" w:gutter="0" w:footer="0" w:header="0"/>
        </w:sectPr>
      </w:pPr>
    </w:p>
    <w:bookmarkStart w:id="5" w:name="page6"/>
    <w:bookmarkEnd w:id="5"/>
    <w:p>
      <w:pPr>
        <w:jc w:val="both"/>
        <w:ind w:left="340" w:right="20" w:hanging="46"/>
        <w:spacing w:after="0" w:line="251" w:lineRule="auto"/>
        <w:rPr>
          <w:sz w:val="20"/>
          <w:szCs w:val="20"/>
          <w:color w:val="auto"/>
        </w:rPr>
      </w:pPr>
      <w:r>
        <w:rPr>
          <w:rFonts w:ascii="Arial" w:cs="Arial" w:eastAsia="Arial" w:hAnsi="Arial"/>
          <w:sz w:val="16"/>
          <w:szCs w:val="16"/>
          <w:color w:val="auto"/>
        </w:rPr>
        <w:t>·fourth, we are always open to the idea of converting an entertainment property to another use, if there is a higher and better use for the property, or to sell individual assets, if we are presented with an attractive opportunity. Our fee interests on Union Square and on Third Avenue (near 60</w:t>
      </w:r>
      <w:r>
        <w:rPr>
          <w:rFonts w:ascii="Arial" w:cs="Arial" w:eastAsia="Arial" w:hAnsi="Arial"/>
          <w:sz w:val="7"/>
          <w:szCs w:val="7"/>
          <w:color w:val="auto"/>
        </w:rPr>
        <w:t>th</w:t>
      </w:r>
      <w:r>
        <w:rPr>
          <w:rFonts w:ascii="Arial" w:cs="Arial" w:eastAsia="Arial" w:hAnsi="Arial"/>
          <w:sz w:val="16"/>
          <w:szCs w:val="16"/>
          <w:color w:val="auto"/>
        </w:rPr>
        <w:t xml:space="preserve"> Street) in New York City, each of which is now slated for redevelopment, were initially acquired as, and continue to be used as, entertainment properties.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current cinema assets that we own and/or manage are as set forth in the following chart: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Wholly Owned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Consolidated</w:t>
            </w:r>
            <w:r>
              <w:rPr>
                <w:rFonts w:ascii="Arial" w:cs="Arial" w:eastAsia="Arial" w:hAnsi="Arial"/>
                <w:sz w:val="16"/>
                <w:szCs w:val="16"/>
                <w:color w:val="auto"/>
                <w:w w:val="86"/>
                <w:vertAlign w:val="superscript"/>
              </w:rPr>
              <w:t>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Unconsolidated</w:t>
            </w:r>
            <w:r>
              <w:rPr>
                <w:rFonts w:ascii="Arial" w:cs="Arial" w:eastAsia="Arial" w:hAnsi="Arial"/>
                <w:sz w:val="16"/>
                <w:szCs w:val="16"/>
                <w:color w:val="auto"/>
                <w:w w:val="87"/>
                <w:vertAlign w:val="superscript"/>
              </w:rPr>
              <w:t>2</w:t>
            </w:r>
          </w:p>
        </w:tc>
        <w:tc>
          <w:tcPr>
            <w:tcW w:w="144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16"/>
                <w:szCs w:val="16"/>
                <w:color w:val="auto"/>
                <w:w w:val="88"/>
              </w:rPr>
              <w:t>Managed</w:t>
            </w:r>
            <w:r>
              <w:rPr>
                <w:rFonts w:ascii="Arial" w:cs="Arial" w:eastAsia="Arial" w:hAnsi="Arial"/>
                <w:sz w:val="16"/>
                <w:szCs w:val="16"/>
                <w:color w:val="auto"/>
                <w:w w:val="88"/>
                <w:vertAlign w:val="superscript"/>
              </w:rPr>
              <w:t>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Totals</w:t>
            </w:r>
          </w:p>
        </w:tc>
      </w:tr>
      <w:tr>
        <w:trPr>
          <w:trHeight w:val="305"/>
        </w:trPr>
        <w:tc>
          <w:tcPr>
            <w:tcW w:w="1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Australia</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18 cinemas</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 cinemas</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 cinema</w:t>
            </w:r>
            <w:r>
              <w:rPr>
                <w:rFonts w:ascii="Arial" w:cs="Arial" w:eastAsia="Arial" w:hAnsi="Arial"/>
                <w:sz w:val="16"/>
                <w:szCs w:val="16"/>
                <w:color w:val="auto"/>
                <w:w w:val="84"/>
                <w:vertAlign w:val="superscript"/>
              </w:rPr>
              <w:t>4</w:t>
            </w:r>
          </w:p>
        </w:tc>
        <w:tc>
          <w:tcPr>
            <w:tcW w:w="1440" w:type="dxa"/>
            <w:vAlign w:val="bottom"/>
            <w:tcBorders>
              <w:right w:val="single" w:sz="8" w:color="auto"/>
            </w:tcBorders>
            <w:shd w:val="clear" w:color="auto" w:fill="CCEEFF"/>
          </w:tcPr>
          <w:p>
            <w:pPr>
              <w:jc w:val="center"/>
              <w:ind w:right="42"/>
              <w:spacing w:after="0"/>
              <w:rPr>
                <w:sz w:val="20"/>
                <w:szCs w:val="20"/>
                <w:color w:val="auto"/>
              </w:rPr>
            </w:pPr>
            <w:r>
              <w:rPr>
                <w:rFonts w:ascii="Arial" w:cs="Arial" w:eastAsia="Arial" w:hAnsi="Arial"/>
                <w:sz w:val="16"/>
                <w:szCs w:val="16"/>
                <w:color w:val="auto"/>
                <w:w w:val="83"/>
              </w:rPr>
              <w:t>None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21 cinemas</w:t>
            </w:r>
          </w:p>
        </w:tc>
      </w:tr>
      <w:tr>
        <w:trPr>
          <w:trHeight w:val="281"/>
        </w:trPr>
        <w:tc>
          <w:tcPr>
            <w:tcW w:w="1540" w:type="dxa"/>
            <w:vAlign w:val="bottom"/>
            <w:tcBorders>
              <w:right w:val="single" w:sz="8" w:color="auto"/>
            </w:tcBorders>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2"/>
              </w:rPr>
              <w:t>138 screens</w:t>
            </w:r>
          </w:p>
        </w:tc>
        <w:tc>
          <w:tcPr>
            <w:tcW w:w="1440" w:type="dxa"/>
            <w:vAlign w:val="bottom"/>
          </w:tcPr>
          <w:p>
            <w:pPr>
              <w:jc w:val="center"/>
              <w:spacing w:after="0"/>
              <w:rPr>
                <w:sz w:val="20"/>
                <w:szCs w:val="20"/>
                <w:color w:val="auto"/>
              </w:rPr>
            </w:pPr>
            <w:r>
              <w:rPr>
                <w:rFonts w:ascii="Arial" w:cs="Arial" w:eastAsia="Arial" w:hAnsi="Arial"/>
                <w:sz w:val="16"/>
                <w:szCs w:val="16"/>
                <w:color w:val="auto"/>
                <w:w w:val="84"/>
              </w:rPr>
              <w:t>11 screens</w:t>
            </w:r>
          </w:p>
        </w:tc>
        <w:tc>
          <w:tcPr>
            <w:tcW w:w="1660" w:type="dxa"/>
            <w:vAlign w:val="bottom"/>
          </w:tcPr>
          <w:p>
            <w:pPr>
              <w:jc w:val="center"/>
              <w:spacing w:after="0"/>
              <w:rPr>
                <w:sz w:val="20"/>
                <w:szCs w:val="20"/>
                <w:color w:val="auto"/>
              </w:rPr>
            </w:pPr>
            <w:r>
              <w:rPr>
                <w:rFonts w:ascii="Arial" w:cs="Arial" w:eastAsia="Arial" w:hAnsi="Arial"/>
                <w:sz w:val="16"/>
                <w:szCs w:val="16"/>
                <w:color w:val="auto"/>
                <w:w w:val="84"/>
              </w:rPr>
              <w:t>16 screens</w:t>
            </w:r>
          </w:p>
        </w:tc>
        <w:tc>
          <w:tcPr>
            <w:tcW w:w="144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83"/>
              </w:rPr>
              <w:t>None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2"/>
              </w:rPr>
              <w:t>165 screens</w:t>
            </w:r>
          </w:p>
        </w:tc>
      </w:tr>
      <w:tr>
        <w:trPr>
          <w:trHeight w:val="282"/>
        </w:trPr>
        <w:tc>
          <w:tcPr>
            <w:tcW w:w="1540" w:type="dxa"/>
            <w:vAlign w:val="bottom"/>
            <w:tcBorders>
              <w:right w:val="single" w:sz="8" w:color="auto"/>
            </w:tcBorders>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440" w:type="dxa"/>
            <w:vAlign w:val="bottom"/>
            <w:tcBorders>
              <w:right w:val="single" w:sz="8" w:color="auto"/>
            </w:tcBorders>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317"/>
        </w:trPr>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New Zealand</w:t>
            </w:r>
          </w:p>
        </w:tc>
        <w:tc>
          <w:tcPr>
            <w:tcW w:w="1520" w:type="dxa"/>
            <w:vAlign w:val="bottom"/>
          </w:tcPr>
          <w:p>
            <w:pPr>
              <w:jc w:val="center"/>
              <w:spacing w:after="0"/>
              <w:rPr>
                <w:sz w:val="20"/>
                <w:szCs w:val="20"/>
                <w:color w:val="auto"/>
              </w:rPr>
            </w:pPr>
            <w:r>
              <w:rPr>
                <w:rFonts w:ascii="Arial" w:cs="Arial" w:eastAsia="Arial" w:hAnsi="Arial"/>
                <w:sz w:val="16"/>
                <w:szCs w:val="16"/>
                <w:color w:val="auto"/>
                <w:w w:val="87"/>
              </w:rPr>
              <w:t>8 cinemas</w:t>
            </w:r>
          </w:p>
        </w:tc>
        <w:tc>
          <w:tcPr>
            <w:tcW w:w="144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1660" w:type="dxa"/>
            <w:vAlign w:val="bottom"/>
          </w:tcPr>
          <w:p>
            <w:pPr>
              <w:jc w:val="center"/>
              <w:spacing w:after="0"/>
              <w:rPr>
                <w:sz w:val="20"/>
                <w:szCs w:val="20"/>
                <w:color w:val="auto"/>
              </w:rPr>
            </w:pPr>
            <w:r>
              <w:rPr>
                <w:rFonts w:ascii="Arial" w:cs="Arial" w:eastAsia="Arial" w:hAnsi="Arial"/>
                <w:sz w:val="16"/>
                <w:szCs w:val="16"/>
                <w:color w:val="auto"/>
                <w:w w:val="86"/>
              </w:rPr>
              <w:t>2 cinemas</w:t>
            </w:r>
            <w:r>
              <w:rPr>
                <w:rFonts w:ascii="Arial" w:cs="Arial" w:eastAsia="Arial" w:hAnsi="Arial"/>
                <w:sz w:val="16"/>
                <w:szCs w:val="16"/>
                <w:color w:val="auto"/>
                <w:w w:val="86"/>
                <w:vertAlign w:val="superscript"/>
              </w:rPr>
              <w:t>5</w:t>
            </w:r>
          </w:p>
        </w:tc>
        <w:tc>
          <w:tcPr>
            <w:tcW w:w="144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83"/>
              </w:rPr>
              <w:t>None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5"/>
              </w:rPr>
              <w:t>10 cinemas</w:t>
            </w:r>
          </w:p>
        </w:tc>
      </w:tr>
      <w:tr>
        <w:trPr>
          <w:trHeight w:val="282"/>
        </w:trPr>
        <w:tc>
          <w:tcPr>
            <w:tcW w:w="1540" w:type="dxa"/>
            <w:vAlign w:val="bottom"/>
            <w:tcBorders>
              <w:right w:val="single" w:sz="8" w:color="auto"/>
            </w:tcBorders>
            <w:shd w:val="clear" w:color="auto" w:fill="CCEEFF"/>
          </w:tcPr>
          <w:p>
            <w:pPr>
              <w:spacing w:after="0"/>
              <w:rPr>
                <w:sz w:val="24"/>
                <w:szCs w:val="24"/>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1"/>
              </w:rPr>
              <w:t>46 screens</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None</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13 screens</w:t>
            </w:r>
          </w:p>
        </w:tc>
        <w:tc>
          <w:tcPr>
            <w:tcW w:w="1440" w:type="dxa"/>
            <w:vAlign w:val="bottom"/>
            <w:tcBorders>
              <w:right w:val="single" w:sz="8" w:color="auto"/>
            </w:tcBorders>
            <w:shd w:val="clear" w:color="auto" w:fill="CCEEFF"/>
          </w:tcPr>
          <w:p>
            <w:pPr>
              <w:jc w:val="center"/>
              <w:ind w:right="42"/>
              <w:spacing w:after="0"/>
              <w:rPr>
                <w:sz w:val="20"/>
                <w:szCs w:val="20"/>
                <w:color w:val="auto"/>
              </w:rPr>
            </w:pPr>
            <w:r>
              <w:rPr>
                <w:rFonts w:ascii="Arial" w:cs="Arial" w:eastAsia="Arial" w:hAnsi="Arial"/>
                <w:sz w:val="16"/>
                <w:szCs w:val="16"/>
                <w:color w:val="auto"/>
                <w:w w:val="83"/>
              </w:rPr>
              <w:t>None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2"/>
              </w:rPr>
              <w:t>59 screens</w:t>
            </w:r>
          </w:p>
        </w:tc>
      </w:tr>
      <w:tr>
        <w:trPr>
          <w:trHeight w:val="282"/>
        </w:trPr>
        <w:tc>
          <w:tcPr>
            <w:tcW w:w="15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r>
      <w:tr>
        <w:trPr>
          <w:trHeight w:val="282"/>
        </w:trPr>
        <w:tc>
          <w:tcPr>
            <w:tcW w:w="1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25 cinemas</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 cinema</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None</w:t>
            </w:r>
          </w:p>
        </w:tc>
        <w:tc>
          <w:tcPr>
            <w:tcW w:w="1440" w:type="dxa"/>
            <w:vAlign w:val="bottom"/>
            <w:tcBorders>
              <w:right w:val="single" w:sz="8" w:color="auto"/>
            </w:tcBorders>
            <w:shd w:val="clear" w:color="auto" w:fill="CCEEFF"/>
          </w:tcPr>
          <w:p>
            <w:pPr>
              <w:jc w:val="center"/>
              <w:ind w:right="42"/>
              <w:spacing w:after="0"/>
              <w:rPr>
                <w:sz w:val="20"/>
                <w:szCs w:val="20"/>
                <w:color w:val="auto"/>
              </w:rPr>
            </w:pPr>
            <w:r>
              <w:rPr>
                <w:rFonts w:ascii="Arial" w:cs="Arial" w:eastAsia="Arial" w:hAnsi="Arial"/>
                <w:sz w:val="16"/>
                <w:szCs w:val="16"/>
                <w:color w:val="auto"/>
                <w:w w:val="86"/>
              </w:rPr>
              <w:t>1 cinema</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27 cinemas</w:t>
            </w:r>
          </w:p>
        </w:tc>
      </w:tr>
      <w:tr>
        <w:trPr>
          <w:trHeight w:val="281"/>
        </w:trPr>
        <w:tc>
          <w:tcPr>
            <w:tcW w:w="1540" w:type="dxa"/>
            <w:vAlign w:val="bottom"/>
            <w:tcBorders>
              <w:right w:val="single" w:sz="8" w:color="auto"/>
            </w:tcBorders>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2"/>
              </w:rPr>
              <w:t>245 screens</w:t>
            </w:r>
          </w:p>
        </w:tc>
        <w:tc>
          <w:tcPr>
            <w:tcW w:w="1440" w:type="dxa"/>
            <w:vAlign w:val="bottom"/>
          </w:tcPr>
          <w:p>
            <w:pPr>
              <w:jc w:val="center"/>
              <w:spacing w:after="0"/>
              <w:rPr>
                <w:sz w:val="20"/>
                <w:szCs w:val="20"/>
                <w:color w:val="auto"/>
              </w:rPr>
            </w:pPr>
            <w:r>
              <w:rPr>
                <w:rFonts w:ascii="Arial" w:cs="Arial" w:eastAsia="Arial" w:hAnsi="Arial"/>
                <w:sz w:val="16"/>
                <w:szCs w:val="16"/>
                <w:color w:val="auto"/>
                <w:w w:val="83"/>
              </w:rPr>
              <w:t>3 screens</w:t>
            </w:r>
          </w:p>
        </w:tc>
        <w:tc>
          <w:tcPr>
            <w:tcW w:w="166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144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80"/>
              </w:rPr>
              <w:t>4 screens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2"/>
              </w:rPr>
              <w:t>252 screens</w:t>
            </w:r>
          </w:p>
        </w:tc>
      </w:tr>
      <w:tr>
        <w:trPr>
          <w:trHeight w:val="282"/>
        </w:trPr>
        <w:tc>
          <w:tcPr>
            <w:tcW w:w="1540" w:type="dxa"/>
            <w:vAlign w:val="bottom"/>
            <w:tcBorders>
              <w:bottom w:val="single" w:sz="8" w:color="auto"/>
              <w:right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right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r>
      <w:tr>
        <w:trPr>
          <w:trHeight w:val="261"/>
        </w:trPr>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Totals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3"/>
              </w:rPr>
              <w:t>51 cinemas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5"/>
              </w:rPr>
              <w:t>3 cinemas</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5"/>
              </w:rPr>
              <w:t>3 cinemas</w:t>
            </w:r>
          </w:p>
        </w:tc>
        <w:tc>
          <w:tcPr>
            <w:tcW w:w="144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2"/>
              </w:rPr>
              <w:t>1 cinemas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5"/>
              </w:rPr>
              <w:t>58 cinemas</w:t>
            </w:r>
          </w:p>
        </w:tc>
      </w:tr>
      <w:tr>
        <w:trPr>
          <w:trHeight w:val="274"/>
        </w:trPr>
        <w:tc>
          <w:tcPr>
            <w:tcW w:w="1540" w:type="dxa"/>
            <w:vAlign w:val="bottom"/>
            <w:tcBorders>
              <w:bottom w:val="single" w:sz="8" w:color="auto"/>
              <w:right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2"/>
              </w:rPr>
              <w:t>429 screens</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2"/>
              </w:rPr>
              <w:t>14 screens</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2"/>
              </w:rPr>
              <w:t>29 screens</w:t>
            </w:r>
          </w:p>
        </w:tc>
        <w:tc>
          <w:tcPr>
            <w:tcW w:w="1440" w:type="dxa"/>
            <w:vAlign w:val="bottom"/>
            <w:tcBorders>
              <w:bottom w:val="single" w:sz="8" w:color="auto"/>
              <w:right w:val="single" w:sz="8" w:color="auto"/>
            </w:tcBorders>
            <w:shd w:val="clear" w:color="auto" w:fill="CCEEFF"/>
          </w:tcPr>
          <w:p>
            <w:pPr>
              <w:jc w:val="center"/>
              <w:ind w:right="42"/>
              <w:spacing w:after="0"/>
              <w:rPr>
                <w:sz w:val="20"/>
                <w:szCs w:val="20"/>
                <w:color w:val="auto"/>
              </w:rPr>
            </w:pPr>
            <w:r>
              <w:rPr>
                <w:rFonts w:ascii="Arial" w:cs="Arial" w:eastAsia="Arial" w:hAnsi="Arial"/>
                <w:sz w:val="16"/>
                <w:szCs w:val="16"/>
                <w:b w:val="1"/>
                <w:bCs w:val="1"/>
                <w:color w:val="auto"/>
                <w:w w:val="81"/>
              </w:rPr>
              <w:t>4 screens</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2"/>
              </w:rPr>
              <w:t>476 screens</w:t>
            </w:r>
          </w:p>
        </w:tc>
      </w:tr>
    </w:tbl>
    <w:p>
      <w:pPr>
        <w:spacing w:after="0" w:line="162" w:lineRule="exact"/>
        <w:rPr>
          <w:sz w:val="20"/>
          <w:szCs w:val="20"/>
          <w:color w:val="auto"/>
        </w:rPr>
      </w:pPr>
    </w:p>
    <w:p>
      <w:pPr>
        <w:ind w:left="180" w:hanging="178"/>
        <w:spacing w:after="0"/>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Cinemas owned and operated through consolidated, but not wholly owned subsidiaries.</w:t>
      </w:r>
    </w:p>
    <w:p>
      <w:pPr>
        <w:ind w:left="180" w:hanging="178"/>
        <w:spacing w:after="0" w:line="20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Cinemas owned and operated through unconsolidated associates.</w:t>
      </w:r>
    </w:p>
    <w:p>
      <w:pPr>
        <w:ind w:left="180" w:hanging="178"/>
        <w:spacing w:after="0" w:line="20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Cinemas in which we have no ownership interest, but which are operated by us under management agreements.</w:t>
      </w:r>
    </w:p>
    <w:p>
      <w:pPr>
        <w:ind w:left="180" w:hanging="178"/>
        <w:spacing w:after="0" w:line="20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33.3% unincorporated joint venture interest.</w:t>
      </w:r>
    </w:p>
    <w:p>
      <w:pPr>
        <w:ind w:left="180" w:hanging="178"/>
        <w:spacing w:after="0" w:line="23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50% unincorporated joint venture interest.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focus on the ownership and/or operation of three categories of cinemas: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first, modern stadium seating multiplex cinemas featuring conventional film product;</w:t>
      </w:r>
    </w:p>
    <w:p>
      <w:pPr>
        <w:spacing w:after="0" w:line="16" w:lineRule="exact"/>
        <w:rPr>
          <w:sz w:val="20"/>
          <w:szCs w:val="20"/>
          <w:color w:val="auto"/>
        </w:rPr>
      </w:pPr>
    </w:p>
    <w:p>
      <w:pPr>
        <w:ind w:left="340" w:right="20" w:hanging="46"/>
        <w:spacing w:after="0" w:line="245" w:lineRule="auto"/>
        <w:rPr>
          <w:sz w:val="20"/>
          <w:szCs w:val="20"/>
          <w:color w:val="auto"/>
        </w:rPr>
      </w:pPr>
      <w:r>
        <w:rPr>
          <w:rFonts w:ascii="Arial" w:cs="Arial" w:eastAsia="Arial" w:hAnsi="Arial"/>
          <w:sz w:val="16"/>
          <w:szCs w:val="16"/>
          <w:color w:val="auto"/>
        </w:rPr>
        <w:t>·second, specialty and art cinemas, such as our Angelika Film Centers in Manhattan, Dallas, Plano, and Fairfax, Virginia and the Rialto cinema chain in New Zealand; and</w:t>
      </w:r>
    </w:p>
    <w:p>
      <w:pPr>
        <w:ind w:left="340" w:right="20" w:hanging="46"/>
        <w:spacing w:after="0" w:line="250" w:lineRule="auto"/>
        <w:rPr>
          <w:sz w:val="20"/>
          <w:szCs w:val="20"/>
          <w:color w:val="auto"/>
        </w:rPr>
      </w:pPr>
      <w:r>
        <w:rPr>
          <w:rFonts w:ascii="Arial" w:cs="Arial" w:eastAsia="Arial" w:hAnsi="Arial"/>
          <w:sz w:val="16"/>
          <w:szCs w:val="16"/>
          <w:color w:val="auto"/>
        </w:rPr>
        <w:t>·third, in certain markets, including New York City and particularly small town markets that will not support the development of a modern stadium design multiplex cinema, conventional sloped floor cinemas.</w:t>
      </w:r>
    </w:p>
    <w:p>
      <w:pPr>
        <w:spacing w:after="0" w:line="200" w:lineRule="exact"/>
        <w:rPr>
          <w:sz w:val="20"/>
          <w:szCs w:val="20"/>
          <w:color w:val="auto"/>
        </w:rPr>
      </w:pPr>
    </w:p>
    <w:p>
      <w:pPr>
        <w:spacing w:after="0" w:line="31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also have various premium class offerings, including luxury seating, premium audio, private lounges, cafés and bar service, and other amenities, in certain of our cinemas and are in the process of converting certain of our other existing cinemas to provide this premium offering as well.</w:t>
      </w:r>
    </w:p>
    <w:p>
      <w:pPr>
        <w:spacing w:after="0" w:line="130"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Although we operate cinemas in three jurisdictions, the general nature of our operations and operating strategies does not vary materially from jurisdiction to jurisdiction. In each jurisdiction, our gross receipts are primarily from box office receipts, concession sales, and screen advertising. Our ancillary revenue is created principally from theater rentals (for example, for film festivals and special events), ancillary programming (such as concerts and sporting events), and internet advertising and ticket sales.</w:t>
      </w:r>
    </w:p>
    <w:p>
      <w:pPr>
        <w:spacing w:after="0" w:line="12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cinemas generated approximately 66% of their 2014 revenue from box office receipts. Ticket prices vary by location and we offer reduced rates for senior citizens, children and, in certain markets, military and students.</w:t>
      </w:r>
    </w:p>
    <w:p>
      <w:pPr>
        <w:spacing w:after="0" w:line="12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Show times and features are placed in advertisements in local newspapers, internet sites, and on our various websites. In the United States, film distributors may also advertise certain feature films in various print,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6" w:name="page7"/>
    <w:bookmarkEnd w:id="6"/>
    <w:p>
      <w:pPr>
        <w:jc w:val="both"/>
        <w:spacing w:after="0" w:line="341" w:lineRule="auto"/>
        <w:rPr>
          <w:sz w:val="20"/>
          <w:szCs w:val="20"/>
          <w:color w:val="auto"/>
        </w:rPr>
      </w:pPr>
      <w:r>
        <w:rPr>
          <w:rFonts w:ascii="Arial" w:cs="Arial" w:eastAsia="Arial" w:hAnsi="Arial"/>
          <w:sz w:val="13"/>
          <w:szCs w:val="13"/>
          <w:color w:val="auto"/>
        </w:rPr>
        <w:t>radio and television media, as well as on the internet and those costs are generally paid by distributors. In Australia and New Zealand, the exhibitor typically pays the costs of local newspaper film advertisements, while the distributors are responsible for the cost of any national advertising campaign. Additionally, we are increasing our presence in social media and, thereby reducing our dependency on print advertising.</w:t>
      </w:r>
    </w:p>
    <w:p>
      <w:pPr>
        <w:spacing w:after="0" w:line="79"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Concession sales accounted for approximately 28% of our total 2014 cinema revenue. Although certain cinemas have licenses for the sale and consumption of alcoholic beverages, concession products are primarily popcorn, candy, and soda.</w:t>
      </w:r>
    </w:p>
    <w:p>
      <w:pPr>
        <w:spacing w:after="0" w:line="13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Screen advertising and other revenue contribute approximately 6% of our total 2014 cinema revenue. With the exception of certain rights that we have retained to sell to local advertisers, generally speaking, we are not in the screen advertising business and nationally recognized screen-advertising companies provide such advertising for us.</w:t>
      </w:r>
    </w:p>
    <w:p>
      <w:pPr>
        <w:spacing w:after="0" w:line="13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New Zealand, we also own a one-third interest in Rialto Distribution Rialto Distribution, an unincorporated joint venture, is engaged in the business of distributing art film in New Zealand and Australia. The remaining two-thirds interest is owned by the founders of Rialto Distribution, who have been in the art film distribution business since 1993.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of Cinemas</w:t>
      </w:r>
    </w:p>
    <w:p>
      <w:pPr>
        <w:spacing w:after="0" w:line="168"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With the exception of our three unconsolidated cinemas, we manage all of our cinemas with executives located in Los Angeles, Manhattan, Melbourne, Australia, and Wellington, New Zealand. Approximately 2,378 individuals were employed (on a full time or part time basis) in our cinema operations in 2014. Our two New Zealand Rialto cinemas are owned by a joint venture in which Reading New Zealand is a 50% joint venture partner. While we are principally responsible for the booking of the cinemas, our joint venture partner, Greater Union, manages the day-to-day operations of these New Zealand cinemas. In addition, we have a one-third interest in a 16-screen Brisbane cinema. Greater Union manages that cinema as well.</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Licensing/Pricing</w:t>
      </w:r>
    </w:p>
    <w:p>
      <w:pPr>
        <w:spacing w:after="0" w:line="157"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Film product is available from a variety of sources, ranging from the major film distributors such as Paramount Pictures, Twentieth Century Fox, Warner Bros, Buena Vista Pictures (Disney), Sony Pictures Releasing, Universal Pictures and Lionsgate to a variety of smaller independent film distributors. In Australia and New Zealand, some of those major distributors distribute through local unaffiliated distributors. The major film distributors dominate the market for mainstream conventional films. Art and specialty film is distributed through the art and specialty divisions of these major distributors, such as Fox Searchlight and Sony Pictures Classics, and through independent distributors such as The Weinstein Company. Generally speaking, film payment terms are based upon an agreed upon percentage of box office receipts that will vary from film-to-film as films are licensed in Australia, New Zealand and the United States on a film-by-film, theater-by-theater basis.</w:t>
      </w:r>
    </w:p>
    <w:p>
      <w:pPr>
        <w:spacing w:after="0" w:line="106"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In certain markets in the US, film may be allocated by the distributor among competitive cinemas, and in other U.S. markets we have access to all available film. With respect to art and specialty film, we, from time-to-time, are unable to license every art and specialty film that we may desire to play. Generally, in the Australian and New Zealand markets, we generally have access to all available film product. The fact that our cinemas in certain markets have a film allocation has not in recent periods been a major impediment to our operations.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Competition</w:t>
      </w:r>
    </w:p>
    <w:p>
      <w:pPr>
        <w:spacing w:after="0" w:line="157"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In each of the United States, Australia, and New Zealand, film patrons typically select the cinema that they are going to go to first by selecting the film they want to see, and then by selecting the cinema in which they would prefer to see it. Accordingly, 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certain markets, distributors typically take the position that they are free to provide or not provide their films to particular exhibitors, at their complete and absolute discretion, even though the number of “digital prints” is theoretically unlimited. Some competitors, like AMC, are becoming increasing aggressive in their efforts to prevent competitors from access to film product in film zones where they have cinemas.</w:t>
      </w:r>
    </w:p>
    <w:p>
      <w:pPr>
        <w:spacing w:after="0" w:line="10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Competition for films can be intense, depending upon the number of cinemas in a particular market. Our ability to obtain top grossing first run feature films may be adversely impacted by our comparatively small size,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7" w:name="page8"/>
    <w:bookmarkEnd w:id="7"/>
    <w:p>
      <w:pPr>
        <w:jc w:val="both"/>
        <w:spacing w:after="0" w:line="315" w:lineRule="auto"/>
        <w:rPr>
          <w:sz w:val="20"/>
          <w:szCs w:val="20"/>
          <w:color w:val="auto"/>
        </w:rPr>
      </w:pPr>
      <w:r>
        <w:rPr>
          <w:rFonts w:ascii="Arial" w:cs="Arial" w:eastAsia="Arial" w:hAnsi="Arial"/>
          <w:sz w:val="13"/>
          <w:szCs w:val="13"/>
          <w:color w:val="auto"/>
        </w:rPr>
        <w:t>and the limited number of screens we can supply to distributors. Moreover, in the United States, because of the dramatic consolidation of screens into the hands of a few very large and powerful exhibitors such as Regal and AMC, these mega-exhibition companies are in a position to offer distributors access to many more screens in major markets than we can. Accordingly, distributors may decide to give preference to these mega-exhibitors when it comes to licensing top grossing films, rather than deal with independents such as ourselves. The situation is different in Australia and New Zealand, where typically every major multiplex cinema has access to all of the film currently in distribution, regardless of the ownership of that multiplex cinema. However, we have suffered somewhat in these markets from competition from boutique operators, who are able to book top grossing commercial films for limited runs, thus increasing competition for customers wishing to view such top grossing films.</w:t>
      </w:r>
    </w:p>
    <w:p>
      <w:pPr>
        <w:spacing w:after="0" w:line="95"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Once a patron has selected the film, the choice of cinema is typically impacted by the quality of the cinema experience offered, weighed against convenience and cost. For example, most cinema patrons seem to prefer a modern stadium design multiplex to an older sloped floor cinema, and to prefer a cinema that either offers convenient access to free parking (or public transport) over a cinema that does not. However, if the film they desire to see is only available at a limited number of locations, they will typically choose the film over the quality of the cinema and/or the convenience of the cinema. Generally speaking, our cinemas are modern multiplex cinemas with good and convenient parking. As discussed further below, the availability of 3D or digital technology and/or premium class seating can also be a factor in the preference of one cinema over another.</w:t>
      </w:r>
    </w:p>
    <w:p>
      <w:pPr>
        <w:spacing w:after="0" w:line="149"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In recent periods, a number of cinemas have been opened or re-opened featuring luxury seating and/or expanded food and beverage service, including the sale of alcoholic beverages and food served to the seat. We have for a number of years offered alcoholic beverages in certain of our Australia and New Zealand cinemas and at certain of our Angelika Film Centers in the U.S. We are currently working to upgrade the seating and food and beverage offerings (including the offering of alcoholic beverages) at a number of our existing locations.</w:t>
      </w:r>
    </w:p>
    <w:p>
      <w:pPr>
        <w:spacing w:after="0" w:line="8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The film exhibition markets in the United States, Australia, and New Zealand are to a certain extent dominated by a limited number of major exhibition companies. The principal exhibitors in the United States are Regal (with 7,367 screens in 574 cinemas), AMC (with 4,968 screens in 342 cinemas), Cinemark (with 5,603 screens in 488 cinemas), and Carmike (with 2,896 screens in 273 cinemas). As of December 31, 2014, we were the 11th largest exhibitor with 1% of the box office in the United States with 252 screens in 27 cinemas.</w:t>
      </w:r>
    </w:p>
    <w:p>
      <w:pPr>
        <w:spacing w:after="0" w:line="87"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The principal exhibitors in Australia are Greater Union, which does business under the Event name (a subsidiary of Amalgamated Holdings Limited), Hoyts Cinemas (“Hoyts”), and Village. The major exhibitors control approximately 65% of the total cinema box office: Event 30%, Hoyts 20%, and Village 15%. Event has 434 screens nationally, Hoyts 333 screens, and Village 207 screens. By comparison, our 149 screens (excluding any partnership theaters) represent approximately 7% of the total box office.</w:t>
      </w:r>
    </w:p>
    <w:p>
      <w:pPr>
        <w:spacing w:after="0" w:line="128"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principal exhibitors in New Zealand are Event with 98 screens nationally and Hoyts with 63 screens. Reading has 46 screens (excluding partnerships). The major exhibitors in New Zealand control approximately 57% of the total box office: Event 37% and Hoyts 20%. Reading has 12% of the market (Event and Reading market share figures exclude any partnership theaters).</w:t>
      </w:r>
    </w:p>
    <w:p>
      <w:pPr>
        <w:spacing w:after="0" w:line="113"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Greater Union is the owner of the Birch Carroll &amp; Coyle chain in Australia and purchased Sky Cinemas in New Zealand during 2010. In addition,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$539.3 million (AUS$572.1 million) at June 30, 2014. The Greater Union organization does not separately publish financial reports, but its parent, Amalgamated Holdings, had a publicly reported consolidated net worth of approximately $867.6 million (AUS$920.4 million) at June 30, 2014. Hoyts is privately held and does not publish financial reports. Hoyts was sold in December 2014 by Pacific Equity Partners to a Chinese private equity group, Sun Xishuang.</w:t>
      </w:r>
    </w:p>
    <w:p>
      <w:pPr>
        <w:spacing w:after="0" w:line="125"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In Australia, the industry is somewhat vertically integrated in that Roadshow Film Distributors, a subsidiary of Village, serves as a distributor of film in Australia and New Zealand for Warner Brothers. Films produced or distributed by the majority of the local international independent producers are also distributed by Roadshow Film Distributors. Hoyts is also involved in film production and distribution.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Digital Exhibition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8" w:name="page9"/>
    <w:bookmarkEnd w:id="8"/>
    <w:p>
      <w:pPr>
        <w:jc w:val="both"/>
        <w:ind w:firstLine="564"/>
        <w:spacing w:after="0" w:line="251" w:lineRule="auto"/>
        <w:rPr>
          <w:sz w:val="20"/>
          <w:szCs w:val="20"/>
          <w:color w:val="auto"/>
        </w:rPr>
      </w:pPr>
      <w:r>
        <w:rPr>
          <w:rFonts w:ascii="Arial" w:cs="Arial" w:eastAsia="Arial" w:hAnsi="Arial"/>
          <w:sz w:val="16"/>
          <w:szCs w:val="16"/>
          <w:color w:val="auto"/>
        </w:rPr>
        <w:t>After years of uncertainty as to the future of digital exhibition and the impact of this technology on cinema exhibition, it became clear in 2012 that the industry must go digital. We have now completed the conversion of all of our U.S., Australian, and New Zealand cinema operations to digital projection. We anticipate that the cost of this conversion, over time, will be covered in substantial part by the receipt of “virtual print fees” paid by film distributors for the use of such digital projection equipment.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In-Home Competition</w:t>
      </w:r>
    </w:p>
    <w:p>
      <w:pPr>
        <w:spacing w:after="0" w:line="168"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The “in-home” entertainment industry has experienced significant leaps in recent periods in both the quality and affordability of in-home entertainment systems and in the accessibility to and quality of entertainment programming through cable, satellite, internet distribution channels, and DVD. The success of these alternative distribution channels put additional pressure on film distributors to reduce and/or eliminate the time period between theatrical and secondary release dates. These are issues common to both our U.S. and international cinema operations.</w:t>
      </w:r>
    </w:p>
    <w:p>
      <w:pPr>
        <w:spacing w:after="0" w:line="87" w:lineRule="exact"/>
        <w:rPr>
          <w:sz w:val="20"/>
          <w:szCs w:val="20"/>
          <w:color w:val="auto"/>
        </w:rPr>
      </w:pPr>
    </w:p>
    <w:p>
      <w:pPr>
        <w:ind w:right="100" w:firstLine="564"/>
        <w:spacing w:after="0" w:line="451" w:lineRule="auto"/>
        <w:rPr>
          <w:sz w:val="20"/>
          <w:szCs w:val="20"/>
          <w:color w:val="auto"/>
        </w:rPr>
      </w:pPr>
      <w:r>
        <w:rPr>
          <w:rFonts w:ascii="Arial" w:cs="Arial" w:eastAsia="Arial" w:hAnsi="Arial"/>
          <w:sz w:val="16"/>
          <w:szCs w:val="16"/>
          <w:color w:val="auto"/>
        </w:rPr>
        <w:t xml:space="preserve">Competitive issues are discussed in greater detail above under the caption, </w:t>
      </w:r>
      <w:r>
        <w:rPr>
          <w:rFonts w:ascii="Arial" w:cs="Arial" w:eastAsia="Arial" w:hAnsi="Arial"/>
          <w:sz w:val="16"/>
          <w:szCs w:val="16"/>
          <w:i w:val="1"/>
          <w:iCs w:val="1"/>
          <w:color w:val="auto"/>
        </w:rPr>
        <w:t>Competition</w:t>
      </w:r>
      <w:r>
        <w:rPr>
          <w:rFonts w:ascii="Arial" w:cs="Arial" w:eastAsia="Arial" w:hAnsi="Arial"/>
          <w:sz w:val="16"/>
          <w:szCs w:val="16"/>
          <w:color w:val="auto"/>
        </w:rPr>
        <w:t xml:space="preserve">, and under the caption,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Seasonality</w:t>
      </w:r>
    </w:p>
    <w:p>
      <w:pPr>
        <w:spacing w:after="0" w:line="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Employees</w:t>
      </w:r>
    </w:p>
    <w:p>
      <w:pPr>
        <w:spacing w:after="0" w:line="15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We have 75 full-time executive and administrative employees and approximately 2,378 cinema employees. Some of our cinema employees in Wellington, Rotorua, and Christchurch, New Zealand are unionized, as are our projectionists in Hawaii. None of our other employees are subject to union contracts. Our union contracts with respect to our New Zealand employees have been renewed through to 2015. None of our Australian-based employees is unionized. Overall, we are of the view that the existence of these contracts does not materially increase our costs of labor or our ability to compete. We believe our relations with our employees to be generally good.</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Real Estate Activities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real estate activities have historically consisted principally of:</w:t>
      </w:r>
    </w:p>
    <w:p>
      <w:pPr>
        <w:spacing w:after="0" w:line="157" w:lineRule="exact"/>
        <w:rPr>
          <w:sz w:val="20"/>
          <w:szCs w:val="20"/>
          <w:color w:val="auto"/>
        </w:rPr>
      </w:pPr>
    </w:p>
    <w:p>
      <w:pPr>
        <w:ind w:left="340" w:hanging="46"/>
        <w:spacing w:after="0" w:line="252" w:lineRule="auto"/>
        <w:rPr>
          <w:sz w:val="20"/>
          <w:szCs w:val="20"/>
          <w:color w:val="auto"/>
        </w:rPr>
      </w:pPr>
      <w:r>
        <w:rPr>
          <w:rFonts w:ascii="Arial" w:cs="Arial" w:eastAsia="Arial" w:hAnsi="Arial"/>
          <w:sz w:val="16"/>
          <w:szCs w:val="16"/>
          <w:color w:val="auto"/>
        </w:rPr>
        <w:t>·the ownership of fee or long-term leasehold interests in properties used in our cinema exhibition activities or which were acquired for the development of cinemas or cinema based real estate development projects;</w:t>
      </w:r>
    </w:p>
    <w:p>
      <w:pPr>
        <w:spacing w:after="0" w:line="1" w:lineRule="exact"/>
        <w:rPr>
          <w:sz w:val="20"/>
          <w:szCs w:val="20"/>
          <w:color w:val="auto"/>
        </w:rPr>
      </w:pPr>
    </w:p>
    <w:p>
      <w:pPr>
        <w:ind w:left="360" w:hanging="77"/>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acquisition of fee interests in land for general real estate development;</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leasing to production companies of our live theaters; and</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redevelopment of our existing fee-owned cinema or live theater sites to their highest and best use.</w:t>
      </w:r>
    </w:p>
    <w:p>
      <w:pPr>
        <w:spacing w:after="0" w:line="157"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While we report our real estate as a separate segment, it has historically operated as an integral portion of our overall business and, again historically, has principally been in support of that business. In recent periods, however, we have acquired or developed properties that do not have any cinema or other entertainment component. As opportunities for cinema development become more limited, it is likely that our real estate activities will continue to expand beyond the development of entertainment-oriented properties.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Our real estate activities, holdings and developments are described in greater detail in Item 2 – </w:t>
      </w:r>
      <w:r>
        <w:rPr>
          <w:rFonts w:ascii="Arial" w:cs="Arial" w:eastAsia="Arial" w:hAnsi="Arial"/>
          <w:sz w:val="16"/>
          <w:szCs w:val="16"/>
          <w:i w:val="1"/>
          <w:iCs w:val="1"/>
          <w:color w:val="auto"/>
        </w:rPr>
        <w:t>Properties</w:t>
      </w:r>
      <w:r>
        <w:rPr>
          <w:rFonts w:ascii="Arial" w:cs="Arial" w:eastAsia="Arial" w:hAnsi="Arial"/>
          <w:sz w:val="16"/>
          <w:szCs w:val="16"/>
          <w:color w:val="auto"/>
        </w:rPr>
        <w: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u w:val="single" w:color="auto"/>
          <w:color w:val="auto"/>
        </w:rPr>
        <w:t>Item 1A – Risk Factors</w:t>
      </w:r>
    </w:p>
    <w:p>
      <w:pPr>
        <w:spacing w:after="0" w:line="196"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Risk Factors</w:t>
      </w:r>
    </w:p>
    <w:p>
      <w:pPr>
        <w:spacing w:after="0" w:line="172"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We are currently engaged principally in the cinema exhibition and real estate businesses. Since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since we are principally in the business of renting space to producers rather than in licensing or producing plays ourselves – the cinema exhibition and live theater businesses share certain risk factors and are, accordingly, discussed together below.</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Exhibition and Live Theater Business Risk Factors</w:t>
      </w:r>
    </w:p>
    <w:p>
      <w:pPr>
        <w:spacing w:after="0" w:line="157"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We operate in a highly competitive environment with many competitors who are significantly larger and may have significantly better access to funds than do we.</w:t>
      </w:r>
    </w:p>
    <w:p>
      <w:pPr>
        <w:spacing w:after="0" w:line="134"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are a comparatively small cinema operator and face competition from much larger cinema exhibitors. These larger exhibitors are able to offer distributors more screens in more markets – including markets where they may be the exclusive exhibitor – than can we. In some cases, faced with such competition, we may not be able to get access to all of the films we want, which may adversely affect our revenue and profitability.</w:t>
      </w:r>
    </w:p>
    <w:p>
      <w:pPr>
        <w:spacing w:after="0" w:line="13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These larger competitors may also enjoy (i) greater cash flow, which can be used to develop additional cinemas, including cinemas that may be competitive with our existing cinemas, (ii) better access to equity capital and debt, and (iii) better visibility to landlords and real estate developers, than do we.</w:t>
      </w:r>
    </w:p>
    <w:p>
      <w:pPr>
        <w:spacing w:after="0" w:line="130"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face competition from other sources of entertainment and other entertainment delivery systems.</w:t>
      </w:r>
    </w:p>
    <w:p>
      <w:pPr>
        <w:spacing w:after="0" w:line="157"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Both our cinema and live theater operations face competition from developing “in-home” sources of entertainment. These include competition from cable and satellite television, Video on Demand (“VOD”), DVD, the internet and other sources of entertainment, and video games. The quality of in-house entertainment systems, as well as programming available on an in-home basis has increased, while the cost to consumers of such systems (and such programming) has decreased in recent periods, and some consumers may prefer the security of an ”in-home” entertainment experience to the more public experience offered by our cinemas and live theaters. Film distributors have been responding to these developments by, in some cases, decreasing or eliminating the period of time between cinema release and the date such product is made available to “in-home” forms of distribution.</w:t>
      </w:r>
    </w:p>
    <w:p>
      <w:pPr>
        <w:spacing w:after="0" w:line="12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narrowing and/or elimination of this so-called “window” for cinema exhibition may be problematic for the cinema exhibition industry. However, to date, indications by the major film distributors to continue to narrow or eliminate the window have been strenuously resisted by the cinema exhibition industry and we view the total elimination of the cinema exhibition window by major film distributors, while theoretically possible, to be unlikely.</w:t>
      </w:r>
    </w:p>
    <w:p>
      <w:pPr>
        <w:spacing w:after="0" w:line="146"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However, there is the risk that, over time, distributors may move towards simultaneous release of motion picture product in multiple channels of distribution. Also, some traditional in-home distributors have begun the production of full-length movies, specifically for the purpose of direct or simultaneous release to the in-home market. These factors may adversely affect the competitive advantage enjoyed by cinemas over “in-home” forms of entertainment, as it may be that both the cinema market and the “in-home” market will have simultaneous access to the same motion picture product. In 2014, a number of movies were released on a simultaneous basis to movie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3" w:right="1419" w:bottom="1440" w:gutter="0" w:footer="0" w:header="0"/>
        </w:sectPr>
      </w:pPr>
    </w:p>
    <w:bookmarkStart w:id="10" w:name="page11"/>
    <w:bookmarkEnd w:id="10"/>
    <w:p>
      <w:pPr>
        <w:jc w:val="both"/>
        <w:spacing w:after="0" w:line="265" w:lineRule="auto"/>
        <w:rPr>
          <w:sz w:val="20"/>
          <w:szCs w:val="20"/>
          <w:color w:val="auto"/>
        </w:rPr>
      </w:pPr>
      <w:r>
        <w:rPr>
          <w:rFonts w:ascii="Arial" w:cs="Arial" w:eastAsia="Arial" w:hAnsi="Arial"/>
          <w:sz w:val="16"/>
          <w:szCs w:val="16"/>
          <w:color w:val="auto"/>
        </w:rPr>
        <w:t>exhibitors and to in-home markets. It is likely that this trend will continue, making it increasingly important for exhibitors to enhance the convenience and quality of the theater-going experience.</w:t>
      </w:r>
    </w:p>
    <w:p>
      <w:pPr>
        <w:spacing w:after="0" w:line="122"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We also face competition from various other forms of “beyond-the-home” entertainment, including sporting events, concerts, restaurants, casinos, video game arcades, and nightclubs. Our cinemas also face competition from live theaters and vice versa.</w:t>
      </w:r>
    </w:p>
    <w:p>
      <w:pPr>
        <w:spacing w:after="0" w:line="111"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Our cinema operations depend upon access to film that is attractive to our patrons and our live theater operations depend upon the continued attractiveness of our theaters to producers.</w:t>
      </w:r>
    </w:p>
    <w:p>
      <w:pPr>
        <w:spacing w:after="0" w:line="122"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Our ability to generate revenue and profits is largely dependent on factors outside of our control, specifically, the continued ability of motion picture and live theater producers to produce films and plays that are attractive to audiences, the amount of money spent by film distributors to promote their motion pictures, and the willingness of these producers to license their films on terms that are financially viable to our cinemas and to rent our theaters for the presentation of their plays. To the extent that popular movies and plays are produced, our cinema and live theater activities are ultimately dependent upon our ability, in the face of competition from other cinema and live theater operators, to book these movies and plays into our facilities, and to provide a superior customer offering.</w:t>
      </w:r>
    </w:p>
    <w:p>
      <w:pPr>
        <w:spacing w:after="0" w:line="120"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We rely on film distributors to supply the films shown in our theatres. In the U.S., the film distribution business is highly concentrated, with seven major film distributors accounting for approximately 89.1% of U.S. box office revenues. Numerous antitrust cases and the consent decree resulting from these antitrust cases affect the distribution of films. The consent decree binds major film distributors to license films to exhibitors on a theatre-by-theatre and film-by-film basis. Consequently, we cannot guarantee a supply of films by entering into long-term arrangements with major distributors. We are therefore required to negotiate licenses for each film and for each theatre. A deterioration in our relationship with any of the seven major film distributors could adversely affect our ability to obtain commercially successful films and to negotiate favorable licensing terms for such films, both of which could adversely affect our business and operating results.</w:t>
      </w:r>
    </w:p>
    <w:p>
      <w:pPr>
        <w:spacing w:after="0" w:line="106"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Adverse economic conditions could materially affect our business by reducing discretionary income and by limiting or reducing sources of film and live theater funding.</w:t>
      </w:r>
    </w:p>
    <w:p>
      <w:pPr>
        <w:spacing w:after="0" w:line="122"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Cinema and live theater attendance is a luxury, not a necessity.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that are very risky due to the absence of any ability to recoup investment in secondary markets like DVD, cable, satellite or internet distribution.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Our screen advertising revenue may decline.</w:t>
      </w:r>
    </w:p>
    <w:p>
      <w:pPr>
        <w:spacing w:after="0" w:line="168"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Over the past several years, cinema exhibitors have been looking increasingly to screen advertising as a way to boost income. No assurances can be given that this source of income will be continuing or that the use of such advertising will not ultimately prove to be counterproductive by giving consumers a disincentive to choose going to the movies over “in-home” entertainment alternatives.</w:t>
      </w:r>
    </w:p>
    <w:p>
      <w:pPr>
        <w:spacing w:after="0" w:line="113"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We face uncertainty as to the timing and direction of technological innovations in the cinema exhibition business and as to our access to those technologies.</w:t>
      </w:r>
    </w:p>
    <w:p>
      <w:pPr>
        <w:spacing w:after="0" w:line="122"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We have converted all of our cinema auditoriums to digital projection. However, no assurances can be given that other technological advances will not require us to make further material investments in our cinemas or face loss of business. Also, equipment is currently being developed for holographic or laser projection. The future of these technologies in the cinema exhibition industry is uncertain.</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face competition from new competitors offering food and beverage as an integral part of their cinema offerings.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 number of new entrants, such as Alamo Drafthouse, offering an expanded food and beverage menu (including the sale of alcoholic beverages) have emerged in recent periods. In addition, some competitors are converting existing cinemas to provide such expanded menu offerings. The existence of such cinemas may alter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11" w:name="page12"/>
    <w:bookmarkEnd w:id="11"/>
    <w:p>
      <w:pPr>
        <w:jc w:val="both"/>
        <w:spacing w:after="0" w:line="265" w:lineRule="auto"/>
        <w:rPr>
          <w:sz w:val="20"/>
          <w:szCs w:val="20"/>
          <w:color w:val="auto"/>
        </w:rPr>
      </w:pPr>
      <w:r>
        <w:rPr>
          <w:rFonts w:ascii="Arial" w:cs="Arial" w:eastAsia="Arial" w:hAnsi="Arial"/>
          <w:sz w:val="16"/>
          <w:szCs w:val="16"/>
          <w:color w:val="auto"/>
        </w:rPr>
        <w:t>traditional cinema selection practices of moviegoers, as they seek out cinemas with such expanded offerings as a preferred alternative to traditional cinemas.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Development and Ownership Business Risks</w:t>
      </w:r>
    </w:p>
    <w:p>
      <w:pPr>
        <w:spacing w:after="0" w:line="168"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We operate in a highly competitive environment, in which we must compete against companies with much greater financial and human resources than we have.</w:t>
      </w:r>
    </w:p>
    <w:p>
      <w:pPr>
        <w:spacing w:after="0" w:line="12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and may be able to achieve greater economies of scale than we can.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the Real Estate Industry Generally</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Our financial performance will be affected by risks associated with the real estate industry generally.</w:t>
      </w:r>
    </w:p>
    <w:p>
      <w:pPr>
        <w:spacing w:after="0" w:line="157" w:lineRule="exact"/>
        <w:rPr>
          <w:sz w:val="20"/>
          <w:szCs w:val="20"/>
          <w:color w:val="auto"/>
        </w:rPr>
      </w:pPr>
    </w:p>
    <w:p>
      <w:pPr>
        <w:jc w:val="both"/>
        <w:ind w:firstLine="564"/>
        <w:spacing w:after="0" w:line="312" w:lineRule="auto"/>
        <w:rPr>
          <w:sz w:val="20"/>
          <w:szCs w:val="20"/>
          <w:color w:val="auto"/>
        </w:rPr>
      </w:pPr>
      <w:r>
        <w:rPr>
          <w:rFonts w:ascii="Arial" w:cs="Arial" w:eastAsia="Arial" w:hAnsi="Arial"/>
          <w:sz w:val="13"/>
          <w:szCs w:val="13"/>
          <w:color w:val="auto"/>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government regulations, (ix) the relative illiquidity of real estate investments, and (x) decreases in sources of both construction and long-term lending as traditional sources of such funding leave or reduce their commitments to real estate-based lending. In addition, periods of economic slowdown or recession, rising interest rates or declining demand for real estate, or the public perception that any of these events may occur, could result in declining rents or increased lease defaults.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may incur costs complying with the Americans with Disabilities Act and similar laws.</w:t>
      </w:r>
    </w:p>
    <w:p>
      <w:pPr>
        <w:spacing w:after="0" w:line="168"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Under the Americans with Disabilities Act and similar statutory regimes in Australia and New Zealand or under applicable state or local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Illiquidity of real estate investments could impede our ability to respond to adverse changes in the performance of our properties.</w:t>
      </w:r>
    </w:p>
    <w:p>
      <w:pPr>
        <w:spacing w:after="0" w:line="168"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Real estate development involves a variety of risks.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Real estate development involves a variety of risks, including the following:</w:t>
      </w:r>
    </w:p>
    <w:p>
      <w:pPr>
        <w:spacing w:after="0" w:line="157" w:lineRule="exact"/>
        <w:rPr>
          <w:sz w:val="20"/>
          <w:szCs w:val="20"/>
          <w:color w:val="auto"/>
        </w:rPr>
      </w:pPr>
    </w:p>
    <w:p>
      <w:pPr>
        <w:jc w:val="both"/>
        <w:ind w:left="340" w:hanging="46"/>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identification and acquisition of suitable development properties</w:t>
      </w:r>
      <w:r>
        <w:rPr>
          <w:rFonts w:ascii="Arial" w:cs="Arial" w:eastAsia="Arial" w:hAnsi="Arial"/>
          <w:sz w:val="15"/>
          <w:szCs w:val="15"/>
          <w:color w:val="auto"/>
        </w:rPr>
        <w:t>. Competition for suitable development properties is 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1" w:lineRule="exact"/>
        <w:rPr>
          <w:sz w:val="20"/>
          <w:szCs w:val="20"/>
          <w:color w:val="auto"/>
        </w:rPr>
      </w:pPr>
    </w:p>
    <w:p>
      <w:pPr>
        <w:jc w:val="both"/>
        <w:ind w:left="340" w:hanging="46"/>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procurement of necessary land use entitlements for the project</w:t>
      </w:r>
      <w:r>
        <w:rPr>
          <w:rFonts w:ascii="Arial" w:cs="Arial" w:eastAsia="Arial" w:hAnsi="Arial"/>
          <w:sz w:val="16"/>
          <w:szCs w:val="16"/>
          <w:color w:val="auto"/>
        </w:rPr>
        <w:t>. This process can take many years, particularly if opposed by competing interests. Competitors and community groups (sometimes funded by such competitors) may object based on various factors, including, for example, impacts on density,</w:t>
      </w: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72390</wp:posOffset>
            </wp:positionV>
            <wp:extent cx="5835650" cy="47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12" w:name="page13"/>
    <w:bookmarkEnd w:id="12"/>
    <w:p>
      <w:pPr>
        <w:ind w:left="560" w:right="20"/>
        <w:spacing w:after="0" w:line="269" w:lineRule="auto"/>
        <w:rPr>
          <w:sz w:val="20"/>
          <w:szCs w:val="20"/>
          <w:color w:val="auto"/>
        </w:rPr>
      </w:pPr>
      <w:r>
        <w:rPr>
          <w:rFonts w:ascii="Arial" w:cs="Arial" w:eastAsia="Arial" w:hAnsi="Arial"/>
          <w:sz w:val="15"/>
          <w:szCs w:val="15"/>
          <w:color w:val="auto"/>
        </w:rPr>
        <w:t>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1" w:lineRule="exact"/>
        <w:rPr>
          <w:sz w:val="20"/>
          <w:szCs w:val="20"/>
          <w:color w:val="auto"/>
        </w:rPr>
      </w:pPr>
    </w:p>
    <w:p>
      <w:pPr>
        <w:jc w:val="both"/>
        <w:ind w:left="340" w:hanging="46"/>
        <w:spacing w:after="0" w:line="30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The construction of the project on time and on budget</w:t>
      </w:r>
      <w:r>
        <w:rPr>
          <w:rFonts w:ascii="Arial" w:cs="Arial" w:eastAsia="Arial" w:hAnsi="Arial"/>
          <w:sz w:val="13"/>
          <w:szCs w:val="13"/>
          <w:color w:val="auto"/>
        </w:rPr>
        <w:t>. Construction risks include the availability and cost of finance; the 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w:t>
      </w:r>
    </w:p>
    <w:p>
      <w:pPr>
        <w:spacing w:after="0" w:line="1" w:lineRule="exact"/>
        <w:rPr>
          <w:sz w:val="20"/>
          <w:szCs w:val="20"/>
          <w:color w:val="auto"/>
        </w:rPr>
      </w:pPr>
    </w:p>
    <w:p>
      <w:pPr>
        <w:jc w:val="both"/>
        <w:ind w:left="340" w:hanging="46"/>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leasing or sell-out of the project</w:t>
      </w:r>
      <w:r>
        <w:rPr>
          <w:rFonts w:ascii="Arial" w:cs="Arial" w:eastAsia="Arial" w:hAnsi="Arial"/>
          <w:sz w:val="15"/>
          <w:szCs w:val="15"/>
          <w:color w:val="auto"/>
        </w:rPr>
        <w:t>. Ultimately, there are risks involved in the leasing of a rental property or the sale of a condominium or built-for-sale property. For our entertainment-themed retail centers (“ETRCs”),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2" w:lineRule="exact"/>
        <w:rPr>
          <w:sz w:val="20"/>
          <w:szCs w:val="20"/>
          <w:color w:val="auto"/>
        </w:rPr>
      </w:pPr>
    </w:p>
    <w:p>
      <w:pPr>
        <w:jc w:val="both"/>
        <w:ind w:left="340" w:hanging="46"/>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refinancing of completed properties</w:t>
      </w:r>
      <w:r>
        <w:rPr>
          <w:rFonts w:ascii="Arial" w:cs="Arial" w:eastAsia="Arial" w:hAnsi="Arial"/>
          <w:sz w:val="15"/>
          <w:szCs w:val="15"/>
          <w:color w:val="auto"/>
        </w:rPr>
        <w:t>.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The ownership of properties involves risk.</w:t>
      </w:r>
    </w:p>
    <w:p>
      <w:pPr>
        <w:spacing w:after="0" w:line="168"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 type properties.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 number of our assets are in geologically active areas, presenting risk of earthquake and land movement.</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We have cinemas in California and New Zealand, areas which present a greater risk of earthquake and/or land movement than other locations. New Zealand has in recent periods had several major earthquakes damaging our facilities in Christchurch and Wellington. The ability to insure for such casualties is limited and may become more difficult and/or more expensive in future periods.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International Business Risks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international operations are subject to a variety of risks, including the following:</w:t>
      </w:r>
    </w:p>
    <w:p>
      <w:pPr>
        <w:spacing w:after="0" w:line="157"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i w:val="1"/>
          <w:iCs w:val="1"/>
          <w:color w:val="auto"/>
        </w:rPr>
        <w:t>Risk of currency fluctuations</w:t>
      </w:r>
      <w:r>
        <w:rPr>
          <w:rFonts w:ascii="Arial" w:cs="Arial" w:eastAsia="Arial" w:hAnsi="Arial"/>
          <w:sz w:val="13"/>
          <w:szCs w:val="13"/>
          <w:color w:val="auto"/>
        </w:rPr>
        <w:t>. While we report our earnings and assets in US dollars, substantial portions of our revenue and of our</w:t>
      </w:r>
      <w:r>
        <w:rPr>
          <w:rFonts w:ascii="Arial" w:cs="Arial" w:eastAsia="Arial" w:hAnsi="Arial"/>
          <w:sz w:val="13"/>
          <w:szCs w:val="13"/>
          <w:i w:val="1"/>
          <w:iCs w:val="1"/>
          <w:color w:val="auto"/>
        </w:rPr>
        <w:t xml:space="preserve"> </w:t>
      </w:r>
      <w:r>
        <w:rPr>
          <w:rFonts w:ascii="Arial" w:cs="Arial" w:eastAsia="Arial" w:hAnsi="Arial"/>
          <w:sz w:val="13"/>
          <w:szCs w:val="13"/>
          <w:color w:val="auto"/>
        </w:rPr>
        <w:t>obligations are denominated in either Australian or New Zealand dollars. The value of these currencies can vary significantly compared to the US dollar and compared to each other. We typically have not hedged against these currency fluctuations, but rather have relied upon the natural hedges that exist as a result of the fact that our film costs are typically fixed as a percentage of the box office, and our local operating costs and obligations are likewise typically denominated in local currencies. However, we do have debt at our parent company level that is serviced by our overseas cash flow and our ability to service this debt could be adversely impacted by declines in the relative value of the Australian and New Zealand dollar compared to the US dollar. $32.4 million (AUS$39.6 million) of our Australian cash and $7.7 million (NZ$9.9 million) of our New Zealand cash is denominated in local currencies and subject to the risk of currency exchange rate fluctuations. Also, our use of local borrowings to mitigate the business risk of currency fluctuations has reduced our flexibility to move cash between jurisdictions. Set forth below is a chart of the exchange ratios between these three currencies over the past twenty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1744345</wp:posOffset>
            </wp:positionH>
            <wp:positionV relativeFrom="page">
              <wp:posOffset>88900</wp:posOffset>
            </wp:positionV>
            <wp:extent cx="4034790" cy="2945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034790" cy="294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40" w:hanging="47"/>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Risk of adverse government regulation</w:t>
      </w:r>
      <w:r>
        <w:rPr>
          <w:rFonts w:ascii="Arial" w:cs="Arial" w:eastAsia="Arial" w:hAnsi="Arial"/>
          <w:sz w:val="16"/>
          <w:szCs w:val="16"/>
          <w:color w:val="auto"/>
        </w:rPr>
        <w:t>. At the present time, we believe that relations between the United States, Australia, and New Zealand are good. However, no assurances can be given that this relationship will continue and that Australia and New Zealand will not in the future seek to regulate more highly the business done by US companies in their countries.</w:t>
      </w:r>
    </w:p>
    <w:p>
      <w:pPr>
        <w:ind w:left="340" w:right="20" w:hanging="47"/>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Risk of adverse labor relations</w:t>
      </w:r>
      <w:r>
        <w:rPr>
          <w:rFonts w:ascii="Arial" w:cs="Arial" w:eastAsia="Arial" w:hAnsi="Arial"/>
          <w:sz w:val="15"/>
          <w:szCs w:val="15"/>
          <w:color w:val="auto"/>
        </w:rPr>
        <w:t>. Any deterioration in labor relations could lead to an increased cost of labor (including future government requirements with respect to pension liabilities, disability insurance and health coverage, and vacations and leave).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Associated with Certain Discontinued Operations</w:t>
      </w:r>
    </w:p>
    <w:p>
      <w:pPr>
        <w:spacing w:after="0" w:line="168"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Operating Results, Financial Structure and Borrowing Risk</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From time to time, we may have negative working capital.</w:t>
      </w:r>
    </w:p>
    <w:p>
      <w:pPr>
        <w:spacing w:after="0" w:line="74"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recent years, as we have invested our cash in new acquisitions and the development of our existing properties, we have from time-to-time had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have substantial short to medium term debt.</w:t>
      </w:r>
    </w:p>
    <w:p>
      <w:pPr>
        <w:spacing w:after="0" w:line="8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Generally speaking, we have historically financed our operations through relatively short-term debt. No assurances can be given that we will be able to refinance this debt, or if we can, that the terms will be reasonable.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440" w:right="141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16"/>
          <w:szCs w:val="16"/>
          <w:color w:val="auto"/>
        </w:rPr>
        <w:t>However, as a counterbalance to this debt, we have significant unencumbered real property assets, which could be sold to pay debt or encumbered to assist in the refinancing of existing debt, if necessary.</w:t>
      </w:r>
    </w:p>
    <w:p>
      <w:pPr>
        <w:spacing w:after="0" w:line="40"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In February 2007, we issued $50.0 million in 20-year Trust Preferred Securities (“TPS”), and utilized the net proceeds principally to retire short-term bank debt in New Zealand and Australia. The interest rate on our TPS was only fixed for five years. Additionally, we used US dollar denominated obligations to retire debt denominated in New Zealand and Australian dollars, which has increased our exposure to currency risk. In the first quarter of 2009, we repurchased $22.9 million of our TPS at a 50% discount.</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At the present time, corporate borrowers both domestically and internationally are facing greater than normal constraints on liquidity.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 assurances can be given that we will be able to refinance these debts as they become due.</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have substantial lease liabilities.</w:t>
      </w:r>
    </w:p>
    <w:p>
      <w:pPr>
        <w:spacing w:after="0" w:line="74"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Most of our cinemas operate in leased facilities. These leases typically have “cost of living” or other rent adjustment features and require that we operate the properties as cinemas. A downturn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 Unlike property rental leases, our newly added digital equipment leases do not have “cost of living” or other lease adjustment features.</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Our stock is thinly traded.</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stock is thinly traded, with an average daily volume in 2014 of only approximately 56,000 shares. This can result in significant volatility, as demand by buyers and sellers can easily get out of balance.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Ownership and Management Structure, Corporate Governance, and Change of Control Risks</w:t>
      </w:r>
    </w:p>
    <w:p>
      <w:pPr>
        <w:spacing w:after="0" w:line="157" w:lineRule="exact"/>
        <w:rPr>
          <w:sz w:val="20"/>
          <w:szCs w:val="20"/>
          <w:color w:val="auto"/>
        </w:rPr>
      </w:pPr>
    </w:p>
    <w:p>
      <w:pPr>
        <w:ind w:left="560" w:right="120"/>
        <w:spacing w:after="0" w:line="381" w:lineRule="auto"/>
        <w:rPr>
          <w:sz w:val="20"/>
          <w:szCs w:val="20"/>
          <w:color w:val="auto"/>
        </w:rPr>
      </w:pPr>
      <w:r>
        <w:rPr>
          <w:rFonts w:ascii="Arial" w:cs="Arial" w:eastAsia="Arial" w:hAnsi="Arial"/>
          <w:sz w:val="13"/>
          <w:szCs w:val="13"/>
          <w:i w:val="1"/>
          <w:iCs w:val="1"/>
          <w:color w:val="auto"/>
        </w:rPr>
        <w:t>Pending disputes among the Cotter family raise uncertainty regarding control of our company, and may distract the time and attention of our officers and directors from our business and operations or interfere with the effective management of our company.</w:t>
      </w:r>
    </w:p>
    <w:p>
      <w:pPr>
        <w:spacing w:after="0" w:line="89"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As we have previously reported, the Reading Voting Trust established by James J. Cotter, Sr., our deceased former Chairman of the Board and Chief Executive Officer and former controlling stockholder, holds at least 696,080 shares of our Class B Voting Stock (“</w:t>
      </w:r>
      <w:r>
        <w:rPr>
          <w:rFonts w:ascii="Arial" w:cs="Arial" w:eastAsia="Arial" w:hAnsi="Arial"/>
          <w:sz w:val="15"/>
          <w:szCs w:val="15"/>
          <w:b w:val="1"/>
          <w:bCs w:val="1"/>
          <w:color w:val="auto"/>
        </w:rPr>
        <w:t>Voting</w:t>
      </w:r>
      <w:r>
        <w:rPr>
          <w:rFonts w:ascii="Arial" w:cs="Arial" w:eastAsia="Arial" w:hAnsi="Arial"/>
          <w:sz w:val="15"/>
          <w:szCs w:val="15"/>
          <w:color w:val="auto"/>
        </w:rPr>
        <w:t xml:space="preserve"> </w:t>
      </w:r>
      <w:r>
        <w:rPr>
          <w:rFonts w:ascii="Arial" w:cs="Arial" w:eastAsia="Arial" w:hAnsi="Arial"/>
          <w:sz w:val="15"/>
          <w:szCs w:val="15"/>
          <w:b w:val="1"/>
          <w:bCs w:val="1"/>
          <w:color w:val="auto"/>
        </w:rPr>
        <w:t>Stock</w:t>
      </w:r>
      <w:r>
        <w:rPr>
          <w:rFonts w:ascii="Arial" w:cs="Arial" w:eastAsia="Arial" w:hAnsi="Arial"/>
          <w:sz w:val="15"/>
          <w:szCs w:val="15"/>
          <w:color w:val="auto"/>
        </w:rPr>
        <w:t>”) constituting approximately 46.5% of the voting power of our outstanding capital stock. The Reading Voting Trust also may hold an</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additional 327,808 shares of Voting Stock, constituting approximately 21.9% of the voting power of our outstanding capital stock, based upon an assignment of such shares purportedly executed by Mr. Cotter, Sr., prior to this death. We are informed that, in the event these shares were not effectively transferred to the Reading Voting Trust, they would eventually pour over into the Trust. In the meantime, however, they may instead make up part of the Estate of James J. Cotter, Deceased (the “</w:t>
      </w:r>
      <w:r>
        <w:rPr>
          <w:rFonts w:ascii="Arial" w:cs="Arial" w:eastAsia="Arial" w:hAnsi="Arial"/>
          <w:sz w:val="15"/>
          <w:szCs w:val="15"/>
          <w:b w:val="1"/>
          <w:bCs w:val="1"/>
          <w:color w:val="auto"/>
        </w:rPr>
        <w:t>Estate</w:t>
      </w:r>
      <w:r>
        <w:rPr>
          <w:rFonts w:ascii="Arial" w:cs="Arial" w:eastAsia="Arial" w:hAnsi="Arial"/>
          <w:sz w:val="15"/>
          <w:szCs w:val="15"/>
          <w:color w:val="auto"/>
        </w:rPr>
        <w:t>” and collectively with the Reading Voting Trust and the James J. Cotter Living Trust, the “Cotter Estate”) that is being administered in the State of Nevada. On December 22, 2014, the District Court of Clark County, Nevada, appointed Ellen Cotter, the Chair of our Board of Directors and our Chief Operating Officer- Domestic Cinemas and Margaret Cotter, Vice Chairman of our Board of Directors, as co-executors of the Estate.</w:t>
      </w:r>
    </w:p>
    <w:p>
      <w:pPr>
        <w:spacing w:after="0" w:line="163"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A 2013 amended and restated declaration of trust names Margaret Cotter as the sole trustee of the Reading Voting Trust and names James J. Cotter, Jr., our President and Chief Executive Officer and a director of our company, as the first alternate trustee in the event that Margaret Cotter is unable or unwilling to act as trustee. A 2014 partial amendment to the declaration of trust, however, names Margaret Cotter and James J. Cotter, Jr. as co-trustees of the Reading Voting Trust and provides that, in the event they are unable to agree upon an important trust decision, they shall rotate the trusteeship between them annually on each January 1st. It further directs the trustees of the Reading Voting Trust to, among other things, vote such shares of our Voting Stock held by the Reading Voting Trust in favor of the election of Ellen Cotter, Margaret Cotter and James J. Cotter, Jr.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209" w:right="1419" w:bottom="1440" w:gutter="0" w:footer="0" w:header="0"/>
        </w:sectPr>
      </w:pPr>
    </w:p>
    <w:bookmarkStart w:id="15" w:name="page16"/>
    <w:bookmarkEnd w:id="15"/>
    <w:p>
      <w:pPr>
        <w:jc w:val="both"/>
        <w:ind w:firstLine="564"/>
        <w:spacing w:after="0" w:line="321" w:lineRule="auto"/>
        <w:rPr>
          <w:sz w:val="20"/>
          <w:szCs w:val="20"/>
          <w:color w:val="auto"/>
        </w:rPr>
      </w:pPr>
      <w:r>
        <w:rPr>
          <w:rFonts w:ascii="Arial" w:cs="Arial" w:eastAsia="Arial" w:hAnsi="Arial"/>
          <w:sz w:val="13"/>
          <w:szCs w:val="13"/>
          <w:color w:val="auto"/>
        </w:rPr>
        <w:t xml:space="preserve">On February 6, 2015, Ellen Cotter and Margaret Cotter filed a Petition in the Superior Court of the State of California, County of Los Angeles, captioned </w:t>
      </w:r>
      <w:r>
        <w:rPr>
          <w:rFonts w:ascii="Arial" w:cs="Arial" w:eastAsia="Arial" w:hAnsi="Arial"/>
          <w:sz w:val="13"/>
          <w:szCs w:val="13"/>
          <w:i w:val="1"/>
          <w:iCs w:val="1"/>
          <w:color w:val="auto"/>
        </w:rPr>
        <w:t>In re James J. Cotter Living Trust dated August 1, 2000</w:t>
      </w:r>
      <w:r>
        <w:rPr>
          <w:rFonts w:ascii="Arial" w:cs="Arial" w:eastAsia="Arial" w:hAnsi="Arial"/>
          <w:sz w:val="13"/>
          <w:szCs w:val="13"/>
          <w:color w:val="auto"/>
        </w:rPr>
        <w:t xml:space="preserve"> (Case No. BP159755). The Petition, among other things, seeks relief that could determine the validity of the 2014 partial amendment and who, as between Margaret Cotter and James J. Cotter Jr., has authority as trustee or co-trustees of the Reading Voting Trust to vote the Reading Voting Trust’s shares of our Voting Stock (in whole or in part) and the scope and extent of such authority. James J. Cotter, Jr. has advised us that he intends to file an opposition to the Petition.</w:t>
      </w:r>
    </w:p>
    <w:p>
      <w:pPr>
        <w:spacing w:after="0" w:line="128"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Although the company is not a party to this lawsuit and takes no position as to the claims asserted or the relief sought therein, the matters raised in the Petition create uncertainty regarding control of our company. Until these matters can be resolved, it is unclear whether the Reading Voting Trust owns a majority of our outstanding shares of Voting Stock and, as such, can determine the outcome of the election of directors of our company and of any other matters that may be presented for approval by our stockholders. It also is unclear whether Margaret Cotter, or she and James J. Cotter, Jr., together, has authority as trustee or co-trustees of the Reading Voting Trust to vote the shares of our Voting Stock currently held by the Reading Voting Trust or any additional shares of our Voting Stock that may be determined to be held by the Reading Voting Trust instead of the Estate.</w:t>
      </w:r>
    </w:p>
    <w:p>
      <w:pPr>
        <w:spacing w:after="0" w:line="160" w:lineRule="exact"/>
        <w:rPr>
          <w:sz w:val="20"/>
          <w:szCs w:val="20"/>
          <w:color w:val="auto"/>
        </w:rPr>
      </w:pPr>
    </w:p>
    <w:p>
      <w:pPr>
        <w:ind w:right="220" w:firstLine="564"/>
        <w:spacing w:after="0" w:line="265" w:lineRule="auto"/>
        <w:rPr>
          <w:sz w:val="20"/>
          <w:szCs w:val="20"/>
          <w:color w:val="auto"/>
        </w:rPr>
      </w:pPr>
      <w:r>
        <w:rPr>
          <w:rFonts w:ascii="Arial" w:cs="Arial" w:eastAsia="Arial" w:hAnsi="Arial"/>
          <w:sz w:val="16"/>
          <w:szCs w:val="16"/>
          <w:color w:val="auto"/>
        </w:rPr>
        <w:t>These pending matters may distract the Cotter family’s time and attention from the business and operations of our Company and thus have an adverse effect on its effective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247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The interests of our controlling stockholder may conflict with your interests.</w:t>
      </w:r>
    </w:p>
    <w:p>
      <w:pPr>
        <w:spacing w:after="0" w:line="157"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color w:val="auto"/>
        </w:rPr>
        <w:t xml:space="preserve">As of December 31, 2014, the Cotter Estate beneficially owns 70.4% of our outstanding Class B Stock. Our Class A Stock is non-voting, while our Class B Stock represents all of the voting power of our Company. For as long as the Cotter Estate continues to own shares of common stock representing more than 50% of the voting power of our common stock. The Cotter Estate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The Cotter Estate will also have the power to prevent or cause a change in control, and could take other actions that might be desirable to the Cotter Estate but not to other stockholders. In addition, the Cotter Estate and its affiliates have controlling interests in companies in related and unrelated industries. In the future, we may participate in transactions with these companies (see Note 25 – </w:t>
      </w:r>
      <w:r>
        <w:rPr>
          <w:rFonts w:ascii="Arial" w:cs="Arial" w:eastAsia="Arial" w:hAnsi="Arial"/>
          <w:sz w:val="13"/>
          <w:szCs w:val="13"/>
          <w:i w:val="1"/>
          <w:iCs w:val="1"/>
          <w:color w:val="auto"/>
        </w:rPr>
        <w:t>Related Parties and Transactions</w:t>
      </w:r>
      <w:r>
        <w:rPr>
          <w:rFonts w:ascii="Arial" w:cs="Arial" w:eastAsia="Arial" w:hAnsi="Arial"/>
          <w:sz w:val="13"/>
          <w:szCs w:val="13"/>
          <w:color w:val="auto"/>
        </w:rPr>
        <w:t xml:space="preserve"> to our 2014 Consolidated Financial Statements).</w:t>
      </w:r>
    </w:p>
    <w:p>
      <w:pPr>
        <w:spacing w:after="0" w:line="112"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Since we are a Controlled Company, our Directors have determined to take advantage of certain exemptions provide by the NASDAQ from the corporate governance rules adopted by that Exchange.</w:t>
      </w:r>
    </w:p>
    <w:p>
      <w:pPr>
        <w:spacing w:after="0" w:line="122"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Generally speaking, the NASDAQ requires listed companies to meet certain minimum corporate governance provisions. However, a “Controlled Corporation”, such as we, may elect not to be governed by certain of these provisions. Our board of directors has elected to exempt our Company from requirements that (i) at least a 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determination by our board of directors to opt-out of these NASDAQ requirements, a majority of our board of directors is nevertheless currently comprised of independent directors, and our compensation committee is nevertheless currently comprised entirely of independent directors.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depend on key personnel for our current and future performance.</w:t>
      </w:r>
    </w:p>
    <w:p>
      <w:pPr>
        <w:spacing w:after="0" w:line="16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3"/>
          <w:szCs w:val="13"/>
          <w:b w:val="1"/>
          <w:bCs w:val="1"/>
          <w:u w:val="single" w:color="auto"/>
          <w:color w:val="auto"/>
        </w:rPr>
        <w:t>Item 1B - Unresolved Staff Comments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099"/>
          </w:cols>
          <w:pgMar w:left="1360" w:top="123"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u w:val="single" w:color="auto"/>
          <w:color w:val="auto"/>
        </w:rPr>
        <w:t>Item 2 – Properties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Executive and Administrative Offices</w:t>
      </w:r>
    </w:p>
    <w:p>
      <w:pPr>
        <w:spacing w:after="0" w:line="172"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We lease approximately 11,700 square feet of office space in Los Angeles, California to serve as our executive headquarters. We own an 8,100 square foot office building in Melbourne, Australia, approximately 5,200 square feet of which serves as the headquarters for our Australian and New Zealand operations (the remainder being leased to an unrelated third party). We maintain our accounting personnel and certain IT and operational personnel in approximately 5,900 square foot of offices located in our Wellington Courtenay Central ETRC. We occupy approximately 3,500 square feet at our Village East leasehold property for administrative purposes.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Entertainment Properties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Entertainment Use Leasehold Interests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As of December 31, 2014, we lease approximately 1.8 million square feet of completed cinema space in the United States, Australia, and New Zealand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Approximate Range of Remaining</w:t>
            </w:r>
          </w:p>
        </w:tc>
      </w:tr>
      <w:tr>
        <w:trPr>
          <w:trHeight w:val="208"/>
        </w:trPr>
        <w:tc>
          <w:tcPr>
            <w:tcW w:w="6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center"/>
              <w:ind w:left="302"/>
              <w:spacing w:after="0"/>
              <w:rPr>
                <w:sz w:val="20"/>
                <w:szCs w:val="20"/>
                <w:color w:val="auto"/>
              </w:rPr>
            </w:pPr>
            <w:r>
              <w:rPr>
                <w:rFonts w:ascii="Arial" w:cs="Arial" w:eastAsia="Arial" w:hAnsi="Arial"/>
                <w:sz w:val="16"/>
                <w:szCs w:val="16"/>
                <w:b w:val="1"/>
                <w:bCs w:val="1"/>
                <w:color w:val="auto"/>
                <w:w w:val="87"/>
              </w:rPr>
              <w:t>Aggregate Square Footage</w:t>
            </w:r>
          </w:p>
        </w:tc>
        <w:tc>
          <w:tcPr>
            <w:tcW w:w="268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w w:val="87"/>
              </w:rPr>
              <w:t>Lease Terms (including renewals)</w:t>
            </w:r>
          </w:p>
        </w:tc>
        <w:tc>
          <w:tcPr>
            <w:tcW w:w="680" w:type="dxa"/>
            <w:vAlign w:val="bottom"/>
            <w:tcBorders>
              <w:bottom w:val="single" w:sz="8" w:color="CCEEFF"/>
            </w:tcBorders>
          </w:tcPr>
          <w:p>
            <w:pPr>
              <w:spacing w:after="0"/>
              <w:rPr>
                <w:sz w:val="18"/>
                <w:szCs w:val="18"/>
                <w:color w:val="auto"/>
              </w:rPr>
            </w:pPr>
          </w:p>
        </w:tc>
      </w:tr>
      <w:tr>
        <w:trPr>
          <w:trHeight w:val="223"/>
        </w:trPr>
        <w:tc>
          <w:tcPr>
            <w:tcW w:w="660" w:type="dxa"/>
            <w:vAlign w:val="bottom"/>
            <w:shd w:val="clear" w:color="auto" w:fill="CCEEFF"/>
          </w:tcPr>
          <w:p>
            <w:pPr>
              <w:spacing w:after="0"/>
              <w:rPr>
                <w:sz w:val="19"/>
                <w:szCs w:val="19"/>
                <w:color w:val="auto"/>
              </w:rPr>
            </w:pPr>
          </w:p>
        </w:tc>
        <w:tc>
          <w:tcPr>
            <w:tcW w:w="230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w w:val="87"/>
              </w:rPr>
              <w:t>United States</w:t>
            </w:r>
          </w:p>
        </w:tc>
        <w:tc>
          <w:tcPr>
            <w:tcW w:w="2800" w:type="dxa"/>
            <w:vAlign w:val="bottom"/>
            <w:shd w:val="clear" w:color="auto" w:fill="CCEEFF"/>
          </w:tcPr>
          <w:p>
            <w:pPr>
              <w:jc w:val="center"/>
              <w:ind w:left="302"/>
              <w:spacing w:after="0"/>
              <w:rPr>
                <w:sz w:val="20"/>
                <w:szCs w:val="20"/>
                <w:color w:val="auto"/>
              </w:rPr>
            </w:pPr>
            <w:r>
              <w:rPr>
                <w:rFonts w:ascii="Arial" w:cs="Arial" w:eastAsia="Arial" w:hAnsi="Arial"/>
                <w:sz w:val="16"/>
                <w:szCs w:val="16"/>
                <w:color w:val="auto"/>
                <w:w w:val="86"/>
              </w:rPr>
              <w:t>942,000</w:t>
            </w:r>
          </w:p>
        </w:tc>
        <w:tc>
          <w:tcPr>
            <w:tcW w:w="336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7"/>
              </w:rPr>
              <w:t>2015 – 2049</w:t>
            </w:r>
          </w:p>
        </w:tc>
      </w:tr>
      <w:tr>
        <w:trPr>
          <w:trHeight w:val="234"/>
        </w:trPr>
        <w:tc>
          <w:tcPr>
            <w:tcW w:w="660" w:type="dxa"/>
            <w:vAlign w:val="bottom"/>
          </w:tcPr>
          <w:p>
            <w:pPr>
              <w:spacing w:after="0"/>
              <w:rPr>
                <w:sz w:val="20"/>
                <w:szCs w:val="20"/>
                <w:color w:val="auto"/>
              </w:rPr>
            </w:pPr>
          </w:p>
        </w:tc>
        <w:tc>
          <w:tcPr>
            <w:tcW w:w="2300" w:type="dxa"/>
            <w:vAlign w:val="bottom"/>
          </w:tcPr>
          <w:p>
            <w:pPr>
              <w:jc w:val="center"/>
              <w:ind w:left="22"/>
              <w:spacing w:after="0"/>
              <w:rPr>
                <w:sz w:val="20"/>
                <w:szCs w:val="20"/>
                <w:color w:val="auto"/>
              </w:rPr>
            </w:pPr>
            <w:r>
              <w:rPr>
                <w:rFonts w:ascii="Arial" w:cs="Arial" w:eastAsia="Arial" w:hAnsi="Arial"/>
                <w:sz w:val="16"/>
                <w:szCs w:val="16"/>
                <w:color w:val="auto"/>
                <w:w w:val="89"/>
              </w:rPr>
              <w:t>Australia</w:t>
            </w:r>
          </w:p>
        </w:tc>
        <w:tc>
          <w:tcPr>
            <w:tcW w:w="2800" w:type="dxa"/>
            <w:vAlign w:val="bottom"/>
          </w:tcPr>
          <w:p>
            <w:pPr>
              <w:jc w:val="center"/>
              <w:ind w:left="302"/>
              <w:spacing w:after="0"/>
              <w:rPr>
                <w:sz w:val="20"/>
                <w:szCs w:val="20"/>
                <w:color w:val="auto"/>
              </w:rPr>
            </w:pPr>
            <w:r>
              <w:rPr>
                <w:rFonts w:ascii="Arial" w:cs="Arial" w:eastAsia="Arial" w:hAnsi="Arial"/>
                <w:sz w:val="16"/>
                <w:szCs w:val="16"/>
                <w:color w:val="auto"/>
                <w:w w:val="86"/>
              </w:rPr>
              <w:t>724,000</w:t>
            </w:r>
          </w:p>
        </w:tc>
        <w:tc>
          <w:tcPr>
            <w:tcW w:w="3360" w:type="dxa"/>
            <w:vAlign w:val="bottom"/>
            <w:gridSpan w:val="2"/>
          </w:tcPr>
          <w:p>
            <w:pPr>
              <w:jc w:val="center"/>
              <w:ind w:right="380"/>
              <w:spacing w:after="0"/>
              <w:rPr>
                <w:sz w:val="20"/>
                <w:szCs w:val="20"/>
                <w:color w:val="auto"/>
              </w:rPr>
            </w:pPr>
            <w:r>
              <w:rPr>
                <w:rFonts w:ascii="Arial" w:cs="Arial" w:eastAsia="Arial" w:hAnsi="Arial"/>
                <w:sz w:val="16"/>
                <w:szCs w:val="16"/>
                <w:color w:val="auto"/>
                <w:w w:val="87"/>
              </w:rPr>
              <w:t>2017 – 2049</w:t>
            </w:r>
          </w:p>
        </w:tc>
      </w:tr>
      <w:tr>
        <w:trPr>
          <w:trHeight w:val="235"/>
        </w:trPr>
        <w:tc>
          <w:tcPr>
            <w:tcW w:w="6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w w:val="89"/>
              </w:rPr>
              <w:t>New Zealand</w:t>
            </w:r>
          </w:p>
        </w:tc>
        <w:tc>
          <w:tcPr>
            <w:tcW w:w="2800" w:type="dxa"/>
            <w:vAlign w:val="bottom"/>
            <w:shd w:val="clear" w:color="auto" w:fill="CCEEFF"/>
          </w:tcPr>
          <w:p>
            <w:pPr>
              <w:jc w:val="center"/>
              <w:ind w:left="302"/>
              <w:spacing w:after="0"/>
              <w:rPr>
                <w:sz w:val="20"/>
                <w:szCs w:val="20"/>
                <w:color w:val="auto"/>
              </w:rPr>
            </w:pPr>
            <w:r>
              <w:rPr>
                <w:rFonts w:ascii="Arial" w:cs="Arial" w:eastAsia="Arial" w:hAnsi="Arial"/>
                <w:sz w:val="16"/>
                <w:szCs w:val="16"/>
                <w:color w:val="auto"/>
                <w:w w:val="86"/>
              </w:rPr>
              <w:t>150,000</w:t>
            </w:r>
          </w:p>
        </w:tc>
        <w:tc>
          <w:tcPr>
            <w:tcW w:w="336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7"/>
              </w:rPr>
              <w:t>2024 – 2034</w:t>
            </w:r>
          </w:p>
        </w:tc>
      </w:tr>
    </w:tbl>
    <w:p>
      <w:pPr>
        <w:spacing w:after="0" w:line="175"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On December 31, 2013, we settled a management fee claim that we had with the owner of the lease interest in the Plano, Texas cinema that we had managed since 2003. As part of the settlement, we acquired that entity. Also, in September 2013, we took back a cinema at one of our fee properties in New Zealand and have refurbished that cinema. The cinema was already leased to a competitor at the time we acquired it in May 2007. During the first quarter of 2014, we entered into a lease for a new state-of-the-art Angelika Film Center currently being developed by Edens in the Union Market area of Washington D.C. In December 2014, we entered into a lease for a new luxury cinema, under the Consolidated Theatres brand, at the new Ka Makana Ali'i Shopping Center being developed in Kapolei, Hawaii by an affiliate of DeBartolo Development and finalized terms for a new 8-screen cinema complex in Auckland, New Zealand.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Fee Interests</w:t>
      </w:r>
    </w:p>
    <w:p>
      <w:pPr>
        <w:spacing w:after="0" w:line="15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Australia, as of December 31, 2014, we own approximately 900,000 square feet of land at seven locations. Most of this land is located in the greater metropolitan areas of Brisbane, Melbourne, Perth, and Sydney. This figure does not include our 50.6-acre Burwood site and our 3.3-acre Moonee Pond site, which in both cases have been sold (but have yet to be recognized as a sale under U.S. GAAP). Of these fee interests, approximately 138,000 square feet are currently improved with cinemas.</w:t>
      </w:r>
    </w:p>
    <w:p>
      <w:pPr>
        <w:spacing w:after="0" w:line="13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New Zealand, as of December 31, 2014, we own approximately 3.4 million square feet of land at seven locations. This includes the Courtney Central ETRC in Wellington, the 70.3-acre Manukau site, and the fee interests underlying four cinemas in New Zealand, which properties include approximately 21,000 square feet of ancillary retail space.</w:t>
      </w:r>
    </w:p>
    <w:p>
      <w:pPr>
        <w:spacing w:after="0" w:line="142"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In the United States, as of December 31, 2014, we own approximately 134,000 square feet of improved real estate comprised of four live theater buildings, which include approximately 58,000 square feet of leasable space, and the fee interest in our Cinemas 1, 2, 3 in Manhattan (held through a limited liability company in which we have a 75% managing member interest). We also own 202 acres of unimproved land in Coachella Valley, California, held through a limited liability company in which the Cotter Estate has a 50% non-managing interest.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Live Theaters (“Liberty Theaters”)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3" w:right="1419" w:bottom="1440" w:gutter="0" w:footer="0" w:header="0"/>
        </w:sectPr>
      </w:pPr>
    </w:p>
    <w:bookmarkStart w:id="18" w:name="page19"/>
    <w:bookmarkEnd w:id="18"/>
    <w:p>
      <w:pPr>
        <w:jc w:val="both"/>
        <w:ind w:firstLine="564"/>
        <w:spacing w:after="0" w:line="270" w:lineRule="auto"/>
        <w:rPr>
          <w:sz w:val="20"/>
          <w:szCs w:val="20"/>
          <w:color w:val="auto"/>
        </w:rPr>
      </w:pPr>
      <w:r>
        <w:rPr>
          <w:rFonts w:ascii="Arial" w:cs="Arial" w:eastAsia="Arial" w:hAnsi="Arial"/>
          <w:sz w:val="15"/>
          <w:szCs w:val="15"/>
          <w:color w:val="auto"/>
        </w:rPr>
        <w:t>Included among our real estate holdings are four “Off Broadway” style live theaters, operated through our Liberty Theaters subsidiary. We license theater auditoriums to the producers of “Off Broadway” theatrical productions and provide various box office and concession services. The terms of our licenses are, naturally, principally dependent upon the commercial success of our tenants. STOMP has been playing at our Orpheum Theatre in excess of 20 years. While we attempt to choose productions that we believe will be successful, we have no control over the production itself. At the current time, we have three single auditorium theaters in Manhattan:</w:t>
      </w:r>
    </w:p>
    <w:p>
      <w:pPr>
        <w:spacing w:after="0" w:line="122" w:lineRule="exact"/>
        <w:rPr>
          <w:sz w:val="20"/>
          <w:szCs w:val="20"/>
          <w:color w:val="auto"/>
        </w:rPr>
      </w:pPr>
    </w:p>
    <w:p>
      <w:pPr>
        <w:ind w:left="500" w:hanging="217"/>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Minetta Lane (399 seats);</w:t>
      </w:r>
    </w:p>
    <w:p>
      <w:pPr>
        <w:spacing w:after="0" w:line="15" w:lineRule="exact"/>
        <w:rPr>
          <w:rFonts w:ascii="Arial" w:cs="Arial" w:eastAsia="Arial" w:hAnsi="Arial"/>
          <w:sz w:val="16"/>
          <w:szCs w:val="16"/>
          <w:color w:val="auto"/>
        </w:rPr>
      </w:pPr>
    </w:p>
    <w:p>
      <w:pPr>
        <w:ind w:left="500" w:hanging="217"/>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Orpheum (347 seats); and</w:t>
      </w:r>
    </w:p>
    <w:p>
      <w:pPr>
        <w:spacing w:after="0" w:line="3" w:lineRule="exact"/>
        <w:rPr>
          <w:rFonts w:ascii="Arial" w:cs="Arial" w:eastAsia="Arial" w:hAnsi="Arial"/>
          <w:sz w:val="16"/>
          <w:szCs w:val="16"/>
          <w:color w:val="auto"/>
        </w:rPr>
      </w:pPr>
    </w:p>
    <w:p>
      <w:pPr>
        <w:ind w:left="500" w:hanging="217"/>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Union Square (499 seats).</w:t>
      </w:r>
    </w:p>
    <w:p>
      <w:pPr>
        <w:spacing w:after="0" w:line="157" w:lineRule="exact"/>
        <w:rPr>
          <w:sz w:val="20"/>
          <w:szCs w:val="20"/>
          <w:color w:val="auto"/>
        </w:rPr>
      </w:pPr>
    </w:p>
    <w:p>
      <w:pPr>
        <w:jc w:val="both"/>
        <w:ind w:firstLine="518"/>
        <w:spacing w:after="0" w:line="381" w:lineRule="auto"/>
        <w:rPr>
          <w:sz w:val="20"/>
          <w:szCs w:val="20"/>
          <w:color w:val="auto"/>
        </w:rPr>
      </w:pPr>
      <w:r>
        <w:rPr>
          <w:rFonts w:ascii="Arial" w:cs="Arial" w:eastAsia="Arial" w:hAnsi="Arial"/>
          <w:sz w:val="13"/>
          <w:szCs w:val="13"/>
          <w:color w:val="auto"/>
        </w:rPr>
        <w:t>We also own a four-auditorium theater complex, the Royal George in Chicago (main stage 452 seats, cabaret 199 seats, great room 100 seats and gallery 60 seats). Two of the properties, the Union Square and the Royal George, have ancillary retail and office space.</w:t>
      </w:r>
    </w:p>
    <w:p>
      <w:pPr>
        <w:spacing w:after="0" w:line="54" w:lineRule="exact"/>
        <w:rPr>
          <w:sz w:val="20"/>
          <w:szCs w:val="20"/>
          <w:color w:val="auto"/>
        </w:rPr>
      </w:pPr>
    </w:p>
    <w:p>
      <w:pPr>
        <w:jc w:val="both"/>
        <w:ind w:firstLine="517"/>
        <w:spacing w:after="0" w:line="341" w:lineRule="auto"/>
        <w:rPr>
          <w:sz w:val="20"/>
          <w:szCs w:val="20"/>
          <w:color w:val="auto"/>
        </w:rPr>
      </w:pPr>
      <w:r>
        <w:rPr>
          <w:rFonts w:ascii="Arial" w:cs="Arial" w:eastAsia="Arial" w:hAnsi="Arial"/>
          <w:sz w:val="13"/>
          <w:szCs w:val="13"/>
          <w:color w:val="auto"/>
        </w:rPr>
        <w:t>Liberty Theaters is primarily in the business of renting theater space. However, we may from time-to-time participate as an investor in a play, which can help facilitate the production of the play at one of our facilities, and do from time-to-time rent space on a basis that allows us to share in a production’s revenue or profits. Revenue, expense, and profits are reported as a part of the real estate segment of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Joint Venture Cinema Interests</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also hold real estate through several unincorporated joint ventures, two 75%-owned subsidiaries, and one majority-owned subsidiary, as described below:</w:t>
      </w:r>
    </w:p>
    <w:p>
      <w:pPr>
        <w:spacing w:after="0" w:line="122" w:lineRule="exact"/>
        <w:rPr>
          <w:sz w:val="20"/>
          <w:szCs w:val="20"/>
          <w:color w:val="auto"/>
        </w:rPr>
      </w:pPr>
    </w:p>
    <w:p>
      <w:pPr>
        <w:jc w:val="both"/>
        <w:ind w:left="340" w:hanging="46"/>
        <w:spacing w:after="0" w:line="252" w:lineRule="auto"/>
        <w:rPr>
          <w:sz w:val="20"/>
          <w:szCs w:val="20"/>
          <w:color w:val="auto"/>
        </w:rPr>
      </w:pPr>
      <w:r>
        <w:rPr>
          <w:rFonts w:ascii="Arial" w:cs="Arial" w:eastAsia="Arial" w:hAnsi="Arial"/>
          <w:sz w:val="16"/>
          <w:szCs w:val="16"/>
          <w:color w:val="auto"/>
        </w:rPr>
        <w:t>·in Australia, we own a 75% interest in a subsidiary company that leases two cinemas with eleven screens in two Australian country towns, and a 33% unincorporated joint venture interest in a 16-screen leasehold cinema in a suburb of Brisbane.</w:t>
      </w:r>
    </w:p>
    <w:p>
      <w:pPr>
        <w:spacing w:after="0" w:line="1"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·in New Zealand, we own a 50% unincorporated joint venture interest in two cinemas with 13 screens in the New Zealand cities of Auckland and Dunedin.</w:t>
      </w:r>
    </w:p>
    <w:p>
      <w:pPr>
        <w:jc w:val="both"/>
        <w:ind w:left="340" w:right="20" w:hanging="46"/>
        <w:spacing w:after="0" w:line="272" w:lineRule="auto"/>
        <w:rPr>
          <w:sz w:val="20"/>
          <w:szCs w:val="20"/>
          <w:color w:val="auto"/>
        </w:rPr>
      </w:pPr>
      <w:r>
        <w:rPr>
          <w:rFonts w:ascii="Arial" w:cs="Arial" w:eastAsia="Arial" w:hAnsi="Arial"/>
          <w:sz w:val="15"/>
          <w:szCs w:val="15"/>
          <w:color w:val="auto"/>
        </w:rPr>
        <w:t>·In the United States, we own a 75% managing member interest in the limited liability company that owns our Cinemas 1, 2, 3 property and a 50% managing member interest in Shadow View Land &amp; Farming, LLC which owns an approximately 202-acre property in Riverside County, California that is currently zoned for residential and approved for over 800 single-family lots.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auto"/>
        </w:rPr>
        <w:t>Operating Property</w:t>
      </w:r>
    </w:p>
    <w:p>
      <w:pPr>
        <w:spacing w:after="0" w:line="161" w:lineRule="exact"/>
        <w:rPr>
          <w:sz w:val="20"/>
          <w:szCs w:val="20"/>
          <w:color w:val="auto"/>
        </w:rPr>
      </w:pPr>
    </w:p>
    <w:p>
      <w:pPr>
        <w:ind w:right="40" w:firstLine="564"/>
        <w:spacing w:after="0" w:line="265" w:lineRule="auto"/>
        <w:rPr>
          <w:sz w:val="20"/>
          <w:szCs w:val="20"/>
          <w:color w:val="auto"/>
        </w:rPr>
      </w:pPr>
      <w:r>
        <w:rPr>
          <w:rFonts w:ascii="Arial" w:cs="Arial" w:eastAsia="Arial" w:hAnsi="Arial"/>
          <w:sz w:val="16"/>
          <w:szCs w:val="16"/>
          <w:color w:val="auto"/>
        </w:rPr>
        <w:t>As of December 31, 2014, we own fee interests in approximately 1.0 million square feet of income-producing properties (including certain properties principally occupied by our cinemas).</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3040" w:type="dxa"/>
            <w:vAlign w:val="bottom"/>
            <w:tcBorders>
              <w:top w:val="single" w:sz="8" w:color="auto"/>
              <w:left w:val="single" w:sz="8" w:color="auto"/>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Square Feet of</w:t>
            </w:r>
          </w:p>
        </w:tc>
        <w:tc>
          <w:tcPr>
            <w:tcW w:w="17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Improvements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Gross Book Value</w:t>
            </w:r>
          </w:p>
        </w:tc>
        <w:tc>
          <w:tcPr>
            <w:tcW w:w="20" w:type="dxa"/>
            <w:vAlign w:val="bottom"/>
          </w:tcPr>
          <w:p>
            <w:pPr>
              <w:spacing w:after="0"/>
              <w:rPr>
                <w:sz w:val="24"/>
                <w:szCs w:val="24"/>
                <w:color w:val="auto"/>
              </w:rPr>
            </w:pPr>
          </w:p>
        </w:tc>
      </w:tr>
      <w:tr>
        <w:trPr>
          <w:trHeight w:val="310"/>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Property</w:t>
            </w:r>
            <w:r>
              <w:rPr>
                <w:rFonts w:ascii="Arial" w:cs="Arial" w:eastAsia="Arial" w:hAnsi="Arial"/>
                <w:sz w:val="16"/>
                <w:szCs w:val="16"/>
                <w:b w:val="1"/>
                <w:bCs w:val="1"/>
                <w:color w:val="auto"/>
                <w:w w:val="89"/>
                <w:vertAlign w:val="superscript"/>
              </w:rPr>
              <w:t>6</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(rental/entertainment)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Leased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U.S. Dollars)</w:t>
            </w:r>
          </w:p>
        </w:tc>
        <w:tc>
          <w:tcPr>
            <w:tcW w:w="20" w:type="dxa"/>
            <w:vAlign w:val="bottom"/>
          </w:tcPr>
          <w:p>
            <w:pPr>
              <w:spacing w:after="0"/>
              <w:rPr>
                <w:sz w:val="24"/>
                <w:szCs w:val="24"/>
                <w:color w:val="auto"/>
              </w:rPr>
            </w:pPr>
          </w:p>
        </w:tc>
      </w:tr>
      <w:tr>
        <w:trPr>
          <w:trHeight w:val="270"/>
        </w:trPr>
        <w:tc>
          <w:tcPr>
            <w:tcW w:w="3040" w:type="dxa"/>
            <w:vAlign w:val="bottom"/>
            <w:tcBorders>
              <w:left w:val="single" w:sz="8" w:color="auto"/>
              <w:right w:val="single" w:sz="8" w:color="auto"/>
            </w:tcBorders>
          </w:tcPr>
          <w:p>
            <w:pPr>
              <w:spacing w:after="0"/>
              <w:rPr>
                <w:sz w:val="23"/>
                <w:szCs w:val="23"/>
                <w:color w:val="auto"/>
              </w:rPr>
            </w:pPr>
          </w:p>
        </w:tc>
        <w:tc>
          <w:tcPr>
            <w:tcW w:w="244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62"/>
        </w:trPr>
        <w:tc>
          <w:tcPr>
            <w:tcW w:w="30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Auburn</w:t>
            </w:r>
          </w:p>
        </w:tc>
        <w:tc>
          <w:tcPr>
            <w:tcW w:w="2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60000 / 57000</w:t>
            </w:r>
          </w:p>
        </w:tc>
        <w:tc>
          <w:tcPr>
            <w:tcW w:w="1780" w:type="dxa"/>
            <w:vAlign w:val="bottom"/>
            <w:tcBorders>
              <w:bottom w:val="single" w:sz="8" w:color="CCEEFF"/>
              <w:right w:val="single" w:sz="8" w:color="auto"/>
            </w:tcBorders>
            <w:shd w:val="clear" w:color="auto" w:fill="CCEEFF"/>
          </w:tcPr>
          <w:p>
            <w:pPr>
              <w:spacing w:after="0"/>
              <w:rPr>
                <w:sz w:val="22"/>
                <w:szCs w:val="22"/>
                <w:color w:val="auto"/>
              </w:rPr>
            </w:pPr>
          </w:p>
        </w:tc>
        <w:tc>
          <w:tcPr>
            <w:tcW w:w="1880" w:type="dxa"/>
            <w:vAlign w:val="bottom"/>
            <w:tcBorders>
              <w:bottom w:val="single" w:sz="8" w:color="CCEEFF"/>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100 Parramatta Road</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Plus a 871-space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$27,998,657</w:t>
            </w: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Auburn, NSW, Australia</w:t>
            </w:r>
          </w:p>
        </w:tc>
        <w:tc>
          <w:tcPr>
            <w:tcW w:w="2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parking structure</w:t>
            </w:r>
          </w:p>
        </w:tc>
        <w:tc>
          <w:tcPr>
            <w:tcW w:w="1780" w:type="dxa"/>
            <w:vAlign w:val="bottom"/>
            <w:tcBorders>
              <w:bottom w:val="single" w:sz="8" w:color="CCEEFF"/>
              <w:right w:val="single" w:sz="8" w:color="auto"/>
            </w:tcBorders>
            <w:shd w:val="clear" w:color="auto" w:fill="CCEEFF"/>
          </w:tcPr>
          <w:p>
            <w:pPr>
              <w:spacing w:after="0"/>
              <w:rPr>
                <w:sz w:val="22"/>
                <w:szCs w:val="22"/>
                <w:color w:val="auto"/>
              </w:rPr>
            </w:pPr>
          </w:p>
        </w:tc>
        <w:tc>
          <w:tcPr>
            <w:tcW w:w="1880" w:type="dxa"/>
            <w:vAlign w:val="bottom"/>
            <w:tcBorders>
              <w:bottom w:val="single" w:sz="8" w:color="CCEEFF"/>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3040" w:type="dxa"/>
            <w:vAlign w:val="bottom"/>
            <w:tcBorders>
              <w:left w:val="single" w:sz="8" w:color="auto"/>
              <w:bottom w:val="single" w:sz="8" w:color="auto"/>
              <w:right w:val="single" w:sz="8" w:color="auto"/>
            </w:tcBorders>
          </w:tcPr>
          <w:p>
            <w:pPr>
              <w:spacing w:after="0"/>
              <w:rPr>
                <w:sz w:val="23"/>
                <w:szCs w:val="23"/>
                <w:color w:val="auto"/>
              </w:rPr>
            </w:pPr>
          </w:p>
        </w:tc>
        <w:tc>
          <w:tcPr>
            <w:tcW w:w="244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040" w:type="dxa"/>
            <w:vAlign w:val="bottom"/>
            <w:tcBorders>
              <w:left w:val="single" w:sz="8" w:color="auto"/>
              <w:right w:val="single" w:sz="8" w:color="auto"/>
            </w:tcBorders>
            <w:shd w:val="clear" w:color="auto" w:fill="CCEEFF"/>
          </w:tcPr>
          <w:p>
            <w:pPr>
              <w:spacing w:after="0"/>
              <w:rPr>
                <w:sz w:val="23"/>
                <w:szCs w:val="23"/>
                <w:color w:val="auto"/>
              </w:rPr>
            </w:pPr>
          </w:p>
        </w:tc>
        <w:tc>
          <w:tcPr>
            <w:tcW w:w="2440" w:type="dxa"/>
            <w:vAlign w:val="bottom"/>
            <w:tcBorders>
              <w:right w:val="single" w:sz="8" w:color="auto"/>
            </w:tcBorders>
            <w:shd w:val="clear" w:color="auto" w:fill="CCEEFF"/>
          </w:tcPr>
          <w:p>
            <w:pPr>
              <w:spacing w:after="0"/>
              <w:rPr>
                <w:sz w:val="23"/>
                <w:szCs w:val="23"/>
                <w:color w:val="auto"/>
              </w:rPr>
            </w:pPr>
          </w:p>
        </w:tc>
        <w:tc>
          <w:tcPr>
            <w:tcW w:w="1780" w:type="dxa"/>
            <w:vAlign w:val="bottom"/>
            <w:tcBorders>
              <w:right w:val="single" w:sz="8" w:color="auto"/>
            </w:tcBorders>
            <w:shd w:val="clear" w:color="auto" w:fill="CCEEFF"/>
          </w:tcPr>
          <w:p>
            <w:pPr>
              <w:spacing w:after="0"/>
              <w:rPr>
                <w:sz w:val="23"/>
                <w:szCs w:val="23"/>
                <w:color w:val="auto"/>
              </w:rPr>
            </w:pPr>
          </w:p>
        </w:tc>
        <w:tc>
          <w:tcPr>
            <w:tcW w:w="1880" w:type="dxa"/>
            <w:vAlign w:val="bottom"/>
            <w:tcBorders>
              <w:right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4"/>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Belmont</w:t>
            </w:r>
          </w:p>
        </w:tc>
        <w:tc>
          <w:tcPr>
            <w:tcW w:w="24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8"/>
        </w:trPr>
        <w:tc>
          <w:tcPr>
            <w:tcW w:w="3040" w:type="dxa"/>
            <w:vAlign w:val="bottom"/>
            <w:tcBorders>
              <w:left w:val="single" w:sz="8" w:color="auto"/>
              <w:right w:val="single" w:sz="8" w:color="auto"/>
            </w:tcBorders>
          </w:tcPr>
          <w:p>
            <w:pPr>
              <w:spacing w:after="0"/>
              <w:rPr>
                <w:sz w:val="4"/>
                <w:szCs w:val="4"/>
                <w:color w:val="auto"/>
              </w:rPr>
            </w:pPr>
          </w:p>
        </w:tc>
        <w:tc>
          <w:tcPr>
            <w:tcW w:w="24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Knutsford Avenue and</w:t>
            </w:r>
          </w:p>
        </w:tc>
        <w:tc>
          <w:tcPr>
            <w:tcW w:w="2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15000 / 45000</w:t>
            </w:r>
          </w:p>
        </w:tc>
        <w:tc>
          <w:tcPr>
            <w:tcW w:w="1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$12,758,425</w:t>
            </w:r>
          </w:p>
        </w:tc>
        <w:tc>
          <w:tcPr>
            <w:tcW w:w="20" w:type="dxa"/>
            <w:vAlign w:val="bottom"/>
          </w:tcPr>
          <w:p>
            <w:pPr>
              <w:spacing w:after="0"/>
              <w:rPr>
                <w:sz w:val="24"/>
                <w:szCs w:val="24"/>
                <w:color w:val="auto"/>
              </w:rPr>
            </w:pPr>
          </w:p>
        </w:tc>
      </w:tr>
      <w:tr>
        <w:trPr>
          <w:trHeight w:val="234"/>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Fulham Street</w:t>
            </w:r>
          </w:p>
        </w:tc>
        <w:tc>
          <w:tcPr>
            <w:tcW w:w="24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8"/>
        </w:trPr>
        <w:tc>
          <w:tcPr>
            <w:tcW w:w="3040" w:type="dxa"/>
            <w:vAlign w:val="bottom"/>
            <w:tcBorders>
              <w:left w:val="single" w:sz="8" w:color="auto"/>
              <w:right w:val="single" w:sz="8" w:color="auto"/>
            </w:tcBorders>
          </w:tcPr>
          <w:p>
            <w:pPr>
              <w:spacing w:after="0"/>
              <w:rPr>
                <w:sz w:val="4"/>
                <w:szCs w:val="4"/>
                <w:color w:val="auto"/>
              </w:rPr>
            </w:pPr>
          </w:p>
        </w:tc>
        <w:tc>
          <w:tcPr>
            <w:tcW w:w="24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2"/>
        </w:trPr>
        <w:tc>
          <w:tcPr>
            <w:tcW w:w="30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Belmont, WA, Australia</w:t>
            </w:r>
          </w:p>
        </w:tc>
        <w:tc>
          <w:tcPr>
            <w:tcW w:w="2440" w:type="dxa"/>
            <w:vAlign w:val="bottom"/>
            <w:tcBorders>
              <w:bottom w:val="single" w:sz="8" w:color="CCEEFF"/>
              <w:right w:val="single" w:sz="8" w:color="auto"/>
            </w:tcBorders>
            <w:shd w:val="clear" w:color="auto" w:fill="CCEEFF"/>
          </w:tcPr>
          <w:p>
            <w:pPr>
              <w:spacing w:after="0"/>
              <w:rPr>
                <w:sz w:val="22"/>
                <w:szCs w:val="22"/>
                <w:color w:val="auto"/>
              </w:rPr>
            </w:pPr>
          </w:p>
        </w:tc>
        <w:tc>
          <w:tcPr>
            <w:tcW w:w="1780" w:type="dxa"/>
            <w:vAlign w:val="bottom"/>
            <w:tcBorders>
              <w:bottom w:val="single" w:sz="8" w:color="CCEEFF"/>
              <w:right w:val="single" w:sz="8" w:color="auto"/>
            </w:tcBorders>
            <w:shd w:val="clear" w:color="auto" w:fill="CCEEFF"/>
          </w:tcPr>
          <w:p>
            <w:pPr>
              <w:spacing w:after="0"/>
              <w:rPr>
                <w:sz w:val="22"/>
                <w:szCs w:val="22"/>
                <w:color w:val="auto"/>
              </w:rPr>
            </w:pPr>
          </w:p>
        </w:tc>
        <w:tc>
          <w:tcPr>
            <w:tcW w:w="1880" w:type="dxa"/>
            <w:vAlign w:val="bottom"/>
            <w:tcBorders>
              <w:bottom w:val="single" w:sz="8" w:color="CCEEFF"/>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3040" w:type="dxa"/>
            <w:vAlign w:val="bottom"/>
            <w:tcBorders>
              <w:left w:val="single" w:sz="8" w:color="auto"/>
              <w:bottom w:val="single" w:sz="8" w:color="auto"/>
              <w:right w:val="single" w:sz="8" w:color="auto"/>
            </w:tcBorders>
          </w:tcPr>
          <w:p>
            <w:pPr>
              <w:spacing w:after="0"/>
              <w:rPr>
                <w:sz w:val="23"/>
                <w:szCs w:val="23"/>
                <w:color w:val="auto"/>
              </w:rPr>
            </w:pPr>
          </w:p>
        </w:tc>
        <w:tc>
          <w:tcPr>
            <w:tcW w:w="244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040" w:type="dxa"/>
            <w:vAlign w:val="bottom"/>
            <w:tcBorders>
              <w:left w:val="single" w:sz="8" w:color="auto"/>
              <w:right w:val="single" w:sz="8" w:color="auto"/>
            </w:tcBorders>
            <w:shd w:val="clear" w:color="auto" w:fill="CCEEFF"/>
          </w:tcPr>
          <w:p>
            <w:pPr>
              <w:spacing w:after="0"/>
              <w:rPr>
                <w:sz w:val="23"/>
                <w:szCs w:val="23"/>
                <w:color w:val="auto"/>
              </w:rPr>
            </w:pPr>
          </w:p>
        </w:tc>
        <w:tc>
          <w:tcPr>
            <w:tcW w:w="2440" w:type="dxa"/>
            <w:vAlign w:val="bottom"/>
            <w:tcBorders>
              <w:right w:val="single" w:sz="8" w:color="auto"/>
            </w:tcBorders>
            <w:shd w:val="clear" w:color="auto" w:fill="CCEEFF"/>
          </w:tcPr>
          <w:p>
            <w:pPr>
              <w:spacing w:after="0"/>
              <w:rPr>
                <w:sz w:val="23"/>
                <w:szCs w:val="23"/>
                <w:color w:val="auto"/>
              </w:rPr>
            </w:pPr>
          </w:p>
        </w:tc>
        <w:tc>
          <w:tcPr>
            <w:tcW w:w="1780" w:type="dxa"/>
            <w:vAlign w:val="bottom"/>
            <w:tcBorders>
              <w:right w:val="single" w:sz="8" w:color="auto"/>
            </w:tcBorders>
            <w:shd w:val="clear" w:color="auto" w:fill="CCEEFF"/>
          </w:tcPr>
          <w:p>
            <w:pPr>
              <w:spacing w:after="0"/>
              <w:rPr>
                <w:sz w:val="23"/>
                <w:szCs w:val="23"/>
                <w:color w:val="auto"/>
              </w:rPr>
            </w:pPr>
          </w:p>
        </w:tc>
        <w:tc>
          <w:tcPr>
            <w:tcW w:w="1880" w:type="dxa"/>
            <w:vAlign w:val="bottom"/>
            <w:tcBorders>
              <w:right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4"/>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Bundaberg</w:t>
            </w:r>
          </w:p>
        </w:tc>
        <w:tc>
          <w:tcPr>
            <w:tcW w:w="24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8"/>
        </w:trPr>
        <w:tc>
          <w:tcPr>
            <w:tcW w:w="3040" w:type="dxa"/>
            <w:vAlign w:val="bottom"/>
            <w:tcBorders>
              <w:left w:val="single" w:sz="8" w:color="auto"/>
              <w:right w:val="single" w:sz="8" w:color="auto"/>
            </w:tcBorders>
          </w:tcPr>
          <w:p>
            <w:pPr>
              <w:spacing w:after="0"/>
              <w:rPr>
                <w:sz w:val="4"/>
                <w:szCs w:val="4"/>
                <w:color w:val="auto"/>
              </w:rPr>
            </w:pPr>
          </w:p>
        </w:tc>
        <w:tc>
          <w:tcPr>
            <w:tcW w:w="24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2"/>
        </w:trPr>
        <w:tc>
          <w:tcPr>
            <w:tcW w:w="30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 Johanna Boulevard</w:t>
            </w:r>
          </w:p>
        </w:tc>
        <w:tc>
          <w:tcPr>
            <w:tcW w:w="2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0 / 52840</w:t>
            </w:r>
          </w:p>
        </w:tc>
        <w:tc>
          <w:tcPr>
            <w:tcW w:w="1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$1,790,443</w:t>
            </w:r>
          </w:p>
        </w:tc>
        <w:tc>
          <w:tcPr>
            <w:tcW w:w="20" w:type="dxa"/>
            <w:vAlign w:val="bottom"/>
          </w:tcPr>
          <w:p>
            <w:pPr>
              <w:spacing w:after="0"/>
              <w:rPr>
                <w:sz w:val="22"/>
                <w:szCs w:val="22"/>
                <w:color w:val="auto"/>
              </w:rPr>
            </w:pPr>
          </w:p>
        </w:tc>
      </w:tr>
      <w:tr>
        <w:trPr>
          <w:trHeight w:val="234"/>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Bundaberg, QLD, Australia</w:t>
            </w:r>
          </w:p>
        </w:tc>
        <w:tc>
          <w:tcPr>
            <w:tcW w:w="24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8"/>
        </w:trPr>
        <w:tc>
          <w:tcPr>
            <w:tcW w:w="3040" w:type="dxa"/>
            <w:vAlign w:val="bottom"/>
            <w:tcBorders>
              <w:left w:val="single" w:sz="8" w:color="auto"/>
              <w:right w:val="single" w:sz="8" w:color="auto"/>
            </w:tcBorders>
          </w:tcPr>
          <w:p>
            <w:pPr>
              <w:spacing w:after="0"/>
              <w:rPr>
                <w:sz w:val="4"/>
                <w:szCs w:val="4"/>
                <w:color w:val="auto"/>
              </w:rPr>
            </w:pPr>
          </w:p>
        </w:tc>
        <w:tc>
          <w:tcPr>
            <w:tcW w:w="24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4"/>
        </w:trPr>
        <w:tc>
          <w:tcPr>
            <w:tcW w:w="30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2440" w:type="dxa"/>
            <w:vAlign w:val="bottom"/>
            <w:tcBorders>
              <w:bottom w:val="single" w:sz="8" w:color="auto"/>
              <w:right w:val="single" w:sz="8" w:color="auto"/>
            </w:tcBorders>
            <w:shd w:val="clear" w:color="auto" w:fill="CCEEFF"/>
          </w:tcPr>
          <w:p>
            <w:pPr>
              <w:spacing w:after="0"/>
              <w:rPr>
                <w:sz w:val="23"/>
                <w:szCs w:val="23"/>
                <w:color w:val="auto"/>
              </w:rPr>
            </w:pPr>
          </w:p>
        </w:tc>
        <w:tc>
          <w:tcPr>
            <w:tcW w:w="1780" w:type="dxa"/>
            <w:vAlign w:val="bottom"/>
            <w:tcBorders>
              <w:bottom w:val="single" w:sz="8" w:color="auto"/>
              <w:right w:val="single" w:sz="8" w:color="auto"/>
            </w:tcBorders>
            <w:shd w:val="clear" w:color="auto" w:fill="CCEEFF"/>
          </w:tcPr>
          <w:p>
            <w:pPr>
              <w:spacing w:after="0"/>
              <w:rPr>
                <w:sz w:val="23"/>
                <w:szCs w:val="23"/>
                <w:color w:val="auto"/>
              </w:rPr>
            </w:pPr>
          </w:p>
        </w:tc>
        <w:tc>
          <w:tcPr>
            <w:tcW w:w="1880" w:type="dxa"/>
            <w:vAlign w:val="bottom"/>
            <w:tcBorders>
              <w:bottom w:val="single" w:sz="8" w:color="auto"/>
              <w:right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040" w:type="dxa"/>
            <w:vAlign w:val="bottom"/>
            <w:tcBorders>
              <w:left w:val="single" w:sz="8" w:color="auto"/>
              <w:right w:val="single" w:sz="8" w:color="auto"/>
            </w:tcBorders>
          </w:tcPr>
          <w:p>
            <w:pPr>
              <w:spacing w:after="0"/>
              <w:rPr>
                <w:sz w:val="23"/>
                <w:szCs w:val="23"/>
                <w:color w:val="auto"/>
              </w:rPr>
            </w:pPr>
          </w:p>
        </w:tc>
        <w:tc>
          <w:tcPr>
            <w:tcW w:w="244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30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Cinemas 1, 2, 3</w:t>
            </w:r>
            <w:r>
              <w:rPr>
                <w:rFonts w:ascii="Arial" w:cs="Arial" w:eastAsia="Arial" w:hAnsi="Arial"/>
                <w:sz w:val="16"/>
                <w:szCs w:val="16"/>
                <w:color w:val="auto"/>
                <w:w w:val="86"/>
                <w:vertAlign w:val="superscript"/>
              </w:rPr>
              <w:t>7</w:t>
            </w:r>
          </w:p>
        </w:tc>
        <w:tc>
          <w:tcPr>
            <w:tcW w:w="2440" w:type="dxa"/>
            <w:vAlign w:val="bottom"/>
            <w:tcBorders>
              <w:bottom w:val="single" w:sz="8" w:color="CCEEFF"/>
              <w:right w:val="single" w:sz="8" w:color="auto"/>
            </w:tcBorders>
            <w:shd w:val="clear" w:color="auto" w:fill="CCEEFF"/>
          </w:tcPr>
          <w:p>
            <w:pPr>
              <w:spacing w:after="0"/>
              <w:rPr>
                <w:sz w:val="24"/>
                <w:szCs w:val="24"/>
                <w:color w:val="auto"/>
              </w:rPr>
            </w:pPr>
          </w:p>
        </w:tc>
        <w:tc>
          <w:tcPr>
            <w:tcW w:w="1780" w:type="dxa"/>
            <w:vAlign w:val="bottom"/>
            <w:tcBorders>
              <w:bottom w:val="single" w:sz="8" w:color="CCEEFF"/>
              <w:right w:val="single" w:sz="8" w:color="auto"/>
            </w:tcBorders>
            <w:shd w:val="clear" w:color="auto" w:fill="CCEEFF"/>
          </w:tcPr>
          <w:p>
            <w:pPr>
              <w:spacing w:after="0"/>
              <w:rPr>
                <w:sz w:val="24"/>
                <w:szCs w:val="24"/>
                <w:color w:val="auto"/>
              </w:rPr>
            </w:pPr>
          </w:p>
        </w:tc>
        <w:tc>
          <w:tcPr>
            <w:tcW w:w="1880" w:type="dxa"/>
            <w:vAlign w:val="bottom"/>
            <w:tcBorders>
              <w:bottom w:val="single" w:sz="8" w:color="CCEEFF"/>
              <w:right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1003 Third Avenue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0 / 21000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$24,999,953</w:t>
            </w: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Manhattan, NY, USA</w:t>
            </w:r>
          </w:p>
        </w:tc>
        <w:tc>
          <w:tcPr>
            <w:tcW w:w="2440" w:type="dxa"/>
            <w:vAlign w:val="bottom"/>
            <w:tcBorders>
              <w:bottom w:val="single" w:sz="8" w:color="CCEEFF"/>
              <w:right w:val="single" w:sz="8" w:color="auto"/>
            </w:tcBorders>
            <w:shd w:val="clear" w:color="auto" w:fill="CCEEFF"/>
          </w:tcPr>
          <w:p>
            <w:pPr>
              <w:spacing w:after="0"/>
              <w:rPr>
                <w:sz w:val="22"/>
                <w:szCs w:val="22"/>
                <w:color w:val="auto"/>
              </w:rPr>
            </w:pPr>
          </w:p>
        </w:tc>
        <w:tc>
          <w:tcPr>
            <w:tcW w:w="1780" w:type="dxa"/>
            <w:vAlign w:val="bottom"/>
            <w:tcBorders>
              <w:bottom w:val="single" w:sz="8" w:color="CCEEFF"/>
              <w:right w:val="single" w:sz="8" w:color="auto"/>
            </w:tcBorders>
            <w:shd w:val="clear" w:color="auto" w:fill="CCEEFF"/>
          </w:tcPr>
          <w:p>
            <w:pPr>
              <w:spacing w:after="0"/>
              <w:rPr>
                <w:sz w:val="22"/>
                <w:szCs w:val="22"/>
                <w:color w:val="auto"/>
              </w:rPr>
            </w:pPr>
          </w:p>
        </w:tc>
        <w:tc>
          <w:tcPr>
            <w:tcW w:w="1880" w:type="dxa"/>
            <w:vAlign w:val="bottom"/>
            <w:tcBorders>
              <w:bottom w:val="single" w:sz="8" w:color="CCEEFF"/>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3040" w:type="dxa"/>
            <w:vAlign w:val="bottom"/>
            <w:tcBorders>
              <w:left w:val="single" w:sz="8" w:color="auto"/>
              <w:bottom w:val="single" w:sz="8" w:color="auto"/>
              <w:right w:val="single" w:sz="8" w:color="auto"/>
            </w:tcBorders>
          </w:tcPr>
          <w:p>
            <w:pPr>
              <w:spacing w:after="0"/>
              <w:rPr>
                <w:sz w:val="23"/>
                <w:szCs w:val="23"/>
                <w:color w:val="auto"/>
              </w:rPr>
            </w:pPr>
          </w:p>
        </w:tc>
        <w:tc>
          <w:tcPr>
            <w:tcW w:w="244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040" w:type="dxa"/>
            <w:vAlign w:val="bottom"/>
            <w:tcBorders>
              <w:left w:val="single" w:sz="8" w:color="auto"/>
              <w:right w:val="single" w:sz="8" w:color="auto"/>
            </w:tcBorders>
            <w:shd w:val="clear" w:color="auto" w:fill="CCEEFF"/>
          </w:tcPr>
          <w:p>
            <w:pPr>
              <w:spacing w:after="0"/>
              <w:rPr>
                <w:sz w:val="23"/>
                <w:szCs w:val="23"/>
                <w:color w:val="auto"/>
              </w:rPr>
            </w:pPr>
          </w:p>
        </w:tc>
        <w:tc>
          <w:tcPr>
            <w:tcW w:w="2440" w:type="dxa"/>
            <w:vAlign w:val="bottom"/>
            <w:tcBorders>
              <w:right w:val="single" w:sz="8" w:color="auto"/>
            </w:tcBorders>
            <w:shd w:val="clear" w:color="auto" w:fill="CCEEFF"/>
          </w:tcPr>
          <w:p>
            <w:pPr>
              <w:spacing w:after="0"/>
              <w:rPr>
                <w:sz w:val="23"/>
                <w:szCs w:val="23"/>
                <w:color w:val="auto"/>
              </w:rPr>
            </w:pPr>
          </w:p>
        </w:tc>
        <w:tc>
          <w:tcPr>
            <w:tcW w:w="1780" w:type="dxa"/>
            <w:vAlign w:val="bottom"/>
            <w:tcBorders>
              <w:right w:val="single" w:sz="8" w:color="auto"/>
            </w:tcBorders>
            <w:shd w:val="clear" w:color="auto" w:fill="CCEEFF"/>
          </w:tcPr>
          <w:p>
            <w:pPr>
              <w:spacing w:after="0"/>
              <w:rPr>
                <w:sz w:val="23"/>
                <w:szCs w:val="23"/>
                <w:color w:val="auto"/>
              </w:rPr>
            </w:pPr>
          </w:p>
        </w:tc>
        <w:tc>
          <w:tcPr>
            <w:tcW w:w="1880" w:type="dxa"/>
            <w:vAlign w:val="bottom"/>
            <w:tcBorders>
              <w:right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4"/>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Courtenay Central</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33000 / 76000</w:t>
            </w: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8"/>
        </w:trPr>
        <w:tc>
          <w:tcPr>
            <w:tcW w:w="3040" w:type="dxa"/>
            <w:vAlign w:val="bottom"/>
            <w:tcBorders>
              <w:left w:val="single" w:sz="8" w:color="auto"/>
              <w:right w:val="single" w:sz="8" w:color="auto"/>
            </w:tcBorders>
          </w:tcPr>
          <w:p>
            <w:pPr>
              <w:spacing w:after="0"/>
              <w:rPr>
                <w:sz w:val="4"/>
                <w:szCs w:val="4"/>
                <w:color w:val="auto"/>
              </w:rPr>
            </w:pPr>
          </w:p>
        </w:tc>
        <w:tc>
          <w:tcPr>
            <w:tcW w:w="24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100 Courtenay Place</w:t>
            </w:r>
          </w:p>
        </w:tc>
        <w:tc>
          <w:tcPr>
            <w:tcW w:w="2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Plus a 1,086-space</w:t>
            </w:r>
          </w:p>
        </w:tc>
        <w:tc>
          <w:tcPr>
            <w:tcW w:w="1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70%</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$36,021,239</w:t>
            </w:r>
          </w:p>
        </w:tc>
        <w:tc>
          <w:tcPr>
            <w:tcW w:w="20" w:type="dxa"/>
            <w:vAlign w:val="bottom"/>
          </w:tcPr>
          <w:p>
            <w:pPr>
              <w:spacing w:after="0"/>
              <w:rPr>
                <w:sz w:val="24"/>
                <w:szCs w:val="24"/>
                <w:color w:val="auto"/>
              </w:rPr>
            </w:pPr>
          </w:p>
        </w:tc>
      </w:tr>
      <w:tr>
        <w:trPr>
          <w:trHeight w:val="234"/>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Wellington, New Zealand</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parking structure</w:t>
            </w: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8"/>
        </w:trPr>
        <w:tc>
          <w:tcPr>
            <w:tcW w:w="3040" w:type="dxa"/>
            <w:vAlign w:val="bottom"/>
            <w:tcBorders>
              <w:left w:val="single" w:sz="8" w:color="auto"/>
              <w:right w:val="single" w:sz="8" w:color="auto"/>
            </w:tcBorders>
          </w:tcPr>
          <w:p>
            <w:pPr>
              <w:spacing w:after="0"/>
              <w:rPr>
                <w:sz w:val="4"/>
                <w:szCs w:val="4"/>
                <w:color w:val="auto"/>
              </w:rPr>
            </w:pPr>
          </w:p>
        </w:tc>
        <w:tc>
          <w:tcPr>
            <w:tcW w:w="24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4"/>
        </w:trPr>
        <w:tc>
          <w:tcPr>
            <w:tcW w:w="30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2440" w:type="dxa"/>
            <w:vAlign w:val="bottom"/>
            <w:tcBorders>
              <w:bottom w:val="single" w:sz="8" w:color="auto"/>
              <w:right w:val="single" w:sz="8" w:color="auto"/>
            </w:tcBorders>
            <w:shd w:val="clear" w:color="auto" w:fill="CCEEFF"/>
          </w:tcPr>
          <w:p>
            <w:pPr>
              <w:spacing w:after="0"/>
              <w:rPr>
                <w:sz w:val="23"/>
                <w:szCs w:val="23"/>
                <w:color w:val="auto"/>
              </w:rPr>
            </w:pPr>
          </w:p>
        </w:tc>
        <w:tc>
          <w:tcPr>
            <w:tcW w:w="1780" w:type="dxa"/>
            <w:vAlign w:val="bottom"/>
            <w:tcBorders>
              <w:bottom w:val="single" w:sz="8" w:color="auto"/>
              <w:right w:val="single" w:sz="8" w:color="auto"/>
            </w:tcBorders>
            <w:shd w:val="clear" w:color="auto" w:fill="CCEEFF"/>
          </w:tcPr>
          <w:p>
            <w:pPr>
              <w:spacing w:after="0"/>
              <w:rPr>
                <w:sz w:val="23"/>
                <w:szCs w:val="23"/>
                <w:color w:val="auto"/>
              </w:rPr>
            </w:pPr>
          </w:p>
        </w:tc>
        <w:tc>
          <w:tcPr>
            <w:tcW w:w="1880" w:type="dxa"/>
            <w:vAlign w:val="bottom"/>
            <w:tcBorders>
              <w:bottom w:val="single" w:sz="8" w:color="auto"/>
              <w:right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903"/>
        </w:trPr>
        <w:tc>
          <w:tcPr>
            <w:tcW w:w="3040" w:type="dxa"/>
            <w:vAlign w:val="bottom"/>
          </w:tcPr>
          <w:p>
            <w:pPr>
              <w:spacing w:after="0"/>
              <w:rPr>
                <w:sz w:val="24"/>
                <w:szCs w:val="24"/>
                <w:color w:val="auto"/>
              </w:rPr>
            </w:pPr>
          </w:p>
        </w:tc>
        <w:tc>
          <w:tcPr>
            <w:tcW w:w="2440" w:type="dxa"/>
            <w:vAlign w:val="bottom"/>
          </w:tcPr>
          <w:p>
            <w:pPr>
              <w:jc w:val="right"/>
              <w:ind w:right="762"/>
              <w:spacing w:after="0"/>
              <w:rPr>
                <w:sz w:val="20"/>
                <w:szCs w:val="20"/>
                <w:color w:val="auto"/>
              </w:rPr>
            </w:pPr>
            <w:r>
              <w:rPr>
                <w:rFonts w:ascii="Arial" w:cs="Arial" w:eastAsia="Arial" w:hAnsi="Arial"/>
                <w:sz w:val="16"/>
                <w:szCs w:val="16"/>
                <w:color w:val="auto"/>
              </w:rPr>
              <w:t>20</w:t>
            </w: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040" w:type="dxa"/>
            <w:vAlign w:val="bottom"/>
            <w:tcBorders>
              <w:bottom w:val="single" w:sz="8" w:color="9A9A9A"/>
            </w:tcBorders>
          </w:tcPr>
          <w:p>
            <w:pPr>
              <w:spacing w:after="0"/>
              <w:rPr>
                <w:sz w:val="11"/>
                <w:szCs w:val="11"/>
                <w:color w:val="auto"/>
              </w:rPr>
            </w:pPr>
          </w:p>
        </w:tc>
        <w:tc>
          <w:tcPr>
            <w:tcW w:w="2440" w:type="dxa"/>
            <w:vAlign w:val="bottom"/>
            <w:tcBorders>
              <w:bottom w:val="single" w:sz="8" w:color="9A9A9A"/>
            </w:tcBorders>
          </w:tcPr>
          <w:p>
            <w:pPr>
              <w:spacing w:after="0"/>
              <w:rPr>
                <w:sz w:val="11"/>
                <w:szCs w:val="11"/>
                <w:color w:val="auto"/>
              </w:rPr>
            </w:pPr>
          </w:p>
        </w:tc>
        <w:tc>
          <w:tcPr>
            <w:tcW w:w="178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040" w:type="dxa"/>
            <w:vAlign w:val="bottom"/>
            <w:tcBorders>
              <w:bottom w:val="single" w:sz="8" w:color="EEEEEE"/>
            </w:tcBorders>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5790565</wp:posOffset>
            </wp:positionH>
            <wp:positionV relativeFrom="paragraph">
              <wp:posOffset>-34290</wp:posOffset>
            </wp:positionV>
            <wp:extent cx="33020" cy="4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160"/>
          </w:cols>
          <w:pgMar w:left="1360" w:top="123" w:right="137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93"/>
        </w:trPr>
        <w:tc>
          <w:tcPr>
            <w:tcW w:w="3040" w:type="dxa"/>
            <w:vAlign w:val="bottom"/>
            <w:tcBorders>
              <w:top w:val="single" w:sz="8" w:color="auto"/>
              <w:left w:val="single" w:sz="8" w:color="auto"/>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Square Feet of</w:t>
            </w:r>
          </w:p>
        </w:tc>
        <w:tc>
          <w:tcPr>
            <w:tcW w:w="17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Improvements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Gross Book Value</w:t>
            </w:r>
          </w:p>
        </w:tc>
        <w:tc>
          <w:tcPr>
            <w:tcW w:w="20" w:type="dxa"/>
            <w:vAlign w:val="bottom"/>
          </w:tcPr>
          <w:p>
            <w:pPr>
              <w:spacing w:after="0"/>
              <w:rPr>
                <w:sz w:val="24"/>
                <w:szCs w:val="24"/>
                <w:color w:val="auto"/>
              </w:rPr>
            </w:pPr>
          </w:p>
        </w:tc>
      </w:tr>
      <w:tr>
        <w:trPr>
          <w:trHeight w:val="275"/>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Property</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(rental/entertainment)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Leased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U.S. Dollars)</w:t>
            </w:r>
          </w:p>
        </w:tc>
        <w:tc>
          <w:tcPr>
            <w:tcW w:w="20" w:type="dxa"/>
            <w:vAlign w:val="bottom"/>
          </w:tcPr>
          <w:p>
            <w:pPr>
              <w:spacing w:after="0"/>
              <w:rPr>
                <w:sz w:val="23"/>
                <w:szCs w:val="23"/>
                <w:color w:val="auto"/>
              </w:rPr>
            </w:pPr>
          </w:p>
        </w:tc>
      </w:tr>
      <w:tr>
        <w:trPr>
          <w:trHeight w:val="55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Dunedin Cinema</w:t>
            </w:r>
          </w:p>
        </w:tc>
        <w:tc>
          <w:tcPr>
            <w:tcW w:w="2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33 The Octagon</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0 / 25295</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$8,186,274</w:t>
            </w: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Dunedin, New Zealand</w:t>
            </w:r>
          </w:p>
        </w:tc>
        <w:tc>
          <w:tcPr>
            <w:tcW w:w="2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Invercargill Cinema</w:t>
            </w:r>
          </w:p>
        </w:tc>
        <w:tc>
          <w:tcPr>
            <w:tcW w:w="2440" w:type="dxa"/>
            <w:vAlign w:val="bottom"/>
            <w:tcBorders>
              <w:right w:val="single" w:sz="8" w:color="auto"/>
            </w:tcBorders>
            <w:shd w:val="clear" w:color="auto" w:fill="CCEEFF"/>
          </w:tcPr>
          <w:p>
            <w:pPr>
              <w:spacing w:after="0"/>
              <w:rPr>
                <w:sz w:val="22"/>
                <w:szCs w:val="22"/>
                <w:color w:val="auto"/>
              </w:rPr>
            </w:pPr>
          </w:p>
        </w:tc>
        <w:tc>
          <w:tcPr>
            <w:tcW w:w="1780" w:type="dxa"/>
            <w:vAlign w:val="bottom"/>
            <w:tcBorders>
              <w:right w:val="single" w:sz="8" w:color="auto"/>
            </w:tcBorders>
            <w:shd w:val="clear" w:color="auto" w:fill="CCEEFF"/>
          </w:tcPr>
          <w:p>
            <w:pPr>
              <w:spacing w:after="0"/>
              <w:rPr>
                <w:sz w:val="22"/>
                <w:szCs w:val="22"/>
                <w:color w:val="auto"/>
              </w:rPr>
            </w:pPr>
          </w:p>
        </w:tc>
        <w:tc>
          <w:tcPr>
            <w:tcW w:w="1880" w:type="dxa"/>
            <w:vAlign w:val="bottom"/>
            <w:tcBorders>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29 Dee Street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9000 / 24000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69%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$3,060,830</w:t>
            </w: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Invercargill, New Zealand</w:t>
            </w:r>
          </w:p>
        </w:tc>
        <w:tc>
          <w:tcPr>
            <w:tcW w:w="2440" w:type="dxa"/>
            <w:vAlign w:val="bottom"/>
            <w:tcBorders>
              <w:bottom w:val="single" w:sz="8" w:color="auto"/>
              <w:right w:val="single" w:sz="8" w:color="auto"/>
            </w:tcBorders>
            <w:shd w:val="clear" w:color="auto" w:fill="CCEEFF"/>
          </w:tcPr>
          <w:p>
            <w:pPr>
              <w:spacing w:after="0"/>
              <w:rPr>
                <w:sz w:val="24"/>
                <w:szCs w:val="24"/>
                <w:color w:val="auto"/>
              </w:rPr>
            </w:pPr>
          </w:p>
        </w:tc>
        <w:tc>
          <w:tcPr>
            <w:tcW w:w="1780" w:type="dxa"/>
            <w:vAlign w:val="bottom"/>
            <w:tcBorders>
              <w:bottom w:val="single" w:sz="8" w:color="auto"/>
              <w:right w:val="single" w:sz="8" w:color="auto"/>
            </w:tcBorders>
            <w:shd w:val="clear" w:color="auto" w:fill="CCEEFF"/>
          </w:tcPr>
          <w:p>
            <w:pPr>
              <w:spacing w:after="0"/>
              <w:rPr>
                <w:sz w:val="24"/>
                <w:szCs w:val="24"/>
                <w:color w:val="auto"/>
              </w:rPr>
            </w:pPr>
          </w:p>
        </w:tc>
        <w:tc>
          <w:tcPr>
            <w:tcW w:w="1880" w:type="dxa"/>
            <w:vAlign w:val="bottom"/>
            <w:tcBorders>
              <w:bottom w:val="single" w:sz="8" w:color="auto"/>
              <w:right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85"/>
        </w:trPr>
        <w:tc>
          <w:tcPr>
            <w:tcW w:w="30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LA Doheny Condominium</w:t>
            </w:r>
            <w:r>
              <w:rPr>
                <w:rFonts w:ascii="Arial" w:cs="Arial" w:eastAsia="Arial" w:hAnsi="Arial"/>
                <w:sz w:val="7"/>
                <w:szCs w:val="7"/>
                <w:color w:val="auto"/>
                <w:w w:val="92"/>
              </w:rPr>
              <w:t>8</w:t>
            </w:r>
          </w:p>
        </w:tc>
        <w:tc>
          <w:tcPr>
            <w:tcW w:w="2440" w:type="dxa"/>
            <w:vAlign w:val="bottom"/>
            <w:tcBorders>
              <w:bottom w:val="single" w:sz="8" w:color="CCEEFF"/>
              <w:right w:val="single" w:sz="8" w:color="auto"/>
            </w:tcBorders>
            <w:shd w:val="clear" w:color="auto" w:fill="CCEEFF"/>
          </w:tcPr>
          <w:p>
            <w:pPr>
              <w:spacing w:after="0"/>
              <w:rPr>
                <w:sz w:val="24"/>
                <w:szCs w:val="24"/>
                <w:color w:val="auto"/>
              </w:rPr>
            </w:pPr>
          </w:p>
        </w:tc>
        <w:tc>
          <w:tcPr>
            <w:tcW w:w="1780" w:type="dxa"/>
            <w:vAlign w:val="bottom"/>
            <w:tcBorders>
              <w:bottom w:val="single" w:sz="8" w:color="CCEEFF"/>
              <w:right w:val="single" w:sz="8" w:color="auto"/>
            </w:tcBorders>
            <w:shd w:val="clear" w:color="auto" w:fill="CCEEFF"/>
          </w:tcPr>
          <w:p>
            <w:pPr>
              <w:spacing w:after="0"/>
              <w:rPr>
                <w:sz w:val="24"/>
                <w:szCs w:val="24"/>
                <w:color w:val="auto"/>
              </w:rPr>
            </w:pPr>
          </w:p>
        </w:tc>
        <w:tc>
          <w:tcPr>
            <w:tcW w:w="1880" w:type="dxa"/>
            <w:vAlign w:val="bottom"/>
            <w:tcBorders>
              <w:bottom w:val="single" w:sz="8" w:color="CCEEFF"/>
              <w:right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9255 Doheny Road</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0 / 1650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$552,449</w:t>
            </w: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Los Angeles, CA, USA</w:t>
            </w:r>
          </w:p>
        </w:tc>
        <w:tc>
          <w:tcPr>
            <w:tcW w:w="2440" w:type="dxa"/>
            <w:vAlign w:val="bottom"/>
            <w:tcBorders>
              <w:bottom w:val="single" w:sz="8" w:color="CCEEFF"/>
              <w:right w:val="single" w:sz="8" w:color="auto"/>
            </w:tcBorders>
            <w:shd w:val="clear" w:color="auto" w:fill="CCEEFF"/>
          </w:tcPr>
          <w:p>
            <w:pPr>
              <w:spacing w:after="0"/>
              <w:rPr>
                <w:sz w:val="22"/>
                <w:szCs w:val="22"/>
                <w:color w:val="auto"/>
              </w:rPr>
            </w:pPr>
          </w:p>
        </w:tc>
        <w:tc>
          <w:tcPr>
            <w:tcW w:w="1780" w:type="dxa"/>
            <w:vAlign w:val="bottom"/>
            <w:tcBorders>
              <w:bottom w:val="single" w:sz="8" w:color="CCEEFF"/>
              <w:right w:val="single" w:sz="8" w:color="auto"/>
            </w:tcBorders>
            <w:shd w:val="clear" w:color="auto" w:fill="CCEEFF"/>
          </w:tcPr>
          <w:p>
            <w:pPr>
              <w:spacing w:after="0"/>
              <w:rPr>
                <w:sz w:val="22"/>
                <w:szCs w:val="22"/>
                <w:color w:val="auto"/>
              </w:rPr>
            </w:pPr>
          </w:p>
        </w:tc>
        <w:tc>
          <w:tcPr>
            <w:tcW w:w="1880" w:type="dxa"/>
            <w:vAlign w:val="bottom"/>
            <w:tcBorders>
              <w:bottom w:val="single" w:sz="8" w:color="CCEEFF"/>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2"/>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Lake Taupo Motel</w:t>
            </w:r>
            <w:r>
              <w:rPr>
                <w:rFonts w:ascii="Arial" w:cs="Arial" w:eastAsia="Arial" w:hAnsi="Arial"/>
                <w:sz w:val="7"/>
                <w:szCs w:val="7"/>
                <w:color w:val="auto"/>
                <w:w w:val="90"/>
              </w:rPr>
              <w:t>9</w:t>
            </w:r>
          </w:p>
        </w:tc>
        <w:tc>
          <w:tcPr>
            <w:tcW w:w="2440" w:type="dxa"/>
            <w:vAlign w:val="bottom"/>
            <w:tcBorders>
              <w:right w:val="single" w:sz="8" w:color="auto"/>
            </w:tcBorders>
            <w:shd w:val="clear" w:color="auto" w:fill="CCEEFF"/>
          </w:tcPr>
          <w:p>
            <w:pPr>
              <w:spacing w:after="0"/>
              <w:rPr>
                <w:sz w:val="24"/>
                <w:szCs w:val="24"/>
                <w:color w:val="auto"/>
              </w:rPr>
            </w:pPr>
          </w:p>
        </w:tc>
        <w:tc>
          <w:tcPr>
            <w:tcW w:w="1780" w:type="dxa"/>
            <w:vAlign w:val="bottom"/>
            <w:tcBorders>
              <w:right w:val="single" w:sz="8" w:color="auto"/>
            </w:tcBorders>
            <w:shd w:val="clear" w:color="auto" w:fill="CCEEFF"/>
          </w:tcPr>
          <w:p>
            <w:pPr>
              <w:spacing w:after="0"/>
              <w:rPr>
                <w:sz w:val="24"/>
                <w:szCs w:val="24"/>
                <w:color w:val="auto"/>
              </w:rPr>
            </w:pPr>
          </w:p>
        </w:tc>
        <w:tc>
          <w:tcPr>
            <w:tcW w:w="1880" w:type="dxa"/>
            <w:vAlign w:val="bottom"/>
            <w:tcBorders>
              <w:right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138-140 Lake Terrace Road</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9000 / 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Short-term rentals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$1,084,539</w:t>
            </w: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Taupo, New Zealand</w:t>
            </w:r>
          </w:p>
        </w:tc>
        <w:tc>
          <w:tcPr>
            <w:tcW w:w="2440" w:type="dxa"/>
            <w:vAlign w:val="bottom"/>
            <w:tcBorders>
              <w:bottom w:val="single" w:sz="8" w:color="auto"/>
              <w:right w:val="single" w:sz="8" w:color="auto"/>
            </w:tcBorders>
            <w:shd w:val="clear" w:color="auto" w:fill="CCEEFF"/>
          </w:tcPr>
          <w:p>
            <w:pPr>
              <w:spacing w:after="0"/>
              <w:rPr>
                <w:sz w:val="24"/>
                <w:szCs w:val="24"/>
                <w:color w:val="auto"/>
              </w:rPr>
            </w:pPr>
          </w:p>
        </w:tc>
        <w:tc>
          <w:tcPr>
            <w:tcW w:w="1780" w:type="dxa"/>
            <w:vAlign w:val="bottom"/>
            <w:tcBorders>
              <w:bottom w:val="single" w:sz="8" w:color="auto"/>
              <w:right w:val="single" w:sz="8" w:color="auto"/>
            </w:tcBorders>
            <w:shd w:val="clear" w:color="auto" w:fill="CCEEFF"/>
          </w:tcPr>
          <w:p>
            <w:pPr>
              <w:spacing w:after="0"/>
              <w:rPr>
                <w:sz w:val="24"/>
                <w:szCs w:val="24"/>
                <w:color w:val="auto"/>
              </w:rPr>
            </w:pPr>
          </w:p>
        </w:tc>
        <w:tc>
          <w:tcPr>
            <w:tcW w:w="1880" w:type="dxa"/>
            <w:vAlign w:val="bottom"/>
            <w:tcBorders>
              <w:bottom w:val="single" w:sz="8" w:color="auto"/>
              <w:right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Maitland Cinema</w:t>
            </w:r>
          </w:p>
        </w:tc>
        <w:tc>
          <w:tcPr>
            <w:tcW w:w="24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8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Ken Tubman Drive</w:t>
            </w:r>
          </w:p>
        </w:tc>
        <w:tc>
          <w:tcPr>
            <w:tcW w:w="2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0 / 22000</w:t>
            </w:r>
          </w:p>
        </w:tc>
        <w:tc>
          <w:tcPr>
            <w:tcW w:w="1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$1,944,346</w:t>
            </w:r>
          </w:p>
        </w:tc>
        <w:tc>
          <w:tcPr>
            <w:tcW w:w="20" w:type="dxa"/>
            <w:vAlign w:val="bottom"/>
          </w:tcPr>
          <w:p>
            <w:pPr>
              <w:spacing w:after="0"/>
              <w:rPr>
                <w:sz w:val="24"/>
                <w:szCs w:val="24"/>
                <w:color w:val="auto"/>
              </w:rPr>
            </w:pPr>
          </w:p>
        </w:tc>
      </w:tr>
      <w:tr>
        <w:trPr>
          <w:trHeight w:val="281"/>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Maitland, NSW, Australia</w:t>
            </w:r>
          </w:p>
        </w:tc>
        <w:tc>
          <w:tcPr>
            <w:tcW w:w="24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Minetta Lane Theatre</w:t>
            </w:r>
          </w:p>
        </w:tc>
        <w:tc>
          <w:tcPr>
            <w:tcW w:w="2440" w:type="dxa"/>
            <w:vAlign w:val="bottom"/>
            <w:tcBorders>
              <w:right w:val="single" w:sz="8" w:color="auto"/>
            </w:tcBorders>
            <w:shd w:val="clear" w:color="auto" w:fill="CCEEFF"/>
          </w:tcPr>
          <w:p>
            <w:pPr>
              <w:spacing w:after="0"/>
              <w:rPr>
                <w:sz w:val="22"/>
                <w:szCs w:val="22"/>
                <w:color w:val="auto"/>
              </w:rPr>
            </w:pPr>
          </w:p>
        </w:tc>
        <w:tc>
          <w:tcPr>
            <w:tcW w:w="1780" w:type="dxa"/>
            <w:vAlign w:val="bottom"/>
            <w:tcBorders>
              <w:right w:val="single" w:sz="8" w:color="auto"/>
            </w:tcBorders>
            <w:shd w:val="clear" w:color="auto" w:fill="CCEEFF"/>
          </w:tcPr>
          <w:p>
            <w:pPr>
              <w:spacing w:after="0"/>
              <w:rPr>
                <w:sz w:val="22"/>
                <w:szCs w:val="22"/>
                <w:color w:val="auto"/>
              </w:rPr>
            </w:pPr>
          </w:p>
        </w:tc>
        <w:tc>
          <w:tcPr>
            <w:tcW w:w="1880" w:type="dxa"/>
            <w:vAlign w:val="bottom"/>
            <w:tcBorders>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18-22 Minetta Lane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0 / 9000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$8,617,669</w:t>
            </w: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Manhattan, NY, USA</w:t>
            </w:r>
          </w:p>
        </w:tc>
        <w:tc>
          <w:tcPr>
            <w:tcW w:w="2440" w:type="dxa"/>
            <w:vAlign w:val="bottom"/>
            <w:tcBorders>
              <w:bottom w:val="single" w:sz="8" w:color="auto"/>
              <w:right w:val="single" w:sz="8" w:color="auto"/>
            </w:tcBorders>
            <w:shd w:val="clear" w:color="auto" w:fill="CCEEFF"/>
          </w:tcPr>
          <w:p>
            <w:pPr>
              <w:spacing w:after="0"/>
              <w:rPr>
                <w:sz w:val="24"/>
                <w:szCs w:val="24"/>
                <w:color w:val="auto"/>
              </w:rPr>
            </w:pPr>
          </w:p>
        </w:tc>
        <w:tc>
          <w:tcPr>
            <w:tcW w:w="1780" w:type="dxa"/>
            <w:vAlign w:val="bottom"/>
            <w:tcBorders>
              <w:bottom w:val="single" w:sz="8" w:color="auto"/>
              <w:right w:val="single" w:sz="8" w:color="auto"/>
            </w:tcBorders>
            <w:shd w:val="clear" w:color="auto" w:fill="CCEEFF"/>
          </w:tcPr>
          <w:p>
            <w:pPr>
              <w:spacing w:after="0"/>
              <w:rPr>
                <w:sz w:val="24"/>
                <w:szCs w:val="24"/>
                <w:color w:val="auto"/>
              </w:rPr>
            </w:pPr>
          </w:p>
        </w:tc>
        <w:tc>
          <w:tcPr>
            <w:tcW w:w="1880" w:type="dxa"/>
            <w:vAlign w:val="bottom"/>
            <w:tcBorders>
              <w:bottom w:val="single" w:sz="8" w:color="auto"/>
              <w:right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Napier Cinema</w:t>
            </w:r>
          </w:p>
        </w:tc>
        <w:tc>
          <w:tcPr>
            <w:tcW w:w="24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8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154 Station Street</w:t>
            </w:r>
          </w:p>
        </w:tc>
        <w:tc>
          <w:tcPr>
            <w:tcW w:w="2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12000 / 18000</w:t>
            </w:r>
          </w:p>
        </w:tc>
        <w:tc>
          <w:tcPr>
            <w:tcW w:w="1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$3,344,521</w:t>
            </w:r>
          </w:p>
        </w:tc>
        <w:tc>
          <w:tcPr>
            <w:tcW w:w="20" w:type="dxa"/>
            <w:vAlign w:val="bottom"/>
          </w:tcPr>
          <w:p>
            <w:pPr>
              <w:spacing w:after="0"/>
              <w:rPr>
                <w:sz w:val="24"/>
                <w:szCs w:val="24"/>
                <w:color w:val="auto"/>
              </w:rPr>
            </w:pPr>
          </w:p>
        </w:tc>
      </w:tr>
      <w:tr>
        <w:trPr>
          <w:trHeight w:val="281"/>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Napier, New Zealand</w:t>
            </w:r>
          </w:p>
        </w:tc>
        <w:tc>
          <w:tcPr>
            <w:tcW w:w="24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Newmarket</w:t>
            </w:r>
          </w:p>
        </w:tc>
        <w:tc>
          <w:tcPr>
            <w:tcW w:w="2440" w:type="dxa"/>
            <w:vAlign w:val="bottom"/>
            <w:tcBorders>
              <w:right w:val="single" w:sz="8" w:color="auto"/>
            </w:tcBorders>
            <w:shd w:val="clear" w:color="auto" w:fill="CCEEFF"/>
          </w:tcPr>
          <w:p>
            <w:pPr>
              <w:spacing w:after="0"/>
              <w:rPr>
                <w:sz w:val="22"/>
                <w:szCs w:val="22"/>
                <w:color w:val="auto"/>
              </w:rPr>
            </w:pPr>
          </w:p>
        </w:tc>
        <w:tc>
          <w:tcPr>
            <w:tcW w:w="1780" w:type="dxa"/>
            <w:vAlign w:val="bottom"/>
            <w:tcBorders>
              <w:right w:val="single" w:sz="8" w:color="auto"/>
            </w:tcBorders>
            <w:shd w:val="clear" w:color="auto" w:fill="CCEEFF"/>
          </w:tcPr>
          <w:p>
            <w:pPr>
              <w:spacing w:after="0"/>
              <w:rPr>
                <w:sz w:val="22"/>
                <w:szCs w:val="22"/>
                <w:color w:val="auto"/>
              </w:rPr>
            </w:pPr>
          </w:p>
        </w:tc>
        <w:tc>
          <w:tcPr>
            <w:tcW w:w="1880" w:type="dxa"/>
            <w:vAlign w:val="bottom"/>
            <w:tcBorders>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400 Newmarket Road</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93000 / 0</w:t>
            </w:r>
          </w:p>
        </w:tc>
        <w:tc>
          <w:tcPr>
            <w:tcW w:w="17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Newmarket, QLD,</w:t>
            </w:r>
          </w:p>
        </w:tc>
        <w:tc>
          <w:tcPr>
            <w:tcW w:w="2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Plus a 436-space</w:t>
            </w:r>
          </w:p>
        </w:tc>
        <w:tc>
          <w:tcPr>
            <w:tcW w:w="1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$35,681,345</w:t>
            </w:r>
          </w:p>
        </w:tc>
        <w:tc>
          <w:tcPr>
            <w:tcW w:w="20" w:type="dxa"/>
            <w:vAlign w:val="bottom"/>
          </w:tcPr>
          <w:p>
            <w:pPr>
              <w:spacing w:after="0"/>
              <w:rPr>
                <w:sz w:val="24"/>
                <w:szCs w:val="24"/>
                <w:color w:val="auto"/>
              </w:rPr>
            </w:pPr>
          </w:p>
        </w:tc>
      </w:tr>
      <w:tr>
        <w:trPr>
          <w:trHeight w:val="281"/>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Australia</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parking structure</w:t>
            </w:r>
          </w:p>
        </w:tc>
        <w:tc>
          <w:tcPr>
            <w:tcW w:w="17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Orpheum Theatre</w:t>
            </w:r>
          </w:p>
        </w:tc>
        <w:tc>
          <w:tcPr>
            <w:tcW w:w="2440" w:type="dxa"/>
            <w:vAlign w:val="bottom"/>
            <w:tcBorders>
              <w:right w:val="single" w:sz="8" w:color="auto"/>
            </w:tcBorders>
            <w:shd w:val="clear" w:color="auto" w:fill="CCEEFF"/>
          </w:tcPr>
          <w:p>
            <w:pPr>
              <w:spacing w:after="0"/>
              <w:rPr>
                <w:sz w:val="22"/>
                <w:szCs w:val="22"/>
                <w:color w:val="auto"/>
              </w:rPr>
            </w:pPr>
          </w:p>
        </w:tc>
        <w:tc>
          <w:tcPr>
            <w:tcW w:w="1780" w:type="dxa"/>
            <w:vAlign w:val="bottom"/>
            <w:tcBorders>
              <w:right w:val="single" w:sz="8" w:color="auto"/>
            </w:tcBorders>
            <w:shd w:val="clear" w:color="auto" w:fill="CCEEFF"/>
          </w:tcPr>
          <w:p>
            <w:pPr>
              <w:spacing w:after="0"/>
              <w:rPr>
                <w:sz w:val="22"/>
                <w:szCs w:val="22"/>
                <w:color w:val="auto"/>
              </w:rPr>
            </w:pPr>
          </w:p>
        </w:tc>
        <w:tc>
          <w:tcPr>
            <w:tcW w:w="1880" w:type="dxa"/>
            <w:vAlign w:val="bottom"/>
            <w:tcBorders>
              <w:right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317"/>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126 2</w:t>
            </w:r>
            <w:r>
              <w:rPr>
                <w:rFonts w:ascii="Arial" w:cs="Arial" w:eastAsia="Arial" w:hAnsi="Arial"/>
                <w:sz w:val="7"/>
                <w:szCs w:val="7"/>
                <w:color w:val="auto"/>
                <w:w w:val="88"/>
              </w:rPr>
              <w:t>nd</w:t>
            </w:r>
            <w:r>
              <w:rPr>
                <w:rFonts w:ascii="Arial" w:cs="Arial" w:eastAsia="Arial" w:hAnsi="Arial"/>
                <w:sz w:val="16"/>
                <w:szCs w:val="16"/>
                <w:color w:val="auto"/>
                <w:w w:val="88"/>
              </w:rPr>
              <w:t xml:space="preserve"> Street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1000 / 5000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$3,565,021</w:t>
            </w:r>
          </w:p>
        </w:tc>
        <w:tc>
          <w:tcPr>
            <w:tcW w:w="20" w:type="dxa"/>
            <w:vAlign w:val="bottom"/>
          </w:tcPr>
          <w:p>
            <w:pPr>
              <w:spacing w:after="0"/>
              <w:rPr>
                <w:sz w:val="24"/>
                <w:szCs w:val="24"/>
                <w:color w:val="auto"/>
              </w:rPr>
            </w:pPr>
          </w:p>
        </w:tc>
      </w:tr>
      <w:tr>
        <w:trPr>
          <w:trHeight w:val="282"/>
        </w:trPr>
        <w:tc>
          <w:tcPr>
            <w:tcW w:w="30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Manhattan, NY, USA</w:t>
            </w:r>
          </w:p>
        </w:tc>
        <w:tc>
          <w:tcPr>
            <w:tcW w:w="2440" w:type="dxa"/>
            <w:vAlign w:val="bottom"/>
            <w:tcBorders>
              <w:bottom w:val="single" w:sz="8" w:color="auto"/>
              <w:right w:val="single" w:sz="8" w:color="auto"/>
            </w:tcBorders>
            <w:shd w:val="clear" w:color="auto" w:fill="CCEEFF"/>
          </w:tcPr>
          <w:p>
            <w:pPr>
              <w:spacing w:after="0"/>
              <w:rPr>
                <w:sz w:val="24"/>
                <w:szCs w:val="24"/>
                <w:color w:val="auto"/>
              </w:rPr>
            </w:pPr>
          </w:p>
        </w:tc>
        <w:tc>
          <w:tcPr>
            <w:tcW w:w="1780" w:type="dxa"/>
            <w:vAlign w:val="bottom"/>
            <w:tcBorders>
              <w:bottom w:val="single" w:sz="8" w:color="auto"/>
              <w:right w:val="single" w:sz="8" w:color="auto"/>
            </w:tcBorders>
            <w:shd w:val="clear" w:color="auto" w:fill="CCEEFF"/>
          </w:tcPr>
          <w:p>
            <w:pPr>
              <w:spacing w:after="0"/>
              <w:rPr>
                <w:sz w:val="24"/>
                <w:szCs w:val="24"/>
                <w:color w:val="auto"/>
              </w:rPr>
            </w:pPr>
          </w:p>
        </w:tc>
        <w:tc>
          <w:tcPr>
            <w:tcW w:w="1880" w:type="dxa"/>
            <w:vAlign w:val="bottom"/>
            <w:tcBorders>
              <w:bottom w:val="single" w:sz="8" w:color="auto"/>
              <w:right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Royal George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37000 / 23000</w:t>
            </w:r>
          </w:p>
        </w:tc>
        <w:tc>
          <w:tcPr>
            <w:tcW w:w="17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8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1633 N. Halsted Street</w:t>
            </w:r>
          </w:p>
        </w:tc>
        <w:tc>
          <w:tcPr>
            <w:tcW w:w="2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Plus a 55-space</w:t>
            </w:r>
          </w:p>
        </w:tc>
        <w:tc>
          <w:tcPr>
            <w:tcW w:w="1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91%</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$3,491,119</w:t>
            </w:r>
          </w:p>
        </w:tc>
        <w:tc>
          <w:tcPr>
            <w:tcW w:w="20" w:type="dxa"/>
            <w:vAlign w:val="bottom"/>
          </w:tcPr>
          <w:p>
            <w:pPr>
              <w:spacing w:after="0"/>
              <w:rPr>
                <w:sz w:val="24"/>
                <w:szCs w:val="24"/>
                <w:color w:val="auto"/>
              </w:rPr>
            </w:pPr>
          </w:p>
        </w:tc>
      </w:tr>
      <w:tr>
        <w:trPr>
          <w:trHeight w:val="715"/>
        </w:trPr>
        <w:tc>
          <w:tcPr>
            <w:tcW w:w="3040" w:type="dxa"/>
            <w:vAlign w:val="bottom"/>
          </w:tcPr>
          <w:p>
            <w:pPr>
              <w:spacing w:after="0"/>
              <w:rPr>
                <w:sz w:val="24"/>
                <w:szCs w:val="24"/>
                <w:color w:val="auto"/>
              </w:rPr>
            </w:pPr>
          </w:p>
        </w:tc>
        <w:tc>
          <w:tcPr>
            <w:tcW w:w="2440" w:type="dxa"/>
            <w:vAlign w:val="bottom"/>
          </w:tcPr>
          <w:p>
            <w:pPr>
              <w:jc w:val="right"/>
              <w:ind w:right="762"/>
              <w:spacing w:after="0"/>
              <w:rPr>
                <w:sz w:val="20"/>
                <w:szCs w:val="20"/>
                <w:color w:val="auto"/>
              </w:rPr>
            </w:pPr>
            <w:r>
              <w:rPr>
                <w:rFonts w:ascii="Arial" w:cs="Arial" w:eastAsia="Arial" w:hAnsi="Arial"/>
                <w:sz w:val="16"/>
                <w:szCs w:val="16"/>
                <w:color w:val="auto"/>
              </w:rPr>
              <w:t>21</w:t>
            </w: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040" w:type="dxa"/>
            <w:vAlign w:val="bottom"/>
            <w:tcBorders>
              <w:bottom w:val="single" w:sz="8" w:color="9A9A9A"/>
            </w:tcBorders>
          </w:tcPr>
          <w:p>
            <w:pPr>
              <w:spacing w:after="0"/>
              <w:rPr>
                <w:sz w:val="11"/>
                <w:szCs w:val="11"/>
                <w:color w:val="auto"/>
              </w:rPr>
            </w:pPr>
          </w:p>
        </w:tc>
        <w:tc>
          <w:tcPr>
            <w:tcW w:w="2440" w:type="dxa"/>
            <w:vAlign w:val="bottom"/>
            <w:tcBorders>
              <w:bottom w:val="single" w:sz="8" w:color="9A9A9A"/>
            </w:tcBorders>
          </w:tcPr>
          <w:p>
            <w:pPr>
              <w:spacing w:after="0"/>
              <w:rPr>
                <w:sz w:val="11"/>
                <w:szCs w:val="11"/>
                <w:color w:val="auto"/>
              </w:rPr>
            </w:pPr>
          </w:p>
        </w:tc>
        <w:tc>
          <w:tcPr>
            <w:tcW w:w="178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040" w:type="dxa"/>
            <w:vAlign w:val="bottom"/>
            <w:tcBorders>
              <w:bottom w:val="single" w:sz="8" w:color="EEEEEE"/>
            </w:tcBorders>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5790565</wp:posOffset>
            </wp:positionH>
            <wp:positionV relativeFrom="paragraph">
              <wp:posOffset>-34290</wp:posOffset>
            </wp:positionV>
            <wp:extent cx="33020" cy="47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160"/>
          </w:cols>
          <w:pgMar w:left="1360" w:top="296" w:right="137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81"/>
        </w:trPr>
        <w:tc>
          <w:tcPr>
            <w:tcW w:w="3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Chicago, IL, USA</w:t>
            </w:r>
          </w:p>
        </w:tc>
        <w:tc>
          <w:tcPr>
            <w:tcW w:w="246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parking structure</w:t>
            </w:r>
          </w:p>
        </w:tc>
        <w:tc>
          <w:tcPr>
            <w:tcW w:w="17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62"/>
        </w:trPr>
        <w:tc>
          <w:tcPr>
            <w:tcW w:w="30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Rotorua Cinema</w:t>
            </w:r>
          </w:p>
        </w:tc>
        <w:tc>
          <w:tcPr>
            <w:tcW w:w="2460" w:type="dxa"/>
            <w:vAlign w:val="bottom"/>
            <w:tcBorders>
              <w:right w:val="single" w:sz="8" w:color="auto"/>
            </w:tcBorders>
            <w:shd w:val="clear" w:color="auto" w:fill="CCEEFF"/>
          </w:tcPr>
          <w:p>
            <w:pPr>
              <w:spacing w:after="0"/>
              <w:rPr>
                <w:sz w:val="22"/>
                <w:szCs w:val="22"/>
                <w:color w:val="auto"/>
              </w:rPr>
            </w:pPr>
          </w:p>
        </w:tc>
        <w:tc>
          <w:tcPr>
            <w:tcW w:w="1760" w:type="dxa"/>
            <w:vAlign w:val="bottom"/>
            <w:tcBorders>
              <w:right w:val="single" w:sz="8" w:color="auto"/>
            </w:tcBorders>
            <w:shd w:val="clear" w:color="auto" w:fill="CCEEFF"/>
          </w:tcPr>
          <w:p>
            <w:pPr>
              <w:spacing w:after="0"/>
              <w:rPr>
                <w:sz w:val="22"/>
                <w:szCs w:val="22"/>
                <w:color w:val="auto"/>
              </w:rPr>
            </w:pPr>
          </w:p>
        </w:tc>
        <w:tc>
          <w:tcPr>
            <w:tcW w:w="1880" w:type="dxa"/>
            <w:vAlign w:val="bottom"/>
            <w:tcBorders>
              <w:right w:val="single" w:sz="8" w:color="auto"/>
            </w:tcBorders>
            <w:shd w:val="clear" w:color="auto" w:fill="CCEEFF"/>
          </w:tcPr>
          <w:p>
            <w:pPr>
              <w:spacing w:after="0"/>
              <w:rPr>
                <w:sz w:val="22"/>
                <w:szCs w:val="22"/>
                <w:color w:val="auto"/>
              </w:rPr>
            </w:pPr>
          </w:p>
        </w:tc>
      </w:tr>
      <w:tr>
        <w:trPr>
          <w:trHeight w:val="281"/>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1281 Eruera Street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 / 19000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right"/>
              <w:ind w:right="522"/>
              <w:spacing w:after="0"/>
              <w:rPr>
                <w:sz w:val="20"/>
                <w:szCs w:val="20"/>
                <w:color w:val="auto"/>
              </w:rPr>
            </w:pPr>
            <w:r>
              <w:rPr>
                <w:rFonts w:ascii="Arial" w:cs="Arial" w:eastAsia="Arial" w:hAnsi="Arial"/>
                <w:sz w:val="16"/>
                <w:szCs w:val="16"/>
                <w:color w:val="auto"/>
              </w:rPr>
              <w:t>$2,879,638</w:t>
            </w:r>
          </w:p>
        </w:tc>
      </w:tr>
      <w:tr>
        <w:trPr>
          <w:trHeight w:val="282"/>
        </w:trPr>
        <w:tc>
          <w:tcPr>
            <w:tcW w:w="30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Rotorua, New Zealand</w:t>
            </w:r>
          </w:p>
        </w:tc>
        <w:tc>
          <w:tcPr>
            <w:tcW w:w="2460" w:type="dxa"/>
            <w:vAlign w:val="bottom"/>
            <w:tcBorders>
              <w:bottom w:val="single" w:sz="8" w:color="auto"/>
              <w:right w:val="single" w:sz="8" w:color="auto"/>
            </w:tcBorders>
            <w:shd w:val="clear" w:color="auto" w:fill="CCEEFF"/>
          </w:tcPr>
          <w:p>
            <w:pPr>
              <w:spacing w:after="0"/>
              <w:rPr>
                <w:sz w:val="24"/>
                <w:szCs w:val="24"/>
                <w:color w:val="auto"/>
              </w:rPr>
            </w:pPr>
          </w:p>
        </w:tc>
        <w:tc>
          <w:tcPr>
            <w:tcW w:w="1760" w:type="dxa"/>
            <w:vAlign w:val="bottom"/>
            <w:tcBorders>
              <w:bottom w:val="single" w:sz="8" w:color="auto"/>
              <w:right w:val="single" w:sz="8" w:color="auto"/>
            </w:tcBorders>
            <w:shd w:val="clear" w:color="auto" w:fill="CCEEFF"/>
          </w:tcPr>
          <w:p>
            <w:pPr>
              <w:spacing w:after="0"/>
              <w:rPr>
                <w:sz w:val="24"/>
                <w:szCs w:val="24"/>
                <w:color w:val="auto"/>
              </w:rPr>
            </w:pPr>
          </w:p>
        </w:tc>
        <w:tc>
          <w:tcPr>
            <w:tcW w:w="188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62"/>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Union Square Theatre</w:t>
            </w:r>
          </w:p>
        </w:tc>
        <w:tc>
          <w:tcPr>
            <w:tcW w:w="246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r>
      <w:tr>
        <w:trPr>
          <w:trHeight w:val="318"/>
        </w:trPr>
        <w:tc>
          <w:tcPr>
            <w:tcW w:w="30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100 E. 17</w:t>
            </w:r>
            <w:r>
              <w:rPr>
                <w:rFonts w:ascii="Arial" w:cs="Arial" w:eastAsia="Arial" w:hAnsi="Arial"/>
                <w:sz w:val="7"/>
                <w:szCs w:val="7"/>
                <w:color w:val="auto"/>
                <w:w w:val="87"/>
              </w:rPr>
              <w:t>th</w:t>
            </w:r>
            <w:r>
              <w:rPr>
                <w:rFonts w:ascii="Arial" w:cs="Arial" w:eastAsia="Arial" w:hAnsi="Arial"/>
                <w:sz w:val="16"/>
                <w:szCs w:val="16"/>
                <w:color w:val="auto"/>
                <w:w w:val="87"/>
              </w:rPr>
              <w:t xml:space="preserve"> Street</w:t>
            </w:r>
          </w:p>
        </w:tc>
        <w:tc>
          <w:tcPr>
            <w:tcW w:w="24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21000 / 17000</w:t>
            </w:r>
          </w:p>
        </w:tc>
        <w:tc>
          <w:tcPr>
            <w:tcW w:w="1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1880" w:type="dxa"/>
            <w:vAlign w:val="bottom"/>
            <w:tcBorders>
              <w:right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rPr>
              <w:t>$9,721,163</w:t>
            </w:r>
          </w:p>
        </w:tc>
      </w:tr>
      <w:tr>
        <w:trPr>
          <w:trHeight w:val="274"/>
        </w:trPr>
        <w:tc>
          <w:tcPr>
            <w:tcW w:w="3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Manhattan, NY, USA</w:t>
            </w:r>
          </w:p>
        </w:tc>
        <w:tc>
          <w:tcPr>
            <w:tcW w:w="24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r>
      <w:tr>
        <w:trPr>
          <w:trHeight w:val="270"/>
        </w:trPr>
        <w:tc>
          <w:tcPr>
            <w:tcW w:w="30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York Street Office</w:t>
            </w:r>
          </w:p>
        </w:tc>
        <w:tc>
          <w:tcPr>
            <w:tcW w:w="2460" w:type="dxa"/>
            <w:vAlign w:val="bottom"/>
            <w:tcBorders>
              <w:right w:val="single" w:sz="8" w:color="auto"/>
            </w:tcBorders>
            <w:shd w:val="clear" w:color="auto" w:fill="CCEEFF"/>
          </w:tcPr>
          <w:p>
            <w:pPr>
              <w:spacing w:after="0"/>
              <w:rPr>
                <w:sz w:val="23"/>
                <w:szCs w:val="23"/>
                <w:color w:val="auto"/>
              </w:rPr>
            </w:pPr>
          </w:p>
        </w:tc>
        <w:tc>
          <w:tcPr>
            <w:tcW w:w="1760" w:type="dxa"/>
            <w:vAlign w:val="bottom"/>
            <w:tcBorders>
              <w:right w:val="single" w:sz="8" w:color="auto"/>
            </w:tcBorders>
            <w:shd w:val="clear" w:color="auto" w:fill="CCEEFF"/>
          </w:tcPr>
          <w:p>
            <w:pPr>
              <w:spacing w:after="0"/>
              <w:rPr>
                <w:sz w:val="23"/>
                <w:szCs w:val="23"/>
                <w:color w:val="auto"/>
              </w:rPr>
            </w:pPr>
          </w:p>
        </w:tc>
        <w:tc>
          <w:tcPr>
            <w:tcW w:w="1880" w:type="dxa"/>
            <w:vAlign w:val="bottom"/>
            <w:tcBorders>
              <w:right w:val="single" w:sz="8" w:color="auto"/>
            </w:tcBorders>
            <w:shd w:val="clear" w:color="auto" w:fill="CCEEFF"/>
          </w:tcPr>
          <w:p>
            <w:pPr>
              <w:spacing w:after="0"/>
              <w:rPr>
                <w:sz w:val="23"/>
                <w:szCs w:val="23"/>
                <w:color w:val="auto"/>
              </w:rPr>
            </w:pPr>
          </w:p>
        </w:tc>
      </w:tr>
      <w:tr>
        <w:trPr>
          <w:trHeight w:val="281"/>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98 York Street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2906/10271</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right"/>
              <w:ind w:right="522"/>
              <w:spacing w:after="0"/>
              <w:rPr>
                <w:sz w:val="20"/>
                <w:szCs w:val="20"/>
                <w:color w:val="auto"/>
              </w:rPr>
            </w:pPr>
            <w:r>
              <w:rPr>
                <w:rFonts w:ascii="Arial" w:cs="Arial" w:eastAsia="Arial" w:hAnsi="Arial"/>
                <w:sz w:val="16"/>
                <w:szCs w:val="16"/>
                <w:color w:val="auto"/>
              </w:rPr>
              <w:t>$2,411,318</w:t>
            </w:r>
          </w:p>
        </w:tc>
      </w:tr>
      <w:tr>
        <w:trPr>
          <w:trHeight w:val="282"/>
        </w:trPr>
        <w:tc>
          <w:tcPr>
            <w:tcW w:w="30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South Melbourne, VIC,</w:t>
            </w:r>
          </w:p>
        </w:tc>
        <w:tc>
          <w:tcPr>
            <w:tcW w:w="2460" w:type="dxa"/>
            <w:vAlign w:val="bottom"/>
            <w:tcBorders>
              <w:right w:val="single" w:sz="8" w:color="auto"/>
            </w:tcBorders>
            <w:shd w:val="clear" w:color="auto" w:fill="CCEEFF"/>
          </w:tcPr>
          <w:p>
            <w:pPr>
              <w:spacing w:after="0"/>
              <w:rPr>
                <w:sz w:val="24"/>
                <w:szCs w:val="24"/>
                <w:color w:val="auto"/>
              </w:rPr>
            </w:pPr>
          </w:p>
        </w:tc>
        <w:tc>
          <w:tcPr>
            <w:tcW w:w="1760" w:type="dxa"/>
            <w:vAlign w:val="bottom"/>
            <w:tcBorders>
              <w:right w:val="single" w:sz="8" w:color="auto"/>
            </w:tcBorders>
            <w:shd w:val="clear" w:color="auto" w:fill="CCEEFF"/>
          </w:tcPr>
          <w:p>
            <w:pPr>
              <w:spacing w:after="0"/>
              <w:rPr>
                <w:sz w:val="24"/>
                <w:szCs w:val="24"/>
                <w:color w:val="auto"/>
              </w:rPr>
            </w:pPr>
          </w:p>
        </w:tc>
        <w:tc>
          <w:tcPr>
            <w:tcW w:w="1880" w:type="dxa"/>
            <w:vAlign w:val="bottom"/>
            <w:tcBorders>
              <w:right w:val="single" w:sz="8" w:color="auto"/>
            </w:tcBorders>
            <w:shd w:val="clear" w:color="auto" w:fill="CCEEFF"/>
          </w:tcPr>
          <w:p>
            <w:pPr>
              <w:spacing w:after="0"/>
              <w:rPr>
                <w:sz w:val="24"/>
                <w:szCs w:val="24"/>
                <w:color w:val="auto"/>
              </w:rPr>
            </w:pPr>
          </w:p>
        </w:tc>
      </w:tr>
      <w:tr>
        <w:trPr>
          <w:trHeight w:val="274"/>
        </w:trPr>
        <w:tc>
          <w:tcPr>
            <w:tcW w:w="3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Australia</w:t>
            </w:r>
          </w:p>
        </w:tc>
        <w:tc>
          <w:tcPr>
            <w:tcW w:w="24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r>
    </w:tbl>
    <w:p>
      <w:pPr>
        <w:spacing w:after="0" w:line="172" w:lineRule="exact"/>
        <w:rPr>
          <w:sz w:val="20"/>
          <w:szCs w:val="20"/>
          <w:color w:val="auto"/>
        </w:rPr>
      </w:pPr>
    </w:p>
    <w:p>
      <w:pPr>
        <w:jc w:val="both"/>
        <w:ind w:firstLine="2"/>
        <w:spacing w:after="0" w:line="218" w:lineRule="auto"/>
        <w:tabs>
          <w:tab w:leader="none" w:pos="181" w:val="left"/>
        </w:tabs>
        <w:numPr>
          <w:ilvl w:val="0"/>
          <w:numId w:val="7"/>
        </w:numPr>
        <w:rPr>
          <w:rFonts w:ascii="Arial" w:cs="Arial" w:eastAsia="Arial" w:hAnsi="Arial"/>
          <w:sz w:val="13"/>
          <w:szCs w:val="13"/>
          <w:color w:val="auto"/>
        </w:rPr>
      </w:pPr>
      <w:r>
        <w:rPr>
          <w:rFonts w:ascii="Arial" w:cs="Arial" w:eastAsia="Arial" w:hAnsi="Arial"/>
          <w:sz w:val="13"/>
          <w:szCs w:val="13"/>
          <w:color w:val="auto"/>
        </w:rPr>
        <w:t>Rental square footage refers to the amount of area available to be rented to third parties and the percentage leased is the amount of such rental square footage currently leased to third parties. A number of our real estate holdings include entertainment components rented to one or more of our subsidiaries at fair market rent. The rental area to such subsidiaries is noted under the entertainment square footage. The gross book value refers to the gross carrying cost of the land and buildings of the property. Book value and rental information are as of December 31, 2014.</w:t>
      </w:r>
    </w:p>
    <w:p>
      <w:pPr>
        <w:spacing w:after="0" w:line="126" w:lineRule="exact"/>
        <w:rPr>
          <w:rFonts w:ascii="Arial" w:cs="Arial" w:eastAsia="Arial" w:hAnsi="Arial"/>
          <w:sz w:val="13"/>
          <w:szCs w:val="13"/>
          <w:color w:val="auto"/>
        </w:rPr>
      </w:pPr>
    </w:p>
    <w:p>
      <w:pPr>
        <w:ind w:firstLine="2"/>
        <w:spacing w:after="0" w:line="276" w:lineRule="auto"/>
        <w:tabs>
          <w:tab w:leader="none" w:pos="179" w:val="left"/>
        </w:tabs>
        <w:numPr>
          <w:ilvl w:val="0"/>
          <w:numId w:val="7"/>
        </w:numPr>
        <w:rPr>
          <w:rFonts w:ascii="Arial" w:cs="Arial" w:eastAsia="Arial" w:hAnsi="Arial"/>
          <w:sz w:val="13"/>
          <w:szCs w:val="13"/>
          <w:color w:val="auto"/>
        </w:rPr>
      </w:pPr>
      <w:r>
        <w:rPr>
          <w:rFonts w:ascii="Arial" w:cs="Arial" w:eastAsia="Arial" w:hAnsi="Arial"/>
          <w:sz w:val="13"/>
          <w:szCs w:val="13"/>
          <w:color w:val="auto"/>
        </w:rPr>
        <w:t>This property is owned by a limited liability company in which we hold a 75% managing member interest. The remaining 25% is owned by Sutton Hill Capital, LLC (“SHC”), a company owned in equal parts by the Cotter Estate and a third party.</w:t>
      </w:r>
    </w:p>
    <w:p>
      <w:pPr>
        <w:spacing w:after="0" w:line="137" w:lineRule="exact"/>
        <w:rPr>
          <w:rFonts w:ascii="Arial" w:cs="Arial" w:eastAsia="Arial" w:hAnsi="Arial"/>
          <w:sz w:val="13"/>
          <w:szCs w:val="13"/>
          <w:color w:val="auto"/>
        </w:rPr>
      </w:pPr>
    </w:p>
    <w:p>
      <w:pPr>
        <w:ind w:left="180" w:hanging="178"/>
        <w:spacing w:after="0"/>
        <w:tabs>
          <w:tab w:leader="none" w:pos="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This property has been sold as of February 25, 2015 for $3.0 million. At December 31, 2014 this asset was classified as an Asset Held for Sale.</w:t>
      </w:r>
    </w:p>
    <w:p>
      <w:pPr>
        <w:spacing w:after="0" w:line="132" w:lineRule="exact"/>
        <w:rPr>
          <w:rFonts w:ascii="Arial" w:cs="Arial" w:eastAsia="Arial" w:hAnsi="Arial"/>
          <w:sz w:val="13"/>
          <w:szCs w:val="13"/>
          <w:color w:val="auto"/>
        </w:rPr>
      </w:pPr>
    </w:p>
    <w:p>
      <w:pPr>
        <w:ind w:left="180" w:hanging="178"/>
        <w:spacing w:after="0"/>
        <w:tabs>
          <w:tab w:leader="none" w:pos="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February 21, 2015 this property received an unsolicited purchase offer. The potential purchaser is currently performing due diligence procedures.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40" w:right="14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Long-Term Leasehold Operating Property</w:t>
      </w:r>
    </w:p>
    <w:p>
      <w:pPr>
        <w:spacing w:after="0" w:line="161"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In addition, in certain cases we have long-term leases that we view more akin to real estate investments than cinema leases. As of December 31, 2014, we had approximately 155,000 square foot of space subject to such long-term leases.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3040" w:type="dxa"/>
            <w:vAlign w:val="bottom"/>
            <w:tcBorders>
              <w:top w:val="single" w:sz="8" w:color="auto"/>
              <w:left w:val="single" w:sz="8" w:color="auto"/>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Square Feet of</w:t>
            </w:r>
          </w:p>
        </w:tc>
        <w:tc>
          <w:tcPr>
            <w:tcW w:w="178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spacing w:after="0"/>
              <w:rPr>
                <w:sz w:val="24"/>
                <w:szCs w:val="24"/>
                <w:color w:val="auto"/>
              </w:rPr>
            </w:pPr>
          </w:p>
        </w:tc>
      </w:tr>
      <w:tr>
        <w:trPr>
          <w:trHeight w:val="282"/>
        </w:trPr>
        <w:tc>
          <w:tcPr>
            <w:tcW w:w="3040" w:type="dxa"/>
            <w:vAlign w:val="bottom"/>
            <w:tcBorders>
              <w:left w:val="single" w:sz="8" w:color="auto"/>
              <w:right w:val="single" w:sz="8" w:color="auto"/>
            </w:tcBorders>
          </w:tcPr>
          <w:p>
            <w:pPr>
              <w:spacing w:after="0"/>
              <w:rPr>
                <w:sz w:val="24"/>
                <w:szCs w:val="24"/>
                <w:color w:val="auto"/>
              </w:rPr>
            </w:pP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Improvements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Gross Book Value</w:t>
            </w:r>
          </w:p>
        </w:tc>
      </w:tr>
      <w:tr>
        <w:trPr>
          <w:trHeight w:val="310"/>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Property</w:t>
            </w:r>
            <w:r>
              <w:rPr>
                <w:rFonts w:ascii="Arial" w:cs="Arial" w:eastAsia="Arial" w:hAnsi="Arial"/>
                <w:sz w:val="16"/>
                <w:szCs w:val="16"/>
                <w:b w:val="1"/>
                <w:bCs w:val="1"/>
                <w:color w:val="auto"/>
                <w:w w:val="87"/>
                <w:vertAlign w:val="superscript"/>
              </w:rPr>
              <w:t>10</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(rental/entertainment)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Leased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U.S. Dollars)</w:t>
            </w:r>
          </w:p>
        </w:tc>
      </w:tr>
      <w:tr>
        <w:trPr>
          <w:trHeight w:val="270"/>
        </w:trPr>
        <w:tc>
          <w:tcPr>
            <w:tcW w:w="3040" w:type="dxa"/>
            <w:vAlign w:val="bottom"/>
            <w:tcBorders>
              <w:left w:val="single" w:sz="8" w:color="auto"/>
              <w:right w:val="single" w:sz="8" w:color="auto"/>
            </w:tcBorders>
            <w:shd w:val="clear" w:color="auto" w:fill="CCEEFF"/>
          </w:tcPr>
          <w:p>
            <w:pPr>
              <w:spacing w:after="0"/>
              <w:rPr>
                <w:sz w:val="23"/>
                <w:szCs w:val="23"/>
                <w:color w:val="auto"/>
              </w:rPr>
            </w:pPr>
          </w:p>
        </w:tc>
        <w:tc>
          <w:tcPr>
            <w:tcW w:w="2440" w:type="dxa"/>
            <w:vAlign w:val="bottom"/>
            <w:tcBorders>
              <w:right w:val="single" w:sz="8" w:color="auto"/>
            </w:tcBorders>
            <w:shd w:val="clear" w:color="auto" w:fill="CCEEFF"/>
          </w:tcPr>
          <w:p>
            <w:pPr>
              <w:spacing w:after="0"/>
              <w:rPr>
                <w:sz w:val="23"/>
                <w:szCs w:val="23"/>
                <w:color w:val="auto"/>
              </w:rPr>
            </w:pPr>
          </w:p>
        </w:tc>
        <w:tc>
          <w:tcPr>
            <w:tcW w:w="1780" w:type="dxa"/>
            <w:vAlign w:val="bottom"/>
            <w:tcBorders>
              <w:right w:val="single" w:sz="8" w:color="auto"/>
            </w:tcBorders>
            <w:shd w:val="clear" w:color="auto" w:fill="CCEEFF"/>
          </w:tcPr>
          <w:p>
            <w:pPr>
              <w:spacing w:after="0"/>
              <w:rPr>
                <w:sz w:val="23"/>
                <w:szCs w:val="23"/>
                <w:color w:val="auto"/>
              </w:rPr>
            </w:pPr>
          </w:p>
        </w:tc>
        <w:tc>
          <w:tcPr>
            <w:tcW w:w="1880" w:type="dxa"/>
            <w:vAlign w:val="bottom"/>
            <w:tcBorders>
              <w:right w:val="single" w:sz="8" w:color="auto"/>
            </w:tcBorders>
            <w:shd w:val="clear" w:color="auto" w:fill="CCEEFF"/>
          </w:tcPr>
          <w:p>
            <w:pPr>
              <w:spacing w:after="0"/>
              <w:rPr>
                <w:sz w:val="23"/>
                <w:szCs w:val="23"/>
                <w:color w:val="auto"/>
              </w:rPr>
            </w:pPr>
          </w:p>
        </w:tc>
      </w:tr>
      <w:tr>
        <w:trPr>
          <w:trHeight w:val="281"/>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Manville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0 / 53000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$2,341,078</w:t>
            </w:r>
          </w:p>
        </w:tc>
      </w:tr>
      <w:tr>
        <w:trPr>
          <w:trHeight w:val="282"/>
        </w:trPr>
        <w:tc>
          <w:tcPr>
            <w:tcW w:w="304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2440" w:type="dxa"/>
            <w:vAlign w:val="bottom"/>
            <w:tcBorders>
              <w:bottom w:val="single" w:sz="8" w:color="auto"/>
              <w:right w:val="single" w:sz="8" w:color="auto"/>
            </w:tcBorders>
            <w:shd w:val="clear" w:color="auto" w:fill="CCEEFF"/>
          </w:tcPr>
          <w:p>
            <w:pPr>
              <w:spacing w:after="0"/>
              <w:rPr>
                <w:sz w:val="24"/>
                <w:szCs w:val="24"/>
                <w:color w:val="auto"/>
              </w:rPr>
            </w:pPr>
          </w:p>
        </w:tc>
        <w:tc>
          <w:tcPr>
            <w:tcW w:w="1780" w:type="dxa"/>
            <w:vAlign w:val="bottom"/>
            <w:tcBorders>
              <w:bottom w:val="single" w:sz="8" w:color="auto"/>
              <w:right w:val="single" w:sz="8" w:color="auto"/>
            </w:tcBorders>
            <w:shd w:val="clear" w:color="auto" w:fill="CCEEFF"/>
          </w:tcPr>
          <w:p>
            <w:pPr>
              <w:spacing w:after="0"/>
              <w:rPr>
                <w:sz w:val="24"/>
                <w:szCs w:val="24"/>
                <w:color w:val="auto"/>
              </w:rPr>
            </w:pPr>
          </w:p>
        </w:tc>
        <w:tc>
          <w:tcPr>
            <w:tcW w:w="188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62"/>
        </w:trPr>
        <w:tc>
          <w:tcPr>
            <w:tcW w:w="304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r>
      <w:tr>
        <w:trPr>
          <w:trHeight w:val="28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Tower</w:t>
            </w:r>
          </w:p>
        </w:tc>
        <w:tc>
          <w:tcPr>
            <w:tcW w:w="2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0 / 16000</w:t>
            </w:r>
          </w:p>
        </w:tc>
        <w:tc>
          <w:tcPr>
            <w:tcW w:w="1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$1,014,352</w:t>
            </w:r>
          </w:p>
        </w:tc>
      </w:tr>
      <w:tr>
        <w:trPr>
          <w:trHeight w:val="282"/>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62"/>
        </w:trPr>
        <w:tc>
          <w:tcPr>
            <w:tcW w:w="3040" w:type="dxa"/>
            <w:vAlign w:val="bottom"/>
            <w:tcBorders>
              <w:left w:val="single" w:sz="8" w:color="auto"/>
              <w:right w:val="single" w:sz="8" w:color="auto"/>
            </w:tcBorders>
            <w:shd w:val="clear" w:color="auto" w:fill="CCEEFF"/>
          </w:tcPr>
          <w:p>
            <w:pPr>
              <w:spacing w:after="0"/>
              <w:rPr>
                <w:sz w:val="22"/>
                <w:szCs w:val="22"/>
                <w:color w:val="auto"/>
              </w:rPr>
            </w:pPr>
          </w:p>
        </w:tc>
        <w:tc>
          <w:tcPr>
            <w:tcW w:w="2440" w:type="dxa"/>
            <w:vAlign w:val="bottom"/>
            <w:tcBorders>
              <w:right w:val="single" w:sz="8" w:color="auto"/>
            </w:tcBorders>
            <w:shd w:val="clear" w:color="auto" w:fill="CCEEFF"/>
          </w:tcPr>
          <w:p>
            <w:pPr>
              <w:spacing w:after="0"/>
              <w:rPr>
                <w:sz w:val="22"/>
                <w:szCs w:val="22"/>
                <w:color w:val="auto"/>
              </w:rPr>
            </w:pPr>
          </w:p>
        </w:tc>
        <w:tc>
          <w:tcPr>
            <w:tcW w:w="1780" w:type="dxa"/>
            <w:vAlign w:val="bottom"/>
            <w:tcBorders>
              <w:right w:val="single" w:sz="8" w:color="auto"/>
            </w:tcBorders>
            <w:shd w:val="clear" w:color="auto" w:fill="CCEEFF"/>
          </w:tcPr>
          <w:p>
            <w:pPr>
              <w:spacing w:after="0"/>
              <w:rPr>
                <w:sz w:val="22"/>
                <w:szCs w:val="22"/>
                <w:color w:val="auto"/>
              </w:rPr>
            </w:pPr>
          </w:p>
        </w:tc>
        <w:tc>
          <w:tcPr>
            <w:tcW w:w="1880" w:type="dxa"/>
            <w:vAlign w:val="bottom"/>
            <w:tcBorders>
              <w:right w:val="single" w:sz="8" w:color="auto"/>
            </w:tcBorders>
            <w:shd w:val="clear" w:color="auto" w:fill="CCEEFF"/>
          </w:tcPr>
          <w:p>
            <w:pPr>
              <w:spacing w:after="0"/>
              <w:rPr>
                <w:sz w:val="22"/>
                <w:szCs w:val="22"/>
                <w:color w:val="auto"/>
              </w:rPr>
            </w:pPr>
          </w:p>
        </w:tc>
      </w:tr>
      <w:tr>
        <w:trPr>
          <w:trHeight w:val="317"/>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Village East</w:t>
            </w:r>
            <w:r>
              <w:rPr>
                <w:rFonts w:ascii="Arial" w:cs="Arial" w:eastAsia="Arial" w:hAnsi="Arial"/>
                <w:sz w:val="16"/>
                <w:szCs w:val="16"/>
                <w:color w:val="auto"/>
                <w:w w:val="87"/>
                <w:vertAlign w:val="superscript"/>
              </w:rPr>
              <w:t>11</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4000 / 38000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$8,922,022</w:t>
            </w:r>
          </w:p>
        </w:tc>
      </w:tr>
      <w:tr>
        <w:trPr>
          <w:trHeight w:val="282"/>
        </w:trPr>
        <w:tc>
          <w:tcPr>
            <w:tcW w:w="304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2440" w:type="dxa"/>
            <w:vAlign w:val="bottom"/>
            <w:tcBorders>
              <w:bottom w:val="single" w:sz="8" w:color="auto"/>
              <w:right w:val="single" w:sz="8" w:color="auto"/>
            </w:tcBorders>
            <w:shd w:val="clear" w:color="auto" w:fill="CCEEFF"/>
          </w:tcPr>
          <w:p>
            <w:pPr>
              <w:spacing w:after="0"/>
              <w:rPr>
                <w:sz w:val="24"/>
                <w:szCs w:val="24"/>
                <w:color w:val="auto"/>
              </w:rPr>
            </w:pPr>
          </w:p>
        </w:tc>
        <w:tc>
          <w:tcPr>
            <w:tcW w:w="1780" w:type="dxa"/>
            <w:vAlign w:val="bottom"/>
            <w:tcBorders>
              <w:bottom w:val="single" w:sz="8" w:color="auto"/>
              <w:right w:val="single" w:sz="8" w:color="auto"/>
            </w:tcBorders>
            <w:shd w:val="clear" w:color="auto" w:fill="CCEEFF"/>
          </w:tcPr>
          <w:p>
            <w:pPr>
              <w:spacing w:after="0"/>
              <w:rPr>
                <w:sz w:val="24"/>
                <w:szCs w:val="24"/>
                <w:color w:val="auto"/>
              </w:rPr>
            </w:pPr>
          </w:p>
        </w:tc>
        <w:tc>
          <w:tcPr>
            <w:tcW w:w="188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62"/>
        </w:trPr>
        <w:tc>
          <w:tcPr>
            <w:tcW w:w="304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r>
      <w:tr>
        <w:trPr>
          <w:trHeight w:val="282"/>
        </w:trPr>
        <w:tc>
          <w:tcPr>
            <w:tcW w:w="30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Waurn Ponds</w:t>
            </w:r>
          </w:p>
        </w:tc>
        <w:tc>
          <w:tcPr>
            <w:tcW w:w="2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6000 / 38000</w:t>
            </w:r>
          </w:p>
        </w:tc>
        <w:tc>
          <w:tcPr>
            <w:tcW w:w="1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$5,781,143</w:t>
            </w:r>
          </w:p>
        </w:tc>
      </w:tr>
      <w:tr>
        <w:trPr>
          <w:trHeight w:val="274"/>
        </w:trPr>
        <w:tc>
          <w:tcPr>
            <w:tcW w:w="3040" w:type="dxa"/>
            <w:vAlign w:val="bottom"/>
            <w:tcBorders>
              <w:left w:val="single" w:sz="8" w:color="auto"/>
              <w:bottom w:val="single" w:sz="8" w:color="auto"/>
              <w:right w:val="single" w:sz="8" w:color="auto"/>
            </w:tcBorders>
          </w:tcPr>
          <w:p>
            <w:pPr>
              <w:spacing w:after="0"/>
              <w:rPr>
                <w:sz w:val="23"/>
                <w:szCs w:val="23"/>
                <w:color w:val="auto"/>
              </w:rPr>
            </w:pPr>
          </w:p>
        </w:tc>
        <w:tc>
          <w:tcPr>
            <w:tcW w:w="244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r>
    </w:tbl>
    <w:p>
      <w:pPr>
        <w:spacing w:after="0" w:line="301" w:lineRule="exact"/>
        <w:rPr>
          <w:sz w:val="20"/>
          <w:szCs w:val="20"/>
          <w:color w:val="auto"/>
        </w:rPr>
      </w:pPr>
    </w:p>
    <w:p>
      <w:pPr>
        <w:jc w:val="both"/>
        <w:ind w:firstLine="2"/>
        <w:spacing w:after="0" w:line="218" w:lineRule="auto"/>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Rental square footage refers to the amount of area available to be rented to third parties, and the percentage leased is the amount of rental square footage currently leased to third parties. A number of our long-term leasehold operating property includes entertainment components rented to one or more of our subsidiaries. The rental area to such subsidiaries is noted under the entertainment square footage. Book value includes the entire investment in the leased property, including any cinema fit-out. Rental and book value information is as of December 31, 2014.</w:t>
      </w:r>
    </w:p>
    <w:p>
      <w:pPr>
        <w:spacing w:after="0" w:line="126" w:lineRule="exact"/>
        <w:rPr>
          <w:rFonts w:ascii="Arial" w:cs="Arial" w:eastAsia="Arial" w:hAnsi="Arial"/>
          <w:sz w:val="13"/>
          <w:szCs w:val="13"/>
          <w:color w:val="auto"/>
        </w:rPr>
      </w:pPr>
    </w:p>
    <w:p>
      <w:pPr>
        <w:jc w:val="both"/>
        <w:ind w:firstLine="2"/>
        <w:spacing w:after="0" w:line="274" w:lineRule="auto"/>
        <w:tabs>
          <w:tab w:leader="none" w:pos="25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lease of the Village East provides for a call option pursuant to which Reading may purchase the cinema ground lease for $5.9 million at the end of the lease term in 2020. Additionally, the lease has a put option pursuant to which SHC may require Reading to purchase all or a portion of SHC's interest in the existing cinema lease and the cinema ground lease at any time between July 1, 2013 and December 4, 2019. See Note 25 - Related Parties and Transactions to our 2014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3" w:right="14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864870</wp:posOffset>
            </wp:positionH>
            <wp:positionV relativeFrom="page">
              <wp:posOffset>186055</wp:posOffset>
            </wp:positionV>
            <wp:extent cx="247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765" cy="7620"/>
                    </a:xfrm>
                    <a:prstGeom prst="rect">
                      <a:avLst/>
                    </a:prstGeom>
                    <a:noFill/>
                  </pic:spPr>
                </pic:pic>
              </a:graphicData>
            </a:graphic>
          </wp:anchor>
        </w:drawing>
        <w:t>Investment and Development Property</w:t>
      </w:r>
    </w:p>
    <w:p>
      <w:pPr>
        <w:spacing w:after="0" w:line="161" w:lineRule="exact"/>
        <w:rPr>
          <w:sz w:val="20"/>
          <w:szCs w:val="20"/>
          <w:color w:val="auto"/>
        </w:rPr>
      </w:pPr>
    </w:p>
    <w:p>
      <w:pPr>
        <w:ind w:right="40" w:firstLine="564"/>
        <w:spacing w:after="0" w:line="265" w:lineRule="auto"/>
        <w:rPr>
          <w:sz w:val="20"/>
          <w:szCs w:val="20"/>
          <w:color w:val="auto"/>
        </w:rPr>
      </w:pPr>
      <w:r>
        <w:rPr>
          <w:rFonts w:ascii="Arial" w:cs="Arial" w:eastAsia="Arial" w:hAnsi="Arial"/>
          <w:sz w:val="16"/>
          <w:szCs w:val="16"/>
          <w:color w:val="auto"/>
        </w:rPr>
        <w:t>We are engaged in several investment and development projects relative to our currently undeveloped parcels of land. In addition, we anticipate that redevelopment of one or more of our existing developed properties may also occur.</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359"/>
        </w:trPr>
        <w:tc>
          <w:tcPr>
            <w:tcW w:w="2080" w:type="dxa"/>
            <w:vAlign w:val="bottom"/>
            <w:tcBorders>
              <w:top w:val="single" w:sz="8" w:color="auto"/>
              <w:left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Gross Book Value</w:t>
            </w:r>
          </w:p>
        </w:tc>
        <w:tc>
          <w:tcPr>
            <w:tcW w:w="1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Property</w:t>
            </w:r>
            <w:r>
              <w:rPr>
                <w:rFonts w:ascii="Arial" w:cs="Arial" w:eastAsia="Arial" w:hAnsi="Arial"/>
                <w:sz w:val="15"/>
                <w:szCs w:val="15"/>
                <w:b w:val="1"/>
                <w:bCs w:val="1"/>
                <w:color w:val="auto"/>
                <w:w w:val="87"/>
                <w:vertAlign w:val="superscript"/>
              </w:rPr>
              <w:t>12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Acreage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U.S. Dollars)</w:t>
            </w: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Status</w:t>
            </w:r>
          </w:p>
        </w:tc>
        <w:tc>
          <w:tcPr>
            <w:tcW w:w="6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080" w:type="dxa"/>
            <w:vAlign w:val="bottom"/>
            <w:tcBorders>
              <w:left w:val="single" w:sz="8" w:color="auto"/>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gridSpan w:val="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Auburn,</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2.6 acres</w:t>
            </w:r>
          </w:p>
        </w:tc>
        <w:tc>
          <w:tcPr>
            <w:tcW w:w="1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7"/>
              </w:rPr>
              <w:t>$1,902,000</w:t>
            </w:r>
          </w:p>
        </w:tc>
        <w:tc>
          <w:tcPr>
            <w:tcW w:w="3700" w:type="dxa"/>
            <w:vAlign w:val="bottom"/>
            <w:tcBorders>
              <w:right w:val="single" w:sz="8" w:color="auto"/>
            </w:tcBorders>
            <w:gridSpan w:val="5"/>
            <w:shd w:val="clear" w:color="auto" w:fill="CCEEFF"/>
          </w:tcPr>
          <w:p>
            <w:pPr>
              <w:spacing w:after="0"/>
              <w:rPr>
                <w:sz w:val="20"/>
                <w:szCs w:val="20"/>
                <w:color w:val="auto"/>
              </w:rPr>
            </w:pPr>
            <w:r>
              <w:rPr>
                <w:rFonts w:ascii="Arial" w:cs="Arial" w:eastAsia="Arial" w:hAnsi="Arial"/>
                <w:sz w:val="14"/>
                <w:szCs w:val="14"/>
                <w:color w:val="auto"/>
                <w:w w:val="94"/>
              </w:rPr>
              <w:t>We are actively pursuing the development of the next phase of</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Sydney, NSW, Australia</w:t>
            </w:r>
          </w:p>
        </w:tc>
        <w:tc>
          <w:tcPr>
            <w:tcW w:w="1660" w:type="dxa"/>
            <w:vAlign w:val="bottom"/>
            <w:tcBorders>
              <w:right w:val="single" w:sz="8" w:color="auto"/>
            </w:tcBorders>
            <w:vMerge w:val="continue"/>
            <w:shd w:val="clear" w:color="auto" w:fill="CCEEFF"/>
          </w:tcPr>
          <w:p>
            <w:pPr>
              <w:spacing w:after="0"/>
              <w:rPr>
                <w:sz w:val="8"/>
                <w:szCs w:val="8"/>
                <w:color w:val="auto"/>
              </w:rPr>
            </w:pPr>
          </w:p>
        </w:tc>
        <w:tc>
          <w:tcPr>
            <w:tcW w:w="1700" w:type="dxa"/>
            <w:vAlign w:val="bottom"/>
            <w:tcBorders>
              <w:right w:val="single" w:sz="8" w:color="auto"/>
            </w:tcBorders>
            <w:vMerge w:val="continue"/>
            <w:shd w:val="clear" w:color="auto" w:fill="CCEEFF"/>
          </w:tcPr>
          <w:p>
            <w:pPr>
              <w:spacing w:after="0"/>
              <w:rPr>
                <w:sz w:val="8"/>
                <w:szCs w:val="8"/>
                <w:color w:val="auto"/>
              </w:rPr>
            </w:pPr>
          </w:p>
        </w:tc>
        <w:tc>
          <w:tcPr>
            <w:tcW w:w="1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this property.</w:t>
            </w:r>
          </w:p>
        </w:tc>
        <w:tc>
          <w:tcPr>
            <w:tcW w:w="4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tcBorders>
              <w:right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8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1660" w:type="dxa"/>
            <w:vAlign w:val="bottom"/>
            <w:tcBorders>
              <w:right w:val="single" w:sz="8" w:color="auto"/>
            </w:tcBorders>
            <w:shd w:val="clear" w:color="auto" w:fill="CCEEFF"/>
          </w:tcPr>
          <w:p>
            <w:pPr>
              <w:spacing w:after="0"/>
              <w:rPr>
                <w:sz w:val="6"/>
                <w:szCs w:val="6"/>
                <w:color w:val="auto"/>
              </w:rPr>
            </w:pPr>
          </w:p>
        </w:tc>
        <w:tc>
          <w:tcPr>
            <w:tcW w:w="1700" w:type="dxa"/>
            <w:vAlign w:val="bottom"/>
            <w:tcBorders>
              <w:right w:val="single" w:sz="8" w:color="auto"/>
            </w:tcBorders>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60" w:type="dxa"/>
            <w:vAlign w:val="bottom"/>
            <w:tcBorders>
              <w:right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1660" w:type="dxa"/>
            <w:vAlign w:val="bottom"/>
            <w:tcBorders>
              <w:bottom w:val="single" w:sz="8" w:color="auto"/>
              <w:right w:val="single" w:sz="8" w:color="auto"/>
            </w:tcBorders>
            <w:shd w:val="clear" w:color="auto" w:fill="CCEEFF"/>
          </w:tcPr>
          <w:p>
            <w:pPr>
              <w:spacing w:after="0"/>
              <w:rPr>
                <w:sz w:val="6"/>
                <w:szCs w:val="6"/>
                <w:color w:val="auto"/>
              </w:rPr>
            </w:pPr>
          </w:p>
        </w:tc>
        <w:tc>
          <w:tcPr>
            <w:tcW w:w="1700" w:type="dxa"/>
            <w:vAlign w:val="bottom"/>
            <w:tcBorders>
              <w:bottom w:val="single" w:sz="8" w:color="auto"/>
              <w:right w:val="single" w:sz="8" w:color="auto"/>
            </w:tcBorders>
            <w:shd w:val="clear" w:color="auto" w:fill="CCEEFF"/>
          </w:tcPr>
          <w:p>
            <w:pPr>
              <w:spacing w:after="0"/>
              <w:rPr>
                <w:sz w:val="6"/>
                <w:szCs w:val="6"/>
                <w:color w:val="auto"/>
              </w:rPr>
            </w:pPr>
          </w:p>
        </w:tc>
        <w:tc>
          <w:tcPr>
            <w:tcW w:w="3700" w:type="dxa"/>
            <w:vAlign w:val="bottom"/>
            <w:tcBorders>
              <w:bottom w:val="single" w:sz="8" w:color="auto"/>
              <w:right w:val="single" w:sz="8" w:color="auto"/>
            </w:tcBorders>
            <w:gridSpan w:val="5"/>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Burwood,</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50.6 acres</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$42,588,114</w:t>
            </w: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4"/>
              </w:rPr>
              <w:t>Property was contracted to sell in 2014. Currently classified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VIC, Australia</w:t>
            </w:r>
          </w:p>
        </w:tc>
        <w:tc>
          <w:tcPr>
            <w:tcW w:w="16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an Asset Held for Sale.</w:t>
            </w: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80" w:type="dxa"/>
            <w:vAlign w:val="bottom"/>
            <w:tcBorders>
              <w:left w:val="single" w:sz="8" w:color="auto"/>
              <w:right w:val="single" w:sz="8" w:color="auto"/>
            </w:tcBorders>
            <w:vMerge w:val="continue"/>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Coachella,</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202 acres</w:t>
            </w:r>
          </w:p>
        </w:tc>
        <w:tc>
          <w:tcPr>
            <w:tcW w:w="1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7"/>
              </w:rPr>
              <w:t>$5,510,000</w:t>
            </w:r>
          </w:p>
        </w:tc>
        <w:tc>
          <w:tcPr>
            <w:tcW w:w="3700" w:type="dxa"/>
            <w:vAlign w:val="bottom"/>
            <w:tcBorders>
              <w:right w:val="single" w:sz="8" w:color="auto"/>
            </w:tcBorders>
            <w:gridSpan w:val="5"/>
            <w:vMerge w:val="restart"/>
            <w:shd w:val="clear" w:color="auto" w:fill="CCEEFF"/>
          </w:tcPr>
          <w:p>
            <w:pPr>
              <w:spacing w:after="0"/>
              <w:rPr>
                <w:sz w:val="20"/>
                <w:szCs w:val="20"/>
                <w:color w:val="auto"/>
              </w:rPr>
            </w:pPr>
            <w:r>
              <w:rPr>
                <w:rFonts w:ascii="Arial" w:cs="Arial" w:eastAsia="Arial" w:hAnsi="Arial"/>
                <w:sz w:val="14"/>
                <w:szCs w:val="14"/>
                <w:color w:val="auto"/>
                <w:w w:val="90"/>
              </w:rPr>
              <w:t>We continue to evaluate our options with regards to this property.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CA, USA</w:t>
            </w:r>
          </w:p>
        </w:tc>
        <w:tc>
          <w:tcPr>
            <w:tcW w:w="1660" w:type="dxa"/>
            <w:vAlign w:val="bottom"/>
            <w:tcBorders>
              <w:right w:val="single" w:sz="8" w:color="auto"/>
            </w:tcBorders>
            <w:vMerge w:val="continue"/>
            <w:shd w:val="clear" w:color="auto" w:fill="CCEEFF"/>
          </w:tcPr>
          <w:p>
            <w:pPr>
              <w:spacing w:after="0"/>
              <w:rPr>
                <w:sz w:val="8"/>
                <w:szCs w:val="8"/>
                <w:color w:val="auto"/>
              </w:rPr>
            </w:pPr>
          </w:p>
        </w:tc>
        <w:tc>
          <w:tcPr>
            <w:tcW w:w="1700" w:type="dxa"/>
            <w:vAlign w:val="bottom"/>
            <w:tcBorders>
              <w:right w:val="single" w:sz="8" w:color="auto"/>
            </w:tcBorders>
            <w:vMerge w:val="continue"/>
            <w:shd w:val="clear" w:color="auto" w:fill="CCEEFF"/>
          </w:tcPr>
          <w:p>
            <w:pPr>
              <w:spacing w:after="0"/>
              <w:rPr>
                <w:sz w:val="8"/>
                <w:szCs w:val="8"/>
                <w:color w:val="auto"/>
              </w:rPr>
            </w:pPr>
          </w:p>
        </w:tc>
        <w:tc>
          <w:tcPr>
            <w:tcW w:w="3700" w:type="dxa"/>
            <w:vAlign w:val="bottom"/>
            <w:tcBorders>
              <w:right w:val="single" w:sz="8" w:color="auto"/>
            </w:tcBorders>
            <w:gridSpan w:val="5"/>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8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1660" w:type="dxa"/>
            <w:vAlign w:val="bottom"/>
            <w:tcBorders>
              <w:right w:val="single" w:sz="8" w:color="auto"/>
            </w:tcBorders>
            <w:shd w:val="clear" w:color="auto" w:fill="CCEEFF"/>
          </w:tcPr>
          <w:p>
            <w:pPr>
              <w:spacing w:after="0"/>
              <w:rPr>
                <w:sz w:val="6"/>
                <w:szCs w:val="6"/>
                <w:color w:val="auto"/>
              </w:rPr>
            </w:pPr>
          </w:p>
        </w:tc>
        <w:tc>
          <w:tcPr>
            <w:tcW w:w="1700" w:type="dxa"/>
            <w:vAlign w:val="bottom"/>
            <w:tcBorders>
              <w:right w:val="single" w:sz="8" w:color="auto"/>
            </w:tcBorders>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60" w:type="dxa"/>
            <w:vAlign w:val="bottom"/>
            <w:tcBorders>
              <w:right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1660" w:type="dxa"/>
            <w:vAlign w:val="bottom"/>
            <w:tcBorders>
              <w:bottom w:val="single" w:sz="8" w:color="auto"/>
              <w:right w:val="single" w:sz="8" w:color="auto"/>
            </w:tcBorders>
            <w:shd w:val="clear" w:color="auto" w:fill="CCEEFF"/>
          </w:tcPr>
          <w:p>
            <w:pPr>
              <w:spacing w:after="0"/>
              <w:rPr>
                <w:sz w:val="6"/>
                <w:szCs w:val="6"/>
                <w:color w:val="auto"/>
              </w:rPr>
            </w:pPr>
          </w:p>
        </w:tc>
        <w:tc>
          <w:tcPr>
            <w:tcW w:w="1700" w:type="dxa"/>
            <w:vAlign w:val="bottom"/>
            <w:tcBorders>
              <w:bottom w:val="single" w:sz="8" w:color="auto"/>
              <w:right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right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Courtenay Central,</w:t>
            </w:r>
          </w:p>
        </w:tc>
        <w:tc>
          <w:tcPr>
            <w:tcW w:w="166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4"/>
                <w:szCs w:val="14"/>
                <w:color w:val="auto"/>
                <w:w w:val="94"/>
              </w:rPr>
              <w:t>We are actively pursuing the development of the next phase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Wellington,</w:t>
            </w:r>
          </w:p>
        </w:tc>
        <w:tc>
          <w:tcPr>
            <w:tcW w:w="16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$7,086,587</w:t>
            </w:r>
          </w:p>
        </w:tc>
        <w:tc>
          <w:tcPr>
            <w:tcW w:w="3700" w:type="dxa"/>
            <w:vAlign w:val="bottom"/>
            <w:tcBorders>
              <w:right w:val="single" w:sz="8" w:color="auto"/>
            </w:tcBorders>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8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1.1 acres</w:t>
            </w:r>
          </w:p>
        </w:tc>
        <w:tc>
          <w:tcPr>
            <w:tcW w:w="1700" w:type="dxa"/>
            <w:vAlign w:val="bottom"/>
            <w:tcBorders>
              <w:right w:val="single" w:sz="8" w:color="auto"/>
            </w:tcBorders>
            <w:vMerge w:val="continue"/>
          </w:tcPr>
          <w:p>
            <w:pPr>
              <w:spacing w:after="0"/>
              <w:rPr>
                <w:sz w:val="7"/>
                <w:szCs w:val="7"/>
                <w:color w:val="auto"/>
              </w:rPr>
            </w:pPr>
          </w:p>
        </w:tc>
        <w:tc>
          <w:tcPr>
            <w:tcW w:w="370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4"/>
                <w:szCs w:val="14"/>
                <w:color w:val="auto"/>
                <w:w w:val="92"/>
              </w:rPr>
              <w:t>this property having signed a lease agreement for a Countdown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New Zealand</w:t>
            </w:r>
          </w:p>
        </w:tc>
        <w:tc>
          <w:tcPr>
            <w:tcW w:w="16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3700" w:type="dxa"/>
            <w:vAlign w:val="bottom"/>
            <w:tcBorders>
              <w:right w:val="single" w:sz="8" w:color="auto"/>
            </w:tcBorders>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8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3140" w:type="dxa"/>
            <w:vAlign w:val="bottom"/>
            <w:gridSpan w:val="4"/>
            <w:vMerge w:val="restart"/>
          </w:tcPr>
          <w:p>
            <w:pPr>
              <w:spacing w:after="0"/>
              <w:rPr>
                <w:sz w:val="20"/>
                <w:szCs w:val="20"/>
                <w:color w:val="auto"/>
              </w:rPr>
            </w:pPr>
            <w:r>
              <w:rPr>
                <w:rFonts w:ascii="Arial" w:cs="Arial" w:eastAsia="Arial" w:hAnsi="Arial"/>
                <w:sz w:val="14"/>
                <w:szCs w:val="14"/>
                <w:color w:val="auto"/>
                <w:w w:val="91"/>
              </w:rPr>
              <w:t>(Woolworths) supermarket to be developed on this site.</w:t>
            </w:r>
          </w:p>
        </w:tc>
        <w:tc>
          <w:tcPr>
            <w:tcW w:w="5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(Including Wakefield and Taranaki)</w:t>
            </w:r>
          </w:p>
        </w:tc>
        <w:tc>
          <w:tcPr>
            <w:tcW w:w="16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3140" w:type="dxa"/>
            <w:vAlign w:val="bottom"/>
            <w:gridSpan w:val="4"/>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8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0"/>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2080" w:type="dxa"/>
            <w:vAlign w:val="bottom"/>
            <w:tcBorders>
              <w:left w:val="single" w:sz="8" w:color="auto"/>
              <w:right w:val="single" w:sz="8" w:color="auto"/>
            </w:tcBorders>
            <w:shd w:val="clear" w:color="auto" w:fill="CCEEFF"/>
          </w:tcPr>
          <w:p>
            <w:pPr>
              <w:spacing w:after="0"/>
              <w:rPr>
                <w:sz w:val="24"/>
                <w:szCs w:val="24"/>
                <w:color w:val="auto"/>
              </w:rPr>
            </w:pPr>
          </w:p>
        </w:tc>
        <w:tc>
          <w:tcPr>
            <w:tcW w:w="1660" w:type="dxa"/>
            <w:vAlign w:val="bottom"/>
            <w:tcBorders>
              <w:right w:val="single" w:sz="8" w:color="auto"/>
            </w:tcBorders>
            <w:shd w:val="clear" w:color="auto" w:fill="CCEEFF"/>
          </w:tcPr>
          <w:p>
            <w:pPr>
              <w:spacing w:after="0"/>
              <w:rPr>
                <w:sz w:val="24"/>
                <w:szCs w:val="24"/>
                <w:color w:val="auto"/>
              </w:rPr>
            </w:pPr>
          </w:p>
        </w:tc>
        <w:tc>
          <w:tcPr>
            <w:tcW w:w="1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7"/>
              </w:rPr>
              <w:t>$1,100,000</w:t>
            </w:r>
          </w:p>
        </w:tc>
        <w:tc>
          <w:tcPr>
            <w:tcW w:w="3700" w:type="dxa"/>
            <w:vAlign w:val="bottom"/>
            <w:tcBorders>
              <w:right w:val="single" w:sz="8" w:color="auto"/>
            </w:tcBorders>
            <w:gridSpan w:val="5"/>
            <w:shd w:val="clear" w:color="auto" w:fill="CCEEFF"/>
          </w:tcPr>
          <w:p>
            <w:pPr>
              <w:spacing w:after="0"/>
              <w:rPr>
                <w:sz w:val="20"/>
                <w:szCs w:val="20"/>
                <w:color w:val="auto"/>
              </w:rPr>
            </w:pPr>
            <w:r>
              <w:rPr>
                <w:rFonts w:ascii="Arial" w:cs="Arial" w:eastAsia="Arial" w:hAnsi="Arial"/>
                <w:sz w:val="14"/>
                <w:szCs w:val="14"/>
                <w:color w:val="auto"/>
              </w:rPr>
              <w:t>On February 21, 2015 this property received an unsolicited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Lake Taupo, Taupo, New Zealand</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6"/>
              </w:rPr>
              <w:t>0.5 acre</w:t>
            </w:r>
          </w:p>
        </w:tc>
        <w:tc>
          <w:tcPr>
            <w:tcW w:w="1700" w:type="dxa"/>
            <w:vAlign w:val="bottom"/>
            <w:tcBorders>
              <w:right w:val="single" w:sz="8" w:color="auto"/>
            </w:tcBorders>
            <w:vMerge w:val="continue"/>
            <w:shd w:val="clear" w:color="auto" w:fill="CCEEFF"/>
          </w:tcPr>
          <w:p>
            <w:pPr>
              <w:spacing w:after="0"/>
              <w:rPr>
                <w:sz w:val="15"/>
                <w:szCs w:val="15"/>
                <w:color w:val="auto"/>
              </w:rPr>
            </w:pPr>
          </w:p>
        </w:tc>
        <w:tc>
          <w:tcPr>
            <w:tcW w:w="3700" w:type="dxa"/>
            <w:vAlign w:val="bottom"/>
            <w:tcBorders>
              <w:right w:val="single" w:sz="8" w:color="auto"/>
            </w:tcBorders>
            <w:gridSpan w:val="5"/>
            <w:shd w:val="clear" w:color="auto" w:fill="CCEEFF"/>
          </w:tcPr>
          <w:p>
            <w:pPr>
              <w:spacing w:after="0"/>
              <w:rPr>
                <w:sz w:val="20"/>
                <w:szCs w:val="20"/>
                <w:color w:val="auto"/>
              </w:rPr>
            </w:pPr>
            <w:r>
              <w:rPr>
                <w:rFonts w:ascii="Arial" w:cs="Arial" w:eastAsia="Arial" w:hAnsi="Arial"/>
                <w:sz w:val="14"/>
                <w:szCs w:val="14"/>
                <w:color w:val="auto"/>
                <w:w w:val="94"/>
              </w:rPr>
              <w:t>purchase offer. The potential purchaser is currently performing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shd w:val="clear" w:color="auto" w:fill="CCEEFF"/>
          </w:tcPr>
          <w:p>
            <w:pPr>
              <w:spacing w:after="0"/>
              <w:rPr>
                <w:sz w:val="15"/>
                <w:szCs w:val="15"/>
                <w:color w:val="auto"/>
              </w:rPr>
            </w:pPr>
          </w:p>
        </w:tc>
        <w:tc>
          <w:tcPr>
            <w:tcW w:w="1660" w:type="dxa"/>
            <w:vAlign w:val="bottom"/>
            <w:tcBorders>
              <w:right w:val="single" w:sz="8" w:color="auto"/>
            </w:tcBorders>
            <w:shd w:val="clear" w:color="auto" w:fill="CCEEFF"/>
          </w:tcPr>
          <w:p>
            <w:pPr>
              <w:spacing w:after="0"/>
              <w:rPr>
                <w:sz w:val="15"/>
                <w:szCs w:val="15"/>
                <w:color w:val="auto"/>
              </w:rPr>
            </w:pPr>
          </w:p>
        </w:tc>
        <w:tc>
          <w:tcPr>
            <w:tcW w:w="1700" w:type="dxa"/>
            <w:vAlign w:val="bottom"/>
            <w:tcBorders>
              <w:right w:val="single" w:sz="8" w:color="auto"/>
            </w:tcBorders>
            <w:shd w:val="clear" w:color="auto" w:fill="CCEEFF"/>
          </w:tcPr>
          <w:p>
            <w:pPr>
              <w:spacing w:after="0"/>
              <w:rPr>
                <w:sz w:val="15"/>
                <w:szCs w:val="15"/>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diligence procedures.</w:t>
            </w:r>
          </w:p>
        </w:tc>
        <w:tc>
          <w:tcPr>
            <w:tcW w:w="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tcBorders>
              <w:right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4"/>
        </w:trPr>
        <w:tc>
          <w:tcPr>
            <w:tcW w:w="208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1660" w:type="dxa"/>
            <w:vAlign w:val="bottom"/>
            <w:tcBorders>
              <w:bottom w:val="single" w:sz="8" w:color="auto"/>
              <w:right w:val="single" w:sz="8" w:color="auto"/>
            </w:tcBorders>
            <w:shd w:val="clear" w:color="auto" w:fill="CCEEFF"/>
          </w:tcPr>
          <w:p>
            <w:pPr>
              <w:spacing w:after="0"/>
              <w:rPr>
                <w:sz w:val="24"/>
                <w:szCs w:val="24"/>
                <w:color w:val="auto"/>
              </w:rPr>
            </w:pPr>
          </w:p>
        </w:tc>
        <w:tc>
          <w:tcPr>
            <w:tcW w:w="1700" w:type="dxa"/>
            <w:vAlign w:val="bottom"/>
            <w:tcBorders>
              <w:bottom w:val="single" w:sz="8" w:color="auto"/>
              <w:right w:val="single" w:sz="8" w:color="auto"/>
            </w:tcBorders>
            <w:shd w:val="clear" w:color="auto" w:fill="CCEEFF"/>
          </w:tcPr>
          <w:p>
            <w:pPr>
              <w:spacing w:after="0"/>
              <w:rPr>
                <w:sz w:val="24"/>
                <w:szCs w:val="24"/>
                <w:color w:val="auto"/>
              </w:rPr>
            </w:pPr>
          </w:p>
        </w:tc>
        <w:tc>
          <w:tcPr>
            <w:tcW w:w="3700" w:type="dxa"/>
            <w:vAlign w:val="bottom"/>
            <w:tcBorders>
              <w:bottom w:val="single" w:sz="8" w:color="auto"/>
              <w:right w:val="single" w:sz="8" w:color="auto"/>
            </w:tcBorders>
            <w:gridSpan w:val="5"/>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0"/>
        </w:trPr>
        <w:tc>
          <w:tcPr>
            <w:tcW w:w="208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9"/>
              </w:rPr>
              <w:t>The bulk of the land is zoned for agriculture and is currently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3"/>
              </w:rPr>
              <w:t>used for horticulture commercial purposes. A development plan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64 acres zoned agricultural</w:t>
            </w:r>
          </w:p>
        </w:tc>
        <w:tc>
          <w:tcPr>
            <w:tcW w:w="170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2"/>
              </w:rPr>
              <w:t>has been filed to rezone the property for warehouse, distribution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Manukau,</w:t>
            </w:r>
          </w:p>
        </w:tc>
        <w:tc>
          <w:tcPr>
            <w:tcW w:w="16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$13,363,008</w:t>
            </w:r>
          </w:p>
        </w:tc>
        <w:tc>
          <w:tcPr>
            <w:tcW w:w="1160" w:type="dxa"/>
            <w:vAlign w:val="bottom"/>
            <w:vMerge w:val="restart"/>
          </w:tcPr>
          <w:p>
            <w:pPr>
              <w:spacing w:after="0"/>
              <w:rPr>
                <w:sz w:val="20"/>
                <w:szCs w:val="20"/>
                <w:color w:val="auto"/>
              </w:rPr>
            </w:pPr>
            <w:r>
              <w:rPr>
                <w:rFonts w:ascii="Arial" w:cs="Arial" w:eastAsia="Arial" w:hAnsi="Arial"/>
                <w:sz w:val="14"/>
                <w:szCs w:val="14"/>
                <w:color w:val="auto"/>
                <w:w w:val="95"/>
              </w:rPr>
              <w:t>and  manufacturing</w:t>
            </w:r>
          </w:p>
        </w:tc>
        <w:tc>
          <w:tcPr>
            <w:tcW w:w="480" w:type="dxa"/>
            <w:vAlign w:val="bottom"/>
            <w:vMerge w:val="restart"/>
          </w:tcPr>
          <w:p>
            <w:pPr>
              <w:ind w:left="40"/>
              <w:spacing w:after="0"/>
              <w:rPr>
                <w:sz w:val="20"/>
                <w:szCs w:val="20"/>
                <w:color w:val="auto"/>
              </w:rPr>
            </w:pPr>
            <w:r>
              <w:rPr>
                <w:rFonts w:ascii="Arial" w:cs="Arial" w:eastAsia="Arial" w:hAnsi="Arial"/>
                <w:sz w:val="14"/>
                <w:szCs w:val="14"/>
                <w:color w:val="auto"/>
              </w:rPr>
              <w:t>uses.</w:t>
            </w: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w w:val="96"/>
              </w:rPr>
              <w:t>We  currently</w:t>
            </w: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rPr>
              <w:t>anticipate</w:t>
            </w:r>
          </w:p>
        </w:tc>
        <w:tc>
          <w:tcPr>
            <w:tcW w:w="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w w:val="98"/>
              </w:rPr>
              <w:t>that  this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8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and 6.4 acres zoned light</w:t>
            </w:r>
          </w:p>
        </w:tc>
        <w:tc>
          <w:tcPr>
            <w:tcW w:w="1700" w:type="dxa"/>
            <w:vAlign w:val="bottom"/>
            <w:tcBorders>
              <w:right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Auckland, New Zealand</w:t>
            </w:r>
          </w:p>
        </w:tc>
        <w:tc>
          <w:tcPr>
            <w:tcW w:w="16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color w:val="auto"/>
                <w:w w:val="99"/>
              </w:rPr>
              <w:t>rezoning will be approved.</w:t>
            </w:r>
          </w:p>
        </w:tc>
        <w:tc>
          <w:tcPr>
            <w:tcW w:w="206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w w:val="96"/>
              </w:rPr>
              <w:t>In 2010, we acquired an adjacent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8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industrial</w:t>
            </w:r>
          </w:p>
        </w:tc>
        <w:tc>
          <w:tcPr>
            <w:tcW w:w="1700" w:type="dxa"/>
            <w:vAlign w:val="bottom"/>
            <w:tcBorders>
              <w:right w:val="single" w:sz="8" w:color="auto"/>
            </w:tcBorders>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2060" w:type="dxa"/>
            <w:vAlign w:val="bottom"/>
            <w:tcBorders>
              <w:right w:val="single" w:sz="8" w:color="auto"/>
            </w:tcBorders>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8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160" w:type="dxa"/>
            <w:vAlign w:val="bottom"/>
            <w:vMerge w:val="restart"/>
          </w:tcPr>
          <w:p>
            <w:pPr>
              <w:spacing w:after="0"/>
              <w:rPr>
                <w:sz w:val="20"/>
                <w:szCs w:val="20"/>
                <w:color w:val="auto"/>
              </w:rPr>
            </w:pPr>
            <w:r>
              <w:rPr>
                <w:rFonts w:ascii="Arial" w:cs="Arial" w:eastAsia="Arial" w:hAnsi="Arial"/>
                <w:sz w:val="14"/>
                <w:szCs w:val="14"/>
                <w:color w:val="auto"/>
              </w:rPr>
              <w:t>property   that   is</w:t>
            </w:r>
          </w:p>
        </w:tc>
        <w:tc>
          <w:tcPr>
            <w:tcW w:w="480" w:type="dxa"/>
            <w:vAlign w:val="bottom"/>
            <w:vMerge w:val="restart"/>
          </w:tcPr>
          <w:p>
            <w:pPr>
              <w:ind w:left="120"/>
              <w:spacing w:after="0"/>
              <w:rPr>
                <w:sz w:val="20"/>
                <w:szCs w:val="20"/>
                <w:color w:val="auto"/>
              </w:rPr>
            </w:pPr>
            <w:r>
              <w:rPr>
                <w:rFonts w:ascii="Arial" w:cs="Arial" w:eastAsia="Arial" w:hAnsi="Arial"/>
                <w:sz w:val="14"/>
                <w:szCs w:val="14"/>
                <w:color w:val="auto"/>
                <w:w w:val="89"/>
              </w:rPr>
              <w:t>zoned</w:t>
            </w:r>
          </w:p>
        </w:tc>
        <w:tc>
          <w:tcPr>
            <w:tcW w:w="840" w:type="dxa"/>
            <w:vAlign w:val="bottom"/>
            <w:vMerge w:val="restart"/>
          </w:tcPr>
          <w:p>
            <w:pPr>
              <w:ind w:left="160"/>
              <w:spacing w:after="0"/>
              <w:rPr>
                <w:sz w:val="20"/>
                <w:szCs w:val="20"/>
                <w:color w:val="auto"/>
              </w:rPr>
            </w:pPr>
            <w:r>
              <w:rPr>
                <w:rFonts w:ascii="Arial" w:cs="Arial" w:eastAsia="Arial" w:hAnsi="Arial"/>
                <w:sz w:val="14"/>
                <w:szCs w:val="14"/>
                <w:color w:val="auto"/>
              </w:rPr>
              <w:t>industrial,</w:t>
            </w:r>
          </w:p>
        </w:tc>
        <w:tc>
          <w:tcPr>
            <w:tcW w:w="660" w:type="dxa"/>
            <w:vAlign w:val="bottom"/>
            <w:vMerge w:val="restart"/>
          </w:tcPr>
          <w:p>
            <w:pPr>
              <w:ind w:left="60"/>
              <w:spacing w:after="0"/>
              <w:rPr>
                <w:sz w:val="20"/>
                <w:szCs w:val="20"/>
                <w:color w:val="auto"/>
              </w:rPr>
            </w:pPr>
            <w:r>
              <w:rPr>
                <w:rFonts w:ascii="Arial" w:cs="Arial" w:eastAsia="Arial" w:hAnsi="Arial"/>
                <w:sz w:val="14"/>
                <w:szCs w:val="14"/>
                <w:color w:val="auto"/>
              </w:rPr>
              <w:t>but   is</w:t>
            </w:r>
          </w:p>
        </w:tc>
        <w:tc>
          <w:tcPr>
            <w:tcW w:w="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w w:val="93"/>
              </w:rPr>
              <w:t>currently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80" w:type="dxa"/>
            <w:vAlign w:val="bottom"/>
            <w:tcBorders>
              <w:left w:val="single" w:sz="8" w:color="auto"/>
              <w:right w:val="single" w:sz="8" w:color="auto"/>
            </w:tcBorders>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1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9"/>
              </w:rPr>
              <w:t>unimproved.  That property links our existing parcel with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existing road network.</w:t>
            </w: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7"/>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7"/>
        </w:trPr>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5790565</wp:posOffset>
            </wp:positionH>
            <wp:positionV relativeFrom="paragraph">
              <wp:posOffset>-34290</wp:posOffset>
            </wp:positionV>
            <wp:extent cx="33020" cy="47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160"/>
          </w:cols>
          <w:pgMar w:left="1360" w:top="311" w:right="137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520"/>
        </w:trPr>
        <w:tc>
          <w:tcPr>
            <w:tcW w:w="2080" w:type="dxa"/>
            <w:vAlign w:val="bottom"/>
            <w:tcBorders>
              <w:top w:val="single" w:sz="8" w:color="auto"/>
              <w:left w:val="single" w:sz="8" w:color="auto"/>
              <w:right w:val="single" w:sz="8" w:color="auto"/>
            </w:tcBorders>
            <w:shd w:val="clear" w:color="auto" w:fill="CCEEFF"/>
          </w:tcPr>
          <w:p>
            <w:pPr>
              <w:spacing w:after="0"/>
              <w:rPr>
                <w:sz w:val="24"/>
                <w:szCs w:val="24"/>
                <w:color w:val="auto"/>
              </w:rPr>
            </w:pPr>
          </w:p>
        </w:tc>
        <w:tc>
          <w:tcPr>
            <w:tcW w:w="1660" w:type="dxa"/>
            <w:vAlign w:val="bottom"/>
            <w:tcBorders>
              <w:top w:val="single" w:sz="8" w:color="auto"/>
              <w:right w:val="single" w:sz="8" w:color="auto"/>
            </w:tcBorders>
            <w:shd w:val="clear" w:color="auto" w:fill="CCEEFF"/>
          </w:tcPr>
          <w:p>
            <w:pPr>
              <w:spacing w:after="0"/>
              <w:rPr>
                <w:sz w:val="24"/>
                <w:szCs w:val="24"/>
                <w:color w:val="auto"/>
              </w:rPr>
            </w:pPr>
          </w:p>
        </w:tc>
        <w:tc>
          <w:tcPr>
            <w:tcW w:w="1700" w:type="dxa"/>
            <w:vAlign w:val="bottom"/>
            <w:tcBorders>
              <w:top w:val="single" w:sz="8" w:color="auto"/>
              <w:right w:val="single" w:sz="8" w:color="auto"/>
            </w:tcBorders>
            <w:shd w:val="clear" w:color="auto" w:fill="CCEEFF"/>
          </w:tcPr>
          <w:p>
            <w:pPr>
              <w:spacing w:after="0"/>
              <w:rPr>
                <w:sz w:val="24"/>
                <w:szCs w:val="24"/>
                <w:color w:val="auto"/>
              </w:rPr>
            </w:pPr>
          </w:p>
        </w:tc>
        <w:tc>
          <w:tcPr>
            <w:tcW w:w="36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w w:val="96"/>
              </w:rPr>
              <w:t>In November 2013, we entered into a definitive purchase and</w:t>
            </w: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Arial" w:cs="Arial" w:eastAsia="Arial" w:hAnsi="Arial"/>
                <w:sz w:val="14"/>
                <w:szCs w:val="14"/>
                <w:color w:val="auto"/>
                <w:w w:val="93"/>
              </w:rPr>
              <w:t>Moonee Ponds, Victoria, Australia</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3.3 acres</w:t>
            </w:r>
          </w:p>
        </w:tc>
        <w:tc>
          <w:tcPr>
            <w:tcW w:w="1700" w:type="dxa"/>
            <w:vAlign w:val="bottom"/>
            <w:tcBorders>
              <w:right w:val="single" w:sz="8" w:color="auto"/>
            </w:tcBorders>
            <w:vMerge w:val="restart"/>
            <w:shd w:val="clear" w:color="auto" w:fill="CCEEFF"/>
          </w:tcPr>
          <w:p>
            <w:pPr>
              <w:jc w:val="right"/>
              <w:ind w:right="402"/>
              <w:spacing w:after="0"/>
              <w:rPr>
                <w:sz w:val="20"/>
                <w:szCs w:val="20"/>
                <w:color w:val="auto"/>
              </w:rPr>
            </w:pPr>
            <w:r>
              <w:rPr>
                <w:rFonts w:ascii="Arial" w:cs="Arial" w:eastAsia="Arial" w:hAnsi="Arial"/>
                <w:sz w:val="16"/>
                <w:szCs w:val="16"/>
                <w:color w:val="auto"/>
              </w:rPr>
              <w:t>$10,111,562</w:t>
            </w:r>
          </w:p>
        </w:tc>
        <w:tc>
          <w:tcPr>
            <w:tcW w:w="36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w w:val="92"/>
              </w:rPr>
              <w:t>sale agreement to sell our properties located in Moonee Ponds,</w:t>
            </w:r>
          </w:p>
        </w:tc>
        <w:tc>
          <w:tcPr>
            <w:tcW w:w="0" w:type="dxa"/>
            <w:vAlign w:val="bottom"/>
          </w:tcPr>
          <w:p>
            <w:pPr>
              <w:spacing w:after="0"/>
              <w:rPr>
                <w:sz w:val="1"/>
                <w:szCs w:val="1"/>
                <w:color w:val="auto"/>
              </w:rPr>
            </w:pPr>
          </w:p>
        </w:tc>
      </w:tr>
      <w:tr>
        <w:trPr>
          <w:trHeight w:val="101"/>
        </w:trPr>
        <w:tc>
          <w:tcPr>
            <w:tcW w:w="208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660" w:type="dxa"/>
            <w:vAlign w:val="bottom"/>
            <w:tcBorders>
              <w:right w:val="single" w:sz="8" w:color="auto"/>
            </w:tcBorders>
            <w:vMerge w:val="continue"/>
            <w:shd w:val="clear" w:color="auto" w:fill="CCEEFF"/>
          </w:tcPr>
          <w:p>
            <w:pPr>
              <w:spacing w:after="0"/>
              <w:rPr>
                <w:sz w:val="8"/>
                <w:szCs w:val="8"/>
                <w:color w:val="auto"/>
              </w:rPr>
            </w:pPr>
          </w:p>
        </w:tc>
        <w:tc>
          <w:tcPr>
            <w:tcW w:w="1700" w:type="dxa"/>
            <w:vAlign w:val="bottom"/>
            <w:tcBorders>
              <w:right w:val="single" w:sz="8" w:color="auto"/>
            </w:tcBorders>
            <w:vMerge w:val="continue"/>
            <w:shd w:val="clear" w:color="auto" w:fill="CCEEFF"/>
          </w:tcPr>
          <w:p>
            <w:pPr>
              <w:spacing w:after="0"/>
              <w:rPr>
                <w:sz w:val="8"/>
                <w:szCs w:val="8"/>
                <w:color w:val="auto"/>
              </w:rPr>
            </w:pPr>
          </w:p>
        </w:tc>
        <w:tc>
          <w:tcPr>
            <w:tcW w:w="36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w w:val="98"/>
              </w:rPr>
              <w:t>Victoria, Australia, with a scheduled closing date of April 16,</w:t>
            </w: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shd w:val="clear" w:color="auto" w:fill="CCEEFF"/>
          </w:tcPr>
          <w:p>
            <w:pPr>
              <w:spacing w:after="0"/>
              <w:rPr>
                <w:sz w:val="6"/>
                <w:szCs w:val="6"/>
                <w:color w:val="auto"/>
              </w:rPr>
            </w:pPr>
          </w:p>
        </w:tc>
        <w:tc>
          <w:tcPr>
            <w:tcW w:w="1660" w:type="dxa"/>
            <w:vAlign w:val="bottom"/>
            <w:tcBorders>
              <w:right w:val="single" w:sz="8" w:color="auto"/>
            </w:tcBorders>
            <w:shd w:val="clear" w:color="auto" w:fill="CCEEFF"/>
          </w:tcPr>
          <w:p>
            <w:pPr>
              <w:spacing w:after="0"/>
              <w:rPr>
                <w:sz w:val="6"/>
                <w:szCs w:val="6"/>
                <w:color w:val="auto"/>
              </w:rPr>
            </w:pPr>
          </w:p>
        </w:tc>
        <w:tc>
          <w:tcPr>
            <w:tcW w:w="1700" w:type="dxa"/>
            <w:vAlign w:val="bottom"/>
            <w:tcBorders>
              <w:right w:val="single" w:sz="8" w:color="auto"/>
            </w:tcBorders>
            <w:shd w:val="clear" w:color="auto" w:fill="CCEEFF"/>
          </w:tcPr>
          <w:p>
            <w:pPr>
              <w:spacing w:after="0"/>
              <w:rPr>
                <w:sz w:val="6"/>
                <w:szCs w:val="6"/>
                <w:color w:val="auto"/>
              </w:rPr>
            </w:pPr>
          </w:p>
        </w:tc>
        <w:tc>
          <w:tcPr>
            <w:tcW w:w="36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shd w:val="clear" w:color="auto" w:fill="CCEEFF"/>
          </w:tcPr>
          <w:p>
            <w:pPr>
              <w:spacing w:after="0"/>
              <w:rPr>
                <w:sz w:val="15"/>
                <w:szCs w:val="15"/>
                <w:color w:val="auto"/>
              </w:rPr>
            </w:pPr>
          </w:p>
        </w:tc>
        <w:tc>
          <w:tcPr>
            <w:tcW w:w="1660" w:type="dxa"/>
            <w:vAlign w:val="bottom"/>
            <w:tcBorders>
              <w:right w:val="single" w:sz="8" w:color="auto"/>
            </w:tcBorders>
            <w:shd w:val="clear" w:color="auto" w:fill="CCEEFF"/>
          </w:tcPr>
          <w:p>
            <w:pPr>
              <w:spacing w:after="0"/>
              <w:rPr>
                <w:sz w:val="15"/>
                <w:szCs w:val="15"/>
                <w:color w:val="auto"/>
              </w:rPr>
            </w:pPr>
          </w:p>
        </w:tc>
        <w:tc>
          <w:tcPr>
            <w:tcW w:w="1700" w:type="dxa"/>
            <w:vAlign w:val="bottom"/>
            <w:tcBorders>
              <w:right w:val="single" w:sz="8" w:color="auto"/>
            </w:tcBorders>
            <w:shd w:val="clear" w:color="auto" w:fill="CCEEFF"/>
          </w:tcPr>
          <w:p>
            <w:pPr>
              <w:spacing w:after="0"/>
              <w:rPr>
                <w:sz w:val="15"/>
                <w:szCs w:val="15"/>
                <w:color w:val="auto"/>
              </w:rPr>
            </w:pPr>
          </w:p>
        </w:tc>
        <w:tc>
          <w:tcPr>
            <w:tcW w:w="36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2015. Currently classified as an Asset Held for Sale</w:t>
            </w:r>
          </w:p>
        </w:tc>
        <w:tc>
          <w:tcPr>
            <w:tcW w:w="0" w:type="dxa"/>
            <w:vAlign w:val="bottom"/>
          </w:tcPr>
          <w:p>
            <w:pPr>
              <w:spacing w:after="0"/>
              <w:rPr>
                <w:sz w:val="1"/>
                <w:szCs w:val="1"/>
                <w:color w:val="auto"/>
              </w:rPr>
            </w:pPr>
          </w:p>
        </w:tc>
      </w:tr>
      <w:tr>
        <w:trPr>
          <w:trHeight w:val="357"/>
        </w:trPr>
        <w:tc>
          <w:tcPr>
            <w:tcW w:w="208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1660" w:type="dxa"/>
            <w:vAlign w:val="bottom"/>
            <w:tcBorders>
              <w:bottom w:val="single" w:sz="8" w:color="auto"/>
              <w:right w:val="single" w:sz="8" w:color="auto"/>
            </w:tcBorders>
            <w:shd w:val="clear" w:color="auto" w:fill="CCEEFF"/>
          </w:tcPr>
          <w:p>
            <w:pPr>
              <w:spacing w:after="0"/>
              <w:rPr>
                <w:sz w:val="24"/>
                <w:szCs w:val="24"/>
                <w:color w:val="auto"/>
              </w:rPr>
            </w:pPr>
          </w:p>
        </w:tc>
        <w:tc>
          <w:tcPr>
            <w:tcW w:w="1700" w:type="dxa"/>
            <w:vAlign w:val="bottom"/>
            <w:tcBorders>
              <w:bottom w:val="single" w:sz="8" w:color="auto"/>
              <w:right w:val="single" w:sz="8" w:color="auto"/>
            </w:tcBorders>
            <w:shd w:val="clear" w:color="auto" w:fill="CCEEFF"/>
          </w:tcPr>
          <w:p>
            <w:pPr>
              <w:spacing w:after="0"/>
              <w:rPr>
                <w:sz w:val="24"/>
                <w:szCs w:val="24"/>
                <w:color w:val="auto"/>
              </w:rPr>
            </w:pPr>
          </w:p>
        </w:tc>
        <w:tc>
          <w:tcPr>
            <w:tcW w:w="368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78"/>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w w:val="93"/>
              </w:rPr>
              <w:t>Newmarket Queensland, Australia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0.62 acres</w:t>
            </w:r>
          </w:p>
        </w:tc>
        <w:tc>
          <w:tcPr>
            <w:tcW w:w="1700" w:type="dxa"/>
            <w:vAlign w:val="bottom"/>
            <w:tcBorders>
              <w:right w:val="single" w:sz="8" w:color="auto"/>
            </w:tcBorders>
          </w:tcPr>
          <w:p>
            <w:pPr>
              <w:jc w:val="right"/>
              <w:ind w:right="442"/>
              <w:spacing w:after="0"/>
              <w:rPr>
                <w:sz w:val="20"/>
                <w:szCs w:val="20"/>
                <w:color w:val="auto"/>
              </w:rPr>
            </w:pPr>
            <w:r>
              <w:rPr>
                <w:rFonts w:ascii="Arial" w:cs="Arial" w:eastAsia="Arial" w:hAnsi="Arial"/>
                <w:sz w:val="16"/>
                <w:szCs w:val="16"/>
                <w:color w:val="auto"/>
              </w:rPr>
              <w:t>$4,649,275</w:t>
            </w:r>
          </w:p>
        </w:tc>
        <w:tc>
          <w:tcPr>
            <w:tcW w:w="3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We are actively pursuing the development of this property.</w:t>
            </w:r>
          </w:p>
        </w:tc>
        <w:tc>
          <w:tcPr>
            <w:tcW w:w="0" w:type="dxa"/>
            <w:vAlign w:val="bottom"/>
          </w:tcPr>
          <w:p>
            <w:pPr>
              <w:spacing w:after="0"/>
              <w:rPr>
                <w:sz w:val="1"/>
                <w:szCs w:val="1"/>
                <w:color w:val="auto"/>
              </w:rPr>
            </w:pPr>
          </w:p>
        </w:tc>
      </w:tr>
      <w:tr>
        <w:trPr>
          <w:trHeight w:val="612"/>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firstLine="33"/>
        <w:spacing w:after="0" w:line="230" w:lineRule="auto"/>
        <w:tabs>
          <w:tab w:leader="none" w:pos="266" w:val="left"/>
        </w:tabs>
        <w:numPr>
          <w:ilvl w:val="0"/>
          <w:numId w:val="9"/>
        </w:numPr>
        <w:rPr>
          <w:rFonts w:ascii="Arial" w:cs="Arial" w:eastAsia="Arial" w:hAnsi="Arial"/>
          <w:sz w:val="13"/>
          <w:szCs w:val="13"/>
          <w:color w:val="auto"/>
        </w:rPr>
      </w:pPr>
      <w:r>
        <w:rPr>
          <w:rFonts w:ascii="Arial" w:cs="Arial" w:eastAsia="Arial" w:hAnsi="Arial"/>
          <w:sz w:val="13"/>
          <w:szCs w:val="13"/>
          <w:color w:val="auto"/>
        </w:rPr>
        <w:t>A number of our real estate holdings include additional land held for development. In addition, we have acquired certain parcels for future development. The gross book value includes, as applicable, the land, building, development costs, and capitalized interest.</w:t>
      </w:r>
    </w:p>
    <w:p>
      <w:pPr>
        <w:spacing w:after="0" w:line="12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Some of our income operating property and our investment and development property carry various debt encumbrances based on their income streams and geographic locations. For an explanation of our debt and the associated security collateral please see Note 12 –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Payable </w:t>
      </w:r>
      <w:r>
        <w:rPr>
          <w:rFonts w:ascii="Arial" w:cs="Arial" w:eastAsia="Arial" w:hAnsi="Arial"/>
          <w:sz w:val="16"/>
          <w:szCs w:val="16"/>
          <w:color w:val="auto"/>
        </w:rPr>
        <w:t>to our 2014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2476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Property Interests and Investments</w:t>
      </w:r>
    </w:p>
    <w:p>
      <w:pPr>
        <w:spacing w:after="0" w:line="55"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We own the fee interest in 11 parcels comprising 195 acres in Pennsylvania and Delaware. These acres consist primarily of vacant land. With the exception of certain properties located in Philadelphia (including the raised railroad bed leading to the old Reading Railroad Station), the properties are principally located in rural areas of Pennsylvania and Delaware. These properties are unencumbered by any debt.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0" w:right="141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u w:val="single" w:color="auto"/>
          <w:color w:val="auto"/>
        </w:rPr>
        <w:t>Item 3 – Legal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Tax Audit/Litigation</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Internal Revenue Service (the “IRS”) has examined the tax return of Reading Entertainment Inc. (“RDGE”) for its tax years ended December 31, 1996 through December 31, 1999 and the tax return of Craig Corporation (“CRG”) for its tax year ended June 30, 1997. These companies are both now wholly owned subsidiaries of the Company, but for the time periods under audit, were not consolidated with the Company for tax purposes.</w:t>
      </w:r>
    </w:p>
    <w:p>
      <w:pPr>
        <w:spacing w:after="0" w:line="14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CRG and the IRS agreed to compromise the claims made by the IRS against CRG and the Tax Court’s order was entered on January 6, 2011. In the settlement, the IRS conceded 70% of its claimed adjustment to income. Instead of a claim for unpaid taxes of $20.9 million plus interest, the effect of settlement on the Reading consolidated group was to require a total federal income tax obligation of $5.4 million, reduced by a federal tax refund of $800,000 and increased by interest of $9.3 million, for a net federal tax liability of $13.9 million as of January 6, 2011. On October 26, 2011, CRG reached an agreement with the IRS for an installment plan to pay off this federal tax liability, including additional interest accruals at the prescribed IRS floating rate. The agreement requires monthly payments of $290,000 over a period of approximately five years. As of December 31, 2014 and 2013, after the payments made during 2014 and 2013, respectively, the remaining federal tax obligation was $5.32 million and $8.3 million, respectively, in tax and interest. Of the $5.32 million owed to the IRS as of December 31, 2014, $3.5 million was recorded as current taxes payable, with the remaining balance being recorded as non-current tax liability. Of the $8.3 million owed to the IRS as of December 31, 2013, $3.5 million was recorded as current taxes payable, with the remaining balance being recorded as non-current tax liability.</w:t>
      </w:r>
    </w:p>
    <w:p>
      <w:pPr>
        <w:spacing w:after="0" w:line="12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impact of the settlement upon the state taxes of the Reading consolidated group, if the adjustment to income agreed with the IRS were reflected on state returns, would be an obligation of approximately $1.4 million in tax plus interest. As of December 31, 2014, no deficiency has been asserted by the State of California, and we have made no final decision as to the course of action to be followed if a deficiency is asserted.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and Asbestos Claims</w:t>
      </w:r>
    </w:p>
    <w:p>
      <w:pPr>
        <w:spacing w:after="0" w:line="172"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time-to-time, been named in and may in the future be named in various actions brought under applicable environmental laws. Also, we are in the real estate development business and may encounter from time-to-time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9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second-hand exposure to asbestos, coal dust and/or other chemicals or elements now recognized as potentially causing cancer in humans. Our known exposure to these types of claims, asserted or probable of being asserted,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3" w:right="1419" w:bottom="1440" w:gutter="0" w:footer="0" w:header="0"/>
        </w:sectPr>
      </w:pPr>
    </w:p>
    <w:bookmarkStart w:id="26" w:name="page27"/>
    <w:bookmarkEnd w:id="26"/>
    <w:p>
      <w:pPr>
        <w:ind w:left="4280"/>
        <w:spacing w:after="0"/>
        <w:rPr>
          <w:sz w:val="20"/>
          <w:szCs w:val="20"/>
          <w:color w:val="auto"/>
        </w:rPr>
      </w:pPr>
      <w:r>
        <w:rPr>
          <w:rFonts w:ascii="Arial" w:cs="Arial" w:eastAsia="Arial" w:hAnsi="Arial"/>
          <w:sz w:val="16"/>
          <w:szCs w:val="16"/>
          <w:b w:val="1"/>
          <w:bCs w:val="1"/>
          <w:u w:val="single" w:color="auto"/>
          <w:color w:val="auto"/>
        </w:rPr>
        <w:t>PART II</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5 – Market for Registrant’s Common Equity, Related Stockholder Matters and Issuer Purchases of Equity Securities</w:t>
      </w:r>
    </w:p>
    <w:p>
      <w:pPr>
        <w:spacing w:after="0" w:line="180" w:lineRule="exact"/>
        <w:rPr>
          <w:sz w:val="20"/>
          <w:szCs w:val="20"/>
          <w:color w:val="auto"/>
        </w:rPr>
      </w:pPr>
    </w:p>
    <w:p>
      <w:pPr>
        <w:ind w:right="2040"/>
        <w:spacing w:after="0" w:line="446" w:lineRule="auto"/>
        <w:rPr>
          <w:sz w:val="20"/>
          <w:szCs w:val="20"/>
          <w:color w:val="auto"/>
        </w:rPr>
      </w:pPr>
      <w:r>
        <w:rPr>
          <w:rFonts w:ascii="Arial" w:cs="Arial" w:eastAsia="Arial" w:hAnsi="Arial"/>
          <w:sz w:val="16"/>
          <w:szCs w:val="16"/>
          <w:b w:val="1"/>
          <w:bCs w:val="1"/>
          <w:u w:val="single" w:color="auto"/>
          <w:color w:val="auto"/>
        </w:rPr>
        <w:t xml:space="preserve">(a) Market Price of, and Dividends on, the Registrant’s Common Equity and Related Stockholder Matters </w:t>
      </w:r>
      <w:r>
        <w:rPr>
          <w:rFonts w:ascii="Arial" w:cs="Arial" w:eastAsia="Arial" w:hAnsi="Arial"/>
          <w:sz w:val="16"/>
          <w:szCs w:val="16"/>
          <w:u w:val="single" w:color="auto"/>
          <w:color w:val="auto"/>
        </w:rPr>
        <w:t>Market Information</w:t>
      </w:r>
    </w:p>
    <w:p>
      <w:pPr>
        <w:spacing w:after="0" w:line="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Reading International, Inc., a Nevada corporation (“RDI” and collectively with our consolidated subsidiaries and corporate predecessors, the “Company,” “Reading” and “we,” “us,” or “our”), was incorporated in 1999. Historically, we have been listed on the AMEX and due to the 2008 purchase of the AMEX by the NYSE Alternext US; we were listed on that exchange at December 31, 2008. During July 2009, we moved our listing from NYSE Alternext to NASDAQ.</w:t>
      </w:r>
    </w:p>
    <w:p>
      <w:pPr>
        <w:spacing w:after="0" w:line="146"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The following table sets forth the high and low closing prices of the RDI and RDIB common stock for each of the quarters in 2014 and 2013 as reported by NASDAQ:</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1"/>
              </w:rPr>
              <w:t>Class A Stock</w:t>
            </w:r>
          </w:p>
        </w:tc>
        <w:tc>
          <w:tcPr>
            <w:tcW w:w="66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91"/>
              </w:rPr>
              <w:t>Class B Stock</w:t>
            </w:r>
          </w:p>
        </w:tc>
        <w:tc>
          <w:tcPr>
            <w:tcW w:w="660" w:type="dxa"/>
            <w:vAlign w:val="bottom"/>
            <w:tcBorders>
              <w:bottom w:val="single" w:sz="8" w:color="auto"/>
            </w:tcBorders>
          </w:tcPr>
          <w:p>
            <w:pPr>
              <w:spacing w:after="0"/>
              <w:rPr>
                <w:sz w:val="17"/>
                <w:szCs w:val="17"/>
                <w:color w:val="auto"/>
              </w:rPr>
            </w:pPr>
          </w:p>
        </w:tc>
      </w:tr>
      <w:tr>
        <w:trPr>
          <w:trHeight w:val="254"/>
        </w:trPr>
        <w:tc>
          <w:tcPr>
            <w:tcW w:w="4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High</w:t>
            </w:r>
          </w:p>
        </w:tc>
        <w:tc>
          <w:tcPr>
            <w:tcW w:w="1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Low</w:t>
            </w:r>
          </w:p>
        </w:tc>
        <w:tc>
          <w:tcPr>
            <w:tcW w:w="8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High</w:t>
            </w:r>
          </w:p>
        </w:tc>
        <w:tc>
          <w:tcPr>
            <w:tcW w:w="1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Low</w:t>
            </w:r>
          </w:p>
        </w:tc>
      </w:tr>
      <w:tr>
        <w:trPr>
          <w:trHeight w:val="223"/>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5"/>
        </w:trPr>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2014</w:t>
            </w:r>
          </w:p>
        </w:tc>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Fourth Quarter</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13.26</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8.31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13.00</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9.50</w:t>
            </w:r>
          </w:p>
        </w:tc>
      </w:tr>
      <w:tr>
        <w:trPr>
          <w:trHeight w:val="234"/>
        </w:trPr>
        <w:tc>
          <w:tcPr>
            <w:tcW w:w="44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740" w:type="dxa"/>
            <w:vAlign w:val="bottom"/>
            <w:tcBorders>
              <w:top w:val="single" w:sz="8" w:color="CCEEFF"/>
            </w:tcBorders>
          </w:tcPr>
          <w:p>
            <w:pPr>
              <w:ind w:left="220"/>
              <w:spacing w:after="0"/>
              <w:rPr>
                <w:sz w:val="20"/>
                <w:szCs w:val="20"/>
                <w:color w:val="auto"/>
              </w:rPr>
            </w:pPr>
            <w:r>
              <w:rPr>
                <w:rFonts w:ascii="Arial" w:cs="Arial" w:eastAsia="Arial" w:hAnsi="Arial"/>
                <w:sz w:val="16"/>
                <w:szCs w:val="16"/>
                <w:color w:val="auto"/>
              </w:rPr>
              <w:t>Third Quarter</w:t>
            </w:r>
          </w:p>
        </w:tc>
        <w:tc>
          <w:tcPr>
            <w:tcW w:w="7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83"/>
              </w:rPr>
              <w:t>8.84</w:t>
            </w:r>
          </w:p>
        </w:tc>
        <w:tc>
          <w:tcPr>
            <w:tcW w:w="1140" w:type="dxa"/>
            <w:vAlign w:val="bottom"/>
            <w:tcBorders>
              <w:top w:val="single" w:sz="8" w:color="CCEEFF"/>
            </w:tcBorders>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8.00</w:t>
            </w:r>
          </w:p>
        </w:tc>
        <w:tc>
          <w:tcPr>
            <w:tcW w:w="9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84"/>
              </w:rPr>
              <w:t>11.50</w:t>
            </w:r>
          </w:p>
        </w:tc>
        <w:tc>
          <w:tcPr>
            <w:tcW w:w="1120" w:type="dxa"/>
            <w:vAlign w:val="bottom"/>
            <w:tcBorders>
              <w:top w:val="single" w:sz="8" w:color="CCEEFF"/>
            </w:tcBorders>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9.70</w:t>
            </w:r>
          </w:p>
        </w:tc>
      </w:tr>
      <w:tr>
        <w:trPr>
          <w:trHeight w:val="235"/>
        </w:trPr>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Second Quarter</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8.92</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6.96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10.87</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8.11</w:t>
            </w:r>
          </w:p>
        </w:tc>
      </w:tr>
      <w:tr>
        <w:trPr>
          <w:trHeight w:val="234"/>
        </w:trPr>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ind w:left="220"/>
              <w:spacing w:after="0"/>
              <w:rPr>
                <w:sz w:val="20"/>
                <w:szCs w:val="20"/>
                <w:color w:val="auto"/>
              </w:rPr>
            </w:pPr>
            <w:r>
              <w:rPr>
                <w:rFonts w:ascii="Arial" w:cs="Arial" w:eastAsia="Arial" w:hAnsi="Arial"/>
                <w:sz w:val="16"/>
                <w:szCs w:val="16"/>
                <w:color w:val="auto"/>
              </w:rPr>
              <w:t>First Quarter</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7.60</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tcPr>
          <w:p>
            <w:pPr>
              <w:ind w:left="120"/>
              <w:spacing w:after="0"/>
              <w:rPr>
                <w:sz w:val="20"/>
                <w:szCs w:val="20"/>
                <w:color w:val="auto"/>
              </w:rPr>
            </w:pPr>
            <w:r>
              <w:rPr>
                <w:rFonts w:ascii="Arial" w:cs="Arial" w:eastAsia="Arial" w:hAnsi="Arial"/>
                <w:sz w:val="16"/>
                <w:szCs w:val="16"/>
                <w:color w:val="auto"/>
              </w:rPr>
              <w:t>7.15</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4"/>
              </w:rPr>
              <w:t>10.23</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tcPr>
          <w:p>
            <w:pPr>
              <w:ind w:left="120"/>
              <w:spacing w:after="0"/>
              <w:rPr>
                <w:sz w:val="20"/>
                <w:szCs w:val="20"/>
                <w:color w:val="auto"/>
              </w:rPr>
            </w:pPr>
            <w:r>
              <w:rPr>
                <w:rFonts w:ascii="Arial" w:cs="Arial" w:eastAsia="Arial" w:hAnsi="Arial"/>
                <w:sz w:val="16"/>
                <w:szCs w:val="16"/>
                <w:color w:val="auto"/>
              </w:rPr>
              <w:t>9.00</w:t>
            </w:r>
          </w:p>
        </w:tc>
      </w:tr>
      <w:tr>
        <w:trPr>
          <w:trHeight w:val="235"/>
        </w:trPr>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07"/>
        </w:trPr>
        <w:tc>
          <w:tcPr>
            <w:tcW w:w="9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2013</w:t>
            </w:r>
          </w:p>
        </w:tc>
        <w:tc>
          <w:tcPr>
            <w:tcW w:w="1740" w:type="dxa"/>
            <w:vAlign w:val="bottom"/>
          </w:tcPr>
          <w:p>
            <w:pPr>
              <w:ind w:left="220"/>
              <w:spacing w:after="0"/>
              <w:rPr>
                <w:sz w:val="20"/>
                <w:szCs w:val="20"/>
                <w:color w:val="auto"/>
              </w:rPr>
            </w:pPr>
            <w:r>
              <w:rPr>
                <w:rFonts w:ascii="Arial" w:cs="Arial" w:eastAsia="Arial" w:hAnsi="Arial"/>
                <w:sz w:val="16"/>
                <w:szCs w:val="16"/>
                <w:color w:val="auto"/>
              </w:rPr>
              <w:t>Fourth Quarter</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7.49</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tcPr>
          <w:p>
            <w:pPr>
              <w:ind w:left="120"/>
              <w:spacing w:after="0"/>
              <w:rPr>
                <w:sz w:val="20"/>
                <w:szCs w:val="20"/>
                <w:color w:val="auto"/>
              </w:rPr>
            </w:pPr>
            <w:r>
              <w:rPr>
                <w:rFonts w:ascii="Arial" w:cs="Arial" w:eastAsia="Arial" w:hAnsi="Arial"/>
                <w:sz w:val="16"/>
                <w:szCs w:val="16"/>
                <w:color w:val="auto"/>
              </w:rPr>
              <w:t>6.15</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9.00</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tcPr>
          <w:p>
            <w:pPr>
              <w:ind w:left="120"/>
              <w:spacing w:after="0"/>
              <w:rPr>
                <w:sz w:val="20"/>
                <w:szCs w:val="20"/>
                <w:color w:val="auto"/>
              </w:rPr>
            </w:pPr>
            <w:r>
              <w:rPr>
                <w:rFonts w:ascii="Arial" w:cs="Arial" w:eastAsia="Arial" w:hAnsi="Arial"/>
                <w:sz w:val="16"/>
                <w:szCs w:val="16"/>
                <w:color w:val="auto"/>
              </w:rPr>
              <w:t>6.99</w:t>
            </w:r>
          </w:p>
        </w:tc>
      </w:tr>
      <w:tr>
        <w:trPr>
          <w:trHeight w:val="243"/>
        </w:trPr>
        <w:tc>
          <w:tcPr>
            <w:tcW w:w="44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Third Quarter</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6.58</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6.15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7.99</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6.52</w:t>
            </w:r>
          </w:p>
        </w:tc>
      </w:tr>
      <w:tr>
        <w:trPr>
          <w:trHeight w:val="234"/>
        </w:trPr>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ind w:left="220"/>
              <w:spacing w:after="0"/>
              <w:rPr>
                <w:sz w:val="20"/>
                <w:szCs w:val="20"/>
                <w:color w:val="auto"/>
              </w:rPr>
            </w:pPr>
            <w:r>
              <w:rPr>
                <w:rFonts w:ascii="Arial" w:cs="Arial" w:eastAsia="Arial" w:hAnsi="Arial"/>
                <w:sz w:val="16"/>
                <w:szCs w:val="16"/>
                <w:color w:val="auto"/>
              </w:rPr>
              <w:t>Second Quarter</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6.36</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tcPr>
          <w:p>
            <w:pPr>
              <w:ind w:left="120"/>
              <w:spacing w:after="0"/>
              <w:rPr>
                <w:sz w:val="20"/>
                <w:szCs w:val="20"/>
                <w:color w:val="auto"/>
              </w:rPr>
            </w:pPr>
            <w:r>
              <w:rPr>
                <w:rFonts w:ascii="Arial" w:cs="Arial" w:eastAsia="Arial" w:hAnsi="Arial"/>
                <w:sz w:val="16"/>
                <w:szCs w:val="16"/>
                <w:color w:val="auto"/>
              </w:rPr>
              <w:t>5.50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7.40</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tcPr>
          <w:p>
            <w:pPr>
              <w:ind w:left="120"/>
              <w:spacing w:after="0"/>
              <w:rPr>
                <w:sz w:val="20"/>
                <w:szCs w:val="20"/>
                <w:color w:val="auto"/>
              </w:rPr>
            </w:pPr>
            <w:r>
              <w:rPr>
                <w:rFonts w:ascii="Arial" w:cs="Arial" w:eastAsia="Arial" w:hAnsi="Arial"/>
                <w:sz w:val="16"/>
                <w:szCs w:val="16"/>
                <w:color w:val="auto"/>
              </w:rPr>
              <w:t>6.00</w:t>
            </w:r>
          </w:p>
        </w:tc>
      </w:tr>
      <w:tr>
        <w:trPr>
          <w:trHeight w:val="235"/>
        </w:trPr>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First Quarter</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6.08</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5.42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7.49</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5.65</w:t>
            </w:r>
          </w:p>
        </w:tc>
      </w:tr>
    </w:tbl>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securities authorized for issuance under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1820" w:type="dxa"/>
            <w:vAlign w:val="bottom"/>
          </w:tcPr>
          <w:p>
            <w:pPr>
              <w:jc w:val="center"/>
              <w:ind w:left="22"/>
              <w:spacing w:after="0"/>
              <w:rPr>
                <w:sz w:val="20"/>
                <w:szCs w:val="20"/>
                <w:color w:val="auto"/>
              </w:rPr>
            </w:pPr>
            <w:r>
              <w:rPr>
                <w:rFonts w:ascii="Arial" w:cs="Arial" w:eastAsia="Arial" w:hAnsi="Arial"/>
                <w:sz w:val="16"/>
                <w:szCs w:val="16"/>
                <w:b w:val="1"/>
                <w:bCs w:val="1"/>
                <w:color w:val="auto"/>
                <w:w w:val="89"/>
              </w:rPr>
              <w:t>Number of</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8"/>
        </w:trPr>
        <w:tc>
          <w:tcPr>
            <w:tcW w:w="3820" w:type="dxa"/>
            <w:vAlign w:val="bottom"/>
          </w:tcPr>
          <w:p>
            <w:pPr>
              <w:spacing w:after="0"/>
              <w:rPr>
                <w:sz w:val="16"/>
                <w:szCs w:val="16"/>
                <w:color w:val="auto"/>
              </w:rPr>
            </w:pPr>
          </w:p>
        </w:tc>
        <w:tc>
          <w:tcPr>
            <w:tcW w:w="1820" w:type="dxa"/>
            <w:vAlign w:val="bottom"/>
          </w:tcPr>
          <w:p>
            <w:pPr>
              <w:jc w:val="center"/>
              <w:ind w:left="22"/>
              <w:spacing w:after="0"/>
              <w:rPr>
                <w:sz w:val="20"/>
                <w:szCs w:val="20"/>
                <w:color w:val="auto"/>
              </w:rPr>
            </w:pPr>
            <w:r>
              <w:rPr>
                <w:rFonts w:ascii="Arial" w:cs="Arial" w:eastAsia="Arial" w:hAnsi="Arial"/>
                <w:sz w:val="16"/>
                <w:szCs w:val="16"/>
                <w:b w:val="1"/>
                <w:bCs w:val="1"/>
                <w:color w:val="auto"/>
                <w:w w:val="85"/>
              </w:rPr>
              <w:t>securities to be</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20" w:type="dxa"/>
            <w:vAlign w:val="bottom"/>
          </w:tcPr>
          <w:p>
            <w:pPr>
              <w:jc w:val="center"/>
              <w:ind w:left="122"/>
              <w:spacing w:after="0"/>
              <w:rPr>
                <w:sz w:val="20"/>
                <w:szCs w:val="20"/>
                <w:color w:val="auto"/>
              </w:rPr>
            </w:pPr>
            <w:r>
              <w:rPr>
                <w:rFonts w:ascii="Arial" w:cs="Arial" w:eastAsia="Arial" w:hAnsi="Arial"/>
                <w:sz w:val="16"/>
                <w:szCs w:val="16"/>
                <w:b w:val="1"/>
                <w:bCs w:val="1"/>
                <w:color w:val="auto"/>
                <w:w w:val="86"/>
              </w:rPr>
              <w:t>Number of securities</w:t>
            </w:r>
          </w:p>
        </w:tc>
      </w:tr>
      <w:tr>
        <w:trPr>
          <w:trHeight w:val="188"/>
        </w:trPr>
        <w:tc>
          <w:tcPr>
            <w:tcW w:w="3820" w:type="dxa"/>
            <w:vAlign w:val="bottom"/>
          </w:tcPr>
          <w:p>
            <w:pPr>
              <w:spacing w:after="0"/>
              <w:rPr>
                <w:sz w:val="16"/>
                <w:szCs w:val="16"/>
                <w:color w:val="auto"/>
              </w:rPr>
            </w:pPr>
          </w:p>
        </w:tc>
        <w:tc>
          <w:tcPr>
            <w:tcW w:w="1820" w:type="dxa"/>
            <w:vAlign w:val="bottom"/>
          </w:tcPr>
          <w:p>
            <w:pPr>
              <w:jc w:val="center"/>
              <w:ind w:left="22"/>
              <w:spacing w:after="0"/>
              <w:rPr>
                <w:sz w:val="20"/>
                <w:szCs w:val="20"/>
                <w:color w:val="auto"/>
              </w:rPr>
            </w:pPr>
            <w:r>
              <w:rPr>
                <w:rFonts w:ascii="Arial" w:cs="Arial" w:eastAsia="Arial" w:hAnsi="Arial"/>
                <w:sz w:val="16"/>
                <w:szCs w:val="16"/>
                <w:b w:val="1"/>
                <w:bCs w:val="1"/>
                <w:color w:val="auto"/>
                <w:w w:val="83"/>
              </w:rPr>
              <w:t>issued upon exercise</w:t>
            </w:r>
          </w:p>
        </w:tc>
        <w:tc>
          <w:tcPr>
            <w:tcW w:w="260" w:type="dxa"/>
            <w:vAlign w:val="bottom"/>
          </w:tcPr>
          <w:p>
            <w:pPr>
              <w:spacing w:after="0"/>
              <w:rPr>
                <w:sz w:val="16"/>
                <w:szCs w:val="16"/>
                <w:color w:val="auto"/>
              </w:rPr>
            </w:pPr>
          </w:p>
        </w:tc>
        <w:tc>
          <w:tcPr>
            <w:tcW w:w="160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Weighted-average</w:t>
            </w:r>
          </w:p>
        </w:tc>
        <w:tc>
          <w:tcPr>
            <w:tcW w:w="1620" w:type="dxa"/>
            <w:vAlign w:val="bottom"/>
          </w:tcPr>
          <w:p>
            <w:pPr>
              <w:jc w:val="center"/>
              <w:ind w:left="122"/>
              <w:spacing w:after="0"/>
              <w:rPr>
                <w:sz w:val="20"/>
                <w:szCs w:val="20"/>
                <w:color w:val="auto"/>
              </w:rPr>
            </w:pPr>
            <w:r>
              <w:rPr>
                <w:rFonts w:ascii="Arial" w:cs="Arial" w:eastAsia="Arial" w:hAnsi="Arial"/>
                <w:sz w:val="16"/>
                <w:szCs w:val="16"/>
                <w:b w:val="1"/>
                <w:bCs w:val="1"/>
                <w:color w:val="auto"/>
                <w:w w:val="90"/>
              </w:rPr>
              <w:t>remaining available</w:t>
            </w:r>
          </w:p>
        </w:tc>
      </w:tr>
      <w:tr>
        <w:trPr>
          <w:trHeight w:val="188"/>
        </w:trPr>
        <w:tc>
          <w:tcPr>
            <w:tcW w:w="3820" w:type="dxa"/>
            <w:vAlign w:val="bottom"/>
          </w:tcPr>
          <w:p>
            <w:pPr>
              <w:spacing w:after="0"/>
              <w:rPr>
                <w:sz w:val="16"/>
                <w:szCs w:val="16"/>
                <w:color w:val="auto"/>
              </w:rPr>
            </w:pPr>
          </w:p>
        </w:tc>
        <w:tc>
          <w:tcPr>
            <w:tcW w:w="1820" w:type="dxa"/>
            <w:vAlign w:val="bottom"/>
          </w:tcPr>
          <w:p>
            <w:pPr>
              <w:jc w:val="center"/>
              <w:ind w:left="22"/>
              <w:spacing w:after="0"/>
              <w:rPr>
                <w:sz w:val="20"/>
                <w:szCs w:val="20"/>
                <w:color w:val="auto"/>
              </w:rPr>
            </w:pPr>
            <w:r>
              <w:rPr>
                <w:rFonts w:ascii="Arial" w:cs="Arial" w:eastAsia="Arial" w:hAnsi="Arial"/>
                <w:sz w:val="16"/>
                <w:szCs w:val="16"/>
                <w:b w:val="1"/>
                <w:bCs w:val="1"/>
                <w:color w:val="auto"/>
                <w:w w:val="86"/>
              </w:rPr>
              <w:t>of outstanding</w:t>
            </w:r>
          </w:p>
        </w:tc>
        <w:tc>
          <w:tcPr>
            <w:tcW w:w="260" w:type="dxa"/>
            <w:vAlign w:val="bottom"/>
          </w:tcPr>
          <w:p>
            <w:pPr>
              <w:spacing w:after="0"/>
              <w:rPr>
                <w:sz w:val="16"/>
                <w:szCs w:val="16"/>
                <w:color w:val="auto"/>
              </w:rPr>
            </w:pPr>
          </w:p>
        </w:tc>
        <w:tc>
          <w:tcPr>
            <w:tcW w:w="1600" w:type="dxa"/>
            <w:vAlign w:val="bottom"/>
          </w:tcPr>
          <w:p>
            <w:pPr>
              <w:jc w:val="center"/>
              <w:ind w:right="142"/>
              <w:spacing w:after="0"/>
              <w:rPr>
                <w:sz w:val="20"/>
                <w:szCs w:val="20"/>
                <w:color w:val="auto"/>
              </w:rPr>
            </w:pPr>
            <w:r>
              <w:rPr>
                <w:rFonts w:ascii="Arial" w:cs="Arial" w:eastAsia="Arial" w:hAnsi="Arial"/>
                <w:sz w:val="16"/>
                <w:szCs w:val="16"/>
                <w:b w:val="1"/>
                <w:bCs w:val="1"/>
                <w:color w:val="auto"/>
                <w:w w:val="83"/>
              </w:rPr>
              <w:t>exercise price of</w:t>
            </w:r>
          </w:p>
        </w:tc>
        <w:tc>
          <w:tcPr>
            <w:tcW w:w="1620" w:type="dxa"/>
            <w:vAlign w:val="bottom"/>
          </w:tcPr>
          <w:p>
            <w:pPr>
              <w:jc w:val="center"/>
              <w:ind w:left="122"/>
              <w:spacing w:after="0"/>
              <w:rPr>
                <w:sz w:val="20"/>
                <w:szCs w:val="20"/>
                <w:color w:val="auto"/>
              </w:rPr>
            </w:pPr>
            <w:r>
              <w:rPr>
                <w:rFonts w:ascii="Arial" w:cs="Arial" w:eastAsia="Arial" w:hAnsi="Arial"/>
                <w:sz w:val="16"/>
                <w:szCs w:val="16"/>
                <w:b w:val="1"/>
                <w:bCs w:val="1"/>
                <w:color w:val="auto"/>
                <w:w w:val="87"/>
              </w:rPr>
              <w:t>for future issuance</w:t>
            </w:r>
          </w:p>
        </w:tc>
      </w:tr>
      <w:tr>
        <w:trPr>
          <w:trHeight w:val="188"/>
        </w:trPr>
        <w:tc>
          <w:tcPr>
            <w:tcW w:w="3820" w:type="dxa"/>
            <w:vAlign w:val="bottom"/>
          </w:tcPr>
          <w:p>
            <w:pPr>
              <w:spacing w:after="0"/>
              <w:rPr>
                <w:sz w:val="16"/>
                <w:szCs w:val="16"/>
                <w:color w:val="auto"/>
              </w:rPr>
            </w:pPr>
          </w:p>
        </w:tc>
        <w:tc>
          <w:tcPr>
            <w:tcW w:w="1820" w:type="dxa"/>
            <w:vAlign w:val="bottom"/>
          </w:tcPr>
          <w:p>
            <w:pPr>
              <w:jc w:val="center"/>
              <w:ind w:left="22"/>
              <w:spacing w:after="0"/>
              <w:rPr>
                <w:sz w:val="20"/>
                <w:szCs w:val="20"/>
                <w:color w:val="auto"/>
              </w:rPr>
            </w:pPr>
            <w:r>
              <w:rPr>
                <w:rFonts w:ascii="Arial" w:cs="Arial" w:eastAsia="Arial" w:hAnsi="Arial"/>
                <w:sz w:val="16"/>
                <w:szCs w:val="16"/>
                <w:b w:val="1"/>
                <w:bCs w:val="1"/>
                <w:color w:val="auto"/>
                <w:w w:val="87"/>
              </w:rPr>
              <w:t>options, warrants,</w:t>
            </w:r>
          </w:p>
        </w:tc>
        <w:tc>
          <w:tcPr>
            <w:tcW w:w="260" w:type="dxa"/>
            <w:vAlign w:val="bottom"/>
          </w:tcPr>
          <w:p>
            <w:pPr>
              <w:spacing w:after="0"/>
              <w:rPr>
                <w:sz w:val="16"/>
                <w:szCs w:val="16"/>
                <w:color w:val="auto"/>
              </w:rPr>
            </w:pPr>
          </w:p>
        </w:tc>
        <w:tc>
          <w:tcPr>
            <w:tcW w:w="1600" w:type="dxa"/>
            <w:vAlign w:val="bottom"/>
          </w:tcPr>
          <w:p>
            <w:pPr>
              <w:jc w:val="center"/>
              <w:ind w:right="142"/>
              <w:spacing w:after="0"/>
              <w:rPr>
                <w:sz w:val="20"/>
                <w:szCs w:val="20"/>
                <w:color w:val="auto"/>
              </w:rPr>
            </w:pPr>
            <w:r>
              <w:rPr>
                <w:rFonts w:ascii="Arial" w:cs="Arial" w:eastAsia="Arial" w:hAnsi="Arial"/>
                <w:sz w:val="16"/>
                <w:szCs w:val="16"/>
                <w:b w:val="1"/>
                <w:bCs w:val="1"/>
                <w:color w:val="auto"/>
                <w:w w:val="84"/>
              </w:rPr>
              <w:t>outstanding options,</w:t>
            </w:r>
          </w:p>
        </w:tc>
        <w:tc>
          <w:tcPr>
            <w:tcW w:w="1620" w:type="dxa"/>
            <w:vAlign w:val="bottom"/>
          </w:tcPr>
          <w:p>
            <w:pPr>
              <w:jc w:val="center"/>
              <w:ind w:left="122"/>
              <w:spacing w:after="0"/>
              <w:rPr>
                <w:sz w:val="20"/>
                <w:szCs w:val="20"/>
                <w:color w:val="auto"/>
              </w:rPr>
            </w:pPr>
            <w:r>
              <w:rPr>
                <w:rFonts w:ascii="Arial" w:cs="Arial" w:eastAsia="Arial" w:hAnsi="Arial"/>
                <w:sz w:val="16"/>
                <w:szCs w:val="16"/>
                <w:b w:val="1"/>
                <w:bCs w:val="1"/>
                <w:color w:val="auto"/>
                <w:w w:val="89"/>
              </w:rPr>
              <w:t>under equity</w:t>
            </w:r>
          </w:p>
        </w:tc>
      </w:tr>
      <w:tr>
        <w:trPr>
          <w:trHeight w:val="208"/>
        </w:trPr>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category</w:t>
            </w:r>
          </w:p>
        </w:tc>
        <w:tc>
          <w:tcPr>
            <w:tcW w:w="182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b w:val="1"/>
                <w:bCs w:val="1"/>
                <w:color w:val="auto"/>
                <w:w w:val="87"/>
              </w:rPr>
              <w:t>and rights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90"/>
              </w:rPr>
              <w:t>warrants, and rights</w:t>
            </w:r>
          </w:p>
        </w:tc>
        <w:tc>
          <w:tcPr>
            <w:tcW w:w="1620" w:type="dxa"/>
            <w:vAlign w:val="bottom"/>
            <w:tcBorders>
              <w:bottom w:val="single" w:sz="8" w:color="auto"/>
            </w:tcBorders>
          </w:tcPr>
          <w:p>
            <w:pPr>
              <w:jc w:val="center"/>
              <w:ind w:left="142"/>
              <w:spacing w:after="0"/>
              <w:rPr>
                <w:sz w:val="20"/>
                <w:szCs w:val="20"/>
                <w:color w:val="auto"/>
              </w:rPr>
            </w:pPr>
            <w:r>
              <w:rPr>
                <w:rFonts w:ascii="Arial" w:cs="Arial" w:eastAsia="Arial" w:hAnsi="Arial"/>
                <w:sz w:val="16"/>
                <w:szCs w:val="16"/>
                <w:b w:val="1"/>
                <w:bCs w:val="1"/>
                <w:color w:val="auto"/>
                <w:w w:val="85"/>
              </w:rPr>
              <w:t>compensation plans</w:t>
            </w:r>
          </w:p>
        </w:tc>
      </w:tr>
      <w:tr>
        <w:trPr>
          <w:trHeight w:val="458"/>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4"/>
              </w:rPr>
              <w:t>Equity compensation plans approved by security holders</w:t>
            </w:r>
          </w:p>
        </w:tc>
        <w:tc>
          <w:tcPr>
            <w:tcW w:w="18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753,350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7.63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1,328,737</w:t>
            </w:r>
          </w:p>
        </w:tc>
      </w:tr>
      <w:tr>
        <w:trPr>
          <w:trHeight w:val="195"/>
        </w:trPr>
        <w:tc>
          <w:tcPr>
            <w:tcW w:w="3820" w:type="dxa"/>
            <w:vAlign w:val="bottom"/>
            <w:tcBorders>
              <w:bottom w:val="single" w:sz="8" w:color="auto"/>
            </w:tcBorders>
          </w:tcPr>
          <w:p>
            <w:pPr>
              <w:ind w:left="168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753,350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7.63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1,328,737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Graph</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following line graph compares the cumulative total stockholder return on Reading International, Inc.’s common stock for the years ended December 31, 2010, 2011, 2012, 2013, and 2014 against the cumulative total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3" w:right="141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return as calculated by the NASDAQ composite, the motion picture theater operator group, and the real estate operator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107315</wp:posOffset>
            </wp:positionV>
            <wp:extent cx="3789045" cy="2998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89045" cy="299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Holders of Record</w:t>
      </w:r>
    </w:p>
    <w:p>
      <w:pPr>
        <w:spacing w:after="0" w:line="168" w:lineRule="exact"/>
        <w:rPr>
          <w:sz w:val="20"/>
          <w:szCs w:val="20"/>
          <w:color w:val="auto"/>
        </w:rPr>
      </w:pPr>
    </w:p>
    <w:p>
      <w:pPr>
        <w:ind w:firstLine="564"/>
        <w:spacing w:after="0" w:line="381" w:lineRule="auto"/>
        <w:rPr>
          <w:sz w:val="20"/>
          <w:szCs w:val="20"/>
          <w:color w:val="auto"/>
        </w:rPr>
      </w:pPr>
      <w:r>
        <w:rPr>
          <w:rFonts w:ascii="Arial" w:cs="Arial" w:eastAsia="Arial" w:hAnsi="Arial"/>
          <w:sz w:val="13"/>
          <w:szCs w:val="13"/>
          <w:color w:val="auto"/>
        </w:rPr>
        <w:t>The number of holders of record of our Class A Stock and Class B Stock in 2014 was approximately 3,500 and 300, respectively. On March 13, 2015, the closing price per share of our Class A Stock was $13.47 and the closing price per share of our Class B Stock was $16.00.</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Dividends on Common Stock</w:t>
      </w:r>
    </w:p>
    <w:p>
      <w:pPr>
        <w:spacing w:after="0" w:line="157"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We have never declared a cash dividend on our common stock and we have no current plans to declare a dividend; however, we review this matter on an ongoing basis.</w:t>
      </w:r>
    </w:p>
    <w:p>
      <w:pPr>
        <w:spacing w:after="0" w:line="130" w:lineRule="exact"/>
        <w:rPr>
          <w:sz w:val="20"/>
          <w:szCs w:val="20"/>
          <w:color w:val="auto"/>
        </w:rPr>
      </w:pPr>
    </w:p>
    <w:p>
      <w:pPr>
        <w:ind w:left="560" w:right="3340" w:hanging="558"/>
        <w:spacing w:after="0" w:line="444" w:lineRule="auto"/>
        <w:tabs>
          <w:tab w:leader="none" w:pos="227" w:val="left"/>
        </w:tabs>
        <w:numPr>
          <w:ilvl w:val="0"/>
          <w:numId w:val="1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Recent Sales of Unregistered Securities; Use of Proceeds from Registered Securities </w:t>
      </w:r>
      <w:r>
        <w:rPr>
          <w:rFonts w:ascii="Arial" w:cs="Arial" w:eastAsia="Arial" w:hAnsi="Arial"/>
          <w:sz w:val="16"/>
          <w:szCs w:val="16"/>
          <w:color w:val="auto"/>
        </w:rPr>
        <w:t>None.</w:t>
      </w:r>
    </w:p>
    <w:p>
      <w:pPr>
        <w:ind w:left="220" w:hanging="218"/>
        <w:spacing w:after="0"/>
        <w:tabs>
          <w:tab w:leader="none" w:pos="220" w:val="left"/>
        </w:tabs>
        <w:numPr>
          <w:ilvl w:val="0"/>
          <w:numId w:val="1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Purchases of Equity Securities by the Issuer and Affiliated Purchasers</w:t>
      </w:r>
    </w:p>
    <w:p>
      <w:pPr>
        <w:spacing w:after="0" w:line="172"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During 2014, we purchased 432,252 of Class A Non-voting shares on the open market for $4,069,756. No shares were purchased during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Item 6 – Selected Financial Data</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2014 (the “2014 Annual Report”), and the related notes to the consolidated financial statements (dollars in thousands, except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6"/>
          </w:tcPr>
          <w:p>
            <w:pPr>
              <w:ind w:left="480"/>
              <w:spacing w:after="0"/>
              <w:rPr>
                <w:sz w:val="20"/>
                <w:szCs w:val="20"/>
                <w:color w:val="auto"/>
              </w:rPr>
            </w:pPr>
            <w:r>
              <w:rPr>
                <w:rFonts w:ascii="Arial" w:cs="Arial" w:eastAsia="Arial" w:hAnsi="Arial"/>
                <w:sz w:val="13"/>
                <w:szCs w:val="13"/>
                <w:b w:val="1"/>
                <w:bCs w:val="1"/>
                <w:color w:val="auto"/>
                <w:w w:val="87"/>
              </w:rPr>
              <w:t>At or for the Year Ended December 31,</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7"/>
        </w:trPr>
        <w:tc>
          <w:tcPr>
            <w:tcW w:w="3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2014</w:t>
            </w: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4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2012</w:t>
            </w:r>
          </w:p>
        </w:tc>
        <w:tc>
          <w:tcPr>
            <w:tcW w:w="4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w w:val="75"/>
              </w:rPr>
              <w:t>2011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2010</w:t>
            </w:r>
          </w:p>
        </w:tc>
      </w:tr>
      <w:tr>
        <w:trPr>
          <w:trHeight w:val="211"/>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254,748</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258,221</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254,430</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244,979</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229,322</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Operating income</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22,173</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20,935</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19,127</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18,178</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13,069</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discontinued operations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(405)</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1,888</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Net income (loss)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25,644</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9,145</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(1,406)</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10,896</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(12,034)</w:t>
            </w:r>
          </w:p>
        </w:tc>
      </w:tr>
      <w:tr>
        <w:trPr>
          <w:trHeight w:val="27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w w:val="94"/>
              </w:rPr>
              <w:t>Net income (loss) attributable to Reading International, Inc.</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45"/>
        </w:trPr>
        <w:tc>
          <w:tcPr>
            <w:tcW w:w="32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shareholders</w:t>
            </w:r>
          </w:p>
        </w:tc>
        <w:tc>
          <w:tcPr>
            <w:tcW w:w="320" w:type="dxa"/>
            <w:vAlign w:val="bottom"/>
            <w:shd w:val="clear" w:color="auto" w:fill="CCEEFF"/>
          </w:tcPr>
          <w:p>
            <w:pPr>
              <w:jc w:val="right"/>
              <w:ind w:right="117"/>
              <w:spacing w:after="0" w:line="14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line="145" w:lineRule="exact"/>
              <w:rPr>
                <w:sz w:val="20"/>
                <w:szCs w:val="20"/>
                <w:color w:val="auto"/>
              </w:rPr>
            </w:pPr>
            <w:r>
              <w:rPr>
                <w:rFonts w:ascii="Arial" w:cs="Arial" w:eastAsia="Arial" w:hAnsi="Arial"/>
                <w:sz w:val="13"/>
                <w:szCs w:val="13"/>
                <w:color w:val="auto"/>
              </w:rPr>
              <w:t>25,701</w:t>
            </w:r>
          </w:p>
        </w:tc>
        <w:tc>
          <w:tcPr>
            <w:tcW w:w="300" w:type="dxa"/>
            <w:vAlign w:val="bottom"/>
            <w:shd w:val="clear" w:color="auto" w:fill="CCEEFF"/>
          </w:tcPr>
          <w:p>
            <w:pPr>
              <w:jc w:val="right"/>
              <w:ind w:right="117"/>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9,041</w:t>
            </w:r>
          </w:p>
        </w:tc>
        <w:tc>
          <w:tcPr>
            <w:tcW w:w="320" w:type="dxa"/>
            <w:vAlign w:val="bottom"/>
            <w:shd w:val="clear" w:color="auto" w:fill="CCEEFF"/>
          </w:tcPr>
          <w:p>
            <w:pPr>
              <w:jc w:val="right"/>
              <w:ind w:right="117"/>
              <w:spacing w:after="0" w:line="14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line="145" w:lineRule="exact"/>
              <w:rPr>
                <w:sz w:val="20"/>
                <w:szCs w:val="20"/>
                <w:color w:val="auto"/>
              </w:rPr>
            </w:pPr>
            <w:r>
              <w:rPr>
                <w:rFonts w:ascii="Arial" w:cs="Arial" w:eastAsia="Arial" w:hAnsi="Arial"/>
                <w:sz w:val="13"/>
                <w:szCs w:val="13"/>
                <w:color w:val="auto"/>
              </w:rPr>
              <w:t>(914)</w:t>
            </w:r>
          </w:p>
        </w:tc>
        <w:tc>
          <w:tcPr>
            <w:tcW w:w="480" w:type="dxa"/>
            <w:vAlign w:val="bottom"/>
            <w:shd w:val="clear" w:color="auto" w:fill="CCEEFF"/>
          </w:tcPr>
          <w:p>
            <w:pPr>
              <w:jc w:val="right"/>
              <w:ind w:right="277"/>
              <w:spacing w:after="0" w:line="14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5" w:lineRule="exact"/>
              <w:rPr>
                <w:sz w:val="20"/>
                <w:szCs w:val="20"/>
                <w:color w:val="auto"/>
              </w:rPr>
            </w:pPr>
            <w:r>
              <w:rPr>
                <w:rFonts w:ascii="Arial" w:cs="Arial" w:eastAsia="Arial" w:hAnsi="Arial"/>
                <w:sz w:val="13"/>
                <w:szCs w:val="13"/>
                <w:color w:val="auto"/>
              </w:rPr>
              <w:t>9,956</w:t>
            </w:r>
          </w:p>
        </w:tc>
        <w:tc>
          <w:tcPr>
            <w:tcW w:w="320" w:type="dxa"/>
            <w:vAlign w:val="bottom"/>
            <w:shd w:val="clear" w:color="auto" w:fill="CCEEFF"/>
          </w:tcPr>
          <w:p>
            <w:pPr>
              <w:jc w:val="right"/>
              <w:ind w:right="137"/>
              <w:spacing w:after="0" w:line="14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(12,650)</w:t>
            </w:r>
          </w:p>
        </w:tc>
      </w:tr>
      <w:tr>
        <w:trPr>
          <w:trHeight w:val="117"/>
        </w:trPr>
        <w:tc>
          <w:tcPr>
            <w:tcW w:w="3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4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share – continuing operations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0.39</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(0.02)</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0.36</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r>
      <w:tr>
        <w:trPr>
          <w:trHeight w:val="470"/>
        </w:trPr>
        <w:tc>
          <w:tcPr>
            <w:tcW w:w="3220" w:type="dxa"/>
            <w:vAlign w:val="bottom"/>
          </w:tcPr>
          <w:p>
            <w:pPr>
              <w:spacing w:after="0"/>
              <w:rPr>
                <w:sz w:val="20"/>
                <w:szCs w:val="20"/>
                <w:color w:val="auto"/>
              </w:rPr>
            </w:pPr>
            <w:r>
              <w:rPr>
                <w:rFonts w:ascii="Arial" w:cs="Arial" w:eastAsia="Arial" w:hAnsi="Arial"/>
                <w:sz w:val="13"/>
                <w:szCs w:val="13"/>
                <w:color w:val="auto"/>
                <w:w w:val="96"/>
              </w:rPr>
              <w:t>Basic earnings (loss) per share – discontinued operations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(0.02)</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0.08</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share</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0.39</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(0.04)</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0.44</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r>
      <w:tr>
        <w:trPr>
          <w:trHeight w:val="423"/>
        </w:trPr>
        <w:tc>
          <w:tcPr>
            <w:tcW w:w="3220" w:type="dxa"/>
            <w:vAlign w:val="bottom"/>
          </w:tcPr>
          <w:p>
            <w:pPr>
              <w:spacing w:after="0"/>
              <w:rPr>
                <w:sz w:val="20"/>
                <w:szCs w:val="20"/>
                <w:color w:val="auto"/>
              </w:rPr>
            </w:pPr>
            <w:r>
              <w:rPr>
                <w:rFonts w:ascii="Arial" w:cs="Arial" w:eastAsia="Arial" w:hAnsi="Arial"/>
                <w:sz w:val="13"/>
                <w:szCs w:val="13"/>
                <w:color w:val="auto"/>
                <w:w w:val="98"/>
              </w:rPr>
              <w:t>Diluted earnings (loss) per share – continuing operations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1.08</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0.38</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(0.02)</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0.35</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(0.56)</w:t>
            </w:r>
          </w:p>
        </w:tc>
      </w:tr>
      <w:tr>
        <w:trPr>
          <w:trHeight w:val="45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w w:val="94"/>
              </w:rPr>
              <w:t>Diluted earnings (loss) per share – discontinued operations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(0.02)</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0.08</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Diluted earnings (loss) per share</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1.08</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0.38</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(0.04)</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0.43</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(0.56)</w:t>
            </w:r>
          </w:p>
        </w:tc>
      </w:tr>
      <w:tr>
        <w:trPr>
          <w:trHeight w:val="117"/>
        </w:trPr>
        <w:tc>
          <w:tcPr>
            <w:tcW w:w="3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Other Information:</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Shares outstanding</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23,237,076</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23,385,519</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23,083,265</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6"/>
              </w:rPr>
              <w:t>22,806,838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22,804,313</w:t>
            </w:r>
          </w:p>
        </w:tc>
      </w:tr>
      <w:tr>
        <w:trPr>
          <w:trHeight w:val="423"/>
        </w:trPr>
        <w:tc>
          <w:tcPr>
            <w:tcW w:w="3220" w:type="dxa"/>
            <w:vAlign w:val="bottom"/>
          </w:tcPr>
          <w:p>
            <w:pPr>
              <w:spacing w:after="0"/>
              <w:rPr>
                <w:sz w:val="20"/>
                <w:szCs w:val="20"/>
                <w:color w:val="auto"/>
              </w:rPr>
            </w:pPr>
            <w:r>
              <w:rPr>
                <w:rFonts w:ascii="Arial" w:cs="Arial" w:eastAsia="Arial" w:hAnsi="Arial"/>
                <w:sz w:val="13"/>
                <w:szCs w:val="13"/>
                <w:color w:val="auto"/>
              </w:rPr>
              <w:t>Weighted average number of shares outstanding–basic</w:t>
            </w:r>
          </w:p>
        </w:tc>
        <w:tc>
          <w:tcPr>
            <w:tcW w:w="32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23,431,855</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23,348,003</w:t>
            </w:r>
          </w:p>
        </w:tc>
        <w:tc>
          <w:tcPr>
            <w:tcW w:w="32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23,028,596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86"/>
              </w:rPr>
              <w:t>22,764,666</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22,781,392</w:t>
            </w:r>
          </w:p>
        </w:tc>
      </w:tr>
      <w:tr>
        <w:trPr>
          <w:trHeight w:val="4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w w:val="97"/>
              </w:rPr>
              <w:t>Weighted average number of shares outstanding–diluted</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23,749,221</w:t>
            </w:r>
          </w:p>
        </w:tc>
        <w:tc>
          <w:tcPr>
            <w:tcW w:w="3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23,520,271</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23,028,596</w:t>
            </w: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6"/>
              </w:rPr>
              <w:t>22,993,135</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22,781,392</w:t>
            </w:r>
          </w:p>
        </w:tc>
      </w:tr>
      <w:tr>
        <w:trPr>
          <w:trHeight w:val="117"/>
        </w:trPr>
        <w:tc>
          <w:tcPr>
            <w:tcW w:w="3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401,586</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386,807</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428,588</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430,764</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430,349</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Total debt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164,036</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168,460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196,597</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209,614</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228,821</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 (deficit)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(8,819)</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(71,794)</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(21,415)</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(12,844)</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(57,634)</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Stockholders’ equity</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132,298</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121,747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130,954</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124,987</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112,639</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EBIT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24,916</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24,020</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20,416</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18,664</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13,900</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15,468</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15,197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16,049</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16,595</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15,563</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Add: Adjustments for discontinued operations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335</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365</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EBITDA</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40,384</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39,217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36,800</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35,624</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29,814</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Debt to EBITDA</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4.30</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5.88</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Capital expenditure (including acquisitions)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14,914</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20,082</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13,723</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9,376</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19,371</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Number of employees at 12/31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2,596</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2,412</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2,109</w:t>
            </w:r>
          </w:p>
        </w:tc>
      </w:tr>
    </w:tbl>
    <w:p>
      <w:pPr>
        <w:spacing w:after="0" w:line="175"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EBIT presented above represents net income (loss) adjusted for interest expense (calculated net of interest income) and income tax expense. EBIT is presented for informational purposes to show the significance of depreciation and amortization in the calculation of EBITDA. We use EBIT in our evaluation of our operating results since we believe that it is useful as a measure of financial performance, particularly for us as a multinational company. We believe it is a useful measure of financial performance principally for the following reasons: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3" w:right="1419" w:bottom="1440" w:gutter="0" w:footer="0" w:header="0"/>
        </w:sectPr>
      </w:pPr>
    </w:p>
    <w:bookmarkStart w:id="29" w:name="page30"/>
    <w:bookmarkEnd w:id="29"/>
    <w:p>
      <w:pPr>
        <w:jc w:val="both"/>
        <w:ind w:left="340" w:right="20" w:hanging="46"/>
        <w:spacing w:after="0" w:line="252" w:lineRule="auto"/>
        <w:rPr>
          <w:sz w:val="20"/>
          <w:szCs w:val="20"/>
          <w:color w:val="auto"/>
        </w:rPr>
      </w:pPr>
      <w:r>
        <w:rPr>
          <w:rFonts w:ascii="Arial" w:cs="Arial" w:eastAsia="Arial" w:hAnsi="Arial"/>
          <w:sz w:val="16"/>
          <w:szCs w:val="16"/>
          <w:color w:val="auto"/>
        </w:rPr>
        <w:t>·since we operate in multiple tax jurisdictions, we find EBIT removes the impact of the varying tax rates and tax regimes in the jurisdictions in which we operate.</w:t>
      </w:r>
    </w:p>
    <w:p>
      <w:pPr>
        <w:spacing w:after="0" w:line="1" w:lineRule="exact"/>
        <w:rPr>
          <w:sz w:val="20"/>
          <w:szCs w:val="20"/>
          <w:color w:val="auto"/>
        </w:rPr>
      </w:pPr>
    </w:p>
    <w:p>
      <w:pPr>
        <w:jc w:val="both"/>
        <w:ind w:left="340" w:right="20" w:hanging="46"/>
        <w:spacing w:after="0" w:line="245" w:lineRule="auto"/>
        <w:rPr>
          <w:sz w:val="20"/>
          <w:szCs w:val="20"/>
          <w:color w:val="auto"/>
        </w:rPr>
      </w:pPr>
      <w:r>
        <w:rPr>
          <w:rFonts w:ascii="Arial" w:cs="Arial" w:eastAsia="Arial" w:hAnsi="Arial"/>
          <w:sz w:val="16"/>
          <w:szCs w:val="16"/>
          <w:color w:val="auto"/>
        </w:rPr>
        <w:t>·in addition, we find EBIT useful as a financial measure that removes the impact from our effective tax rate of factors not directly related to our business operations, such as, whether we have acquired operating assets by purchasing those assets directly, or indirectly by purchasing the stock of a company that might hold such operating assets.</w:t>
      </w:r>
    </w:p>
    <w:p>
      <w:pPr>
        <w:jc w:val="both"/>
        <w:ind w:left="340" w:hanging="46"/>
        <w:spacing w:after="0" w:line="245" w:lineRule="auto"/>
        <w:rPr>
          <w:sz w:val="20"/>
          <w:szCs w:val="20"/>
          <w:color w:val="auto"/>
        </w:rPr>
      </w:pPr>
      <w:r>
        <w:rPr>
          <w:rFonts w:ascii="Arial" w:cs="Arial" w:eastAsia="Arial" w:hAnsi="Arial"/>
          <w:sz w:val="16"/>
          <w:szCs w:val="16"/>
          <w:color w:val="auto"/>
        </w:rPr>
        <w:t>·the use of EBIT as a financial measure also (i) removes the impact of tax timing differences that may vary from time-to-time and from jurisdiction-to-jurisdiction, (ii) allows us to compare our performance to that achieved by other companies, and (iii) is useful as a financial measure that removes the impact of our historically significant net loss carry-forwards.</w:t>
      </w:r>
    </w:p>
    <w:p>
      <w:pPr>
        <w:jc w:val="both"/>
        <w:ind w:left="340" w:hanging="46"/>
        <w:spacing w:after="0" w:line="250" w:lineRule="auto"/>
        <w:rPr>
          <w:sz w:val="20"/>
          <w:szCs w:val="20"/>
          <w:color w:val="auto"/>
        </w:rPr>
      </w:pPr>
      <w:r>
        <w:rPr>
          <w:rFonts w:ascii="Arial" w:cs="Arial" w:eastAsia="Arial" w:hAnsi="Arial"/>
          <w:sz w:val="16"/>
          <w:szCs w:val="16"/>
          <w:color w:val="auto"/>
        </w:rPr>
        <w:t>·the elimination of net interest expense helps us to compare our operating performance to those companies that may have more or less debt than we do.</w:t>
      </w:r>
    </w:p>
    <w:p>
      <w:pPr>
        <w:spacing w:after="0" w:line="134"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EBITDA presented above is net income (loss) adjusted for interest expense (again, calculated net of interest income), income tax expense, and in addition depreciation and amortization expense. We use EBITDA in our evaluation of our performance since we believe that EBITDA provides a useful measure of financial performance and value. We believe this principally for the following reasons:</w:t>
      </w:r>
    </w:p>
    <w:p>
      <w:pPr>
        <w:spacing w:after="0" w:line="125" w:lineRule="exact"/>
        <w:rPr>
          <w:sz w:val="20"/>
          <w:szCs w:val="20"/>
          <w:color w:val="auto"/>
        </w:rPr>
      </w:pPr>
    </w:p>
    <w:p>
      <w:pPr>
        <w:jc w:val="both"/>
        <w:ind w:left="340" w:hanging="46"/>
        <w:spacing w:after="0" w:line="265" w:lineRule="auto"/>
        <w:rPr>
          <w:sz w:val="20"/>
          <w:szCs w:val="20"/>
          <w:color w:val="auto"/>
        </w:rPr>
      </w:pPr>
      <w:r>
        <w:rPr>
          <w:rFonts w:ascii="Arial" w:cs="Arial" w:eastAsia="Arial" w:hAnsi="Arial"/>
          <w:sz w:val="15"/>
          <w:szCs w:val="15"/>
          <w:color w:val="auto"/>
        </w:rPr>
        <w:t>·we believe that EBITDA is an industry comparative measure of financial performance. It is, in our experience, a measure commonly used by analysts and financial commentators who report on the cinema exhibition and real estate industries and a measure used by financial institutions in underwriting the creditworthiness of companies in these industries. Accordingly, our management monitors this calculation as a method of judging our performance against our peers and market expectations and our creditworthiness.</w:t>
      </w:r>
    </w:p>
    <w:p>
      <w:pPr>
        <w:spacing w:after="0" w:line="1" w:lineRule="exact"/>
        <w:rPr>
          <w:sz w:val="20"/>
          <w:szCs w:val="20"/>
          <w:color w:val="auto"/>
        </w:rPr>
      </w:pPr>
    </w:p>
    <w:p>
      <w:pPr>
        <w:jc w:val="both"/>
        <w:ind w:left="340" w:hanging="46"/>
        <w:spacing w:after="0" w:line="247" w:lineRule="auto"/>
        <w:rPr>
          <w:sz w:val="20"/>
          <w:szCs w:val="20"/>
          <w:color w:val="auto"/>
        </w:rPr>
      </w:pPr>
      <w:r>
        <w:rPr>
          <w:rFonts w:ascii="Arial" w:cs="Arial" w:eastAsia="Arial" w:hAnsi="Arial"/>
          <w:sz w:val="16"/>
          <w:szCs w:val="16"/>
          <w:color w:val="auto"/>
        </w:rPr>
        <w:t>·also,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w:t>
      </w:r>
    </w:p>
    <w:p>
      <w:pPr>
        <w:spacing w:after="0" w:line="137"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We expect that investors may use EBITDA to judge our ability to generate cash, as a basis of comparison to other companies engaged in the cinema exhibition and real estate businesses and as a basis to value our company against such other companies.</w:t>
      </w:r>
    </w:p>
    <w:p>
      <w:pPr>
        <w:spacing w:after="0" w:line="99"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Neither EBIT nor EBITDA is a measurement of financial performance under accounting principles generally accepted in the United States of America and should not be considered in isolation or construed as a substitute for net income or other operations data or cash flow data prepared in accordance with accounting principles generally accepted in the United States for purposes of analyzing our profitability. The exclusion of various components such as interest, taxes, depreciation, and amortization necessarily limit the usefulness of these measures when assessing our financial performance, as not all funds depicted by EBITDA are available for management’s discretionary use. For example, a substantial portion of such funds are subject to contractual restrictions and functional requirements to service debt, to fund necessary capital expenditures and to meet other commitments from time-to-time as described in more detail in this Annual Report on Form 10-K.</w:t>
      </w:r>
    </w:p>
    <w:p>
      <w:pPr>
        <w:spacing w:after="0" w:line="10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EBIT and EBITDA also fail to take into account the cost of interest and taxes. Interest is clearly a real cost that for us is paid periodically as accrued. Taxes may or may not be a current cash item but are nevertheless real costs that, in most situations, must eventually be paid. A company that realizes taxable earnings in high tax jurisdictions may be ultimately less valuable than a company that realizes the same amount of taxable earnings in a low tax jurisdiction. EBITDA fails to take into account the cost of depreciation and amortization and the fact that assets will eventually wear out and have to be replaced.</w:t>
      </w:r>
    </w:p>
    <w:p>
      <w:pPr>
        <w:spacing w:after="0" w:line="134"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EBITDA, as calculated by us, may not be comparable to similarly titled measures reported by other companies. A reconciliation of net income (loss) to EBIT and EBITDA is presented below (dollars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2014</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2013</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2012</w:t>
            </w: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2011</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2010</w:t>
            </w:r>
          </w:p>
        </w:tc>
      </w:tr>
      <w:tr>
        <w:trPr>
          <w:trHeight w:val="266"/>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w w:val="94"/>
              </w:rPr>
              <w:t>Net income (loss) attributable to Reading International, Inc.</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145"/>
        </w:trPr>
        <w:tc>
          <w:tcPr>
            <w:tcW w:w="32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shareholders</w:t>
            </w:r>
          </w:p>
        </w:tc>
        <w:tc>
          <w:tcPr>
            <w:tcW w:w="320" w:type="dxa"/>
            <w:vAlign w:val="bottom"/>
            <w:shd w:val="clear" w:color="auto" w:fill="CCEEFF"/>
          </w:tcPr>
          <w:p>
            <w:pPr>
              <w:jc w:val="right"/>
              <w:ind w:right="117"/>
              <w:spacing w:after="0" w:line="14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line="145" w:lineRule="exact"/>
              <w:rPr>
                <w:sz w:val="20"/>
                <w:szCs w:val="20"/>
                <w:color w:val="auto"/>
              </w:rPr>
            </w:pPr>
            <w:r>
              <w:rPr>
                <w:rFonts w:ascii="Arial" w:cs="Arial" w:eastAsia="Arial" w:hAnsi="Arial"/>
                <w:sz w:val="13"/>
                <w:szCs w:val="13"/>
                <w:color w:val="auto"/>
              </w:rPr>
              <w:t>25,701</w:t>
            </w:r>
          </w:p>
        </w:tc>
        <w:tc>
          <w:tcPr>
            <w:tcW w:w="300" w:type="dxa"/>
            <w:vAlign w:val="bottom"/>
            <w:shd w:val="clear" w:color="auto" w:fill="CCEEFF"/>
          </w:tcPr>
          <w:p>
            <w:pPr>
              <w:jc w:val="right"/>
              <w:ind w:right="117"/>
              <w:spacing w:after="0" w:line="14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7"/>
              <w:spacing w:after="0" w:line="145" w:lineRule="exact"/>
              <w:rPr>
                <w:sz w:val="20"/>
                <w:szCs w:val="20"/>
                <w:color w:val="auto"/>
              </w:rPr>
            </w:pPr>
            <w:r>
              <w:rPr>
                <w:rFonts w:ascii="Arial" w:cs="Arial" w:eastAsia="Arial" w:hAnsi="Arial"/>
                <w:sz w:val="13"/>
                <w:szCs w:val="13"/>
                <w:color w:val="auto"/>
              </w:rPr>
              <w:t>9,041</w:t>
            </w:r>
          </w:p>
        </w:tc>
        <w:tc>
          <w:tcPr>
            <w:tcW w:w="340" w:type="dxa"/>
            <w:vAlign w:val="bottom"/>
            <w:shd w:val="clear" w:color="auto" w:fill="CCEEFF"/>
          </w:tcPr>
          <w:p>
            <w:pPr>
              <w:jc w:val="right"/>
              <w:ind w:right="117"/>
              <w:spacing w:after="0" w:line="14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line="145" w:lineRule="exact"/>
              <w:rPr>
                <w:sz w:val="20"/>
                <w:szCs w:val="20"/>
                <w:color w:val="auto"/>
              </w:rPr>
            </w:pPr>
            <w:r>
              <w:rPr>
                <w:rFonts w:ascii="Arial" w:cs="Arial" w:eastAsia="Arial" w:hAnsi="Arial"/>
                <w:sz w:val="13"/>
                <w:szCs w:val="13"/>
                <w:color w:val="auto"/>
              </w:rPr>
              <w:t>(914)</w:t>
            </w:r>
          </w:p>
        </w:tc>
        <w:tc>
          <w:tcPr>
            <w:tcW w:w="320" w:type="dxa"/>
            <w:vAlign w:val="bottom"/>
            <w:shd w:val="clear" w:color="auto" w:fill="CCEEFF"/>
          </w:tcPr>
          <w:p>
            <w:pPr>
              <w:jc w:val="right"/>
              <w:ind w:right="117"/>
              <w:spacing w:after="0" w:line="14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line="145" w:lineRule="exact"/>
              <w:rPr>
                <w:sz w:val="20"/>
                <w:szCs w:val="20"/>
                <w:color w:val="auto"/>
              </w:rPr>
            </w:pPr>
            <w:r>
              <w:rPr>
                <w:rFonts w:ascii="Arial" w:cs="Arial" w:eastAsia="Arial" w:hAnsi="Arial"/>
                <w:sz w:val="13"/>
                <w:szCs w:val="13"/>
                <w:color w:val="auto"/>
              </w:rPr>
              <w:t>9,956</w:t>
            </w:r>
          </w:p>
        </w:tc>
        <w:tc>
          <w:tcPr>
            <w:tcW w:w="320" w:type="dxa"/>
            <w:vAlign w:val="bottom"/>
            <w:shd w:val="clear" w:color="auto" w:fill="CCEEFF"/>
          </w:tcPr>
          <w:p>
            <w:pPr>
              <w:jc w:val="right"/>
              <w:ind w:right="137"/>
              <w:spacing w:after="0" w:line="14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center"/>
              <w:ind w:left="297"/>
              <w:spacing w:after="0" w:line="145" w:lineRule="exact"/>
              <w:rPr>
                <w:sz w:val="20"/>
                <w:szCs w:val="20"/>
                <w:color w:val="auto"/>
              </w:rPr>
            </w:pPr>
            <w:r>
              <w:rPr>
                <w:rFonts w:ascii="Arial" w:cs="Arial" w:eastAsia="Arial" w:hAnsi="Arial"/>
                <w:sz w:val="13"/>
                <w:szCs w:val="13"/>
                <w:color w:val="auto"/>
                <w:w w:val="90"/>
              </w:rPr>
              <w:t>(12,650)</w:t>
            </w:r>
          </w:p>
        </w:tc>
      </w:tr>
      <w:tr>
        <w:trPr>
          <w:trHeight w:val="223"/>
        </w:trPr>
        <w:tc>
          <w:tcPr>
            <w:tcW w:w="3220" w:type="dxa"/>
            <w:vAlign w:val="bottom"/>
          </w:tcPr>
          <w:p>
            <w:pPr>
              <w:spacing w:after="0"/>
              <w:rPr>
                <w:sz w:val="20"/>
                <w:szCs w:val="20"/>
                <w:color w:val="auto"/>
              </w:rPr>
            </w:pPr>
            <w:r>
              <w:rPr>
                <w:rFonts w:ascii="Arial" w:cs="Arial" w:eastAsia="Arial" w:hAnsi="Arial"/>
                <w:sz w:val="13"/>
                <w:szCs w:val="13"/>
                <w:color w:val="auto"/>
              </w:rPr>
              <w:t>Add: Interest expense, net</w:t>
            </w:r>
          </w:p>
        </w:tc>
        <w:tc>
          <w:tcPr>
            <w:tcW w:w="320" w:type="dxa"/>
            <w:vAlign w:val="bottom"/>
          </w:tcPr>
          <w:p>
            <w:pPr>
              <w:spacing w:after="0"/>
              <w:rPr>
                <w:sz w:val="19"/>
                <w:szCs w:val="19"/>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9,000</w:t>
            </w:r>
          </w:p>
        </w:tc>
        <w:tc>
          <w:tcPr>
            <w:tcW w:w="30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10,037</w:t>
            </w:r>
          </w:p>
        </w:tc>
        <w:tc>
          <w:tcPr>
            <w:tcW w:w="340" w:type="dxa"/>
            <w:vAlign w:val="bottom"/>
          </w:tcPr>
          <w:p>
            <w:pPr>
              <w:spacing w:after="0"/>
              <w:rPr>
                <w:sz w:val="19"/>
                <w:szCs w:val="19"/>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16,426</w:t>
            </w:r>
          </w:p>
        </w:tc>
        <w:tc>
          <w:tcPr>
            <w:tcW w:w="320" w:type="dxa"/>
            <w:vAlign w:val="bottom"/>
          </w:tcPr>
          <w:p>
            <w:pPr>
              <w:spacing w:after="0"/>
              <w:rPr>
                <w:sz w:val="19"/>
                <w:szCs w:val="19"/>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21,038</w:t>
            </w:r>
          </w:p>
        </w:tc>
        <w:tc>
          <w:tcPr>
            <w:tcW w:w="320" w:type="dxa"/>
            <w:vAlign w:val="bottom"/>
          </w:tcPr>
          <w:p>
            <w:pPr>
              <w:spacing w:after="0"/>
              <w:rPr>
                <w:sz w:val="19"/>
                <w:szCs w:val="19"/>
                <w:color w:val="auto"/>
              </w:rPr>
            </w:pPr>
          </w:p>
        </w:tc>
        <w:tc>
          <w:tcPr>
            <w:tcW w:w="800" w:type="dxa"/>
            <w:vAlign w:val="bottom"/>
          </w:tcPr>
          <w:p>
            <w:pPr>
              <w:jc w:val="center"/>
              <w:ind w:left="317"/>
              <w:spacing w:after="0"/>
              <w:rPr>
                <w:sz w:val="20"/>
                <w:szCs w:val="20"/>
                <w:color w:val="auto"/>
              </w:rPr>
            </w:pPr>
            <w:r>
              <w:rPr>
                <w:rFonts w:ascii="Arial" w:cs="Arial" w:eastAsia="Arial" w:hAnsi="Arial"/>
                <w:sz w:val="13"/>
                <w:szCs w:val="13"/>
                <w:color w:val="auto"/>
                <w:w w:val="85"/>
              </w:rPr>
              <w:t>12,286</w:t>
            </w:r>
          </w:p>
        </w:tc>
      </w:tr>
      <w:tr>
        <w:trPr>
          <w:trHeight w:val="223"/>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Add: 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(9,785)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4,942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4,904</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(12,330)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17"/>
              <w:spacing w:after="0"/>
              <w:rPr>
                <w:sz w:val="20"/>
                <w:szCs w:val="20"/>
                <w:color w:val="auto"/>
              </w:rPr>
            </w:pPr>
            <w:r>
              <w:rPr>
                <w:rFonts w:ascii="Arial" w:cs="Arial" w:eastAsia="Arial" w:hAnsi="Arial"/>
                <w:sz w:val="13"/>
                <w:szCs w:val="13"/>
                <w:color w:val="auto"/>
                <w:w w:val="85"/>
              </w:rPr>
              <w:t>14,264</w:t>
            </w:r>
          </w:p>
        </w:tc>
      </w:tr>
      <w:tr>
        <w:trPr>
          <w:trHeight w:val="180"/>
        </w:trPr>
        <w:tc>
          <w:tcPr>
            <w:tcW w:w="3220" w:type="dxa"/>
            <w:vAlign w:val="bottom"/>
          </w:tcPr>
          <w:p>
            <w:pPr>
              <w:spacing w:after="0"/>
              <w:rPr>
                <w:sz w:val="20"/>
                <w:szCs w:val="20"/>
                <w:color w:val="auto"/>
              </w:rPr>
            </w:pPr>
            <w:r>
              <w:rPr>
                <w:rFonts w:ascii="Arial" w:cs="Arial" w:eastAsia="Arial" w:hAnsi="Arial"/>
                <w:sz w:val="13"/>
                <w:szCs w:val="13"/>
                <w:color w:val="auto"/>
              </w:rPr>
              <w:t>EBIT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24,916</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24,020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20,416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18,664</w:t>
            </w:r>
          </w:p>
        </w:tc>
        <w:tc>
          <w:tcPr>
            <w:tcW w:w="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317"/>
              <w:spacing w:after="0"/>
              <w:rPr>
                <w:sz w:val="20"/>
                <w:szCs w:val="20"/>
                <w:color w:val="auto"/>
              </w:rPr>
            </w:pPr>
            <w:r>
              <w:rPr>
                <w:rFonts w:ascii="Arial" w:cs="Arial" w:eastAsia="Arial" w:hAnsi="Arial"/>
                <w:sz w:val="13"/>
                <w:szCs w:val="13"/>
                <w:color w:val="auto"/>
                <w:w w:val="85"/>
              </w:rPr>
              <w:t>13,900</w:t>
            </w: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3"/>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Add: Depreciation and amortization</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15,468</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15,197</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16,049</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16,595</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15,563</w:t>
            </w:r>
          </w:p>
        </w:tc>
      </w:tr>
      <w:tr>
        <w:trPr>
          <w:trHeight w:val="223"/>
        </w:trPr>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Adjustments for discontinued operations</w:t>
            </w:r>
          </w:p>
        </w:tc>
        <w:tc>
          <w:tcPr>
            <w:tcW w:w="10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335</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365</w:t>
            </w: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w:t>
            </w:r>
          </w:p>
        </w:tc>
      </w:tr>
      <w:tr>
        <w:trPr>
          <w:trHeight w:val="195"/>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EBITDA</w:t>
            </w:r>
          </w:p>
        </w:tc>
        <w:tc>
          <w:tcPr>
            <w:tcW w:w="10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40,384</w:t>
            </w: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39,217</w:t>
            </w:r>
          </w:p>
        </w:tc>
        <w:tc>
          <w:tcPr>
            <w:tcW w:w="4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36,800</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35,624</w:t>
            </w:r>
          </w:p>
        </w:tc>
        <w:tc>
          <w:tcPr>
            <w:tcW w:w="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29,814</w:t>
            </w: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40" w:right="14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auto"/>
        </w:rPr>
        <w:t>Item 7 – Management’s Discussions and Analysis of Financial Condition and Results of Operations</w:t>
      </w:r>
    </w:p>
    <w:p>
      <w:pPr>
        <w:spacing w:after="0" w:line="161"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The following review should be read in conjunction with the consolidated financial statements and related notes included in this 2014 Annual Report. Historical results and percentage relationships do not necessarily indicate operating results for any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161"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We are an internationally diversified company principally focused on the development, ownership, and operation of entertainment and real property assets in the United States, Australia, and New Zealand. Currently, we operate in two business segments: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Cinema Exhibition, through our 58 multiplex theaters, and</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·Real Estate, including investment, development, and the rental of retail, commercial and live theater assets.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believe that these two business segments complement one another, as the comparatively consistent cash flows generated by our cinema operations can be used to fund new cinema business opportunities and the front-end cash demands of our real estate investment and development business.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manage our worldwide cinema exhibition businesses under various different brands: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the US, under the Reading Cinemas, Angelika Film Centers, Consolidated Theatres, and City Cinemas brands;</w:t>
      </w:r>
    </w:p>
    <w:p>
      <w:pPr>
        <w:spacing w:after="0" w:line="16" w:lineRule="exact"/>
        <w:rPr>
          <w:sz w:val="20"/>
          <w:szCs w:val="20"/>
          <w:color w:val="auto"/>
        </w:rPr>
      </w:pPr>
    </w:p>
    <w:p>
      <w:pPr>
        <w:ind w:left="400" w:hanging="117"/>
        <w:spacing w:after="0"/>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Australia, under the Reading Cinemas brand; and</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New Zealand, under the Reading Cinemas and Rialto brands.</w:t>
      </w:r>
    </w:p>
    <w:p>
      <w:pPr>
        <w:spacing w:after="0" w:line="157" w:lineRule="exact"/>
        <w:rPr>
          <w:sz w:val="20"/>
          <w:szCs w:val="20"/>
          <w:color w:val="auto"/>
        </w:rPr>
      </w:pPr>
    </w:p>
    <w:p>
      <w:pPr>
        <w:jc w:val="both"/>
        <w:ind w:firstLine="564"/>
        <w:spacing w:after="0" w:line="309" w:lineRule="auto"/>
        <w:rPr>
          <w:sz w:val="20"/>
          <w:szCs w:val="20"/>
          <w:color w:val="auto"/>
        </w:rPr>
      </w:pPr>
      <w:r>
        <w:rPr>
          <w:rFonts w:ascii="Arial" w:cs="Arial" w:eastAsia="Arial" w:hAnsi="Arial"/>
          <w:sz w:val="13"/>
          <w:szCs w:val="13"/>
          <w:color w:val="auto"/>
        </w:rPr>
        <w:t>While we do not believe the cinema exhibition business to be a growth business, we do believe it to be a business that will likely continue to generate fairly consistent cash flows in the years ahead, even in a recessionary or inflationary environment. This is based on our belief that people will continue to spend some reasonable portion of their entertainment dollar on entertainment outside of the home and that, when compared to other forms of outside-the-home entertainment, movies continue to be a popular and competitively priced option. Since we believe the cinema exhibition business to be a mature business with most markets either adequately screened or over-screened, we see growth in our cinema business coming principally from (i) the enhancement of our current cinemas (for example, by the addition of luxury seating and broadening our food and beverage offerings), (ii) the development in select markets of specialty cinemas, and (iii) the opportunistic acquisition of already existing cinemas, rather than from the development of new conventional cinemas. From time-to-time, we invest in the securities of other companies, where we believe the business or assets of those companies to be attractive or to offer synergies to our existing entertainment and real estate businesses. We continue to focus on the development and redevelopment of our existing assets (particularly our New York assets and our Angelika Film Center chain), as well as to continue to be opportunistic in identifying and endeavoring to acquire undervalued assets, particularly assets with proven cash flow and that we believe to be resistant to recessionary trends.</w:t>
      </w:r>
    </w:p>
    <w:p>
      <w:pPr>
        <w:spacing w:after="0" w:line="291"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In summary, while we do have operating company attributes, we see ourselves principally as a geographically diversified real estate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cash-generating cinema operations and our cash-consuming real estate investment and development activities. We believe that by blending the cash generating capabilities of a cinema operation with the investment and development opportunities of our real estate operations, our business strategy is unique among public companies.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Climate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Exhibition - General</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After years of uncertainty as to the future of digital exhibition and the impact of this technology on cinema exhibition, it became clear in 2012 that the industry must go digital. We have now completed the conversion of all of our U.S., Australia, and New Zealand cinema operations to digital projection. Over several years, we anticipate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3" w:right="1419" w:bottom="1440" w:gutter="0" w:footer="0" w:header="0"/>
        </w:sectPr>
      </w:pPr>
    </w:p>
    <w:bookmarkStart w:id="32" w:name="page33"/>
    <w:bookmarkEnd w:id="32"/>
    <w:p>
      <w:pPr>
        <w:jc w:val="both"/>
        <w:spacing w:after="0" w:line="265" w:lineRule="auto"/>
        <w:rPr>
          <w:sz w:val="20"/>
          <w:szCs w:val="20"/>
          <w:color w:val="auto"/>
        </w:rPr>
      </w:pPr>
      <w:r>
        <w:rPr>
          <w:rFonts w:ascii="Arial" w:cs="Arial" w:eastAsia="Arial" w:hAnsi="Arial"/>
          <w:sz w:val="16"/>
          <w:szCs w:val="16"/>
          <w:color w:val="auto"/>
        </w:rPr>
        <w:t>that the cost of this conversion will be covered in substantial part by the receipt of “virtual print fees” paid by film distributors for the use of such digital projection equipment.</w:t>
      </w:r>
    </w:p>
    <w:p>
      <w:pPr>
        <w:spacing w:after="0" w:line="122"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The “in-home” entertainment industry has experienced significant leaps in recent periods in both the quality and affordability of in-home entertainment systems and in the accessibility to and quality of entertainment programming through cable, satellite, internet distribution channels, and DVD. The success of these alternative distribution channels put additional pressure on film distributors to reduce and/or eliminate the time period between theatrical and secondary release dates. These are issues common to both our U.S. and international cinema operations.</w:t>
      </w:r>
    </w:p>
    <w:p>
      <w:pPr>
        <w:spacing w:after="0" w:line="99"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Certain new entrants to the cinema exhibition market, as well as certain of our historic competitors, have begun to develop new and to reposition existing cinemas that offer a broader selection of premium seating and food and beverage offerings. These include, in some cases, food service to the seat and the offering of alcoholic beverages. We have for some years offered premium seating and alcoholic beverages in certain of our overseas cinemas. We have also offered café food selections and alcoholic beverages domestically in certain of our Angelika Film Centers. Accordingly, we are experienced in and believe that we can compete effectively with this emerging competition. We are currently reviewing the potential for expanding our offerings at a variety of our domestic cinemas.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Exhibition – Australia / New Zealand</w:t>
      </w:r>
    </w:p>
    <w:p>
      <w:pPr>
        <w:spacing w:after="0" w:line="157"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The film exhibition industry in Australia and New Zealand is highly concentrated in that Village, Event, and Hoyts (the “Major Exhibitors”) control approximately 65% of the cinema box office in Australia, while Event and Hoyts control approximately 57% of New Zealand’s cinema box office. The industry is also vertically integrated in that one of the Major Exhibitors, Roadshow Film Distributors (part of Village), also serves as a distributor of film in Australia and New Zealand for Warner Bros.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 shared facility arrangements, and have historically not engaged in head-to-head competition.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Exhibition – North America</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In North America, distributors may find it more commercially appealing to deal with major exhibitors, rather than to deal with independents like us, which tends to compress the supply of screens in a very limited number of markets. This competitive disadvantage has increased significantly in recent periods with the development of mega-circuits like Regal and AMC who are able to offer distributors access to screens on a truly nationwide basis, or, on the other hand, to deny access if their desires with respect to film supply are not satisfied.</w:t>
      </w:r>
    </w:p>
    <w:p>
      <w:pPr>
        <w:spacing w:after="0" w:line="8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These consolidations can adversely affect our ability to get film in certain U.S. markets where we compete against major exhibitors. With the restructuring and consolidation undertaken in the industry, and the emergence of increasingly attractive “in-home” entertainment alternatives, strategic cinema acquisitions by our U.S. operation have and can continue to be a way to combat such a competitive disadvantage.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 Australia and New Zealand</w:t>
      </w:r>
    </w:p>
    <w:p>
      <w:pPr>
        <w:spacing w:after="0" w:line="157"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Over the past few years, there has been a noted stabilization in real estate market activity resulting 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although project commencements have slowed. Once developed, we remain confident that our Australian and New Zealand holdings will continue to provide value and cash flows to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 North America</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commercial real estate market has improved significantly over the past three years and we have noted strengthening rental income associated with our real estate located in large urban environments.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Business Segments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33" w:name="page34"/>
    <w:bookmarkEnd w:id="33"/>
    <w:p>
      <w:pPr>
        <w:ind w:left="560"/>
        <w:spacing w:after="0"/>
        <w:rPr>
          <w:sz w:val="20"/>
          <w:szCs w:val="20"/>
          <w:color w:val="auto"/>
        </w:rPr>
      </w:pPr>
      <w:r>
        <w:rPr>
          <w:rFonts w:ascii="Arial" w:cs="Arial" w:eastAsia="Arial" w:hAnsi="Arial"/>
          <w:sz w:val="13"/>
          <w:szCs w:val="13"/>
          <w:color w:val="auto"/>
        </w:rPr>
        <w:t>As indicated above, our two primary business segments are cinema exhibition and real estate. These segments are summarized 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Cinema Exhibition</w:t>
      </w:r>
    </w:p>
    <w:p>
      <w:pPr>
        <w:spacing w:after="0" w:line="168"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 xml:space="preserve">One of our primary businesses consists of the ownership and operation of cinemas. For a breakdown of our current cinema assets that we own and/or manage please see Item 1 – </w:t>
      </w:r>
      <w:r>
        <w:rPr>
          <w:rFonts w:ascii="Arial" w:cs="Arial" w:eastAsia="Arial" w:hAnsi="Arial"/>
          <w:sz w:val="13"/>
          <w:szCs w:val="13"/>
          <w:i w:val="1"/>
          <w:iCs w:val="1"/>
          <w:color w:val="auto"/>
        </w:rPr>
        <w:t>Our Business</w:t>
      </w:r>
      <w:r>
        <w:rPr>
          <w:rFonts w:ascii="Arial" w:cs="Arial" w:eastAsia="Arial" w:hAnsi="Arial"/>
          <w:sz w:val="13"/>
          <w:szCs w:val="13"/>
          <w:color w:val="auto"/>
        </w:rPr>
        <w:t xml:space="preserve"> of this 2014 Annual Report under the subheading “Our Cinema Exhibition Activities.”</w:t>
      </w:r>
    </w:p>
    <w:p>
      <w:pPr>
        <w:spacing w:after="0" w:line="54"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During 2014, we opened a 3-screen Angelika Pop-Up! at Union Market in Washington, D.C. as well as a 6-screen complex in Dunedin, New Zealand.</w:t>
      </w:r>
    </w:p>
    <w:p>
      <w:pPr>
        <w:spacing w:after="0" w:line="12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On December 31, 2013, we acquired a 5-screen cinema in the U.S. that we previously had managed since 2003. In 2012, we opened one cinema with 8-screens and closed two cinemas having a total of 8 screens.</w:t>
      </w:r>
    </w:p>
    <w:p>
      <w:pPr>
        <w:spacing w:after="0" w:line="134"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Our cinema revenue consists primarily of admissions, concessions, advertising and theater rentals. The cinema operating expense consists of the costs directly attributable to the operation of the cinemas including film rent expense, operating costs, and occupancy costs. Cinema revenue and expense fluctuate with the availability of quality first-run films and the numbers of weeks the first–run films stay in the market.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 Estate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fiscal 2014, our income operating property consisted of the following:</w:t>
      </w:r>
    </w:p>
    <w:p>
      <w:pPr>
        <w:spacing w:after="0" w:line="168" w:lineRule="exact"/>
        <w:rPr>
          <w:sz w:val="20"/>
          <w:szCs w:val="20"/>
          <w:color w:val="auto"/>
        </w:rPr>
      </w:pPr>
    </w:p>
    <w:p>
      <w:pPr>
        <w:ind w:left="280" w:right="1280"/>
        <w:spacing w:after="0" w:line="252" w:lineRule="auto"/>
        <w:rPr>
          <w:sz w:val="20"/>
          <w:szCs w:val="20"/>
          <w:color w:val="auto"/>
        </w:rPr>
      </w:pPr>
      <w:r>
        <w:rPr>
          <w:rFonts w:ascii="Arial" w:cs="Arial" w:eastAsia="Arial" w:hAnsi="Arial"/>
          <w:sz w:val="16"/>
          <w:szCs w:val="16"/>
          <w:color w:val="auto"/>
        </w:rPr>
        <w:t>·our Belmont, Western Australia ETRC, our Auburn, New South Wales ETRC and our Wellington, New Zealand ETRC; · our Newmarket shopping center in Newmarket, Queensland, a suburb of Brisbane;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·three single auditorium live theaters in Manhattan (Minetta Lane, Orpheum, and Union Square) and a 4-</w:t>
      </w:r>
    </w:p>
    <w:p>
      <w:pPr>
        <w:spacing w:after="0" w:line="4" w:lineRule="exact"/>
        <w:rPr>
          <w:sz w:val="20"/>
          <w:szCs w:val="20"/>
          <w:color w:val="auto"/>
        </w:rPr>
      </w:pPr>
    </w:p>
    <w:p>
      <w:pPr>
        <w:ind w:left="560"/>
        <w:spacing w:after="0" w:line="245" w:lineRule="auto"/>
        <w:rPr>
          <w:sz w:val="20"/>
          <w:szCs w:val="20"/>
          <w:color w:val="auto"/>
        </w:rPr>
      </w:pPr>
      <w:r>
        <w:rPr>
          <w:rFonts w:ascii="Arial" w:cs="Arial" w:eastAsia="Arial" w:hAnsi="Arial"/>
          <w:sz w:val="16"/>
          <w:szCs w:val="16"/>
          <w:color w:val="auto"/>
        </w:rPr>
        <w:t>auditorium live theater complex in Chicago (The Royal George) and, in the case of the Union Square and the Royal George, their accompanying ancillary retail and commercial tenants;</w:t>
      </w:r>
    </w:p>
    <w:p>
      <w:pPr>
        <w:ind w:left="340" w:right="20" w:hanging="46"/>
        <w:spacing w:after="0" w:line="245" w:lineRule="auto"/>
        <w:rPr>
          <w:sz w:val="20"/>
          <w:szCs w:val="20"/>
          <w:color w:val="auto"/>
        </w:rPr>
      </w:pPr>
      <w:r>
        <w:rPr>
          <w:rFonts w:ascii="Arial" w:cs="Arial" w:eastAsia="Arial" w:hAnsi="Arial"/>
          <w:sz w:val="16"/>
          <w:szCs w:val="16"/>
          <w:color w:val="auto"/>
        </w:rPr>
        <w:t>·a New Zealand commercial property located at Lake Taupo and Australian commercial properties rented to unrelated third parties, to be held for current income and long-term appreciation; and</w:t>
      </w:r>
    </w:p>
    <w:p>
      <w:pPr>
        <w:ind w:left="280"/>
        <w:spacing w:after="0"/>
        <w:rPr>
          <w:sz w:val="20"/>
          <w:szCs w:val="20"/>
          <w:color w:val="auto"/>
        </w:rPr>
      </w:pPr>
      <w:r>
        <w:rPr>
          <w:rFonts w:ascii="Arial" w:cs="Arial" w:eastAsia="Arial" w:hAnsi="Arial"/>
          <w:sz w:val="16"/>
          <w:szCs w:val="16"/>
          <w:color w:val="auto"/>
        </w:rPr>
        <w:t>· the ancillary retail and commercial tenants at some of our non-ETRC cinema properties.</w:t>
      </w:r>
    </w:p>
    <w:p>
      <w:pPr>
        <w:spacing w:after="0" w:line="14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addition, we had various parcels of unimproved real estate held for development in Australia and New Zealand and certain unimproved land in the United States that was used in our historic activities. We also own an 8,100 square foot commercial building in Melbourne, which serves as our administrative headquarters for Australia and New Zealand, approximately 36% of which is leased to an unrelated third party.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Assets</w:t>
      </w:r>
    </w:p>
    <w:p>
      <w:pPr>
        <w:spacing w:after="0" w:line="157"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On December 31, 2013, we settled a management fee claim that we had against the owner of the Plano, Texas cinema that we had managed since 2003 for a cash receipt of $1.9 million. As part of the settlement, we acquired that entity, and through the purchase of that entity acquired the underlying cinema’s lease and the associated personal property, equipment, and trade fixtures. Because the fair value of the lease, in light of anticipated rent payments, resulted in a lease liability of $320,000 and the acquired net assets, including cash received in connection with the settlement, were valued at $1.7 million, we recorded a net gain on acquisition and settlement of $1.4 million which is included as “other income” in our statement of operating income for the year ended December 31, 2013. We also acquired in 2013 the 50% interest we did not own in Angelika Film Centers, LLC.</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Non-operating Assets</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January 10, 2012, Shadow View Land and Farming, LLC, a limited liability company owned by our Company, acquired a 202-acre property, currently zoned for the development of over 800 single-family residential units, located in the City of Coachella, California. The property was acquired at a foreclosure auction for $5.5 million. The property was acquired as a long-term investment in developable land. Half of the funds used to acquire the land were provided by James J. Cotter, Sr. our late Chairman, Chief Executive Officer and controlling shareholder. Upon the approval of our Conflicts Committee, these funds were converted into a 50% interest in Shadow View Land and Farming, LLC. We are the managing member of this company.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auto"/>
        </w:rPr>
        <w:t>Disposals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Land Held for Sale – Burwood</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May 12, 2014, we entered into a contract to sell our undeveloped 50.6-acre parcel in Burwood, Victoria, Australia, to an affiliate of Australand Holdings Limited for a purchase price of $54.6 million (AUS$65.0 million). Reading received $5.9 million (AUS$6.5 million) on May 23, 2014 closing. The balance of the purchase price is due on December 31, 2017.</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Land Held for Sale – Moonee Ponds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2013, we entered into a purchase and sale agreement to sell our 3.3-acre properties in Moonee Ponds for US$21.4 million (AUS$23.0 million) which is scheduled to close on April 16, 2015 and is classified under current assets as land held for sale on our December 31, 2014 consolidated balance sheet.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Indooroopilly Property</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November 20, 2012, we sold our Indooroopilly property for $12.4 million (AUS$12.0 million). As the book value was $12.5 million (AUS$12.1 million) for this property, we recorded a loss on sale as an impairment expense of $318,000 (AUS$306,000) for the year ended December 31, 2012 which included the cost to sell the property.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Taringa Properties</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On February 21, 2012, we sold our three properties in the Taringa area of Brisbane, Australia of approximately 1.1 acres for $1.9 million (AUS$1.8 million).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and Development Property</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We are engaged in several real estate development projects. For a complete list of these properties with their size, status, and gross book values see Item 2 –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under the heading of “Investment and Development Property.”</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Critical Accounting Policies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w:t>
      </w:r>
    </w:p>
    <w:p>
      <w:pPr>
        <w:spacing w:after="0" w:line="130" w:lineRule="exact"/>
        <w:rPr>
          <w:sz w:val="20"/>
          <w:szCs w:val="20"/>
          <w:color w:val="auto"/>
        </w:rPr>
      </w:pPr>
    </w:p>
    <w:p>
      <w:pPr>
        <w:ind w:left="360" w:hanging="77"/>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impairment of long-lived assets, including goodwill and intangible assets;</w:t>
      </w:r>
    </w:p>
    <w:p>
      <w:pPr>
        <w:spacing w:after="0" w:line="15" w:lineRule="exact"/>
        <w:rPr>
          <w:rFonts w:ascii="Arial" w:cs="Arial" w:eastAsia="Arial" w:hAnsi="Arial"/>
          <w:sz w:val="16"/>
          <w:szCs w:val="16"/>
          <w:color w:val="auto"/>
        </w:rPr>
      </w:pPr>
    </w:p>
    <w:p>
      <w:pPr>
        <w:ind w:left="420" w:hanging="137"/>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tax valuation allowance and obligations; and</w:t>
      </w:r>
    </w:p>
    <w:p>
      <w:pPr>
        <w:spacing w:after="0" w:line="3" w:lineRule="exact"/>
        <w:rPr>
          <w:rFonts w:ascii="Arial" w:cs="Arial" w:eastAsia="Arial" w:hAnsi="Arial"/>
          <w:sz w:val="16"/>
          <w:szCs w:val="16"/>
          <w:color w:val="auto"/>
        </w:rPr>
      </w:pPr>
    </w:p>
    <w:p>
      <w:pPr>
        <w:ind w:left="640" w:hanging="357"/>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legal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long-lived assets, including goodwill and intangible assets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30"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Pursuant to FASB ASC 360-35, we review internal management reports on a monthly basis as well as monitoring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undiscounted future cash flows is less than the carrying amount of the asset, then impairment is recognized for the amount by which the carrying value of the asset exceeds its estimated fair value based on an appraisal or a discounted cash flow calculation.</w:t>
      </w:r>
    </w:p>
    <w:p>
      <w:pPr>
        <w:spacing w:after="0" w:line="93"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For certain non-income producing properties, we obtain appraisals or other evidence to evaluate whether there are impairment indicators for these assets. Based on calculations of current value from appraisals and a sales contract, we recorded an impairment of $1.5 million relating to certain of our property and cinema locations for the year ended December 31, 2012. No impairment losses were recorded in 2013 or 2014. For a further explanation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35" w:name="page36"/>
    <w:bookmarkEnd w:id="35"/>
    <w:p>
      <w:pPr>
        <w:jc w:val="both"/>
        <w:spacing w:after="0" w:line="265" w:lineRule="auto"/>
        <w:rPr>
          <w:sz w:val="20"/>
          <w:szCs w:val="20"/>
          <w:color w:val="auto"/>
        </w:rPr>
      </w:pPr>
      <w:r>
        <w:rPr>
          <w:rFonts w:ascii="Arial" w:cs="Arial" w:eastAsia="Arial" w:hAnsi="Arial"/>
          <w:sz w:val="16"/>
          <w:szCs w:val="16"/>
          <w:color w:val="auto"/>
        </w:rPr>
        <w:t xml:space="preserve">our 2012 impairment losses see below under the heading “Coachella impairment” and see Note 7 – </w:t>
      </w:r>
      <w:r>
        <w:rPr>
          <w:rFonts w:ascii="Arial" w:cs="Arial" w:eastAsia="Arial" w:hAnsi="Arial"/>
          <w:sz w:val="16"/>
          <w:szCs w:val="16"/>
          <w:i w:val="1"/>
          <w:iCs w:val="1"/>
          <w:color w:val="auto"/>
        </w:rPr>
        <w:t>Investment and Development Property</w:t>
      </w:r>
      <w:r>
        <w:rPr>
          <w:rFonts w:ascii="Arial" w:cs="Arial" w:eastAsia="Arial" w:hAnsi="Arial"/>
          <w:sz w:val="16"/>
          <w:szCs w:val="16"/>
          <w:color w:val="auto"/>
        </w:rPr>
        <w:t xml:space="preserve"> to our 2014 Consolidated Financial Statements.</w:t>
      </w:r>
    </w:p>
    <w:p>
      <w:pPr>
        <w:spacing w:after="0" w:line="134"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Pursuant to FASB ASC 350-35, goodwill and intangible assets are evaluated annually on a reporting unit basis. The impairment evaluation is based on the present value of estimated future cash flows of the segment plus the expected terminal value. There are significant assumptions and estimates used in determining the present value. The most significant assumptions include our estimated future cash flow, cost of debt and cost of equity assumptions that comprise the weighted average cost of capital for each reporting unit. Accordingly, actual results could vary materially from such estimates. There was no impairment for the goodwill and intangible assets for the years ended December 31, 2014, 2013, and 2012,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valuation allowance and obligations</w:t>
      </w:r>
    </w:p>
    <w:p>
      <w:pPr>
        <w:spacing w:after="0" w:line="157"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We record our estimated future tax benefits and liabilities arising from the temporary differences between the tax bases of assets and liabilities and amounts reported in the accompanying consolidated balance sheets, as well as operating loss carry-forwards. We estimate the recoverability of any tax assets recorded on the balance sheet and provide any necessary allowances as required. As of December 31, 2014, we had recorded approximately $39.0 million of deferred tax assets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$16.8 million resulting in a net deferred tax asset of $22.2 million. The recoverability of deferred tax assets is dependent upon our ability to generate future taxable income. There is no assurance that sufficient future taxable income will be generated to benefit from our tax loss carry-forwards and tax credit carry-forwards.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and environmental obligations</w:t>
      </w:r>
    </w:p>
    <w:p>
      <w:pPr>
        <w:spacing w:after="0" w:line="15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Certain of our subsidiaries were historically involved in railroad operations, coal mining, and manufacturing. Also, certain of these subsidiaries appear in the chain of title of properties that may suffer from contamination.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9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second-hand exposure to asbestos, coal dust, and/or other chemicals or elements now recognized as potentially causing cancer in humans. Our known exposure to these types of claims, asserted or probable of being asserted, is not material.</w:t>
      </w:r>
    </w:p>
    <w:p>
      <w:pPr>
        <w:spacing w:after="0" w:line="14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From time to time, we are involved with claims and lawsuits arising in the ordinary course of our business that may include contractual obligations, insurance claims, tax claims, employment matters, and anti-trust issues, among other matters.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2012 Coachella impairment</w:t>
      </w:r>
    </w:p>
    <w:p>
      <w:pPr>
        <w:spacing w:after="0" w:line="157" w:lineRule="exact"/>
        <w:rPr>
          <w:sz w:val="20"/>
          <w:szCs w:val="20"/>
          <w:color w:val="auto"/>
        </w:rPr>
      </w:pPr>
    </w:p>
    <w:p>
      <w:pPr>
        <w:jc w:val="both"/>
        <w:ind w:firstLine="564"/>
        <w:spacing w:after="0" w:line="310" w:lineRule="auto"/>
        <w:rPr>
          <w:sz w:val="20"/>
          <w:szCs w:val="20"/>
          <w:color w:val="auto"/>
        </w:rPr>
      </w:pPr>
      <w:r>
        <w:rPr>
          <w:rFonts w:ascii="Arial" w:cs="Arial" w:eastAsia="Arial" w:hAnsi="Arial"/>
          <w:sz w:val="13"/>
          <w:szCs w:val="13"/>
          <w:color w:val="auto"/>
        </w:rPr>
        <w:t>In January 2012, we acquired in a foreclosure auction for $5.5 million a 202-acre property located in Coachella, California then zoned for the development of over 800 single-family residential units. The only other bidder was the holder of the mortgage on the property, who bid $5.46 million for the property. At the time of the purchase, we knew, based on our due diligence, that we were paying more for the property than would be supported by an appraisal done under the Uniform Standards of Professional Appraisal Practice (“USPAP”). However, the amount that we bid was the lowest price at which we were able to acquire the property from the mortgagor. In valuing the property, we took into account a variety of factors, including the fact that the property is located within the City of Coachella, the state of the land use entitlements, and the fact that the prior owner had invested considerable time and money in obtaining the entitlements from the City of Coachella. Since an independent USPAP appraisal of the property produced an appraised value as of December 2012 of $4.0 million, we wrote down the book value of the property by $1.5 million as of the end of our 2012 fiscal year. As noted below, this property is owned by a limited liability company which was at that time, 50% owned by Mr. James J. Cotter, Sr. who, accordingly, shared in any impairment loss to the extent of his ownership interest.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280" w:right="1419" w:bottom="1440" w:gutter="0" w:footer="0" w:header="0"/>
        </w:sectPr>
      </w:pPr>
    </w:p>
    <w:bookmarkStart w:id="36" w:name="page37"/>
    <w:bookmarkEnd w:id="36"/>
    <w:p>
      <w:pPr>
        <w:jc w:val="both"/>
        <w:ind w:firstLine="564"/>
        <w:spacing w:after="0" w:line="255" w:lineRule="auto"/>
        <w:rPr>
          <w:sz w:val="20"/>
          <w:szCs w:val="20"/>
          <w:color w:val="auto"/>
        </w:rPr>
      </w:pPr>
      <w:r>
        <w:rPr>
          <w:rFonts w:ascii="Arial" w:cs="Arial" w:eastAsia="Arial" w:hAnsi="Arial"/>
          <w:sz w:val="16"/>
          <w:szCs w:val="16"/>
          <w:color w:val="auto"/>
        </w:rPr>
        <w:t>We acquired the property as a potentially long-term investment based on the expectation that ready-for-development residential real estate will recover in value. As we are not in the business of developing single-family residences, it is anticipated that the property will eventually be sold to a developer of this type of property.</w:t>
      </w:r>
    </w:p>
    <w:p>
      <w:pPr>
        <w:spacing w:after="0" w:line="13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hold the property in a limited liability company, which we manage. This company is owned 50/50 by ourselves and the Cotter Estate. The opportunity to acquire the property was originally presented to Mr. Cotter, Sr. in his individual capacity and the transaction was approved by our Conflicts Committee, comprised entirely of independent directors.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currently have two operating segments: Cinema Exhibition and Real Estate. Our cinema exhibition segment includes the operations of our consolidated cinemas. Our real estate segment includes the operating results of our commercial real estate holdings, cinema real estate, live theater real estate, and ETRC’s.</w:t>
      </w:r>
    </w:p>
    <w:p>
      <w:pPr>
        <w:spacing w:after="0" w:line="13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tables below summarize the results of operations for our principal business segments for the years ended December 31, 2014, 2013, and 2012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5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2014</w:t>
            </w: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Cinema Exhibition</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Total</w:t>
            </w:r>
          </w:p>
        </w:tc>
      </w:tr>
      <w:tr>
        <w:trPr>
          <w:trHeight w:val="235"/>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237,861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24,348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254,748</w:t>
            </w:r>
          </w:p>
        </w:tc>
      </w:tr>
      <w:tr>
        <w:trPr>
          <w:trHeight w:val="244"/>
        </w:trPr>
        <w:tc>
          <w:tcPr>
            <w:tcW w:w="3080" w:type="dxa"/>
            <w:vAlign w:val="bottom"/>
          </w:tcPr>
          <w:p>
            <w:pPr>
              <w:spacing w:after="0"/>
              <w:rPr>
                <w:sz w:val="20"/>
                <w:szCs w:val="20"/>
                <w:color w:val="auto"/>
              </w:rPr>
            </w:pPr>
            <w:r>
              <w:rPr>
                <w:rFonts w:ascii="Arial" w:cs="Arial" w:eastAsia="Arial" w:hAnsi="Arial"/>
                <w:sz w:val="14"/>
                <w:szCs w:val="14"/>
                <w:color w:val="auto"/>
              </w:rPr>
              <w:t>Operating expense</w:t>
            </w: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195,896</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9,770</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(7,461)</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198,205</w:t>
            </w:r>
          </w:p>
        </w:tc>
      </w:tr>
      <w:tr>
        <w:trPr>
          <w:trHeight w:val="249"/>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4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11,047</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4,061</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15,108</w:t>
            </w:r>
          </w:p>
        </w:tc>
      </w:tr>
      <w:tr>
        <w:trPr>
          <w:trHeight w:val="244"/>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General and administrative expense</w:t>
            </w:r>
          </w:p>
        </w:tc>
        <w:tc>
          <w:tcPr>
            <w:tcW w:w="1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1,042</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w:t>
            </w:r>
          </w:p>
        </w:tc>
      </w:tr>
      <w:tr>
        <w:trPr>
          <w:trHeight w:val="221"/>
        </w:trPr>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Segment operating income</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9,475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36,818</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5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2013</w:t>
            </w: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Cinema Exhibition</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Total</w:t>
            </w:r>
          </w:p>
        </w:tc>
      </w:tr>
      <w:tr>
        <w:trPr>
          <w:trHeight w:val="235"/>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26,456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258,221</w:t>
            </w:r>
          </w:p>
        </w:tc>
      </w:tr>
      <w:tr>
        <w:trPr>
          <w:trHeight w:val="244"/>
        </w:trPr>
        <w:tc>
          <w:tcPr>
            <w:tcW w:w="3080" w:type="dxa"/>
            <w:vAlign w:val="bottom"/>
          </w:tcPr>
          <w:p>
            <w:pPr>
              <w:spacing w:after="0"/>
              <w:rPr>
                <w:sz w:val="20"/>
                <w:szCs w:val="20"/>
                <w:color w:val="auto"/>
              </w:rPr>
            </w:pPr>
            <w:r>
              <w:rPr>
                <w:rFonts w:ascii="Arial" w:cs="Arial" w:eastAsia="Arial" w:hAnsi="Arial"/>
                <w:sz w:val="14"/>
                <w:szCs w:val="14"/>
                <w:color w:val="auto"/>
              </w:rPr>
              <w:t>Operating expense</w:t>
            </w: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200,859</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10,830</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(7,653)</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204,036</w:t>
            </w:r>
          </w:p>
        </w:tc>
      </w:tr>
      <w:tr>
        <w:trPr>
          <w:trHeight w:val="249"/>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4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10,741</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4,023</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14,764</w:t>
            </w:r>
          </w:p>
        </w:tc>
      </w:tr>
      <w:tr>
        <w:trPr>
          <w:trHeight w:val="244"/>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General and administrative expense</w:t>
            </w:r>
          </w:p>
        </w:tc>
        <w:tc>
          <w:tcPr>
            <w:tcW w:w="1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3,273</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644</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w:t>
            </w:r>
          </w:p>
        </w:tc>
      </w:tr>
      <w:tr>
        <w:trPr>
          <w:trHeight w:val="221"/>
        </w:trPr>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Segment operating income</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10,959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35,504</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5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2012</w:t>
            </w:r>
          </w:p>
        </w:tc>
        <w:tc>
          <w:tcPr>
            <w:tcW w:w="1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Cinema Exhibition</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Total</w:t>
            </w:r>
          </w:p>
        </w:tc>
      </w:tr>
      <w:tr>
        <w:trPr>
          <w:trHeight w:val="235"/>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234,703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27,256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254,430</w:t>
            </w:r>
          </w:p>
        </w:tc>
      </w:tr>
      <w:tr>
        <w:trPr>
          <w:trHeight w:val="244"/>
        </w:trPr>
        <w:tc>
          <w:tcPr>
            <w:tcW w:w="3400" w:type="dxa"/>
            <w:vAlign w:val="bottom"/>
          </w:tcPr>
          <w:p>
            <w:pPr>
              <w:spacing w:after="0"/>
              <w:rPr>
                <w:sz w:val="20"/>
                <w:szCs w:val="20"/>
                <w:color w:val="auto"/>
              </w:rPr>
            </w:pPr>
            <w:r>
              <w:rPr>
                <w:rFonts w:ascii="Arial" w:cs="Arial" w:eastAsia="Arial" w:hAnsi="Arial"/>
                <w:sz w:val="14"/>
                <w:szCs w:val="14"/>
                <w:color w:val="auto"/>
              </w:rPr>
              <w:t>Operating expense</w:t>
            </w:r>
          </w:p>
        </w:tc>
        <w:tc>
          <w:tcPr>
            <w:tcW w:w="1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198,040</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11,163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(7,529)</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201,674</w:t>
            </w:r>
          </w:p>
        </w:tc>
      </w:tr>
      <w:tr>
        <w:trPr>
          <w:trHeight w:val="249"/>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11,154</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4,441</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15,595</w:t>
            </w:r>
          </w:p>
        </w:tc>
      </w:tr>
      <w:tr>
        <w:trPr>
          <w:trHeight w:val="244"/>
        </w:trPr>
        <w:tc>
          <w:tcPr>
            <w:tcW w:w="3400" w:type="dxa"/>
            <w:vAlign w:val="bottom"/>
          </w:tcPr>
          <w:p>
            <w:pPr>
              <w:spacing w:after="0"/>
              <w:rPr>
                <w:sz w:val="20"/>
                <w:szCs w:val="20"/>
                <w:color w:val="auto"/>
              </w:rPr>
            </w:pPr>
            <w:r>
              <w:rPr>
                <w:rFonts w:ascii="Arial" w:cs="Arial" w:eastAsia="Arial" w:hAnsi="Arial"/>
                <w:sz w:val="14"/>
                <w:szCs w:val="14"/>
                <w:color w:val="auto"/>
              </w:rPr>
              <w:t>General and administrative expense</w:t>
            </w:r>
          </w:p>
        </w:tc>
        <w:tc>
          <w:tcPr>
            <w:tcW w:w="1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2,598</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718</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3,316</w:t>
            </w:r>
          </w:p>
        </w:tc>
      </w:tr>
      <w:tr>
        <w:trPr>
          <w:trHeight w:val="247"/>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Impairment expense</w:t>
            </w:r>
          </w:p>
        </w:tc>
        <w:tc>
          <w:tcPr>
            <w:tcW w:w="1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1,463</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r>
      <w:tr>
        <w:trPr>
          <w:trHeight w:val="22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operating income</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22,911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9,471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32,382</w:t>
            </w:r>
          </w:p>
        </w:tc>
      </w:tr>
      <w:tr>
        <w:trPr>
          <w:trHeight w:val="618"/>
        </w:trPr>
        <w:tc>
          <w:tcPr>
            <w:tcW w:w="3400" w:type="dxa"/>
            <w:vAlign w:val="bottom"/>
          </w:tcPr>
          <w:p>
            <w:pPr>
              <w:spacing w:after="0"/>
              <w:rPr>
                <w:sz w:val="20"/>
                <w:szCs w:val="20"/>
                <w:color w:val="auto"/>
              </w:rPr>
            </w:pPr>
            <w:r>
              <w:rPr>
                <w:rFonts w:ascii="Arial" w:cs="Arial" w:eastAsia="Arial" w:hAnsi="Arial"/>
                <w:sz w:val="14"/>
                <w:szCs w:val="14"/>
                <w:b w:val="1"/>
                <w:bCs w:val="1"/>
                <w:color w:val="auto"/>
              </w:rPr>
              <w:t>Reconciliation to net income attributable</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 Reading International, Inc. shareholders:</w:t>
            </w:r>
          </w:p>
        </w:tc>
        <w:tc>
          <w:tcPr>
            <w:tcW w:w="1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2012</w:t>
            </w:r>
          </w:p>
        </w:tc>
      </w:tr>
      <w:tr>
        <w:trPr>
          <w:trHeight w:val="235"/>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Total segment operating income</w:t>
            </w:r>
          </w:p>
        </w:tc>
        <w:tc>
          <w:tcPr>
            <w:tcW w:w="1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36,818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35,504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32,382</w:t>
            </w:r>
          </w:p>
        </w:tc>
      </w:tr>
      <w:tr>
        <w:trPr>
          <w:trHeight w:val="244"/>
        </w:trPr>
        <w:tc>
          <w:tcPr>
            <w:tcW w:w="3400" w:type="dxa"/>
            <w:vAlign w:val="bottom"/>
          </w:tcPr>
          <w:p>
            <w:pPr>
              <w:ind w:left="100"/>
              <w:spacing w:after="0"/>
              <w:rPr>
                <w:sz w:val="20"/>
                <w:szCs w:val="20"/>
                <w:color w:val="auto"/>
              </w:rPr>
            </w:pPr>
            <w:r>
              <w:rPr>
                <w:rFonts w:ascii="Arial" w:cs="Arial" w:eastAsia="Arial" w:hAnsi="Arial"/>
                <w:sz w:val="14"/>
                <w:szCs w:val="14"/>
                <w:color w:val="auto"/>
              </w:rPr>
              <w:t>Non-segment:</w:t>
            </w: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9"/>
        </w:trPr>
        <w:tc>
          <w:tcPr>
            <w:tcW w:w="3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 expense</w:t>
            </w:r>
          </w:p>
        </w:tc>
        <w:tc>
          <w:tcPr>
            <w:tcW w:w="1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360</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433</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r>
      <w:tr>
        <w:trPr>
          <w:trHeight w:val="242"/>
        </w:trPr>
        <w:tc>
          <w:tcPr>
            <w:tcW w:w="3400" w:type="dxa"/>
            <w:vAlign w:val="bottom"/>
          </w:tcPr>
          <w:p>
            <w:pPr>
              <w:ind w:left="180"/>
              <w:spacing w:after="0"/>
              <w:rPr>
                <w:sz w:val="20"/>
                <w:szCs w:val="20"/>
                <w:color w:val="auto"/>
              </w:rPr>
            </w:pPr>
            <w:r>
              <w:rPr>
                <w:rFonts w:ascii="Arial" w:cs="Arial" w:eastAsia="Arial" w:hAnsi="Arial"/>
                <w:sz w:val="14"/>
                <w:szCs w:val="14"/>
                <w:color w:val="auto"/>
              </w:rPr>
              <w:t>General and administrative expense</w:t>
            </w: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14,285</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14,136</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12,801</w:t>
            </w: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7"/>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0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22,173</w:t>
            </w:r>
          </w:p>
        </w:tc>
        <w:tc>
          <w:tcPr>
            <w:tcW w:w="4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20,935</w:t>
            </w:r>
          </w:p>
        </w:tc>
        <w:tc>
          <w:tcPr>
            <w:tcW w:w="4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19,127</w:t>
            </w:r>
          </w:p>
        </w:tc>
      </w:tr>
      <w:tr>
        <w:trPr>
          <w:trHeight w:val="244"/>
        </w:trPr>
        <w:tc>
          <w:tcPr>
            <w:tcW w:w="4780" w:type="dxa"/>
            <w:vAlign w:val="bottom"/>
          </w:tcPr>
          <w:p>
            <w:pPr>
              <w:ind w:left="100"/>
              <w:spacing w:after="0"/>
              <w:rPr>
                <w:sz w:val="20"/>
                <w:szCs w:val="20"/>
                <w:color w:val="auto"/>
              </w:rPr>
            </w:pPr>
            <w:r>
              <w:rPr>
                <w:rFonts w:ascii="Arial" w:cs="Arial" w:eastAsia="Arial" w:hAnsi="Arial"/>
                <w:sz w:val="14"/>
                <w:szCs w:val="14"/>
                <w:color w:val="auto"/>
              </w:rPr>
              <w:t>Interest expense, net</w:t>
            </w: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(9,000)</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(10,037)</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(16,426)</w:t>
            </w:r>
          </w:p>
        </w:tc>
      </w:tr>
      <w:tr>
        <w:trPr>
          <w:trHeight w:val="249"/>
        </w:trPr>
        <w:tc>
          <w:tcPr>
            <w:tcW w:w="4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income (loss)</w:t>
            </w:r>
          </w:p>
        </w:tc>
        <w:tc>
          <w:tcPr>
            <w:tcW w:w="10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1,646</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1,876</w:t>
            </w: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r>
      <w:tr>
        <w:trPr>
          <w:trHeight w:val="244"/>
        </w:trPr>
        <w:tc>
          <w:tcPr>
            <w:tcW w:w="4780" w:type="dxa"/>
            <w:vAlign w:val="bottom"/>
          </w:tcPr>
          <w:p>
            <w:pPr>
              <w:ind w:left="100"/>
              <w:spacing w:after="0"/>
              <w:rPr>
                <w:sz w:val="20"/>
                <w:szCs w:val="20"/>
                <w:color w:val="auto"/>
              </w:rPr>
            </w:pPr>
            <w:r>
              <w:rPr>
                <w:rFonts w:ascii="Arial" w:cs="Arial" w:eastAsia="Arial" w:hAnsi="Arial"/>
                <w:sz w:val="14"/>
                <w:szCs w:val="14"/>
                <w:color w:val="auto"/>
              </w:rPr>
              <w:t>Gain (loss) on sale of assets</w:t>
            </w:r>
          </w:p>
        </w:tc>
        <w:tc>
          <w:tcPr>
            <w:tcW w:w="10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25</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49"/>
        </w:trPr>
        <w:tc>
          <w:tcPr>
            <w:tcW w:w="4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 benefit (expense)</w:t>
            </w:r>
          </w:p>
        </w:tc>
        <w:tc>
          <w:tcPr>
            <w:tcW w:w="10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9,785</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w:t>
            </w: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w:t>
            </w:r>
          </w:p>
        </w:tc>
      </w:tr>
      <w:tr>
        <w:trPr>
          <w:trHeight w:val="503"/>
        </w:trPr>
        <w:tc>
          <w:tcPr>
            <w:tcW w:w="4780" w:type="dxa"/>
            <w:vAlign w:val="bottom"/>
          </w:tcPr>
          <w:p>
            <w:pPr>
              <w:ind w:left="100"/>
              <w:spacing w:after="0"/>
              <w:rPr>
                <w:sz w:val="20"/>
                <w:szCs w:val="20"/>
                <w:color w:val="auto"/>
              </w:rPr>
            </w:pPr>
            <w:r>
              <w:rPr>
                <w:rFonts w:ascii="Arial" w:cs="Arial" w:eastAsia="Arial" w:hAnsi="Arial"/>
                <w:sz w:val="14"/>
                <w:szCs w:val="14"/>
                <w:color w:val="auto"/>
              </w:rPr>
              <w:t>Equity earnings of unconsolidated joint ventures and entities</w:t>
            </w:r>
          </w:p>
        </w:tc>
        <w:tc>
          <w:tcPr>
            <w:tcW w:w="10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1,015</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1,369</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1,621</w:t>
            </w:r>
          </w:p>
        </w:tc>
      </w:tr>
      <w:tr>
        <w:trPr>
          <w:trHeight w:val="249"/>
        </w:trPr>
        <w:tc>
          <w:tcPr>
            <w:tcW w:w="4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(loss) from discontinued operations</w:t>
            </w:r>
          </w:p>
        </w:tc>
        <w:tc>
          <w:tcPr>
            <w:tcW w:w="10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44"/>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Gain (loss) on sale of discontinued operation</w:t>
            </w:r>
          </w:p>
        </w:tc>
        <w:tc>
          <w:tcPr>
            <w:tcW w:w="10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r>
      <w:tr>
        <w:trPr>
          <w:trHeight w:val="229"/>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25,644</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9,145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r>
      <w:tr>
        <w:trPr>
          <w:trHeight w:val="550"/>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(income) loss attributable to noncontrolling interests</w:t>
            </w:r>
          </w:p>
        </w:tc>
        <w:tc>
          <w:tcPr>
            <w:tcW w:w="10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57</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r>
      <w:tr>
        <w:trPr>
          <w:trHeight w:val="291"/>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Reading International, Inc. common</w:t>
            </w:r>
          </w:p>
        </w:tc>
        <w:tc>
          <w:tcPr>
            <w:tcW w:w="10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88"/>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shareholders</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25,701</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9,041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Cinema Exhibition Segment</w:t>
      </w:r>
    </w:p>
    <w:p>
      <w:pPr>
        <w:spacing w:after="0" w:line="161" w:lineRule="exact"/>
        <w:rPr>
          <w:sz w:val="20"/>
          <w:szCs w:val="20"/>
          <w:color w:val="auto"/>
        </w:rPr>
      </w:pPr>
    </w:p>
    <w:p>
      <w:pPr>
        <w:jc w:val="both"/>
        <w:ind w:right="40" w:firstLine="564"/>
        <w:spacing w:after="0" w:line="341" w:lineRule="auto"/>
        <w:rPr>
          <w:sz w:val="20"/>
          <w:szCs w:val="20"/>
          <w:color w:val="auto"/>
        </w:rPr>
      </w:pPr>
      <w:r>
        <w:rPr>
          <w:rFonts w:ascii="Arial" w:cs="Arial" w:eastAsia="Arial" w:hAnsi="Arial"/>
          <w:sz w:val="13"/>
          <w:szCs w:val="13"/>
          <w:color w:val="auto"/>
        </w:rPr>
        <w:t>The following tables and discussion that follows detail our operating results for our 2014, 2013, and 2012 cinema exhibition segment (dollars in thousands). All percentages below are expressed as a percent of total revenue, except film rent and advertising cost which is expressed as a percentage of admissions revenue and concession cost which is expressed as a percentage of concessions revenue: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20"/>
                <w:szCs w:val="20"/>
                <w:color w:val="auto"/>
              </w:rPr>
            </w:pPr>
            <w:r>
              <w:rPr>
                <w:rFonts w:ascii="Arial" w:cs="Arial" w:eastAsia="Arial" w:hAnsi="Arial"/>
                <w:sz w:val="16"/>
                <w:szCs w:val="16"/>
                <w:b w:val="1"/>
                <w:bCs w:val="1"/>
                <w:color w:val="auto"/>
              </w:rPr>
              <w:t>Operating Income by Country for the Year</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8"/>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Admissions revenue</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83,197</w:t>
            </w: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58,148</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15,908</w:t>
            </w:r>
          </w:p>
        </w:tc>
        <w:tc>
          <w:tcPr>
            <w:tcW w:w="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157,253</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35,580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24,278</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6,475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66,333</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Advertising and 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6,942</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6,068</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1,265</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w:t>
            </w:r>
          </w:p>
        </w:tc>
        <w:tc>
          <w:tcPr>
            <w:tcW w:w="40" w:type="dxa"/>
            <w:vAlign w:val="bottom"/>
          </w:tcPr>
          <w:p>
            <w:pPr>
              <w:spacing w:after="0"/>
              <w:rPr>
                <w:sz w:val="16"/>
                <w:szCs w:val="16"/>
                <w:color w:val="auto"/>
              </w:rPr>
            </w:pP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125,719</w:t>
            </w:r>
          </w:p>
        </w:tc>
        <w:tc>
          <w:tcPr>
            <w:tcW w:w="32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88,494</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23,648</w:t>
            </w:r>
          </w:p>
        </w:tc>
        <w:tc>
          <w:tcPr>
            <w:tcW w:w="4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237,861</w:t>
            </w:r>
          </w:p>
        </w:tc>
        <w:tc>
          <w:tcPr>
            <w:tcW w:w="40" w:type="dxa"/>
            <w:vAlign w:val="bottom"/>
          </w:tcPr>
          <w:p>
            <w:pPr>
              <w:spacing w:after="0"/>
              <w:rPr>
                <w:sz w:val="15"/>
                <w:szCs w:val="15"/>
                <w:color w:val="auto"/>
              </w:rPr>
            </w:pPr>
          </w:p>
        </w:tc>
      </w:tr>
      <w:tr>
        <w:trPr>
          <w:trHeight w:val="164"/>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43,511</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26,677</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7,355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77,543</w:t>
            </w:r>
          </w:p>
        </w:tc>
        <w:tc>
          <w:tcPr>
            <w:tcW w:w="40" w:type="dxa"/>
            <w:vAlign w:val="bottom"/>
          </w:tcPr>
          <w:p>
            <w:pPr>
              <w:spacing w:after="0"/>
              <w:rPr>
                <w:sz w:val="16"/>
                <w:szCs w:val="16"/>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Concession cost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6,145</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4,781</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1,661</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12,587</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25,701</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16,995</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4,459</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47,155</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34,073</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19,026</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5,512</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58,611</w:t>
            </w:r>
          </w:p>
        </w:tc>
        <w:tc>
          <w:tcPr>
            <w:tcW w:w="40" w:type="dxa"/>
            <w:vAlign w:val="bottom"/>
          </w:tcPr>
          <w:p>
            <w:pPr>
              <w:spacing w:after="0"/>
              <w:rPr>
                <w:sz w:val="16"/>
                <w:szCs w:val="16"/>
                <w:color w:val="auto"/>
              </w:rPr>
            </w:pP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Total operating expense</w:t>
            </w:r>
          </w:p>
        </w:tc>
        <w:tc>
          <w:tcPr>
            <w:tcW w:w="24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109,430</w:t>
            </w:r>
          </w:p>
        </w:tc>
        <w:tc>
          <w:tcPr>
            <w:tcW w:w="32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67,479</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18,987</w:t>
            </w:r>
          </w:p>
        </w:tc>
        <w:tc>
          <w:tcPr>
            <w:tcW w:w="4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195,896</w:t>
            </w:r>
          </w:p>
        </w:tc>
        <w:tc>
          <w:tcPr>
            <w:tcW w:w="40" w:type="dxa"/>
            <w:vAlign w:val="bottom"/>
          </w:tcPr>
          <w:p>
            <w:pPr>
              <w:spacing w:after="0"/>
              <w:rPr>
                <w:sz w:val="15"/>
                <w:szCs w:val="15"/>
                <w:color w:val="auto"/>
              </w:rPr>
            </w:pPr>
          </w:p>
        </w:tc>
      </w:tr>
      <w:tr>
        <w:trPr>
          <w:trHeight w:val="141"/>
        </w:trPr>
        <w:tc>
          <w:tcPr>
            <w:tcW w:w="3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00"/>
        </w:trPr>
        <w:tc>
          <w:tcPr>
            <w:tcW w:w="33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5,118</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4,669</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1,260</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11,047</w:t>
            </w:r>
          </w:p>
        </w:tc>
        <w:tc>
          <w:tcPr>
            <w:tcW w:w="40" w:type="dxa"/>
            <w:vAlign w:val="bottom"/>
          </w:tcPr>
          <w:p>
            <w:pPr>
              <w:spacing w:after="0"/>
              <w:rPr>
                <w:sz w:val="17"/>
                <w:szCs w:val="17"/>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2,475</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1,054</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46</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40" w:type="dxa"/>
            <w:vAlign w:val="bottom"/>
          </w:tcPr>
          <w:p>
            <w:pPr>
              <w:spacing w:after="0"/>
              <w:rPr>
                <w:sz w:val="16"/>
                <w:szCs w:val="16"/>
                <w:color w:val="auto"/>
              </w:rPr>
            </w:pPr>
          </w:p>
        </w:tc>
      </w:tr>
      <w:tr>
        <w:trPr>
          <w:trHeight w:val="183"/>
        </w:trPr>
        <w:tc>
          <w:tcPr>
            <w:tcW w:w="334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Segment operating income</w:t>
            </w:r>
          </w:p>
        </w:tc>
        <w:tc>
          <w:tcPr>
            <w:tcW w:w="24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8,696</w:t>
            </w:r>
          </w:p>
        </w:tc>
        <w:tc>
          <w:tcPr>
            <w:tcW w:w="32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15,292</w:t>
            </w:r>
          </w:p>
        </w:tc>
        <w:tc>
          <w:tcPr>
            <w:tcW w:w="26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3,355</w:t>
            </w:r>
          </w:p>
        </w:tc>
        <w:tc>
          <w:tcPr>
            <w:tcW w:w="400" w:type="dxa"/>
            <w:vAlign w:val="bottom"/>
            <w:tcBorders>
              <w:bottom w:val="single" w:sz="8" w:color="auto"/>
            </w:tcBorders>
          </w:tcPr>
          <w:p>
            <w:pPr>
              <w:jc w:val="right"/>
              <w:ind w:right="142"/>
              <w:spacing w:after="0" w:line="180"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27,343</w:t>
            </w:r>
          </w:p>
        </w:tc>
        <w:tc>
          <w:tcPr>
            <w:tcW w:w="40" w:type="dxa"/>
            <w:vAlign w:val="bottom"/>
          </w:tcPr>
          <w:p>
            <w:pPr>
              <w:spacing w:after="0"/>
              <w:rPr>
                <w:sz w:val="15"/>
                <w:szCs w:val="15"/>
                <w:color w:val="auto"/>
              </w:rPr>
            </w:pPr>
          </w:p>
        </w:tc>
      </w:tr>
      <w:tr>
        <w:trPr>
          <w:trHeight w:val="653"/>
        </w:trPr>
        <w:tc>
          <w:tcPr>
            <w:tcW w:w="3340" w:type="dxa"/>
            <w:vAlign w:val="bottom"/>
          </w:tcPr>
          <w:p>
            <w:pPr>
              <w:spacing w:after="0"/>
              <w:rPr>
                <w:sz w:val="20"/>
                <w:szCs w:val="20"/>
                <w:color w:val="auto"/>
              </w:rPr>
            </w:pPr>
            <w:r>
              <w:rPr>
                <w:rFonts w:ascii="Arial" w:cs="Arial" w:eastAsia="Arial" w:hAnsi="Arial"/>
                <w:sz w:val="16"/>
                <w:szCs w:val="16"/>
                <w:b w:val="1"/>
                <w:bCs w:val="1"/>
                <w:color w:val="auto"/>
                <w:w w:val="92"/>
              </w:rPr>
              <w:t>Operating Data as a Percentage of Revenue for</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8"/>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Admissions revenue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66.2%</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65.7%</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67.3%</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28.3%</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27.4%</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27.4%</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Advertising and 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16"/>
                <w:szCs w:val="16"/>
                <w:color w:val="auto"/>
              </w:rPr>
            </w:pP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32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4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100.0%</w:t>
            </w:r>
          </w:p>
        </w:tc>
        <w:tc>
          <w:tcPr>
            <w:tcW w:w="40" w:type="dxa"/>
            <w:vAlign w:val="bottom"/>
          </w:tcPr>
          <w:p>
            <w:pPr>
              <w:spacing w:after="0"/>
              <w:rPr>
                <w:sz w:val="15"/>
                <w:szCs w:val="15"/>
                <w:color w:val="auto"/>
              </w:rPr>
            </w:pPr>
          </w:p>
        </w:tc>
      </w:tr>
      <w:tr>
        <w:trPr>
          <w:trHeight w:val="164"/>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52.3%</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45.9%</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46.2%</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49.3%</w:t>
            </w:r>
          </w:p>
        </w:tc>
        <w:tc>
          <w:tcPr>
            <w:tcW w:w="40" w:type="dxa"/>
            <w:vAlign w:val="bottom"/>
          </w:tcPr>
          <w:p>
            <w:pPr>
              <w:spacing w:after="0"/>
              <w:rPr>
                <w:sz w:val="16"/>
                <w:szCs w:val="16"/>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Concession cost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17.3%</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19.7%</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25.7%</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40" w:type="dxa"/>
            <w:vAlign w:val="bottom"/>
          </w:tcPr>
          <w:p>
            <w:pPr>
              <w:spacing w:after="0"/>
              <w:rPr>
                <w:sz w:val="16"/>
                <w:szCs w:val="16"/>
                <w:color w:val="auto"/>
              </w:rPr>
            </w:pPr>
          </w:p>
        </w:tc>
      </w:tr>
      <w:tr>
        <w:trPr>
          <w:trHeight w:val="164"/>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Occupancy expense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20.4%</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19.2%</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18.9%</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27.1%</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21.5%</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23.3%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w:t>
            </w:r>
          </w:p>
        </w:tc>
        <w:tc>
          <w:tcPr>
            <w:tcW w:w="40" w:type="dxa"/>
            <w:vAlign w:val="bottom"/>
          </w:tcPr>
          <w:p>
            <w:pPr>
              <w:spacing w:after="0"/>
              <w:rPr>
                <w:sz w:val="16"/>
                <w:szCs w:val="16"/>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 and expense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87.0%</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76.3%</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80.3%</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40" w:type="dxa"/>
            <w:vAlign w:val="bottom"/>
          </w:tcPr>
          <w:p>
            <w:pPr>
              <w:spacing w:after="0"/>
              <w:rPr>
                <w:sz w:val="16"/>
                <w:szCs w:val="16"/>
                <w:color w:val="auto"/>
              </w:rPr>
            </w:pPr>
          </w:p>
        </w:tc>
      </w:tr>
      <w:tr>
        <w:trPr>
          <w:trHeight w:val="715"/>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0"/>
        </w:trPr>
        <w:tc>
          <w:tcPr>
            <w:tcW w:w="33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r>
      <w:tr>
        <w:trPr>
          <w:trHeight w:val="20"/>
        </w:trPr>
        <w:tc>
          <w:tcPr>
            <w:tcW w:w="33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5790565</wp:posOffset>
            </wp:positionH>
            <wp:positionV relativeFrom="paragraph">
              <wp:posOffset>-34290</wp:posOffset>
            </wp:positionV>
            <wp:extent cx="33020" cy="47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160"/>
          </w:cols>
          <w:pgMar w:left="1360" w:top="120" w:right="13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0"/>
        </w:trPr>
        <w:tc>
          <w:tcPr>
            <w:tcW w:w="33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5.3%</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7"/>
                <w:szCs w:val="17"/>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0.2%</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6"/>
                <w:szCs w:val="16"/>
                <w:color w:val="auto"/>
              </w:rPr>
            </w:pPr>
          </w:p>
        </w:tc>
      </w:tr>
      <w:tr>
        <w:trPr>
          <w:trHeight w:val="200"/>
        </w:trPr>
        <w:tc>
          <w:tcPr>
            <w:tcW w:w="334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4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6.9%</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17.3%</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14.2%</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40" w:type="dxa"/>
            <w:vAlign w:val="bottom"/>
          </w:tcPr>
          <w:p>
            <w:pPr>
              <w:spacing w:after="0"/>
              <w:rPr>
                <w:sz w:val="17"/>
                <w:szCs w:val="17"/>
                <w:color w:val="auto"/>
              </w:rPr>
            </w:pPr>
          </w:p>
        </w:tc>
      </w:tr>
      <w:tr>
        <w:trPr>
          <w:trHeight w:val="700"/>
        </w:trPr>
        <w:tc>
          <w:tcPr>
            <w:tcW w:w="3340" w:type="dxa"/>
            <w:vAlign w:val="bottom"/>
          </w:tcPr>
          <w:p>
            <w:pPr>
              <w:spacing w:after="0"/>
              <w:rPr>
                <w:sz w:val="20"/>
                <w:szCs w:val="20"/>
                <w:color w:val="auto"/>
              </w:rPr>
            </w:pPr>
            <w:r>
              <w:rPr>
                <w:rFonts w:ascii="Arial" w:cs="Arial" w:eastAsia="Arial" w:hAnsi="Arial"/>
                <w:sz w:val="16"/>
                <w:szCs w:val="16"/>
                <w:b w:val="1"/>
                <w:bCs w:val="1"/>
                <w:color w:val="auto"/>
              </w:rPr>
              <w:t>Operating Income by Country for the Year</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8"/>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Admissions revenue</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84,725</w:t>
            </w: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61,741</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15,039</w:t>
            </w:r>
          </w:p>
        </w:tc>
        <w:tc>
          <w:tcPr>
            <w:tcW w:w="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161,505</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35,056</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24,025</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5,596</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64,677</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Advertising and 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6,540</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5,655</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1,041</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13,236</w:t>
            </w:r>
          </w:p>
        </w:tc>
        <w:tc>
          <w:tcPr>
            <w:tcW w:w="40" w:type="dxa"/>
            <w:vAlign w:val="bottom"/>
          </w:tcPr>
          <w:p>
            <w:pPr>
              <w:spacing w:after="0"/>
              <w:rPr>
                <w:sz w:val="16"/>
                <w:szCs w:val="16"/>
                <w:color w:val="auto"/>
              </w:rPr>
            </w:pP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126,321</w:t>
            </w:r>
          </w:p>
        </w:tc>
        <w:tc>
          <w:tcPr>
            <w:tcW w:w="32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91,421</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21,676</w:t>
            </w:r>
          </w:p>
        </w:tc>
        <w:tc>
          <w:tcPr>
            <w:tcW w:w="4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239,418</w:t>
            </w:r>
          </w:p>
        </w:tc>
        <w:tc>
          <w:tcPr>
            <w:tcW w:w="40" w:type="dxa"/>
            <w:vAlign w:val="bottom"/>
          </w:tcPr>
          <w:p>
            <w:pPr>
              <w:spacing w:after="0"/>
              <w:rPr>
                <w:sz w:val="15"/>
                <w:szCs w:val="15"/>
                <w:color w:val="auto"/>
              </w:rPr>
            </w:pPr>
          </w:p>
        </w:tc>
      </w:tr>
      <w:tr>
        <w:trPr>
          <w:trHeight w:val="164"/>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44,284</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29,060</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7,116</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80,460</w:t>
            </w:r>
          </w:p>
        </w:tc>
        <w:tc>
          <w:tcPr>
            <w:tcW w:w="40" w:type="dxa"/>
            <w:vAlign w:val="bottom"/>
          </w:tcPr>
          <w:p>
            <w:pPr>
              <w:spacing w:after="0"/>
              <w:rPr>
                <w:sz w:val="16"/>
                <w:szCs w:val="16"/>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Concession cost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5,924</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4,847</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1,438</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12,209</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25,981</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18,371</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3,943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48,295</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31,930</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22,218</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5,747</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59,895</w:t>
            </w:r>
          </w:p>
        </w:tc>
        <w:tc>
          <w:tcPr>
            <w:tcW w:w="40" w:type="dxa"/>
            <w:vAlign w:val="bottom"/>
          </w:tcPr>
          <w:p>
            <w:pPr>
              <w:spacing w:after="0"/>
              <w:rPr>
                <w:sz w:val="16"/>
                <w:szCs w:val="16"/>
                <w:color w:val="auto"/>
              </w:rPr>
            </w:pP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Total operating expense</w:t>
            </w:r>
          </w:p>
        </w:tc>
        <w:tc>
          <w:tcPr>
            <w:tcW w:w="24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108,119</w:t>
            </w:r>
          </w:p>
        </w:tc>
        <w:tc>
          <w:tcPr>
            <w:tcW w:w="32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74,496</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18,244</w:t>
            </w:r>
          </w:p>
        </w:tc>
        <w:tc>
          <w:tcPr>
            <w:tcW w:w="4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200,859</w:t>
            </w:r>
          </w:p>
        </w:tc>
        <w:tc>
          <w:tcPr>
            <w:tcW w:w="40" w:type="dxa"/>
            <w:vAlign w:val="bottom"/>
          </w:tcPr>
          <w:p>
            <w:pPr>
              <w:spacing w:after="0"/>
              <w:rPr>
                <w:sz w:val="15"/>
                <w:szCs w:val="15"/>
                <w:color w:val="auto"/>
              </w:rPr>
            </w:pPr>
          </w:p>
        </w:tc>
      </w:tr>
      <w:tr>
        <w:trPr>
          <w:trHeight w:val="164"/>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6,181</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3,603</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957</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10,741</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2,347</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926</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40" w:type="dxa"/>
            <w:vAlign w:val="bottom"/>
          </w:tcPr>
          <w:p>
            <w:pPr>
              <w:spacing w:after="0"/>
              <w:rPr>
                <w:sz w:val="16"/>
                <w:szCs w:val="16"/>
                <w:color w:val="auto"/>
              </w:rPr>
            </w:pPr>
          </w:p>
        </w:tc>
      </w:tr>
      <w:tr>
        <w:trPr>
          <w:trHeight w:val="183"/>
        </w:trPr>
        <w:tc>
          <w:tcPr>
            <w:tcW w:w="334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Segment operating income</w:t>
            </w:r>
          </w:p>
        </w:tc>
        <w:tc>
          <w:tcPr>
            <w:tcW w:w="24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9,674</w:t>
            </w:r>
          </w:p>
        </w:tc>
        <w:tc>
          <w:tcPr>
            <w:tcW w:w="32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12,396</w:t>
            </w:r>
          </w:p>
        </w:tc>
        <w:tc>
          <w:tcPr>
            <w:tcW w:w="26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2,475</w:t>
            </w:r>
          </w:p>
        </w:tc>
        <w:tc>
          <w:tcPr>
            <w:tcW w:w="400" w:type="dxa"/>
            <w:vAlign w:val="bottom"/>
            <w:tcBorders>
              <w:bottom w:val="single" w:sz="8" w:color="auto"/>
            </w:tcBorders>
          </w:tcPr>
          <w:p>
            <w:pPr>
              <w:jc w:val="right"/>
              <w:ind w:right="142"/>
              <w:spacing w:after="0" w:line="180"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24,545</w:t>
            </w:r>
          </w:p>
        </w:tc>
        <w:tc>
          <w:tcPr>
            <w:tcW w:w="40" w:type="dxa"/>
            <w:vAlign w:val="bottom"/>
          </w:tcPr>
          <w:p>
            <w:pPr>
              <w:spacing w:after="0"/>
              <w:rPr>
                <w:sz w:val="15"/>
                <w:szCs w:val="15"/>
                <w:color w:val="auto"/>
              </w:rPr>
            </w:pPr>
          </w:p>
        </w:tc>
      </w:tr>
      <w:tr>
        <w:trPr>
          <w:trHeight w:val="653"/>
        </w:trPr>
        <w:tc>
          <w:tcPr>
            <w:tcW w:w="3340" w:type="dxa"/>
            <w:vAlign w:val="bottom"/>
          </w:tcPr>
          <w:p>
            <w:pPr>
              <w:spacing w:after="0"/>
              <w:rPr>
                <w:sz w:val="20"/>
                <w:szCs w:val="20"/>
                <w:color w:val="auto"/>
              </w:rPr>
            </w:pPr>
            <w:r>
              <w:rPr>
                <w:rFonts w:ascii="Arial" w:cs="Arial" w:eastAsia="Arial" w:hAnsi="Arial"/>
                <w:sz w:val="16"/>
                <w:szCs w:val="16"/>
                <w:b w:val="1"/>
                <w:bCs w:val="1"/>
                <w:color w:val="auto"/>
                <w:w w:val="92"/>
              </w:rPr>
              <w:t>Operating Data as a Percentage of Revenue for</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8"/>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Admissions revenue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67.1%</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67.5%</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69.4%</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27.8%</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26.3%</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25.8%</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Advertising and 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6.2%</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6"/>
                <w:szCs w:val="16"/>
                <w:color w:val="auto"/>
              </w:rPr>
            </w:pP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32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4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100.0%</w:t>
            </w:r>
          </w:p>
        </w:tc>
        <w:tc>
          <w:tcPr>
            <w:tcW w:w="40" w:type="dxa"/>
            <w:vAlign w:val="bottom"/>
          </w:tcPr>
          <w:p>
            <w:pPr>
              <w:spacing w:after="0"/>
              <w:rPr>
                <w:sz w:val="15"/>
                <w:szCs w:val="15"/>
                <w:color w:val="auto"/>
              </w:rPr>
            </w:pPr>
          </w:p>
        </w:tc>
      </w:tr>
      <w:tr>
        <w:trPr>
          <w:trHeight w:val="164"/>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52.3%</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47.1%</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47.3%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49.8%</w:t>
            </w:r>
          </w:p>
        </w:tc>
        <w:tc>
          <w:tcPr>
            <w:tcW w:w="40" w:type="dxa"/>
            <w:vAlign w:val="bottom"/>
          </w:tcPr>
          <w:p>
            <w:pPr>
              <w:spacing w:after="0"/>
              <w:rPr>
                <w:sz w:val="16"/>
                <w:szCs w:val="16"/>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Concession cost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16.9%</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20.2%</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25.7%</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40" w:type="dxa"/>
            <w:vAlign w:val="bottom"/>
          </w:tcPr>
          <w:p>
            <w:pPr>
              <w:spacing w:after="0"/>
              <w:rPr>
                <w:sz w:val="16"/>
                <w:szCs w:val="16"/>
                <w:color w:val="auto"/>
              </w:rPr>
            </w:pPr>
          </w:p>
        </w:tc>
      </w:tr>
      <w:tr>
        <w:trPr>
          <w:trHeight w:val="164"/>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Occupancy expense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20.6%</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20.1%</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18.2%</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25.3%</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24.3%</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26.5%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w:t>
            </w:r>
          </w:p>
        </w:tc>
        <w:tc>
          <w:tcPr>
            <w:tcW w:w="40" w:type="dxa"/>
            <w:vAlign w:val="bottom"/>
          </w:tcPr>
          <w:p>
            <w:pPr>
              <w:spacing w:after="0"/>
              <w:rPr>
                <w:sz w:val="16"/>
                <w:szCs w:val="16"/>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 and expense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85.6%</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81.5%</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84.2%</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6"/>
                <w:szCs w:val="16"/>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6"/>
                <w:szCs w:val="16"/>
                <w:color w:val="auto"/>
              </w:rPr>
            </w:pPr>
          </w:p>
        </w:tc>
      </w:tr>
      <w:tr>
        <w:trPr>
          <w:trHeight w:val="200"/>
        </w:trPr>
        <w:tc>
          <w:tcPr>
            <w:tcW w:w="334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4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7.7%</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11.4%</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17"/>
                <w:szCs w:val="17"/>
                <w:color w:val="auto"/>
              </w:rPr>
            </w:pPr>
          </w:p>
        </w:tc>
      </w:tr>
      <w:tr>
        <w:trPr>
          <w:trHeight w:val="547"/>
        </w:trPr>
        <w:tc>
          <w:tcPr>
            <w:tcW w:w="3340" w:type="dxa"/>
            <w:vAlign w:val="bottom"/>
          </w:tcPr>
          <w:p>
            <w:pPr>
              <w:spacing w:after="0"/>
              <w:rPr>
                <w:sz w:val="20"/>
                <w:szCs w:val="20"/>
                <w:color w:val="auto"/>
              </w:rPr>
            </w:pPr>
            <w:r>
              <w:rPr>
                <w:rFonts w:ascii="Arial" w:cs="Arial" w:eastAsia="Arial" w:hAnsi="Arial"/>
                <w:sz w:val="16"/>
                <w:szCs w:val="16"/>
                <w:b w:val="1"/>
                <w:bCs w:val="1"/>
                <w:color w:val="auto"/>
              </w:rPr>
              <w:t>Operating Income by Country for the Year</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8"/>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Admissions revenue</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78,745</w:t>
            </w: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68,819</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13,897</w:t>
            </w:r>
          </w:p>
        </w:tc>
        <w:tc>
          <w:tcPr>
            <w:tcW w:w="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161,461</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32,219</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24,564</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4,266</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61,049</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Advertising and 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5,433</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5,806</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954</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12,193</w:t>
            </w:r>
          </w:p>
        </w:tc>
        <w:tc>
          <w:tcPr>
            <w:tcW w:w="40" w:type="dxa"/>
            <w:vAlign w:val="bottom"/>
          </w:tcPr>
          <w:p>
            <w:pPr>
              <w:spacing w:after="0"/>
              <w:rPr>
                <w:sz w:val="16"/>
                <w:szCs w:val="16"/>
                <w:color w:val="auto"/>
              </w:rPr>
            </w:pP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116,397</w:t>
            </w:r>
          </w:p>
        </w:tc>
        <w:tc>
          <w:tcPr>
            <w:tcW w:w="32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99,189</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19,117</w:t>
            </w:r>
          </w:p>
        </w:tc>
        <w:tc>
          <w:tcPr>
            <w:tcW w:w="4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234,703</w:t>
            </w:r>
          </w:p>
        </w:tc>
        <w:tc>
          <w:tcPr>
            <w:tcW w:w="40" w:type="dxa"/>
            <w:vAlign w:val="bottom"/>
          </w:tcPr>
          <w:p>
            <w:pPr>
              <w:spacing w:after="0"/>
              <w:rPr>
                <w:sz w:val="15"/>
                <w:szCs w:val="15"/>
                <w:color w:val="auto"/>
              </w:rPr>
            </w:pPr>
          </w:p>
        </w:tc>
      </w:tr>
      <w:tr>
        <w:trPr>
          <w:trHeight w:val="164"/>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40,690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32,953</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6,517</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80,160</w:t>
            </w:r>
          </w:p>
        </w:tc>
        <w:tc>
          <w:tcPr>
            <w:tcW w:w="40" w:type="dxa"/>
            <w:vAlign w:val="bottom"/>
          </w:tcPr>
          <w:p>
            <w:pPr>
              <w:spacing w:after="0"/>
              <w:rPr>
                <w:sz w:val="16"/>
                <w:szCs w:val="16"/>
                <w:color w:val="auto"/>
              </w:rPr>
            </w:pPr>
          </w:p>
        </w:tc>
      </w:tr>
      <w:tr>
        <w:trPr>
          <w:trHeight w:val="188"/>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Concession cost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5,205</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4,908</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1,034</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11,147</w:t>
            </w:r>
          </w:p>
        </w:tc>
        <w:tc>
          <w:tcPr>
            <w:tcW w:w="40" w:type="dxa"/>
            <w:vAlign w:val="bottom"/>
          </w:tcPr>
          <w:p>
            <w:pPr>
              <w:spacing w:after="0"/>
              <w:rPr>
                <w:sz w:val="16"/>
                <w:szCs w:val="16"/>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26,143</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19,233</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3,503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48,879</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29,870</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23,024</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4,960</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57,854</w:t>
            </w:r>
          </w:p>
        </w:tc>
        <w:tc>
          <w:tcPr>
            <w:tcW w:w="40" w:type="dxa"/>
            <w:vAlign w:val="bottom"/>
          </w:tcPr>
          <w:p>
            <w:pPr>
              <w:spacing w:after="0"/>
              <w:rPr>
                <w:sz w:val="16"/>
                <w:szCs w:val="16"/>
                <w:color w:val="auto"/>
              </w:rPr>
            </w:pP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Total operating expense</w:t>
            </w:r>
          </w:p>
        </w:tc>
        <w:tc>
          <w:tcPr>
            <w:tcW w:w="24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101,908</w:t>
            </w:r>
          </w:p>
        </w:tc>
        <w:tc>
          <w:tcPr>
            <w:tcW w:w="32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80,118</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16,014</w:t>
            </w:r>
          </w:p>
        </w:tc>
        <w:tc>
          <w:tcPr>
            <w:tcW w:w="4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198,040</w:t>
            </w:r>
          </w:p>
        </w:tc>
        <w:tc>
          <w:tcPr>
            <w:tcW w:w="40" w:type="dxa"/>
            <w:vAlign w:val="bottom"/>
          </w:tcPr>
          <w:p>
            <w:pPr>
              <w:spacing w:after="0"/>
              <w:rPr>
                <w:sz w:val="15"/>
                <w:szCs w:val="15"/>
                <w:color w:val="auto"/>
              </w:rPr>
            </w:pPr>
          </w:p>
        </w:tc>
      </w:tr>
      <w:tr>
        <w:trPr>
          <w:trHeight w:val="164"/>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6,482</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3,589</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1,083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11,154</w:t>
            </w:r>
          </w:p>
        </w:tc>
        <w:tc>
          <w:tcPr>
            <w:tcW w:w="40" w:type="dxa"/>
            <w:vAlign w:val="bottom"/>
          </w:tcPr>
          <w:p>
            <w:pPr>
              <w:spacing w:after="0"/>
              <w:rPr>
                <w:sz w:val="16"/>
                <w:szCs w:val="16"/>
                <w:color w:val="auto"/>
              </w:rPr>
            </w:pPr>
          </w:p>
        </w:tc>
      </w:tr>
      <w:tr>
        <w:trPr>
          <w:trHeight w:val="188"/>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1,937</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661</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40" w:type="dxa"/>
            <w:vAlign w:val="bottom"/>
          </w:tcPr>
          <w:p>
            <w:pPr>
              <w:spacing w:after="0"/>
              <w:rPr>
                <w:sz w:val="16"/>
                <w:szCs w:val="16"/>
                <w:color w:val="auto"/>
              </w:rPr>
            </w:pPr>
          </w:p>
        </w:tc>
      </w:tr>
      <w:tr>
        <w:trPr>
          <w:trHeight w:val="183"/>
        </w:trPr>
        <w:tc>
          <w:tcPr>
            <w:tcW w:w="334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Segment operating income</w:t>
            </w:r>
          </w:p>
        </w:tc>
        <w:tc>
          <w:tcPr>
            <w:tcW w:w="24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6,070</w:t>
            </w:r>
          </w:p>
        </w:tc>
        <w:tc>
          <w:tcPr>
            <w:tcW w:w="32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14,821</w:t>
            </w:r>
          </w:p>
        </w:tc>
        <w:tc>
          <w:tcPr>
            <w:tcW w:w="26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jc w:val="right"/>
              <w:ind w:right="142"/>
              <w:spacing w:after="0" w:line="180"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22,911</w:t>
            </w:r>
          </w:p>
        </w:tc>
        <w:tc>
          <w:tcPr>
            <w:tcW w:w="40" w:type="dxa"/>
            <w:vAlign w:val="bottom"/>
          </w:tcPr>
          <w:p>
            <w:pPr>
              <w:spacing w:after="0"/>
              <w:rPr>
                <w:sz w:val="15"/>
                <w:szCs w:val="15"/>
                <w:color w:val="auto"/>
              </w:rPr>
            </w:pPr>
          </w:p>
        </w:tc>
      </w:tr>
      <w:tr>
        <w:trPr>
          <w:trHeight w:val="997"/>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0"/>
        </w:trPr>
        <w:tc>
          <w:tcPr>
            <w:tcW w:w="33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r>
      <w:tr>
        <w:trPr>
          <w:trHeight w:val="20"/>
        </w:trPr>
        <w:tc>
          <w:tcPr>
            <w:tcW w:w="33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5790565</wp:posOffset>
            </wp:positionH>
            <wp:positionV relativeFrom="paragraph">
              <wp:posOffset>-34290</wp:posOffset>
            </wp:positionV>
            <wp:extent cx="33020" cy="47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160"/>
          </w:cols>
          <w:pgMar w:left="1360" w:top="127" w:right="13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20"/>
                <w:szCs w:val="20"/>
                <w:color w:val="auto"/>
              </w:rPr>
            </w:pPr>
            <w:r>
              <w:rPr>
                <w:rFonts w:ascii="Arial" w:cs="Arial" w:eastAsia="Arial" w:hAnsi="Arial"/>
                <w:sz w:val="16"/>
                <w:szCs w:val="16"/>
                <w:b w:val="1"/>
                <w:bCs w:val="1"/>
                <w:color w:val="auto"/>
                <w:w w:val="94"/>
              </w:rPr>
              <w:t>Operating Data as a Percentage of Revenue for</w:t>
            </w:r>
          </w:p>
        </w:tc>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340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2012</w:t>
            </w:r>
          </w:p>
        </w:tc>
        <w:tc>
          <w:tcPr>
            <w:tcW w:w="15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United States</w:t>
            </w:r>
          </w:p>
        </w:tc>
        <w:tc>
          <w:tcPr>
            <w:tcW w:w="13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Australia</w:t>
            </w:r>
          </w:p>
        </w:tc>
        <w:tc>
          <w:tcPr>
            <w:tcW w:w="16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New Zealand</w:t>
            </w: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Admissions revenue</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67.7%</w:t>
            </w:r>
          </w:p>
        </w:tc>
        <w:tc>
          <w:tcPr>
            <w:tcW w:w="13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69.4%</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72.7%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188"/>
        </w:trPr>
        <w:tc>
          <w:tcPr>
            <w:tcW w:w="3400" w:type="dxa"/>
            <w:vAlign w:val="bottom"/>
          </w:tcPr>
          <w:p>
            <w:pPr>
              <w:spacing w:after="0"/>
              <w:rPr>
                <w:sz w:val="20"/>
                <w:szCs w:val="20"/>
                <w:color w:val="auto"/>
              </w:rPr>
            </w:pPr>
            <w:r>
              <w:rPr>
                <w:rFonts w:ascii="Arial" w:cs="Arial" w:eastAsia="Arial" w:hAnsi="Arial"/>
                <w:sz w:val="16"/>
                <w:szCs w:val="16"/>
                <w:color w:val="auto"/>
              </w:rPr>
              <w:t>Concessions revenue</w:t>
            </w:r>
          </w:p>
        </w:tc>
        <w:tc>
          <w:tcPr>
            <w:tcW w:w="1580" w:type="dxa"/>
            <w:vAlign w:val="bottom"/>
          </w:tcPr>
          <w:p>
            <w:pPr>
              <w:jc w:val="right"/>
              <w:ind w:right="222"/>
              <w:spacing w:after="0"/>
              <w:rPr>
                <w:sz w:val="20"/>
                <w:szCs w:val="20"/>
                <w:color w:val="auto"/>
              </w:rPr>
            </w:pPr>
            <w:r>
              <w:rPr>
                <w:rFonts w:ascii="Arial" w:cs="Arial" w:eastAsia="Arial" w:hAnsi="Arial"/>
                <w:sz w:val="16"/>
                <w:szCs w:val="16"/>
                <w:color w:val="auto"/>
              </w:rPr>
              <w:t>27.7%</w:t>
            </w:r>
          </w:p>
        </w:tc>
        <w:tc>
          <w:tcPr>
            <w:tcW w:w="1380" w:type="dxa"/>
            <w:vAlign w:val="bottom"/>
          </w:tcPr>
          <w:p>
            <w:pPr>
              <w:jc w:val="right"/>
              <w:ind w:right="142"/>
              <w:spacing w:after="0"/>
              <w:rPr>
                <w:sz w:val="20"/>
                <w:szCs w:val="20"/>
                <w:color w:val="auto"/>
              </w:rPr>
            </w:pPr>
            <w:r>
              <w:rPr>
                <w:rFonts w:ascii="Arial" w:cs="Arial" w:eastAsia="Arial" w:hAnsi="Arial"/>
                <w:sz w:val="16"/>
                <w:szCs w:val="16"/>
                <w:color w:val="auto"/>
              </w:rPr>
              <w:t>24.8%</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22.3%</w:t>
            </w:r>
          </w:p>
        </w:tc>
        <w:tc>
          <w:tcPr>
            <w:tcW w:w="116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188"/>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Advertising and other revenue</w:t>
            </w:r>
          </w:p>
        </w:tc>
        <w:tc>
          <w:tcPr>
            <w:tcW w:w="158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4.7%</w:t>
            </w:r>
          </w:p>
        </w:tc>
        <w:tc>
          <w:tcPr>
            <w:tcW w:w="13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5.9%</w:t>
            </w:r>
          </w:p>
        </w:tc>
        <w:tc>
          <w:tcPr>
            <w:tcW w:w="160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5.0%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180"/>
        </w:trPr>
        <w:tc>
          <w:tcPr>
            <w:tcW w:w="3400" w:type="dxa"/>
            <w:vAlign w:val="bottom"/>
          </w:tcPr>
          <w:p>
            <w:pPr>
              <w:spacing w:after="0" w:line="180" w:lineRule="exact"/>
              <w:rPr>
                <w:sz w:val="20"/>
                <w:szCs w:val="20"/>
                <w:color w:val="auto"/>
              </w:rPr>
            </w:pPr>
            <w:r>
              <w:rPr>
                <w:rFonts w:ascii="Arial" w:cs="Arial" w:eastAsia="Arial" w:hAnsi="Arial"/>
                <w:sz w:val="16"/>
                <w:szCs w:val="16"/>
                <w:color w:val="auto"/>
              </w:rPr>
              <w:t>Total revenue</w:t>
            </w:r>
          </w:p>
        </w:tc>
        <w:tc>
          <w:tcPr>
            <w:tcW w:w="1580" w:type="dxa"/>
            <w:vAlign w:val="bottom"/>
          </w:tcPr>
          <w:p>
            <w:pPr>
              <w:jc w:val="right"/>
              <w:ind w:right="222"/>
              <w:spacing w:after="0" w:line="180" w:lineRule="exact"/>
              <w:rPr>
                <w:sz w:val="20"/>
                <w:szCs w:val="20"/>
                <w:color w:val="auto"/>
              </w:rPr>
            </w:pPr>
            <w:r>
              <w:rPr>
                <w:rFonts w:ascii="Arial" w:cs="Arial" w:eastAsia="Arial" w:hAnsi="Arial"/>
                <w:sz w:val="16"/>
                <w:szCs w:val="16"/>
                <w:color w:val="auto"/>
              </w:rPr>
              <w:t>100.0%</w:t>
            </w:r>
          </w:p>
        </w:tc>
        <w:tc>
          <w:tcPr>
            <w:tcW w:w="1380" w:type="dxa"/>
            <w:vAlign w:val="bottom"/>
          </w:tcPr>
          <w:p>
            <w:pPr>
              <w:jc w:val="right"/>
              <w:ind w:right="142"/>
              <w:spacing w:after="0" w:line="180" w:lineRule="exact"/>
              <w:rPr>
                <w:sz w:val="20"/>
                <w:szCs w:val="20"/>
                <w:color w:val="auto"/>
              </w:rPr>
            </w:pPr>
            <w:r>
              <w:rPr>
                <w:rFonts w:ascii="Arial" w:cs="Arial" w:eastAsia="Arial" w:hAnsi="Arial"/>
                <w:sz w:val="16"/>
                <w:szCs w:val="16"/>
                <w:color w:val="auto"/>
              </w:rPr>
              <w:t>100.0%</w:t>
            </w:r>
          </w:p>
        </w:tc>
        <w:tc>
          <w:tcPr>
            <w:tcW w:w="1600" w:type="dxa"/>
            <w:vAlign w:val="bottom"/>
          </w:tcPr>
          <w:p>
            <w:pPr>
              <w:jc w:val="right"/>
              <w:ind w:right="282"/>
              <w:spacing w:after="0" w:line="180" w:lineRule="exact"/>
              <w:rPr>
                <w:sz w:val="20"/>
                <w:szCs w:val="20"/>
                <w:color w:val="auto"/>
              </w:rPr>
            </w:pPr>
            <w:r>
              <w:rPr>
                <w:rFonts w:ascii="Arial" w:cs="Arial" w:eastAsia="Arial" w:hAnsi="Arial"/>
                <w:sz w:val="16"/>
                <w:szCs w:val="16"/>
                <w:color w:val="auto"/>
              </w:rPr>
              <w:t>100.0%</w:t>
            </w:r>
          </w:p>
        </w:tc>
        <w:tc>
          <w:tcPr>
            <w:tcW w:w="1160" w:type="dxa"/>
            <w:vAlign w:val="bottom"/>
          </w:tcPr>
          <w:p>
            <w:pPr>
              <w:jc w:val="right"/>
              <w:spacing w:after="0" w:line="180" w:lineRule="exact"/>
              <w:rPr>
                <w:sz w:val="20"/>
                <w:szCs w:val="20"/>
                <w:color w:val="auto"/>
              </w:rPr>
            </w:pPr>
            <w:r>
              <w:rPr>
                <w:rFonts w:ascii="Arial" w:cs="Arial" w:eastAsia="Arial" w:hAnsi="Arial"/>
                <w:sz w:val="16"/>
                <w:szCs w:val="16"/>
                <w:color w:val="auto"/>
              </w:rPr>
              <w:t>100.0%</w:t>
            </w:r>
          </w:p>
        </w:tc>
      </w:tr>
      <w:tr>
        <w:trPr>
          <w:trHeight w:val="164"/>
        </w:trPr>
        <w:tc>
          <w:tcPr>
            <w:tcW w:w="34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8"/>
        </w:trPr>
        <w:tc>
          <w:tcPr>
            <w:tcW w:w="340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1580" w:type="dxa"/>
            <w:vAlign w:val="bottom"/>
          </w:tcPr>
          <w:p>
            <w:pPr>
              <w:jc w:val="right"/>
              <w:ind w:right="222"/>
              <w:spacing w:after="0"/>
              <w:rPr>
                <w:sz w:val="20"/>
                <w:szCs w:val="20"/>
                <w:color w:val="auto"/>
              </w:rPr>
            </w:pPr>
            <w:r>
              <w:rPr>
                <w:rFonts w:ascii="Arial" w:cs="Arial" w:eastAsia="Arial" w:hAnsi="Arial"/>
                <w:sz w:val="16"/>
                <w:szCs w:val="16"/>
                <w:color w:val="auto"/>
              </w:rPr>
              <w:t>51.7%</w:t>
            </w:r>
          </w:p>
        </w:tc>
        <w:tc>
          <w:tcPr>
            <w:tcW w:w="1380" w:type="dxa"/>
            <w:vAlign w:val="bottom"/>
          </w:tcPr>
          <w:p>
            <w:pPr>
              <w:jc w:val="right"/>
              <w:ind w:right="142"/>
              <w:spacing w:after="0"/>
              <w:rPr>
                <w:sz w:val="20"/>
                <w:szCs w:val="20"/>
                <w:color w:val="auto"/>
              </w:rPr>
            </w:pPr>
            <w:r>
              <w:rPr>
                <w:rFonts w:ascii="Arial" w:cs="Arial" w:eastAsia="Arial" w:hAnsi="Arial"/>
                <w:sz w:val="16"/>
                <w:szCs w:val="16"/>
                <w:color w:val="auto"/>
              </w:rPr>
              <w:t>47.9%</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46.9%</w:t>
            </w:r>
          </w:p>
        </w:tc>
        <w:tc>
          <w:tcPr>
            <w:tcW w:w="116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Concession cost</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16.2%</w:t>
            </w:r>
          </w:p>
        </w:tc>
        <w:tc>
          <w:tcPr>
            <w:tcW w:w="13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20.0%</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24.2%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164"/>
        </w:trPr>
        <w:tc>
          <w:tcPr>
            <w:tcW w:w="3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Occupancy expense</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22.5%</w:t>
            </w:r>
          </w:p>
        </w:tc>
        <w:tc>
          <w:tcPr>
            <w:tcW w:w="13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19.4%</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18.3%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188"/>
        </w:trPr>
        <w:tc>
          <w:tcPr>
            <w:tcW w:w="3400" w:type="dxa"/>
            <w:vAlign w:val="bottom"/>
          </w:tcPr>
          <w:p>
            <w:pPr>
              <w:spacing w:after="0"/>
              <w:rPr>
                <w:sz w:val="20"/>
                <w:szCs w:val="20"/>
                <w:color w:val="auto"/>
              </w:rPr>
            </w:pPr>
            <w:r>
              <w:rPr>
                <w:rFonts w:ascii="Arial" w:cs="Arial" w:eastAsia="Arial" w:hAnsi="Arial"/>
                <w:sz w:val="16"/>
                <w:szCs w:val="16"/>
                <w:color w:val="auto"/>
              </w:rPr>
              <w:t>Other operating expense</w:t>
            </w:r>
          </w:p>
        </w:tc>
        <w:tc>
          <w:tcPr>
            <w:tcW w:w="1580" w:type="dxa"/>
            <w:vAlign w:val="bottom"/>
          </w:tcPr>
          <w:p>
            <w:pPr>
              <w:jc w:val="right"/>
              <w:ind w:right="222"/>
              <w:spacing w:after="0"/>
              <w:rPr>
                <w:sz w:val="20"/>
                <w:szCs w:val="20"/>
                <w:color w:val="auto"/>
              </w:rPr>
            </w:pPr>
            <w:r>
              <w:rPr>
                <w:rFonts w:ascii="Arial" w:cs="Arial" w:eastAsia="Arial" w:hAnsi="Arial"/>
                <w:sz w:val="16"/>
                <w:szCs w:val="16"/>
                <w:color w:val="auto"/>
              </w:rPr>
              <w:t>25.7%</w:t>
            </w:r>
          </w:p>
        </w:tc>
        <w:tc>
          <w:tcPr>
            <w:tcW w:w="1380" w:type="dxa"/>
            <w:vAlign w:val="bottom"/>
          </w:tcPr>
          <w:p>
            <w:pPr>
              <w:jc w:val="right"/>
              <w:ind w:right="142"/>
              <w:spacing w:after="0"/>
              <w:rPr>
                <w:sz w:val="20"/>
                <w:szCs w:val="20"/>
                <w:color w:val="auto"/>
              </w:rPr>
            </w:pPr>
            <w:r>
              <w:rPr>
                <w:rFonts w:ascii="Arial" w:cs="Arial" w:eastAsia="Arial" w:hAnsi="Arial"/>
                <w:sz w:val="16"/>
                <w:szCs w:val="16"/>
                <w:color w:val="auto"/>
              </w:rPr>
              <w:t>23.2%</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25.9%</w:t>
            </w:r>
          </w:p>
        </w:tc>
        <w:tc>
          <w:tcPr>
            <w:tcW w:w="116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 and expense</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87.6%</w:t>
            </w:r>
          </w:p>
        </w:tc>
        <w:tc>
          <w:tcPr>
            <w:tcW w:w="13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80.8%</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83.8%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r>
      <w:tr>
        <w:trPr>
          <w:trHeight w:val="188"/>
        </w:trPr>
        <w:tc>
          <w:tcPr>
            <w:tcW w:w="34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580" w:type="dxa"/>
            <w:vAlign w:val="bottom"/>
          </w:tcPr>
          <w:p>
            <w:pPr>
              <w:jc w:val="right"/>
              <w:ind w:right="222"/>
              <w:spacing w:after="0"/>
              <w:rPr>
                <w:sz w:val="20"/>
                <w:szCs w:val="20"/>
                <w:color w:val="auto"/>
              </w:rPr>
            </w:pPr>
            <w:r>
              <w:rPr>
                <w:rFonts w:ascii="Arial" w:cs="Arial" w:eastAsia="Arial" w:hAnsi="Arial"/>
                <w:sz w:val="16"/>
                <w:szCs w:val="16"/>
                <w:color w:val="auto"/>
              </w:rPr>
              <w:t>5.6%</w:t>
            </w:r>
          </w:p>
        </w:tc>
        <w:tc>
          <w:tcPr>
            <w:tcW w:w="1380" w:type="dxa"/>
            <w:vAlign w:val="bottom"/>
          </w:tcPr>
          <w:p>
            <w:pPr>
              <w:jc w:val="right"/>
              <w:ind w:right="142"/>
              <w:spacing w:after="0"/>
              <w:rPr>
                <w:sz w:val="20"/>
                <w:szCs w:val="20"/>
                <w:color w:val="auto"/>
              </w:rPr>
            </w:pPr>
            <w:r>
              <w:rPr>
                <w:rFonts w:ascii="Arial" w:cs="Arial" w:eastAsia="Arial" w:hAnsi="Arial"/>
                <w:sz w:val="16"/>
                <w:szCs w:val="16"/>
                <w:color w:val="auto"/>
              </w:rPr>
              <w:t>3.6%</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5.7%</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1.7%</w:t>
            </w:r>
          </w:p>
        </w:tc>
        <w:tc>
          <w:tcPr>
            <w:tcW w:w="13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0.7%</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1580" w:type="dxa"/>
            <w:vAlign w:val="bottom"/>
          </w:tcPr>
          <w:p>
            <w:pPr>
              <w:jc w:val="right"/>
              <w:ind w:right="222"/>
              <w:spacing w:after="0"/>
              <w:rPr>
                <w:sz w:val="20"/>
                <w:szCs w:val="20"/>
                <w:color w:val="auto"/>
              </w:rPr>
            </w:pPr>
            <w:r>
              <w:rPr>
                <w:rFonts w:ascii="Arial" w:cs="Arial" w:eastAsia="Arial" w:hAnsi="Arial"/>
                <w:sz w:val="16"/>
                <w:szCs w:val="16"/>
                <w:color w:val="auto"/>
              </w:rPr>
              <w:t>5.2%</w:t>
            </w:r>
          </w:p>
        </w:tc>
        <w:tc>
          <w:tcPr>
            <w:tcW w:w="1380" w:type="dxa"/>
            <w:vAlign w:val="bottom"/>
          </w:tcPr>
          <w:p>
            <w:pPr>
              <w:jc w:val="right"/>
              <w:ind w:right="142"/>
              <w:spacing w:after="0"/>
              <w:rPr>
                <w:sz w:val="20"/>
                <w:szCs w:val="20"/>
                <w:color w:val="auto"/>
              </w:rPr>
            </w:pPr>
            <w:r>
              <w:rPr>
                <w:rFonts w:ascii="Arial" w:cs="Arial" w:eastAsia="Arial" w:hAnsi="Arial"/>
                <w:sz w:val="16"/>
                <w:szCs w:val="16"/>
                <w:color w:val="auto"/>
              </w:rPr>
              <w:t>14.9%</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10.6%</w:t>
            </w:r>
          </w:p>
        </w:tc>
        <w:tc>
          <w:tcPr>
            <w:tcW w:w="1160" w:type="dxa"/>
            <w:vAlign w:val="bottom"/>
          </w:tcPr>
          <w:p>
            <w:pPr>
              <w:jc w:val="right"/>
              <w:spacing w:after="0"/>
              <w:rPr>
                <w:sz w:val="20"/>
                <w:szCs w:val="20"/>
                <w:color w:val="auto"/>
              </w:rPr>
            </w:pPr>
            <w:r>
              <w:rPr>
                <w:rFonts w:ascii="Arial" w:cs="Arial" w:eastAsia="Arial" w:hAnsi="Arial"/>
                <w:sz w:val="16"/>
                <w:szCs w:val="16"/>
                <w:color w:val="auto"/>
              </w:rPr>
              <w:t>9.8%</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Results for 2014 Compared to 2013</w:t>
      </w:r>
    </w:p>
    <w:p>
      <w:pPr>
        <w:spacing w:after="0" w:line="157" w:lineRule="exact"/>
        <w:rPr>
          <w:sz w:val="20"/>
          <w:szCs w:val="20"/>
          <w:color w:val="auto"/>
        </w:rPr>
      </w:pPr>
    </w:p>
    <w:p>
      <w:pPr>
        <w:ind w:left="340" w:right="20" w:hanging="46"/>
        <w:spacing w:after="0" w:line="252" w:lineRule="auto"/>
        <w:rPr>
          <w:sz w:val="20"/>
          <w:szCs w:val="20"/>
          <w:color w:val="auto"/>
        </w:rPr>
      </w:pPr>
      <w:r>
        <w:rPr>
          <w:rFonts w:ascii="Arial" w:cs="Arial" w:eastAsia="Arial" w:hAnsi="Arial"/>
          <w:sz w:val="16"/>
          <w:szCs w:val="16"/>
          <w:color w:val="auto"/>
        </w:rPr>
        <w:t>·Cinema revenue decreased in 2014 by $1.6 million or 0.7% compared to 2013. The geographic activity of our revenue can be summarized as follows:</w:t>
      </w:r>
    </w:p>
    <w:p>
      <w:pPr>
        <w:spacing w:after="0" w:line="1" w:lineRule="exact"/>
        <w:rPr>
          <w:sz w:val="20"/>
          <w:szCs w:val="20"/>
          <w:color w:val="auto"/>
        </w:rPr>
      </w:pPr>
    </w:p>
    <w:p>
      <w:pPr>
        <w:jc w:val="both"/>
        <w:ind w:left="960" w:hanging="116"/>
        <w:spacing w:after="0" w:line="243" w:lineRule="auto"/>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United States - Revenue in the United States decreased by $602,000 or 0.5%. This decrease was partially driven by a reduction in</w:t>
      </w:r>
      <w:r>
        <w:rPr>
          <w:rFonts w:ascii="Courier New" w:cs="Courier New" w:eastAsia="Courier New" w:hAnsi="Courier New"/>
          <w:sz w:val="15"/>
          <w:szCs w:val="15"/>
          <w:color w:val="auto"/>
        </w:rPr>
        <w:t xml:space="preserve"> </w:t>
      </w:r>
      <w:r>
        <w:rPr>
          <w:rFonts w:ascii="Arial" w:cs="Arial" w:eastAsia="Arial" w:hAnsi="Arial"/>
          <w:sz w:val="15"/>
          <w:szCs w:val="15"/>
          <w:color w:val="auto"/>
        </w:rPr>
        <w:t>box office revenue of $1.5 million, in turn driven by an 82,000 admit reduction together with a 1.0% reduction in average ticket price, offset by increased concession and café revenues of approximately $524,000.</w:t>
      </w:r>
    </w:p>
    <w:p>
      <w:pPr>
        <w:spacing w:after="0" w:line="1" w:lineRule="exact"/>
        <w:rPr>
          <w:sz w:val="20"/>
          <w:szCs w:val="20"/>
          <w:color w:val="auto"/>
        </w:rPr>
      </w:pPr>
    </w:p>
    <w:p>
      <w:pPr>
        <w:ind w:left="960" w:right="120" w:hanging="116"/>
        <w:spacing w:after="0" w:line="263" w:lineRule="auto"/>
        <w:rPr>
          <w:sz w:val="20"/>
          <w:szCs w:val="20"/>
          <w:color w:val="auto"/>
        </w:rPr>
      </w:pPr>
      <w:r>
        <w:rPr>
          <w:rFonts w:ascii="Courier New" w:cs="Courier New" w:eastAsia="Courier New" w:hAnsi="Courier New"/>
          <w:sz w:val="13"/>
          <w:szCs w:val="13"/>
          <w:color w:val="auto"/>
        </w:rPr>
        <w:t xml:space="preserve">o </w:t>
      </w:r>
      <w:r>
        <w:rPr>
          <w:rFonts w:ascii="Arial" w:cs="Arial" w:eastAsia="Arial" w:hAnsi="Arial"/>
          <w:sz w:val="13"/>
          <w:szCs w:val="13"/>
          <w:color w:val="auto"/>
        </w:rPr>
        <w:t>Australia - Revenue in Australia decreased by $2.9 million or 3.2%. This decrease was primarily due to the strengthening of the</w:t>
      </w:r>
      <w:r>
        <w:rPr>
          <w:rFonts w:ascii="Courier New" w:cs="Courier New" w:eastAsia="Courier New" w:hAnsi="Courier New"/>
          <w:sz w:val="13"/>
          <w:szCs w:val="13"/>
          <w:color w:val="auto"/>
        </w:rPr>
        <w:t xml:space="preserve"> </w:t>
      </w:r>
      <w:r>
        <w:rPr>
          <w:rFonts w:ascii="Arial" w:cs="Arial" w:eastAsia="Arial" w:hAnsi="Arial"/>
          <w:sz w:val="13"/>
          <w:szCs w:val="13"/>
          <w:color w:val="auto"/>
        </w:rPr>
        <w:t>U.S. dollar against the Australian dollar in 2014 (refer below). Local currency box office was consistent with 2013, with a decrease in average ticket price of 4.5% being offset by increased ticket sales of 4.9%. Excluding currency effects, concession revenue was up 7.0%, reflecting increased admission volume and spend per admit.</w:t>
      </w:r>
    </w:p>
    <w:p>
      <w:pPr>
        <w:spacing w:after="0" w:line="2" w:lineRule="exact"/>
        <w:rPr>
          <w:sz w:val="20"/>
          <w:szCs w:val="20"/>
          <w:color w:val="auto"/>
        </w:rPr>
      </w:pPr>
    </w:p>
    <w:p>
      <w:pPr>
        <w:jc w:val="both"/>
        <w:ind w:left="960" w:hanging="116"/>
        <w:spacing w:after="0" w:line="237"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New Zealand - Revenue in New Zealand increased by $2.0 million or 9.1%. Attendance increased by 88,000 or 5.1%. The</w:t>
      </w:r>
      <w:r>
        <w:rPr>
          <w:rFonts w:ascii="Courier New" w:cs="Courier New" w:eastAsia="Courier New" w:hAnsi="Courier New"/>
          <w:sz w:val="16"/>
          <w:szCs w:val="16"/>
          <w:color w:val="auto"/>
        </w:rPr>
        <w:t xml:space="preserve"> </w:t>
      </w:r>
      <w:r>
        <w:rPr>
          <w:rFonts w:ascii="Arial" w:cs="Arial" w:eastAsia="Arial" w:hAnsi="Arial"/>
          <w:sz w:val="16"/>
          <w:szCs w:val="16"/>
          <w:color w:val="auto"/>
        </w:rPr>
        <w:t>majority of this increase was achieved through the opening of our Dunedin cinema. The attendance increase more than offset local currency reduction in average ticket price of 1.8%. Concession revenue increased by $879,000 due to the combined positive effect of increased admission volumes, improved spend per patron, and a positive U.S. dollar to N.Z. dollar exchange rate movement.</w:t>
      </w:r>
    </w:p>
    <w:p>
      <w:pPr>
        <w:spacing w:after="0" w:line="4" w:lineRule="exact"/>
        <w:rPr>
          <w:sz w:val="20"/>
          <w:szCs w:val="20"/>
          <w:color w:val="auto"/>
        </w:rPr>
      </w:pPr>
    </w:p>
    <w:p>
      <w:pPr>
        <w:ind w:left="340" w:right="20" w:hanging="46"/>
        <w:spacing w:after="0" w:line="244" w:lineRule="auto"/>
        <w:rPr>
          <w:sz w:val="20"/>
          <w:szCs w:val="20"/>
          <w:color w:val="auto"/>
        </w:rPr>
      </w:pPr>
      <w:r>
        <w:rPr>
          <w:rFonts w:ascii="Arial" w:cs="Arial" w:eastAsia="Arial" w:hAnsi="Arial"/>
          <w:sz w:val="16"/>
          <w:szCs w:val="16"/>
          <w:color w:val="auto"/>
        </w:rPr>
        <w:t>·Operating expense decreased in 2014 by $5.0 million or 2.5% compared to 2013. Year-over-year operating expense percentage decreased in relation to revenue from 83.9% to 82.4%.</w:t>
      </w:r>
    </w:p>
    <w:p>
      <w:pPr>
        <w:spacing w:after="0" w:line="2" w:lineRule="exact"/>
        <w:rPr>
          <w:sz w:val="20"/>
          <w:szCs w:val="20"/>
          <w:color w:val="auto"/>
        </w:rPr>
      </w:pPr>
    </w:p>
    <w:p>
      <w:pPr>
        <w:jc w:val="both"/>
        <w:ind w:left="960" w:hanging="116"/>
        <w:spacing w:after="0" w:line="294" w:lineRule="auto"/>
        <w:rPr>
          <w:sz w:val="20"/>
          <w:szCs w:val="20"/>
          <w:color w:val="auto"/>
        </w:rPr>
      </w:pPr>
      <w:r>
        <w:rPr>
          <w:rFonts w:ascii="Courier New" w:cs="Courier New" w:eastAsia="Courier New" w:hAnsi="Courier New"/>
          <w:sz w:val="13"/>
          <w:szCs w:val="13"/>
          <w:color w:val="auto"/>
        </w:rPr>
        <w:t xml:space="preserve">o </w:t>
      </w:r>
      <w:r>
        <w:rPr>
          <w:rFonts w:ascii="Arial" w:cs="Arial" w:eastAsia="Arial" w:hAnsi="Arial"/>
          <w:sz w:val="13"/>
          <w:szCs w:val="13"/>
          <w:color w:val="auto"/>
        </w:rPr>
        <w:t>United States - Operating expense in the United States increased by $1.3 million or 1.2% primarily related to a $773,000 decrease</w:t>
      </w:r>
      <w:r>
        <w:rPr>
          <w:rFonts w:ascii="Courier New" w:cs="Courier New" w:eastAsia="Courier New" w:hAnsi="Courier New"/>
          <w:sz w:val="13"/>
          <w:szCs w:val="13"/>
          <w:color w:val="auto"/>
        </w:rPr>
        <w:t xml:space="preserve"> </w:t>
      </w:r>
      <w:r>
        <w:rPr>
          <w:rFonts w:ascii="Arial" w:cs="Arial" w:eastAsia="Arial" w:hAnsi="Arial"/>
          <w:sz w:val="13"/>
          <w:szCs w:val="13"/>
          <w:color w:val="auto"/>
        </w:rPr>
        <w:t>in film rent and advertising together with a decrease of $280,000 in occupancy related costs offset by an increase of $2.1 million in other operating expense which includes not only increases in labor related costs, but also increases in insurance and utilities.</w:t>
      </w:r>
    </w:p>
    <w:p>
      <w:pPr>
        <w:jc w:val="both"/>
        <w:ind w:left="960" w:hanging="116"/>
        <w:spacing w:after="0" w:line="251" w:lineRule="auto"/>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Australia - Operating expense in Australia decreased by $7.0 million or 9.4%. As with revenue, a significant contributor to the</w:t>
      </w:r>
      <w:r>
        <w:rPr>
          <w:rFonts w:ascii="Courier New" w:cs="Courier New" w:eastAsia="Courier New" w:hAnsi="Courier New"/>
          <w:sz w:val="15"/>
          <w:szCs w:val="15"/>
          <w:color w:val="auto"/>
        </w:rPr>
        <w:t xml:space="preserve"> </w:t>
      </w:r>
      <w:r>
        <w:rPr>
          <w:rFonts w:ascii="Arial" w:cs="Arial" w:eastAsia="Arial" w:hAnsi="Arial"/>
          <w:sz w:val="15"/>
          <w:szCs w:val="15"/>
          <w:color w:val="auto"/>
        </w:rPr>
        <w:t>decrease was the strengthening of the U.S. dollar against the Australian dollar in 2014 (see below). Film rental costs were also lower due to a lower film rental percentage being achieved. Other operating costs were reduced by $3.2 million or 14.4%, with many incremental cost improvements most notably a reduction in marketing costs.</w:t>
      </w:r>
    </w:p>
    <w:p>
      <w:pPr>
        <w:spacing w:after="0" w:line="2" w:lineRule="exact"/>
        <w:rPr>
          <w:sz w:val="20"/>
          <w:szCs w:val="20"/>
          <w:color w:val="auto"/>
        </w:rPr>
      </w:pPr>
    </w:p>
    <w:p>
      <w:pPr>
        <w:jc w:val="both"/>
        <w:ind w:left="960" w:hanging="116"/>
        <w:spacing w:after="0" w:line="229"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New Zealand - Operating expense in New Zealand increased by $743,000 or 4.1%. This increase was in line with the above-mentioned increase in cinema revenue, which directly affects film rental costs and with the above-mentioned year-over-year increase in the value of the New Zealand dollar compared to the U.S. dollar (see below).</w:t>
      </w:r>
    </w:p>
    <w:p>
      <w:pPr>
        <w:spacing w:after="0" w:line="1" w:lineRule="exact"/>
        <w:rPr>
          <w:sz w:val="20"/>
          <w:szCs w:val="20"/>
          <w:color w:val="auto"/>
        </w:rPr>
      </w:pPr>
    </w:p>
    <w:p>
      <w:pPr>
        <w:ind w:left="340" w:right="620" w:hanging="46"/>
        <w:spacing w:after="0" w:line="222" w:lineRule="auto"/>
        <w:rPr>
          <w:sz w:val="20"/>
          <w:szCs w:val="20"/>
          <w:color w:val="auto"/>
        </w:rPr>
      </w:pPr>
      <w:r>
        <w:rPr>
          <w:rFonts w:ascii="Arial" w:cs="Arial" w:eastAsia="Arial" w:hAnsi="Arial"/>
          <w:sz w:val="16"/>
          <w:szCs w:val="16"/>
          <w:color w:val="auto"/>
        </w:rPr>
        <w:t>·Depreciation expense increased in 2014 by $306,000 or 2.8% compared to 2013. This primarily related to digital projection assets receiving their first full year of depreciation in 2014 in Australia and New Zealand.</w:t>
      </w:r>
    </w:p>
    <w:p>
      <w:pPr>
        <w:ind w:left="340" w:hanging="46"/>
        <w:spacing w:after="0" w:line="247" w:lineRule="auto"/>
        <w:rPr>
          <w:sz w:val="20"/>
          <w:szCs w:val="20"/>
          <w:color w:val="auto"/>
        </w:rPr>
      </w:pPr>
      <w:r>
        <w:rPr>
          <w:rFonts w:ascii="Arial" w:cs="Arial" w:eastAsia="Arial" w:hAnsi="Arial"/>
          <w:sz w:val="16"/>
          <w:szCs w:val="16"/>
          <w:color w:val="auto"/>
        </w:rPr>
        <w:t>·General and administrative expense increased in 2014 by $302,000 or 9.2% compared to 2013. This increase was primarily related to an increase in labor expense from our U.S. cinema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334" w:right="1419" w:bottom="1440" w:gutter="0" w:footer="0" w:header="0"/>
        </w:sectPr>
      </w:pPr>
    </w:p>
    <w:bookmarkStart w:id="40" w:name="page41"/>
    <w:bookmarkEnd w:id="40"/>
    <w:p>
      <w:pPr>
        <w:ind w:left="340" w:right="20" w:hanging="46"/>
        <w:spacing w:after="0" w:line="252" w:lineRule="auto"/>
        <w:rPr>
          <w:sz w:val="20"/>
          <w:szCs w:val="20"/>
          <w:color w:val="auto"/>
        </w:rPr>
      </w:pPr>
      <w:r>
        <w:rPr>
          <w:rFonts w:ascii="Arial" w:cs="Arial" w:eastAsia="Arial" w:hAnsi="Arial"/>
          <w:sz w:val="16"/>
          <w:szCs w:val="16"/>
          <w:color w:val="auto"/>
        </w:rPr>
        <w:t>·Australian average exchange rates decreased by 6.8% in 2014 from 2013. Conversely New Zealand average exchange rates increased by 1.2% from 2013 to 2014. Both had an impact on our statements of operations.</w:t>
      </w:r>
    </w:p>
    <w:p>
      <w:pPr>
        <w:spacing w:after="0" w:line="1" w:lineRule="exact"/>
        <w:rPr>
          <w:sz w:val="20"/>
          <w:szCs w:val="20"/>
          <w:color w:val="auto"/>
        </w:rPr>
      </w:pPr>
    </w:p>
    <w:p>
      <w:pPr>
        <w:ind w:right="460" w:firstLine="282"/>
        <w:spacing w:after="0" w:line="444" w:lineRule="auto"/>
        <w:rPr>
          <w:sz w:val="20"/>
          <w:szCs w:val="20"/>
          <w:color w:val="auto"/>
        </w:rPr>
      </w:pPr>
      <w:r>
        <w:rPr>
          <w:rFonts w:ascii="Arial" w:cs="Arial" w:eastAsia="Arial" w:hAnsi="Arial"/>
          <w:sz w:val="16"/>
          <w:szCs w:val="16"/>
          <w:color w:val="auto"/>
        </w:rPr>
        <w:t xml:space="preserve">·As a result of the above, cinema exhibition segment operating income increased in 2014 by $2.8 million or 11.4% compared to 2013. </w:t>
      </w:r>
      <w:r>
        <w:rPr>
          <w:rFonts w:ascii="Arial" w:cs="Arial" w:eastAsia="Arial" w:hAnsi="Arial"/>
          <w:sz w:val="16"/>
          <w:szCs w:val="16"/>
          <w:u w:val="single" w:color="auto"/>
          <w:color w:val="auto"/>
        </w:rPr>
        <w:t>Cinema Results for 2013 Compared to 2012</w:t>
      </w:r>
    </w:p>
    <w:p>
      <w:pPr>
        <w:spacing w:after="0" w:line="1" w:lineRule="exact"/>
        <w:rPr>
          <w:sz w:val="20"/>
          <w:szCs w:val="20"/>
          <w:color w:val="auto"/>
        </w:rPr>
      </w:pPr>
    </w:p>
    <w:p>
      <w:pPr>
        <w:ind w:left="340" w:right="20" w:hanging="46"/>
        <w:spacing w:after="0" w:line="252" w:lineRule="auto"/>
        <w:rPr>
          <w:sz w:val="20"/>
          <w:szCs w:val="20"/>
          <w:color w:val="auto"/>
        </w:rPr>
      </w:pPr>
      <w:r>
        <w:rPr>
          <w:rFonts w:ascii="Arial" w:cs="Arial" w:eastAsia="Arial" w:hAnsi="Arial"/>
          <w:sz w:val="16"/>
          <w:szCs w:val="16"/>
          <w:color w:val="auto"/>
        </w:rPr>
        <w:t>·Cinema revenue increased in 2013 by $4.7 million or 2.0% compared to 2012. The geographic activity of our revenue can be summarized as follows:</w:t>
      </w:r>
    </w:p>
    <w:p>
      <w:pPr>
        <w:spacing w:after="0" w:line="1" w:lineRule="exact"/>
        <w:rPr>
          <w:sz w:val="20"/>
          <w:szCs w:val="20"/>
          <w:color w:val="auto"/>
        </w:rPr>
      </w:pPr>
    </w:p>
    <w:p>
      <w:pPr>
        <w:jc w:val="both"/>
        <w:ind w:left="960" w:hanging="116"/>
        <w:spacing w:after="0" w:line="236"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United States - Revenue in the United States increased by $9.9 million or 8.5%. This increase in revenue was predominately</w:t>
      </w:r>
      <w:r>
        <w:rPr>
          <w:rFonts w:ascii="Courier New" w:cs="Courier New" w:eastAsia="Courier New" w:hAnsi="Courier New"/>
          <w:sz w:val="16"/>
          <w:szCs w:val="16"/>
          <w:color w:val="auto"/>
        </w:rPr>
        <w:t xml:space="preserve"> </w:t>
      </w:r>
      <w:r>
        <w:rPr>
          <w:rFonts w:ascii="Arial" w:cs="Arial" w:eastAsia="Arial" w:hAnsi="Arial"/>
          <w:sz w:val="16"/>
          <w:szCs w:val="16"/>
          <w:color w:val="auto"/>
        </w:rPr>
        <w:t>attributable to a 440,000 person increase in box office admissions and a 2.6% increase in the average ticket price coupled with a commensurate increase in concessions revenue. Both of these increases were primarily related to the quality of film product in 2013 compared to the same period in 2012.</w:t>
      </w:r>
    </w:p>
    <w:p>
      <w:pPr>
        <w:jc w:val="both"/>
        <w:ind w:left="960" w:hanging="116"/>
        <w:spacing w:after="0" w:line="251" w:lineRule="auto"/>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Australia - Revenue in Australia decreased by $7.8 million or 7.8%. This decrease in revenue was primarily related to a 5.1%</w:t>
      </w:r>
      <w:r>
        <w:rPr>
          <w:rFonts w:ascii="Courier New" w:cs="Courier New" w:eastAsia="Courier New" w:hAnsi="Courier New"/>
          <w:sz w:val="15"/>
          <w:szCs w:val="15"/>
          <w:color w:val="auto"/>
        </w:rPr>
        <w:t xml:space="preserve"> </w:t>
      </w:r>
      <w:r>
        <w:rPr>
          <w:rFonts w:ascii="Arial" w:cs="Arial" w:eastAsia="Arial" w:hAnsi="Arial"/>
          <w:sz w:val="15"/>
          <w:szCs w:val="15"/>
          <w:color w:val="auto"/>
        </w:rPr>
        <w:t>decrease in the average ticket price resulting from a continued and expanded competitive ticket pricing model; offset in part by, a 60,000 person increase in box office admissions. As noted below, this decrease in revenue was exacerbated by a decrease in the value of the Australian dollar compared to the U.S. dollar for the comparable periods (see below).</w:t>
      </w:r>
    </w:p>
    <w:p>
      <w:pPr>
        <w:spacing w:after="0" w:line="2" w:lineRule="exact"/>
        <w:rPr>
          <w:sz w:val="20"/>
          <w:szCs w:val="20"/>
          <w:color w:val="auto"/>
        </w:rPr>
      </w:pPr>
    </w:p>
    <w:p>
      <w:pPr>
        <w:jc w:val="both"/>
        <w:ind w:left="960" w:hanging="116"/>
        <w:spacing w:after="0" w:line="253" w:lineRule="auto"/>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New Zealand - Revenue in New Zealand increased by $2.6 million or 13.4%. This increase in revenue was predominately</w:t>
      </w:r>
      <w:r>
        <w:rPr>
          <w:rFonts w:ascii="Courier New" w:cs="Courier New" w:eastAsia="Courier New" w:hAnsi="Courier New"/>
          <w:sz w:val="15"/>
          <w:szCs w:val="15"/>
          <w:color w:val="auto"/>
        </w:rPr>
        <w:t xml:space="preserve"> </w:t>
      </w:r>
      <w:r>
        <w:rPr>
          <w:rFonts w:ascii="Arial" w:cs="Arial" w:eastAsia="Arial" w:hAnsi="Arial"/>
          <w:sz w:val="15"/>
          <w:szCs w:val="15"/>
          <w:color w:val="auto"/>
        </w:rPr>
        <w:t>attributable to a year-over-year 121,000 person increase in admissions; somewhat offset by a decrease in the average ticket price of 0.4%. The increase in New Zealand admissions was primarily as a result of increased revenues coming from our previously earthquake damaged New Zealand multiplex. This increase in revenue was somewhat enhanced by an increase in the value of the New Zealand dollar compared to the U.S. dollar (see below).</w:t>
      </w:r>
    </w:p>
    <w:p>
      <w:pPr>
        <w:spacing w:after="0" w:line="3" w:lineRule="exact"/>
        <w:rPr>
          <w:sz w:val="20"/>
          <w:szCs w:val="20"/>
          <w:color w:val="auto"/>
        </w:rPr>
      </w:pPr>
    </w:p>
    <w:p>
      <w:pPr>
        <w:ind w:left="340" w:hanging="46"/>
        <w:spacing w:after="0" w:line="244" w:lineRule="auto"/>
        <w:rPr>
          <w:sz w:val="20"/>
          <w:szCs w:val="20"/>
          <w:color w:val="auto"/>
        </w:rPr>
      </w:pPr>
      <w:r>
        <w:rPr>
          <w:rFonts w:ascii="Arial" w:cs="Arial" w:eastAsia="Arial" w:hAnsi="Arial"/>
          <w:sz w:val="16"/>
          <w:szCs w:val="16"/>
          <w:color w:val="auto"/>
        </w:rPr>
        <w:t>·Operating expense increased in 2013 by $2.8 million or 1.4% compared to 2012. Year-over-year operating expense percentage decreased in relation to revenue from 84.4% to 83.9%.</w:t>
      </w:r>
    </w:p>
    <w:p>
      <w:pPr>
        <w:spacing w:after="0" w:line="2" w:lineRule="exact"/>
        <w:rPr>
          <w:sz w:val="20"/>
          <w:szCs w:val="20"/>
          <w:color w:val="auto"/>
        </w:rPr>
      </w:pPr>
    </w:p>
    <w:p>
      <w:pPr>
        <w:jc w:val="both"/>
        <w:ind w:left="960" w:hanging="116"/>
        <w:spacing w:after="0" w:line="236"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United States - Operating expense in the United States increased by $6.2 million or 6.1% primarily related to a $3.6 million</w:t>
      </w:r>
      <w:r>
        <w:rPr>
          <w:rFonts w:ascii="Courier New" w:cs="Courier New" w:eastAsia="Courier New" w:hAnsi="Courier New"/>
          <w:sz w:val="16"/>
          <w:szCs w:val="16"/>
          <w:color w:val="auto"/>
        </w:rPr>
        <w:t xml:space="preserve"> </w:t>
      </w:r>
      <w:r>
        <w:rPr>
          <w:rFonts w:ascii="Arial" w:cs="Arial" w:eastAsia="Arial" w:hAnsi="Arial"/>
          <w:sz w:val="16"/>
          <w:szCs w:val="16"/>
          <w:color w:val="auto"/>
        </w:rPr>
        <w:t>increase in film rent and advertising primarily associated with the aforementioned increases in revenues from admissions and a $2.0 million increase in other operating expense, including a $778,000 increase in projection costs primarily related to our new digital equipment lease.</w:t>
      </w:r>
    </w:p>
    <w:p>
      <w:pPr>
        <w:jc w:val="both"/>
        <w:ind w:left="960" w:hanging="116"/>
        <w:spacing w:after="0" w:line="233"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Australia - Operating expense in Australia decreased by $5.6 million or 7.0%. This decrease was in line with the above-mentioned decrease in cinema revenue, which directly affects film rental costs and was exacerbated by the year-over-year decrease in the value of the Australian dollar compared to the U.S. dollar (see below).</w:t>
      </w:r>
    </w:p>
    <w:p>
      <w:pPr>
        <w:jc w:val="both"/>
        <w:ind w:left="960" w:hanging="116"/>
        <w:spacing w:after="0" w:line="233"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New Zealand - Operating expense in New Zealand increased by $2.2 million or 13.9%. This increase was in line with the above-mentioned increase in cinema revenue, which directly affects film rental costs and with the above-mentioned year-over-year increase in the value of the New Zealand dollar compared to the U.S. dollar (see below).</w:t>
      </w:r>
    </w:p>
    <w:p>
      <w:pPr>
        <w:spacing w:after="0" w:line="1" w:lineRule="exact"/>
        <w:rPr>
          <w:sz w:val="20"/>
          <w:szCs w:val="20"/>
          <w:color w:val="auto"/>
        </w:rPr>
      </w:pPr>
    </w:p>
    <w:p>
      <w:pPr>
        <w:ind w:left="340" w:right="20" w:hanging="46"/>
        <w:spacing w:after="0" w:line="245" w:lineRule="auto"/>
        <w:rPr>
          <w:sz w:val="20"/>
          <w:szCs w:val="20"/>
          <w:color w:val="auto"/>
        </w:rPr>
      </w:pPr>
      <w:r>
        <w:rPr>
          <w:rFonts w:ascii="Arial" w:cs="Arial" w:eastAsia="Arial" w:hAnsi="Arial"/>
          <w:sz w:val="16"/>
          <w:szCs w:val="16"/>
          <w:color w:val="auto"/>
        </w:rPr>
        <w:t>·Depreciation expense decreased in 2013 by $413,000 or 3.7% compared to 2012. This decrease was primarily related to several of our cinema assets reaching the end of their depreciable lives.</w:t>
      </w:r>
    </w:p>
    <w:p>
      <w:pPr>
        <w:ind w:left="340" w:right="20" w:hanging="46"/>
        <w:spacing w:after="0" w:line="245" w:lineRule="auto"/>
        <w:rPr>
          <w:sz w:val="20"/>
          <w:szCs w:val="20"/>
          <w:color w:val="auto"/>
        </w:rPr>
      </w:pPr>
      <w:r>
        <w:rPr>
          <w:rFonts w:ascii="Arial" w:cs="Arial" w:eastAsia="Arial" w:hAnsi="Arial"/>
          <w:sz w:val="16"/>
          <w:szCs w:val="16"/>
          <w:color w:val="auto"/>
        </w:rPr>
        <w:t>·General and administrative expense increased in 2013 by $675,000 or 26.0% compared to 2012. This increase was primarily related to an increase in labor expense from our U.S. and Australian cinema operations.</w:t>
      </w:r>
    </w:p>
    <w:p>
      <w:pPr>
        <w:ind w:left="340" w:right="20" w:hanging="46"/>
        <w:spacing w:after="0" w:line="245" w:lineRule="auto"/>
        <w:rPr>
          <w:sz w:val="20"/>
          <w:szCs w:val="20"/>
          <w:color w:val="auto"/>
        </w:rPr>
      </w:pPr>
      <w:r>
        <w:rPr>
          <w:rFonts w:ascii="Arial" w:cs="Arial" w:eastAsia="Arial" w:hAnsi="Arial"/>
          <w:sz w:val="16"/>
          <w:szCs w:val="16"/>
          <w:color w:val="auto"/>
        </w:rPr>
        <w:t>·Australian average exchange rates decreased by 6.5% from 2012 to 2013 and the New Zealand average exchange rates increased by 1.2% from 2012 to 2013, both of which had an impact on our statements of operations.</w:t>
      </w:r>
    </w:p>
    <w:p>
      <w:pPr>
        <w:ind w:left="340" w:hanging="46"/>
        <w:spacing w:after="0" w:line="250" w:lineRule="auto"/>
        <w:rPr>
          <w:sz w:val="20"/>
          <w:szCs w:val="20"/>
          <w:color w:val="auto"/>
        </w:rPr>
      </w:pPr>
      <w:r>
        <w:rPr>
          <w:rFonts w:ascii="Arial" w:cs="Arial" w:eastAsia="Arial" w:hAnsi="Arial"/>
          <w:sz w:val="16"/>
          <w:szCs w:val="16"/>
          <w:color w:val="auto"/>
        </w:rPr>
        <w:t>·As a result, cinema exhibition segment operating income increased in 2013 by $1.6 million compared to 2012, primarily from the aforementioned increase in revenue from our U.S. and New Zealand cinema operations.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Real Estate Segment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41" w:name="page42"/>
    <w:bookmarkEnd w:id="41"/>
    <w:p>
      <w:pPr>
        <w:jc w:val="both"/>
        <w:ind w:firstLine="564"/>
        <w:spacing w:after="0" w:line="299" w:lineRule="auto"/>
        <w:rPr>
          <w:sz w:val="20"/>
          <w:szCs w:val="20"/>
          <w:color w:val="auto"/>
        </w:rPr>
      </w:pPr>
      <w:r>
        <w:rPr>
          <w:rFonts w:ascii="Arial" w:cs="Arial" w:eastAsia="Arial" w:hAnsi="Arial"/>
          <w:sz w:val="15"/>
          <w:szCs w:val="15"/>
          <w:color w:val="auto"/>
        </w:rPr>
        <w:t>As discussed above, our other business segment is the development and management of real estate. These holdings include our rental live theaters, certain fee-owned properties used in our cinema business, and unimproved real estate held for development.</w:t>
      </w:r>
    </w:p>
    <w:p>
      <w:pPr>
        <w:spacing w:after="0" w:line="99"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tables and discussion that follow detail our operating results for our 2014, 2013, and 2012 real estate segment (dollars in thousands). All percentages below are expressed as a percent of total revenue, except live theater cost, which is expressed as a percentage of live theater rental and ancillary revenue, and property cost, which is expressed as a percentage of property rental revenue: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20"/>
                <w:szCs w:val="20"/>
                <w:color w:val="auto"/>
              </w:rPr>
            </w:pPr>
            <w:r>
              <w:rPr>
                <w:rFonts w:ascii="Arial" w:cs="Arial" w:eastAsia="Arial" w:hAnsi="Arial"/>
                <w:sz w:val="16"/>
                <w:szCs w:val="16"/>
                <w:b w:val="1"/>
                <w:bCs w:val="1"/>
                <w:color w:val="auto"/>
              </w:rPr>
              <w:t>Operating Income by Country for the Year</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2014</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United States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New Zealand</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rental and ancillary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r>
      <w:tr>
        <w:trPr>
          <w:trHeight w:val="18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income</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1,785</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13,702</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5,517</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21,004</w:t>
            </w:r>
          </w:p>
        </w:tc>
      </w:tr>
      <w:tr>
        <w:trPr>
          <w:trHeight w:val="180"/>
        </w:trPr>
        <w:tc>
          <w:tcPr>
            <w:tcW w:w="33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2"/>
              <w:spacing w:after="0" w:line="180" w:lineRule="exact"/>
              <w:rPr>
                <w:sz w:val="20"/>
                <w:szCs w:val="20"/>
                <w:color w:val="auto"/>
              </w:rPr>
            </w:pPr>
            <w:r>
              <w:rPr>
                <w:rFonts w:ascii="Arial" w:cs="Arial" w:eastAsia="Arial" w:hAnsi="Arial"/>
                <w:sz w:val="16"/>
                <w:szCs w:val="16"/>
                <w:color w:val="auto"/>
              </w:rPr>
              <w:t>5,128</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13,702</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5,517</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24,347</w:t>
            </w:r>
          </w:p>
        </w:tc>
      </w:tr>
      <w:tr>
        <w:trPr>
          <w:trHeight w:val="164"/>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cost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1,591</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w:t>
            </w: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Property rental cost</w:t>
            </w:r>
          </w:p>
        </w:tc>
        <w:tc>
          <w:tcPr>
            <w:tcW w:w="180" w:type="dxa"/>
            <w:vAlign w:val="bottom"/>
          </w:tcPr>
          <w:p>
            <w:pPr>
              <w:spacing w:after="0"/>
              <w:rPr>
                <w:sz w:val="16"/>
                <w:szCs w:val="16"/>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2,229</w:t>
            </w:r>
          </w:p>
        </w:tc>
        <w:tc>
          <w:tcPr>
            <w:tcW w:w="18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1,599</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3,826</w:t>
            </w:r>
          </w:p>
        </w:tc>
      </w:tr>
      <w:tr>
        <w:trPr>
          <w:trHeight w:val="188"/>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Occupancy expense</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974</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2,532</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846</w:t>
            </w: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w:t>
            </w:r>
          </w:p>
        </w:tc>
      </w:tr>
      <w:tr>
        <w:trPr>
          <w:trHeight w:val="180"/>
        </w:trPr>
        <w:tc>
          <w:tcPr>
            <w:tcW w:w="3320" w:type="dxa"/>
            <w:vAlign w:val="bottom"/>
          </w:tcPr>
          <w:p>
            <w:pPr>
              <w:spacing w:after="0" w:line="180" w:lineRule="exact"/>
              <w:rPr>
                <w:sz w:val="20"/>
                <w:szCs w:val="20"/>
                <w:color w:val="auto"/>
              </w:rPr>
            </w:pPr>
            <w:r>
              <w:rPr>
                <w:rFonts w:ascii="Arial" w:cs="Arial" w:eastAsia="Arial" w:hAnsi="Arial"/>
                <w:sz w:val="16"/>
                <w:szCs w:val="16"/>
                <w:color w:val="auto"/>
              </w:rPr>
              <w:t>Total operating expense</w:t>
            </w:r>
          </w:p>
        </w:tc>
        <w:tc>
          <w:tcPr>
            <w:tcW w:w="180" w:type="dxa"/>
            <w:vAlign w:val="bottom"/>
          </w:tcPr>
          <w:p>
            <w:pPr>
              <w:spacing w:after="0"/>
              <w:rPr>
                <w:sz w:val="15"/>
                <w:szCs w:val="15"/>
                <w:color w:val="auto"/>
              </w:rPr>
            </w:pPr>
          </w:p>
        </w:tc>
        <w:tc>
          <w:tcPr>
            <w:tcW w:w="1300" w:type="dxa"/>
            <w:vAlign w:val="bottom"/>
          </w:tcPr>
          <w:p>
            <w:pPr>
              <w:jc w:val="right"/>
              <w:ind w:right="42"/>
              <w:spacing w:after="0" w:line="180" w:lineRule="exact"/>
              <w:rPr>
                <w:sz w:val="20"/>
                <w:szCs w:val="20"/>
                <w:color w:val="auto"/>
              </w:rPr>
            </w:pPr>
            <w:r>
              <w:rPr>
                <w:rFonts w:ascii="Arial" w:cs="Arial" w:eastAsia="Arial" w:hAnsi="Arial"/>
                <w:sz w:val="16"/>
                <w:szCs w:val="16"/>
                <w:color w:val="auto"/>
              </w:rPr>
              <w:t>2,563</w:t>
            </w:r>
          </w:p>
        </w:tc>
        <w:tc>
          <w:tcPr>
            <w:tcW w:w="16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4,761</w:t>
            </w:r>
          </w:p>
        </w:tc>
        <w:tc>
          <w:tcPr>
            <w:tcW w:w="18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Arial" w:cs="Arial" w:eastAsia="Arial" w:hAnsi="Arial"/>
                <w:sz w:val="16"/>
                <w:szCs w:val="16"/>
                <w:color w:val="auto"/>
              </w:rPr>
              <w:t>2,445</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Arial" w:cs="Arial" w:eastAsia="Arial" w:hAnsi="Arial"/>
                <w:sz w:val="16"/>
                <w:szCs w:val="16"/>
                <w:color w:val="auto"/>
              </w:rPr>
              <w:t>9,769</w:t>
            </w:r>
          </w:p>
        </w:tc>
      </w:tr>
      <w:tr>
        <w:trPr>
          <w:trHeight w:val="164"/>
        </w:trPr>
        <w:tc>
          <w:tcPr>
            <w:tcW w:w="3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327</w:t>
            </w:r>
          </w:p>
        </w:tc>
        <w:tc>
          <w:tcPr>
            <w:tcW w:w="16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2,785</w:t>
            </w:r>
          </w:p>
        </w:tc>
        <w:tc>
          <w:tcPr>
            <w:tcW w:w="18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949</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4,061</w:t>
            </w:r>
          </w:p>
        </w:tc>
      </w:tr>
      <w:tr>
        <w:trPr>
          <w:trHeight w:val="188"/>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973</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w:t>
            </w: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r>
      <w:tr>
        <w:trPr>
          <w:trHeight w:val="183"/>
        </w:trPr>
        <w:tc>
          <w:tcPr>
            <w:tcW w:w="332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2,224</w:t>
            </w:r>
          </w:p>
        </w:tc>
        <w:tc>
          <w:tcPr>
            <w:tcW w:w="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5,183</w:t>
            </w: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2,068</w:t>
            </w: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9,475</w:t>
            </w:r>
          </w:p>
        </w:tc>
      </w:tr>
      <w:tr>
        <w:trPr>
          <w:trHeight w:val="442"/>
        </w:trPr>
        <w:tc>
          <w:tcPr>
            <w:tcW w:w="3320" w:type="dxa"/>
            <w:vAlign w:val="bottom"/>
          </w:tcPr>
          <w:p>
            <w:pPr>
              <w:spacing w:after="0"/>
              <w:rPr>
                <w:sz w:val="20"/>
                <w:szCs w:val="20"/>
                <w:color w:val="auto"/>
              </w:rPr>
            </w:pPr>
            <w:r>
              <w:rPr>
                <w:rFonts w:ascii="Arial" w:cs="Arial" w:eastAsia="Arial" w:hAnsi="Arial"/>
                <w:sz w:val="16"/>
                <w:szCs w:val="16"/>
                <w:b w:val="1"/>
                <w:bCs w:val="1"/>
                <w:color w:val="auto"/>
                <w:w w:val="92"/>
              </w:rPr>
              <w:t>Operating Data as a Percentage of Revenue for</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2014</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w w:val="84"/>
              </w:rPr>
              <w:t>United States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w w:val="90"/>
              </w:rPr>
              <w:t>Australia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7"/>
              </w:rPr>
              <w:t>New Zealand</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b w:val="1"/>
                <w:bCs w:val="1"/>
                <w:color w:val="auto"/>
                <w:w w:val="83"/>
              </w:rPr>
              <w:t>Total</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rental and ancillary revenue</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65.2%</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18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revenue</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34.8%</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r>
      <w:tr>
        <w:trPr>
          <w:trHeight w:val="180"/>
        </w:trPr>
        <w:tc>
          <w:tcPr>
            <w:tcW w:w="33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2"/>
              <w:spacing w:after="0" w:line="180" w:lineRule="exact"/>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100.0%</w:t>
            </w:r>
          </w:p>
        </w:tc>
      </w:tr>
      <w:tr>
        <w:trPr>
          <w:trHeight w:val="164"/>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cost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47.6%</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Property cost</w:t>
            </w:r>
          </w:p>
        </w:tc>
        <w:tc>
          <w:tcPr>
            <w:tcW w:w="180" w:type="dxa"/>
            <w:vAlign w:val="bottom"/>
          </w:tcPr>
          <w:p>
            <w:pPr>
              <w:spacing w:after="0"/>
              <w:rPr>
                <w:sz w:val="16"/>
                <w:szCs w:val="16"/>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16.3%</w:t>
            </w:r>
          </w:p>
        </w:tc>
        <w:tc>
          <w:tcPr>
            <w:tcW w:w="18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29.0%</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164"/>
        </w:trPr>
        <w:tc>
          <w:tcPr>
            <w:tcW w:w="3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Occupancy expense</w:t>
            </w:r>
          </w:p>
        </w:tc>
        <w:tc>
          <w:tcPr>
            <w:tcW w:w="180" w:type="dxa"/>
            <w:vAlign w:val="bottom"/>
          </w:tcPr>
          <w:p>
            <w:pPr>
              <w:spacing w:after="0"/>
              <w:rPr>
                <w:sz w:val="16"/>
                <w:szCs w:val="16"/>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19.0%</w:t>
            </w:r>
          </w:p>
        </w:tc>
        <w:tc>
          <w:tcPr>
            <w:tcW w:w="16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18.5%</w:t>
            </w:r>
          </w:p>
        </w:tc>
        <w:tc>
          <w:tcPr>
            <w:tcW w:w="18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15.3%</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 and expense</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34.7%</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44.3%</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164"/>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20.3%</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17.2%</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180" w:type="dxa"/>
            <w:vAlign w:val="bottom"/>
          </w:tcPr>
          <w:p>
            <w:pPr>
              <w:spacing w:after="0"/>
              <w:rPr>
                <w:sz w:val="16"/>
                <w:szCs w:val="16"/>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Segment operating income</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43.4%</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37.8%</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37.5%</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571"/>
        </w:trPr>
        <w:tc>
          <w:tcPr>
            <w:tcW w:w="3320" w:type="dxa"/>
            <w:vAlign w:val="bottom"/>
          </w:tcPr>
          <w:p>
            <w:pPr>
              <w:spacing w:after="0"/>
              <w:rPr>
                <w:sz w:val="20"/>
                <w:szCs w:val="20"/>
                <w:color w:val="auto"/>
              </w:rPr>
            </w:pPr>
            <w:r>
              <w:rPr>
                <w:rFonts w:ascii="Arial" w:cs="Arial" w:eastAsia="Arial" w:hAnsi="Arial"/>
                <w:sz w:val="16"/>
                <w:szCs w:val="16"/>
                <w:b w:val="1"/>
                <w:bCs w:val="1"/>
                <w:color w:val="auto"/>
              </w:rPr>
              <w:t>Operating Income by Country for the Year</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2013</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United States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New Zealand</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rental and ancillary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18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income</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1,692</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14,424</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6,840</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22,956</w:t>
            </w:r>
          </w:p>
        </w:tc>
      </w:tr>
      <w:tr>
        <w:trPr>
          <w:trHeight w:val="180"/>
        </w:trPr>
        <w:tc>
          <w:tcPr>
            <w:tcW w:w="33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2"/>
              <w:spacing w:after="0" w:line="180" w:lineRule="exact"/>
              <w:rPr>
                <w:sz w:val="20"/>
                <w:szCs w:val="20"/>
                <w:color w:val="auto"/>
              </w:rPr>
            </w:pPr>
            <w:r>
              <w:rPr>
                <w:rFonts w:ascii="Arial" w:cs="Arial" w:eastAsia="Arial" w:hAnsi="Arial"/>
                <w:sz w:val="16"/>
                <w:szCs w:val="16"/>
                <w:color w:val="auto"/>
              </w:rPr>
              <w:t>5,192</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14,424</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6,840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26,456</w:t>
            </w:r>
          </w:p>
        </w:tc>
      </w:tr>
      <w:tr>
        <w:trPr>
          <w:trHeight w:val="164"/>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costs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1,574</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Property rental cost</w:t>
            </w:r>
          </w:p>
        </w:tc>
        <w:tc>
          <w:tcPr>
            <w:tcW w:w="180" w:type="dxa"/>
            <w:vAlign w:val="bottom"/>
          </w:tcPr>
          <w:p>
            <w:pPr>
              <w:spacing w:after="0"/>
              <w:rPr>
                <w:sz w:val="16"/>
                <w:szCs w:val="16"/>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316</w:t>
            </w:r>
          </w:p>
        </w:tc>
        <w:tc>
          <w:tcPr>
            <w:tcW w:w="16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2,362</w:t>
            </w:r>
          </w:p>
        </w:tc>
        <w:tc>
          <w:tcPr>
            <w:tcW w:w="18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1,684</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4,362</w:t>
            </w:r>
          </w:p>
        </w:tc>
      </w:tr>
      <w:tr>
        <w:trPr>
          <w:trHeight w:val="188"/>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Occupancy expense</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946</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3,139</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809</w:t>
            </w: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4,894</w:t>
            </w:r>
          </w:p>
        </w:tc>
      </w:tr>
      <w:tr>
        <w:trPr>
          <w:trHeight w:val="180"/>
        </w:trPr>
        <w:tc>
          <w:tcPr>
            <w:tcW w:w="3320" w:type="dxa"/>
            <w:vAlign w:val="bottom"/>
          </w:tcPr>
          <w:p>
            <w:pPr>
              <w:spacing w:after="0" w:line="180" w:lineRule="exact"/>
              <w:rPr>
                <w:sz w:val="20"/>
                <w:szCs w:val="20"/>
                <w:color w:val="auto"/>
              </w:rPr>
            </w:pPr>
            <w:r>
              <w:rPr>
                <w:rFonts w:ascii="Arial" w:cs="Arial" w:eastAsia="Arial" w:hAnsi="Arial"/>
                <w:sz w:val="16"/>
                <w:szCs w:val="16"/>
                <w:color w:val="auto"/>
              </w:rPr>
              <w:t>Total operating expense</w:t>
            </w:r>
          </w:p>
        </w:tc>
        <w:tc>
          <w:tcPr>
            <w:tcW w:w="180" w:type="dxa"/>
            <w:vAlign w:val="bottom"/>
          </w:tcPr>
          <w:p>
            <w:pPr>
              <w:spacing w:after="0"/>
              <w:rPr>
                <w:sz w:val="15"/>
                <w:szCs w:val="15"/>
                <w:color w:val="auto"/>
              </w:rPr>
            </w:pPr>
          </w:p>
        </w:tc>
        <w:tc>
          <w:tcPr>
            <w:tcW w:w="1300" w:type="dxa"/>
            <w:vAlign w:val="bottom"/>
          </w:tcPr>
          <w:p>
            <w:pPr>
              <w:jc w:val="right"/>
              <w:ind w:right="42"/>
              <w:spacing w:after="0" w:line="180" w:lineRule="exact"/>
              <w:rPr>
                <w:sz w:val="20"/>
                <w:szCs w:val="20"/>
                <w:color w:val="auto"/>
              </w:rPr>
            </w:pPr>
            <w:r>
              <w:rPr>
                <w:rFonts w:ascii="Arial" w:cs="Arial" w:eastAsia="Arial" w:hAnsi="Arial"/>
                <w:sz w:val="16"/>
                <w:szCs w:val="16"/>
                <w:color w:val="auto"/>
              </w:rPr>
              <w:t>2,836</w:t>
            </w:r>
          </w:p>
        </w:tc>
        <w:tc>
          <w:tcPr>
            <w:tcW w:w="160" w:type="dxa"/>
            <w:vAlign w:val="bottom"/>
          </w:tcPr>
          <w:p>
            <w:pPr>
              <w:spacing w:after="0"/>
              <w:rPr>
                <w:sz w:val="15"/>
                <w:szCs w:val="15"/>
                <w:color w:val="auto"/>
              </w:rPr>
            </w:pPr>
          </w:p>
        </w:tc>
        <w:tc>
          <w:tcPr>
            <w:tcW w:w="13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5,501</w:t>
            </w:r>
          </w:p>
        </w:tc>
        <w:tc>
          <w:tcPr>
            <w:tcW w:w="18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Arial" w:cs="Arial" w:eastAsia="Arial" w:hAnsi="Arial"/>
                <w:sz w:val="16"/>
                <w:szCs w:val="16"/>
                <w:color w:val="auto"/>
              </w:rPr>
              <w:t>2,493</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Arial" w:cs="Arial" w:eastAsia="Arial" w:hAnsi="Arial"/>
                <w:sz w:val="16"/>
                <w:szCs w:val="16"/>
                <w:color w:val="auto"/>
              </w:rPr>
              <w:t>10,830</w:t>
            </w:r>
          </w:p>
        </w:tc>
      </w:tr>
      <w:tr>
        <w:trPr>
          <w:trHeight w:val="164"/>
        </w:trPr>
        <w:tc>
          <w:tcPr>
            <w:tcW w:w="3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314</w:t>
            </w:r>
          </w:p>
        </w:tc>
        <w:tc>
          <w:tcPr>
            <w:tcW w:w="16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2,635</w:t>
            </w:r>
          </w:p>
        </w:tc>
        <w:tc>
          <w:tcPr>
            <w:tcW w:w="18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1,074</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4,023</w:t>
            </w:r>
          </w:p>
        </w:tc>
      </w:tr>
      <w:tr>
        <w:trPr>
          <w:trHeight w:val="188"/>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67</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527</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r>
      <w:tr>
        <w:trPr>
          <w:trHeight w:val="183"/>
        </w:trPr>
        <w:tc>
          <w:tcPr>
            <w:tcW w:w="332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1,975</w:t>
            </w:r>
          </w:p>
        </w:tc>
        <w:tc>
          <w:tcPr>
            <w:tcW w:w="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5,761</w:t>
            </w: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3,223</w:t>
            </w: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10,959</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20"/>
                <w:szCs w:val="20"/>
                <w:color w:val="auto"/>
              </w:rPr>
            </w:pPr>
            <w:r>
              <w:rPr>
                <w:rFonts w:ascii="Arial" w:cs="Arial" w:eastAsia="Arial" w:hAnsi="Arial"/>
                <w:sz w:val="16"/>
                <w:szCs w:val="16"/>
                <w:b w:val="1"/>
                <w:bCs w:val="1"/>
                <w:color w:val="auto"/>
                <w:w w:val="94"/>
              </w:rPr>
              <w:t>Operating Data as a Percentage of Revenue for</w:t>
            </w: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340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8"/>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2013</w:t>
            </w:r>
          </w:p>
        </w:tc>
        <w:tc>
          <w:tcPr>
            <w:tcW w:w="15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United States</w:t>
            </w:r>
          </w:p>
        </w:tc>
        <w:tc>
          <w:tcPr>
            <w:tcW w:w="14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Australia</w:t>
            </w:r>
          </w:p>
        </w:tc>
        <w:tc>
          <w:tcPr>
            <w:tcW w:w="16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New Zealand</w:t>
            </w: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Live theater rental and ancillary revenue</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67.4%</w:t>
            </w:r>
          </w:p>
        </w:tc>
        <w:tc>
          <w:tcPr>
            <w:tcW w:w="1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0.0%</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188"/>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revenue</w:t>
            </w:r>
          </w:p>
        </w:tc>
        <w:tc>
          <w:tcPr>
            <w:tcW w:w="15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32.6%</w:t>
            </w:r>
          </w:p>
        </w:tc>
        <w:tc>
          <w:tcPr>
            <w:tcW w:w="14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100.0%</w:t>
            </w:r>
          </w:p>
        </w:tc>
        <w:tc>
          <w:tcPr>
            <w:tcW w:w="16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100.0%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r>
      <w:tr>
        <w:trPr>
          <w:trHeight w:val="180"/>
        </w:trPr>
        <w:tc>
          <w:tcPr>
            <w:tcW w:w="34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revenue</w:t>
            </w:r>
          </w:p>
        </w:tc>
        <w:tc>
          <w:tcPr>
            <w:tcW w:w="1580" w:type="dxa"/>
            <w:vAlign w:val="bottom"/>
            <w:shd w:val="clear" w:color="auto" w:fill="CCEEFF"/>
          </w:tcPr>
          <w:p>
            <w:pPr>
              <w:jc w:val="right"/>
              <w:ind w:right="222"/>
              <w:spacing w:after="0" w:line="180" w:lineRule="exact"/>
              <w:rPr>
                <w:sz w:val="20"/>
                <w:szCs w:val="20"/>
                <w:color w:val="auto"/>
              </w:rPr>
            </w:pPr>
            <w:r>
              <w:rPr>
                <w:rFonts w:ascii="Arial" w:cs="Arial" w:eastAsia="Arial" w:hAnsi="Arial"/>
                <w:sz w:val="16"/>
                <w:szCs w:val="16"/>
                <w:color w:val="auto"/>
              </w:rPr>
              <w:t>100.0%</w:t>
            </w:r>
          </w:p>
        </w:tc>
        <w:tc>
          <w:tcPr>
            <w:tcW w:w="1400" w:type="dxa"/>
            <w:vAlign w:val="bottom"/>
            <w:shd w:val="clear" w:color="auto" w:fill="CCEEFF"/>
          </w:tcPr>
          <w:p>
            <w:pPr>
              <w:jc w:val="right"/>
              <w:ind w:right="142"/>
              <w:spacing w:after="0" w:line="180" w:lineRule="exact"/>
              <w:rPr>
                <w:sz w:val="20"/>
                <w:szCs w:val="20"/>
                <w:color w:val="auto"/>
              </w:rPr>
            </w:pPr>
            <w:r>
              <w:rPr>
                <w:rFonts w:ascii="Arial" w:cs="Arial" w:eastAsia="Arial" w:hAnsi="Arial"/>
                <w:sz w:val="16"/>
                <w:szCs w:val="16"/>
                <w:color w:val="auto"/>
              </w:rPr>
              <w:t>100.0%</w:t>
            </w:r>
          </w:p>
        </w:tc>
        <w:tc>
          <w:tcPr>
            <w:tcW w:w="1600" w:type="dxa"/>
            <w:vAlign w:val="bottom"/>
            <w:shd w:val="clear" w:color="auto" w:fill="CCEEFF"/>
          </w:tcPr>
          <w:p>
            <w:pPr>
              <w:jc w:val="right"/>
              <w:ind w:right="282"/>
              <w:spacing w:after="0" w:line="180" w:lineRule="exact"/>
              <w:rPr>
                <w:sz w:val="20"/>
                <w:szCs w:val="20"/>
                <w:color w:val="auto"/>
              </w:rPr>
            </w:pPr>
            <w:r>
              <w:rPr>
                <w:rFonts w:ascii="Arial" w:cs="Arial" w:eastAsia="Arial" w:hAnsi="Arial"/>
                <w:sz w:val="16"/>
                <w:szCs w:val="16"/>
                <w:color w:val="auto"/>
              </w:rPr>
              <w:t>100.0%</w:t>
            </w:r>
          </w:p>
        </w:tc>
        <w:tc>
          <w:tcPr>
            <w:tcW w:w="11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100.0%</w:t>
            </w:r>
          </w:p>
        </w:tc>
      </w:tr>
      <w:tr>
        <w:trPr>
          <w:trHeight w:val="164"/>
        </w:trPr>
        <w:tc>
          <w:tcPr>
            <w:tcW w:w="3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Live theater cost</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45.0%</w:t>
            </w:r>
          </w:p>
        </w:tc>
        <w:tc>
          <w:tcPr>
            <w:tcW w:w="1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0.0%</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0.0%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188"/>
        </w:trPr>
        <w:tc>
          <w:tcPr>
            <w:tcW w:w="3400" w:type="dxa"/>
            <w:vAlign w:val="bottom"/>
          </w:tcPr>
          <w:p>
            <w:pPr>
              <w:spacing w:after="0"/>
              <w:rPr>
                <w:sz w:val="20"/>
                <w:szCs w:val="20"/>
                <w:color w:val="auto"/>
              </w:rPr>
            </w:pPr>
            <w:r>
              <w:rPr>
                <w:rFonts w:ascii="Arial" w:cs="Arial" w:eastAsia="Arial" w:hAnsi="Arial"/>
                <w:sz w:val="16"/>
                <w:szCs w:val="16"/>
                <w:color w:val="auto"/>
              </w:rPr>
              <w:t>Property cost</w:t>
            </w:r>
          </w:p>
        </w:tc>
        <w:tc>
          <w:tcPr>
            <w:tcW w:w="1580" w:type="dxa"/>
            <w:vAlign w:val="bottom"/>
          </w:tcPr>
          <w:p>
            <w:pPr>
              <w:jc w:val="right"/>
              <w:ind w:right="222"/>
              <w:spacing w:after="0"/>
              <w:rPr>
                <w:sz w:val="20"/>
                <w:szCs w:val="20"/>
                <w:color w:val="auto"/>
              </w:rPr>
            </w:pPr>
            <w:r>
              <w:rPr>
                <w:rFonts w:ascii="Arial" w:cs="Arial" w:eastAsia="Arial" w:hAnsi="Arial"/>
                <w:sz w:val="16"/>
                <w:szCs w:val="16"/>
                <w:color w:val="auto"/>
              </w:rPr>
              <w:t>18.7%</w:t>
            </w:r>
          </w:p>
        </w:tc>
        <w:tc>
          <w:tcPr>
            <w:tcW w:w="1400" w:type="dxa"/>
            <w:vAlign w:val="bottom"/>
          </w:tcPr>
          <w:p>
            <w:pPr>
              <w:jc w:val="right"/>
              <w:ind w:right="142"/>
              <w:spacing w:after="0"/>
              <w:rPr>
                <w:sz w:val="20"/>
                <w:szCs w:val="20"/>
                <w:color w:val="auto"/>
              </w:rPr>
            </w:pPr>
            <w:r>
              <w:rPr>
                <w:rFonts w:ascii="Arial" w:cs="Arial" w:eastAsia="Arial" w:hAnsi="Arial"/>
                <w:sz w:val="16"/>
                <w:szCs w:val="16"/>
                <w:color w:val="auto"/>
              </w:rPr>
              <w:t>16.4%</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24.6%</w:t>
            </w:r>
          </w:p>
        </w:tc>
        <w:tc>
          <w:tcPr>
            <w:tcW w:w="11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164"/>
        </w:trPr>
        <w:tc>
          <w:tcPr>
            <w:tcW w:w="34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8"/>
        </w:trPr>
        <w:tc>
          <w:tcPr>
            <w:tcW w:w="3400" w:type="dxa"/>
            <w:vAlign w:val="bottom"/>
          </w:tcPr>
          <w:p>
            <w:pPr>
              <w:spacing w:after="0"/>
              <w:rPr>
                <w:sz w:val="20"/>
                <w:szCs w:val="20"/>
                <w:color w:val="auto"/>
              </w:rPr>
            </w:pPr>
            <w:r>
              <w:rPr>
                <w:rFonts w:ascii="Arial" w:cs="Arial" w:eastAsia="Arial" w:hAnsi="Arial"/>
                <w:sz w:val="16"/>
                <w:szCs w:val="16"/>
                <w:color w:val="auto"/>
              </w:rPr>
              <w:t>Occupancy expense</w:t>
            </w:r>
          </w:p>
        </w:tc>
        <w:tc>
          <w:tcPr>
            <w:tcW w:w="1580" w:type="dxa"/>
            <w:vAlign w:val="bottom"/>
          </w:tcPr>
          <w:p>
            <w:pPr>
              <w:jc w:val="right"/>
              <w:ind w:right="222"/>
              <w:spacing w:after="0"/>
              <w:rPr>
                <w:sz w:val="20"/>
                <w:szCs w:val="20"/>
                <w:color w:val="auto"/>
              </w:rPr>
            </w:pPr>
            <w:r>
              <w:rPr>
                <w:rFonts w:ascii="Arial" w:cs="Arial" w:eastAsia="Arial" w:hAnsi="Arial"/>
                <w:sz w:val="16"/>
                <w:szCs w:val="16"/>
                <w:color w:val="auto"/>
              </w:rPr>
              <w:t>18.2%</w:t>
            </w:r>
          </w:p>
        </w:tc>
        <w:tc>
          <w:tcPr>
            <w:tcW w:w="1400" w:type="dxa"/>
            <w:vAlign w:val="bottom"/>
          </w:tcPr>
          <w:p>
            <w:pPr>
              <w:jc w:val="right"/>
              <w:ind w:right="142"/>
              <w:spacing w:after="0"/>
              <w:rPr>
                <w:sz w:val="20"/>
                <w:szCs w:val="20"/>
                <w:color w:val="auto"/>
              </w:rPr>
            </w:pPr>
            <w:r>
              <w:rPr>
                <w:rFonts w:ascii="Arial" w:cs="Arial" w:eastAsia="Arial" w:hAnsi="Arial"/>
                <w:sz w:val="16"/>
                <w:szCs w:val="16"/>
                <w:color w:val="auto"/>
              </w:rPr>
              <w:t>21.8%</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11.8%</w:t>
            </w:r>
          </w:p>
        </w:tc>
        <w:tc>
          <w:tcPr>
            <w:tcW w:w="11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 and expense</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54.6%</w:t>
            </w:r>
          </w:p>
        </w:tc>
        <w:tc>
          <w:tcPr>
            <w:tcW w:w="1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38.1%</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36.4%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164"/>
        </w:trPr>
        <w:tc>
          <w:tcPr>
            <w:tcW w:w="3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6.0%</w:t>
            </w:r>
          </w:p>
        </w:tc>
        <w:tc>
          <w:tcPr>
            <w:tcW w:w="1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18.3%</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15.7%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188"/>
        </w:trPr>
        <w:tc>
          <w:tcPr>
            <w:tcW w:w="340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1580" w:type="dxa"/>
            <w:vAlign w:val="bottom"/>
          </w:tcPr>
          <w:p>
            <w:pPr>
              <w:jc w:val="right"/>
              <w:ind w:right="222"/>
              <w:spacing w:after="0"/>
              <w:rPr>
                <w:sz w:val="20"/>
                <w:szCs w:val="20"/>
                <w:color w:val="auto"/>
              </w:rPr>
            </w:pPr>
            <w:r>
              <w:rPr>
                <w:rFonts w:ascii="Arial" w:cs="Arial" w:eastAsia="Arial" w:hAnsi="Arial"/>
                <w:sz w:val="16"/>
                <w:szCs w:val="16"/>
                <w:color w:val="auto"/>
              </w:rPr>
              <w:t>1.3%</w:t>
            </w:r>
          </w:p>
        </w:tc>
        <w:tc>
          <w:tcPr>
            <w:tcW w:w="1400" w:type="dxa"/>
            <w:vAlign w:val="bottom"/>
          </w:tcPr>
          <w:p>
            <w:pPr>
              <w:jc w:val="right"/>
              <w:ind w:right="142"/>
              <w:spacing w:after="0"/>
              <w:rPr>
                <w:sz w:val="20"/>
                <w:szCs w:val="20"/>
                <w:color w:val="auto"/>
              </w:rPr>
            </w:pPr>
            <w:r>
              <w:rPr>
                <w:rFonts w:ascii="Arial" w:cs="Arial" w:eastAsia="Arial" w:hAnsi="Arial"/>
                <w:sz w:val="16"/>
                <w:szCs w:val="16"/>
                <w:color w:val="auto"/>
              </w:rPr>
              <w:t>3.7%</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0.7%</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8"/>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Segment operating income</w:t>
            </w:r>
          </w:p>
        </w:tc>
        <w:tc>
          <w:tcPr>
            <w:tcW w:w="15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38.0%</w:t>
            </w:r>
          </w:p>
        </w:tc>
        <w:tc>
          <w:tcPr>
            <w:tcW w:w="1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39.9%</w:t>
            </w: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47.1%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20"/>
                <w:szCs w:val="20"/>
                <w:color w:val="auto"/>
              </w:rPr>
            </w:pPr>
            <w:r>
              <w:rPr>
                <w:rFonts w:ascii="Arial" w:cs="Arial" w:eastAsia="Arial" w:hAnsi="Arial"/>
                <w:sz w:val="16"/>
                <w:szCs w:val="16"/>
                <w:b w:val="1"/>
                <w:bCs w:val="1"/>
                <w:color w:val="auto"/>
              </w:rPr>
              <w:t>Operating Income by Country for the Year</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2012</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3"/>
              </w:rPr>
              <w:t>United States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8"/>
              </w:rPr>
              <w:t>New Zealand</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rental and ancillary income</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3,416</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w:t>
            </w:r>
          </w:p>
        </w:tc>
      </w:tr>
      <w:tr>
        <w:trPr>
          <w:trHeight w:val="18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income</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1,690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14,536</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7,614</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23,840</w:t>
            </w:r>
          </w:p>
        </w:tc>
      </w:tr>
      <w:tr>
        <w:trPr>
          <w:trHeight w:val="180"/>
        </w:trPr>
        <w:tc>
          <w:tcPr>
            <w:tcW w:w="33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revenues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5,106</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14,536</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7,614</w:t>
            </w: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27,256</w:t>
            </w:r>
          </w:p>
        </w:tc>
      </w:tr>
      <w:tr>
        <w:trPr>
          <w:trHeight w:val="164"/>
        </w:trPr>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costs</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1,538</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Property rental cost</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456</w:t>
            </w:r>
          </w:p>
        </w:tc>
        <w:tc>
          <w:tcPr>
            <w:tcW w:w="34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3,262</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1,459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5,177</w:t>
            </w:r>
          </w:p>
        </w:tc>
      </w:tr>
      <w:tr>
        <w:trPr>
          <w:trHeight w:val="188"/>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Occupancy expense</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857</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2,815</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776</w:t>
            </w:r>
          </w:p>
        </w:tc>
        <w:tc>
          <w:tcPr>
            <w:tcW w:w="4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w:t>
            </w:r>
          </w:p>
        </w:tc>
      </w:tr>
      <w:tr>
        <w:trPr>
          <w:trHeight w:val="180"/>
        </w:trPr>
        <w:tc>
          <w:tcPr>
            <w:tcW w:w="3320" w:type="dxa"/>
            <w:vAlign w:val="bottom"/>
          </w:tcPr>
          <w:p>
            <w:pPr>
              <w:spacing w:after="0" w:line="180" w:lineRule="exact"/>
              <w:rPr>
                <w:sz w:val="20"/>
                <w:szCs w:val="20"/>
                <w:color w:val="auto"/>
              </w:rPr>
            </w:pPr>
            <w:r>
              <w:rPr>
                <w:rFonts w:ascii="Arial" w:cs="Arial" w:eastAsia="Arial" w:hAnsi="Arial"/>
                <w:sz w:val="16"/>
                <w:szCs w:val="16"/>
                <w:color w:val="auto"/>
              </w:rPr>
              <w:t>Total operating expense</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2,851</w:t>
            </w:r>
          </w:p>
        </w:tc>
        <w:tc>
          <w:tcPr>
            <w:tcW w:w="34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6,077</w:t>
            </w:r>
          </w:p>
        </w:tc>
        <w:tc>
          <w:tcPr>
            <w:tcW w:w="260" w:type="dxa"/>
            <w:vAlign w:val="bottom"/>
          </w:tcPr>
          <w:p>
            <w:pPr>
              <w:spacing w:after="0"/>
              <w:rPr>
                <w:sz w:val="15"/>
                <w:szCs w:val="15"/>
                <w:color w:val="auto"/>
              </w:rPr>
            </w:pPr>
          </w:p>
        </w:tc>
        <w:tc>
          <w:tcPr>
            <w:tcW w:w="1200" w:type="dxa"/>
            <w:vAlign w:val="bottom"/>
          </w:tcPr>
          <w:p>
            <w:pPr>
              <w:jc w:val="right"/>
              <w:ind w:right="22"/>
              <w:spacing w:after="0" w:line="180" w:lineRule="exact"/>
              <w:rPr>
                <w:sz w:val="20"/>
                <w:szCs w:val="20"/>
                <w:color w:val="auto"/>
              </w:rPr>
            </w:pPr>
            <w:r>
              <w:rPr>
                <w:rFonts w:ascii="Arial" w:cs="Arial" w:eastAsia="Arial" w:hAnsi="Arial"/>
                <w:sz w:val="16"/>
                <w:szCs w:val="16"/>
                <w:color w:val="auto"/>
              </w:rPr>
              <w:t>2,235</w:t>
            </w:r>
          </w:p>
        </w:tc>
        <w:tc>
          <w:tcPr>
            <w:tcW w:w="4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6"/>
                <w:szCs w:val="16"/>
                <w:color w:val="auto"/>
              </w:rPr>
              <w:t>11,163</w:t>
            </w:r>
          </w:p>
        </w:tc>
      </w:tr>
      <w:tr>
        <w:trPr>
          <w:trHeight w:val="164"/>
        </w:trPr>
        <w:tc>
          <w:tcPr>
            <w:tcW w:w="3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305</w:t>
            </w:r>
          </w:p>
        </w:tc>
        <w:tc>
          <w:tcPr>
            <w:tcW w:w="34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2,824</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1,312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4,441</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535</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83</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r>
      <w:tr>
        <w:trPr>
          <w:trHeight w:val="18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Impairment expense</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1,463</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r>
      <w:tr>
        <w:trPr>
          <w:trHeight w:val="183"/>
        </w:trPr>
        <w:tc>
          <w:tcPr>
            <w:tcW w:w="3320" w:type="dxa"/>
            <w:vAlign w:val="bottom"/>
            <w:tcBorders>
              <w:bottom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Segment operating income</w:t>
            </w:r>
          </w:p>
        </w:tc>
        <w:tc>
          <w:tcPr>
            <w:tcW w:w="260" w:type="dxa"/>
            <w:vAlign w:val="bottom"/>
            <w:tcBorders>
              <w:bottom w:val="single" w:sz="8" w:color="auto"/>
            </w:tcBorders>
            <w:shd w:val="clear" w:color="auto" w:fill="CCEEFF"/>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387</w:t>
            </w:r>
          </w:p>
        </w:tc>
        <w:tc>
          <w:tcPr>
            <w:tcW w:w="340" w:type="dxa"/>
            <w:vAlign w:val="bottom"/>
            <w:tcBorders>
              <w:bottom w:val="single" w:sz="8" w:color="auto"/>
            </w:tcBorders>
            <w:shd w:val="clear" w:color="auto" w:fill="CCEEFF"/>
          </w:tcPr>
          <w:p>
            <w:pPr>
              <w:jc w:val="right"/>
              <w:ind w:right="62"/>
              <w:spacing w:after="0" w:line="18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5,100</w:t>
            </w:r>
          </w:p>
        </w:tc>
        <w:tc>
          <w:tcPr>
            <w:tcW w:w="260" w:type="dxa"/>
            <w:vAlign w:val="bottom"/>
            <w:tcBorders>
              <w:bottom w:val="single" w:sz="8" w:color="auto"/>
            </w:tcBorders>
            <w:shd w:val="clear" w:color="auto" w:fill="CCEEFF"/>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3,984</w:t>
            </w:r>
          </w:p>
        </w:tc>
        <w:tc>
          <w:tcPr>
            <w:tcW w:w="400" w:type="dxa"/>
            <w:vAlign w:val="bottom"/>
            <w:tcBorders>
              <w:bottom w:val="single" w:sz="8" w:color="auto"/>
            </w:tcBorders>
            <w:shd w:val="clear" w:color="auto" w:fill="CCEEFF"/>
          </w:tcPr>
          <w:p>
            <w:pPr>
              <w:jc w:val="right"/>
              <w:ind w:right="142"/>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9,471</w:t>
            </w:r>
          </w:p>
        </w:tc>
      </w:tr>
      <w:tr>
        <w:trPr>
          <w:trHeight w:val="618"/>
        </w:trPr>
        <w:tc>
          <w:tcPr>
            <w:tcW w:w="3320" w:type="dxa"/>
            <w:vAlign w:val="bottom"/>
          </w:tcPr>
          <w:p>
            <w:pPr>
              <w:spacing w:after="0"/>
              <w:rPr>
                <w:sz w:val="20"/>
                <w:szCs w:val="20"/>
                <w:color w:val="auto"/>
              </w:rPr>
            </w:pPr>
            <w:r>
              <w:rPr>
                <w:rFonts w:ascii="Arial" w:cs="Arial" w:eastAsia="Arial" w:hAnsi="Arial"/>
                <w:sz w:val="16"/>
                <w:szCs w:val="16"/>
                <w:b w:val="1"/>
                <w:bCs w:val="1"/>
                <w:color w:val="auto"/>
                <w:w w:val="92"/>
              </w:rPr>
              <w:t>Operating Data as a Percentage of Revenue for</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2012</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3"/>
              </w:rPr>
              <w:t>United States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8"/>
              </w:rPr>
              <w:t>New Zealand</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rental and ancillary revenue</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66.9%</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188"/>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revenue</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r>
      <w:tr>
        <w:trPr>
          <w:trHeight w:val="180"/>
        </w:trPr>
        <w:tc>
          <w:tcPr>
            <w:tcW w:w="33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Total revenue</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100.0%</w:t>
            </w:r>
          </w:p>
        </w:tc>
      </w:tr>
      <w:tr>
        <w:trPr>
          <w:trHeight w:val="164"/>
        </w:trPr>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Live theater cost</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45.0%</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Property cost</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27.0%</w:t>
            </w:r>
          </w:p>
        </w:tc>
        <w:tc>
          <w:tcPr>
            <w:tcW w:w="34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22.4%</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19.2%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164"/>
        </w:trPr>
        <w:tc>
          <w:tcPr>
            <w:tcW w:w="3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Occupancy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16.8%</w:t>
            </w:r>
          </w:p>
        </w:tc>
        <w:tc>
          <w:tcPr>
            <w:tcW w:w="34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19.4%</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 and expense</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55.8%</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41.8%</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29.4%</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164"/>
        </w:trPr>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19.4%</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17.2%</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Impairment expense</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28.7%</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0"/>
        </w:trPr>
        <w:tc>
          <w:tcPr>
            <w:tcW w:w="332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7.6%</w:t>
            </w:r>
          </w:p>
        </w:tc>
        <w:tc>
          <w:tcPr>
            <w:tcW w:w="34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35.1%</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52.3%</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34.7%</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Results for 2014 Compared to 2013</w:t>
      </w:r>
    </w:p>
    <w:p>
      <w:pPr>
        <w:spacing w:after="0" w:line="145" w:lineRule="exact"/>
        <w:rPr>
          <w:sz w:val="20"/>
          <w:szCs w:val="20"/>
          <w:color w:val="auto"/>
        </w:rPr>
      </w:pPr>
    </w:p>
    <w:p>
      <w:pPr>
        <w:ind w:left="340" w:right="240" w:hanging="46"/>
        <w:spacing w:after="0" w:line="221" w:lineRule="auto"/>
        <w:rPr>
          <w:sz w:val="20"/>
          <w:szCs w:val="20"/>
          <w:color w:val="auto"/>
        </w:rPr>
      </w:pPr>
      <w:r>
        <w:rPr>
          <w:rFonts w:ascii="Arial" w:cs="Arial" w:eastAsia="Arial" w:hAnsi="Arial"/>
          <w:sz w:val="16"/>
          <w:szCs w:val="16"/>
          <w:color w:val="auto"/>
        </w:rPr>
        <w:t>·Real estate revenue decreased by $2.1 million or 8.0% compared to 2013. The geographic activity of our revenue can be summarized as follows:</w:t>
      </w:r>
    </w:p>
    <w:p>
      <w:pPr>
        <w:ind w:left="1100" w:hanging="253"/>
        <w:spacing w:after="0" w:line="229" w:lineRule="auto"/>
        <w:tabs>
          <w:tab w:leader="none" w:pos="1100" w:val="left"/>
        </w:tabs>
        <w:numPr>
          <w:ilvl w:val="0"/>
          <w:numId w:val="13"/>
        </w:numPr>
        <w:rPr>
          <w:rFonts w:ascii="Courier New" w:cs="Courier New" w:eastAsia="Courier New" w:hAnsi="Courier New"/>
          <w:sz w:val="16"/>
          <w:szCs w:val="16"/>
          <w:color w:val="auto"/>
        </w:rPr>
      </w:pPr>
      <w:r>
        <w:rPr>
          <w:rFonts w:ascii="Arial" w:cs="Arial" w:eastAsia="Arial" w:hAnsi="Arial"/>
          <w:sz w:val="16"/>
          <w:szCs w:val="16"/>
          <w:color w:val="auto"/>
        </w:rPr>
        <w:t>United States – revenue was consistent with 2013.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287" w:right="1419" w:bottom="1440" w:gutter="0" w:footer="0" w:header="0"/>
        </w:sectPr>
      </w:pPr>
    </w:p>
    <w:bookmarkStart w:id="43" w:name="page44"/>
    <w:bookmarkEnd w:id="43"/>
    <w:p>
      <w:pPr>
        <w:ind w:left="960" w:right="120" w:hanging="116"/>
        <w:spacing w:after="0" w:line="205"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Australia – local market improvements in rental of 4.1% were offset by depreciation in the value of the Australian dollar against</w:t>
      </w:r>
      <w:r>
        <w:rPr>
          <w:rFonts w:ascii="Courier New" w:cs="Courier New" w:eastAsia="Courier New" w:hAnsi="Courier New"/>
          <w:sz w:val="16"/>
          <w:szCs w:val="16"/>
          <w:color w:val="auto"/>
        </w:rPr>
        <w:t xml:space="preserve"> </w:t>
      </w:r>
      <w:r>
        <w:rPr>
          <w:rFonts w:ascii="Arial" w:cs="Arial" w:eastAsia="Arial" w:hAnsi="Arial"/>
          <w:sz w:val="16"/>
          <w:szCs w:val="16"/>
          <w:color w:val="auto"/>
        </w:rPr>
        <w:t>the U.S. dollar (see below).</w:t>
      </w:r>
    </w:p>
    <w:p>
      <w:pPr>
        <w:spacing w:after="0" w:line="1" w:lineRule="exact"/>
        <w:rPr>
          <w:sz w:val="20"/>
          <w:szCs w:val="20"/>
          <w:color w:val="auto"/>
        </w:rPr>
      </w:pPr>
    </w:p>
    <w:p>
      <w:pPr>
        <w:ind w:left="960" w:right="120" w:hanging="116"/>
        <w:spacing w:after="0" w:line="200"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New Zealand – revenue was impacted by our Courtenay Central Carpark which only reopened in November 2014 after the 2013</w:t>
      </w:r>
      <w:r>
        <w:rPr>
          <w:rFonts w:ascii="Courier New" w:cs="Courier New" w:eastAsia="Courier New" w:hAnsi="Courier New"/>
          <w:sz w:val="16"/>
          <w:szCs w:val="16"/>
          <w:color w:val="auto"/>
        </w:rPr>
        <w:t xml:space="preserve"> </w:t>
      </w:r>
      <w:r>
        <w:rPr>
          <w:rFonts w:ascii="Arial" w:cs="Arial" w:eastAsia="Arial" w:hAnsi="Arial"/>
          <w:sz w:val="16"/>
          <w:szCs w:val="16"/>
          <w:color w:val="auto"/>
        </w:rPr>
        <w:t>earthquake.</w:t>
      </w:r>
    </w:p>
    <w:p>
      <w:pPr>
        <w:ind w:left="280"/>
        <w:spacing w:after="0" w:line="212" w:lineRule="auto"/>
        <w:rPr>
          <w:sz w:val="20"/>
          <w:szCs w:val="20"/>
          <w:color w:val="auto"/>
        </w:rPr>
      </w:pPr>
      <w:r>
        <w:rPr>
          <w:rFonts w:ascii="Arial" w:cs="Arial" w:eastAsia="Arial" w:hAnsi="Arial"/>
          <w:sz w:val="16"/>
          <w:szCs w:val="16"/>
          <w:color w:val="auto"/>
        </w:rPr>
        <w:t>·Operating expense for the real estate segment decreased by $1.1 million or 9.8% compared to 2013:</w:t>
      </w:r>
    </w:p>
    <w:p>
      <w:pPr>
        <w:spacing w:after="0" w:line="1" w:lineRule="exact"/>
        <w:rPr>
          <w:sz w:val="20"/>
          <w:szCs w:val="20"/>
          <w:color w:val="auto"/>
        </w:rPr>
      </w:pPr>
    </w:p>
    <w:p>
      <w:pPr>
        <w:ind w:left="840" w:right="20"/>
        <w:spacing w:after="0" w:line="247" w:lineRule="auto"/>
        <w:rPr>
          <w:sz w:val="20"/>
          <w:szCs w:val="20"/>
          <w:color w:val="auto"/>
        </w:rPr>
      </w:pPr>
      <w:r>
        <w:rPr>
          <w:rFonts w:ascii="Courier New" w:cs="Courier New" w:eastAsia="Courier New" w:hAnsi="Courier New"/>
          <w:sz w:val="13"/>
          <w:szCs w:val="13"/>
          <w:color w:val="auto"/>
        </w:rPr>
        <w:t xml:space="preserve">o </w:t>
      </w:r>
      <w:r>
        <w:rPr>
          <w:rFonts w:ascii="Arial" w:cs="Arial" w:eastAsia="Arial" w:hAnsi="Arial"/>
          <w:sz w:val="13"/>
          <w:szCs w:val="13"/>
          <w:color w:val="auto"/>
        </w:rPr>
        <w:t>United States –costs were down due to the continuing capitalization of costs relating to the development of our Union Square site.</w:t>
      </w:r>
      <w:r>
        <w:rPr>
          <w:rFonts w:ascii="Courier New" w:cs="Courier New" w:eastAsia="Courier New" w:hAnsi="Courier New"/>
          <w:sz w:val="13"/>
          <w:szCs w:val="13"/>
          <w:color w:val="auto"/>
        </w:rPr>
        <w:t xml:space="preserve"> o </w:t>
      </w:r>
      <w:r>
        <w:rPr>
          <w:rFonts w:ascii="Arial" w:cs="Arial" w:eastAsia="Arial" w:hAnsi="Arial"/>
          <w:sz w:val="13"/>
          <w:szCs w:val="13"/>
          <w:color w:val="auto"/>
        </w:rPr>
        <w:t>Australia - the main reduction in real estate operating expense was achieved in Australia and was as a result of the sale of our</w:t>
      </w:r>
    </w:p>
    <w:p>
      <w:pPr>
        <w:ind w:left="960"/>
        <w:spacing w:after="0" w:line="211" w:lineRule="auto"/>
        <w:rPr>
          <w:sz w:val="20"/>
          <w:szCs w:val="20"/>
          <w:color w:val="auto"/>
        </w:rPr>
      </w:pPr>
      <w:r>
        <w:rPr>
          <w:rFonts w:ascii="Arial" w:cs="Arial" w:eastAsia="Arial" w:hAnsi="Arial"/>
          <w:sz w:val="16"/>
          <w:szCs w:val="16"/>
          <w:color w:val="auto"/>
        </w:rPr>
        <w:t>Burwood property, which led to significantly reduced property taxes compared to 2013.</w:t>
      </w:r>
    </w:p>
    <w:p>
      <w:pPr>
        <w:ind w:left="1060" w:hanging="213"/>
        <w:spacing w:after="0" w:line="216" w:lineRule="auto"/>
        <w:tabs>
          <w:tab w:leader="none" w:pos="1060" w:val="left"/>
        </w:tabs>
        <w:numPr>
          <w:ilvl w:val="0"/>
          <w:numId w:val="14"/>
        </w:numPr>
        <w:rPr>
          <w:rFonts w:ascii="Courier New" w:cs="Courier New" w:eastAsia="Courier New" w:hAnsi="Courier New"/>
          <w:sz w:val="16"/>
          <w:szCs w:val="16"/>
          <w:color w:val="auto"/>
        </w:rPr>
      </w:pPr>
      <w:r>
        <w:rPr>
          <w:rFonts w:ascii="Arial" w:cs="Arial" w:eastAsia="Arial" w:hAnsi="Arial"/>
          <w:sz w:val="16"/>
          <w:szCs w:val="16"/>
          <w:color w:val="auto"/>
        </w:rPr>
        <w:t>New Zealand – operating expense was consistent with 2013.</w:t>
      </w:r>
    </w:p>
    <w:p>
      <w:pPr>
        <w:spacing w:after="0" w:line="1" w:lineRule="exact"/>
        <w:rPr>
          <w:sz w:val="20"/>
          <w:szCs w:val="20"/>
          <w:color w:val="auto"/>
        </w:rPr>
      </w:pPr>
    </w:p>
    <w:p>
      <w:pPr>
        <w:jc w:val="both"/>
        <w:ind w:left="340" w:right="20" w:hanging="46"/>
        <w:spacing w:after="0" w:line="243" w:lineRule="auto"/>
        <w:rPr>
          <w:sz w:val="20"/>
          <w:szCs w:val="20"/>
          <w:color w:val="auto"/>
        </w:rPr>
      </w:pPr>
      <w:r>
        <w:rPr>
          <w:rFonts w:ascii="Arial" w:cs="Arial" w:eastAsia="Arial" w:hAnsi="Arial"/>
          <w:sz w:val="16"/>
          <w:szCs w:val="16"/>
          <w:color w:val="auto"/>
        </w:rPr>
        <w:t>·General and administrative costs increased by $398,000 or 61.8% compared to 2013 due mainly to personnel changes in the Australian real estate department.</w:t>
      </w:r>
    </w:p>
    <w:p>
      <w:pPr>
        <w:spacing w:after="0" w:line="1" w:lineRule="exact"/>
        <w:rPr>
          <w:sz w:val="20"/>
          <w:szCs w:val="20"/>
          <w:color w:val="auto"/>
        </w:rPr>
      </w:pPr>
    </w:p>
    <w:p>
      <w:pPr>
        <w:jc w:val="both"/>
        <w:ind w:left="340" w:right="20" w:hanging="46"/>
        <w:spacing w:after="0" w:line="245" w:lineRule="auto"/>
        <w:rPr>
          <w:sz w:val="20"/>
          <w:szCs w:val="20"/>
          <w:color w:val="auto"/>
        </w:rPr>
      </w:pPr>
      <w:r>
        <w:rPr>
          <w:rFonts w:ascii="Arial" w:cs="Arial" w:eastAsia="Arial" w:hAnsi="Arial"/>
          <w:sz w:val="16"/>
          <w:szCs w:val="16"/>
          <w:color w:val="auto"/>
        </w:rPr>
        <w:t>·Australian average exchange rates decreased by 6.8% from 2013 to 2014. New Zealand average exchange rates increased by 1.2% in 2014 from 2013. Both had an impact on our statements of operations.</w:t>
      </w:r>
    </w:p>
    <w:p>
      <w:pPr>
        <w:ind w:right="1540" w:firstLine="282"/>
        <w:spacing w:after="0" w:line="444" w:lineRule="auto"/>
        <w:rPr>
          <w:sz w:val="20"/>
          <w:szCs w:val="20"/>
          <w:color w:val="auto"/>
        </w:rPr>
      </w:pPr>
      <w:r>
        <w:rPr>
          <w:rFonts w:ascii="Arial" w:cs="Arial" w:eastAsia="Arial" w:hAnsi="Arial"/>
          <w:sz w:val="16"/>
          <w:szCs w:val="16"/>
          <w:color w:val="auto"/>
        </w:rPr>
        <w:t xml:space="preserve">·As a result of the above, real estate segment income decreased in 2014 by $1.5 million or 13.5% compared to 2013. </w:t>
      </w:r>
      <w:r>
        <w:rPr>
          <w:rFonts w:ascii="Arial" w:cs="Arial" w:eastAsia="Arial" w:hAnsi="Arial"/>
          <w:sz w:val="16"/>
          <w:szCs w:val="16"/>
          <w:u w:val="single" w:color="auto"/>
          <w:color w:val="auto"/>
        </w:rPr>
        <w:t>Real Estate Results for 2013 Compared to 2012</w:t>
      </w:r>
    </w:p>
    <w:p>
      <w:pPr>
        <w:spacing w:after="0" w:line="1" w:lineRule="exact"/>
        <w:rPr>
          <w:sz w:val="20"/>
          <w:szCs w:val="20"/>
          <w:color w:val="auto"/>
        </w:rPr>
      </w:pPr>
    </w:p>
    <w:p>
      <w:pPr>
        <w:jc w:val="both"/>
        <w:ind w:left="340" w:hanging="46"/>
        <w:spacing w:after="0" w:line="250" w:lineRule="auto"/>
        <w:rPr>
          <w:sz w:val="20"/>
          <w:szCs w:val="20"/>
          <w:color w:val="auto"/>
        </w:rPr>
      </w:pPr>
      <w:r>
        <w:rPr>
          <w:rFonts w:ascii="Arial" w:cs="Arial" w:eastAsia="Arial" w:hAnsi="Arial"/>
          <w:sz w:val="16"/>
          <w:szCs w:val="16"/>
          <w:color w:val="auto"/>
        </w:rPr>
        <w:t>·Real estate revenue decreased by $800,000 or 2.9% compared to 2012. The decrease in revenue was primarily related to the closure of our Courtenay Central parking structure in July 2013 as a result of an earthquake in Wellington, New Zealand. Revenue was also affected by the aforementioned fluctuations in currency exchange rates (see below).</w:t>
      </w:r>
    </w:p>
    <w:p>
      <w:pPr>
        <w:jc w:val="both"/>
        <w:ind w:left="340" w:right="20" w:hanging="46"/>
        <w:spacing w:after="0" w:line="301" w:lineRule="auto"/>
        <w:rPr>
          <w:sz w:val="20"/>
          <w:szCs w:val="20"/>
          <w:color w:val="auto"/>
        </w:rPr>
      </w:pPr>
      <w:r>
        <w:rPr>
          <w:rFonts w:ascii="Arial" w:cs="Arial" w:eastAsia="Arial" w:hAnsi="Arial"/>
          <w:sz w:val="13"/>
          <w:szCs w:val="13"/>
          <w:color w:val="auto"/>
        </w:rPr>
        <w:t>·Operating expense for the real estate segment decreased by $333,000 or 3.0% compared to 2012. This decrease resulted primarily from a decrease in professional fees from our 2012 legal work associated with protecting the property rights of our Burwood property and with our residual railroad properties and the aforementioned fluctuations in currency exchange rates (see below). These decreases were in part offset by additional costs associated with the start of development work on our Wellington, New Zealand location in 2013.</w:t>
      </w:r>
    </w:p>
    <w:p>
      <w:pPr>
        <w:spacing w:after="0" w:line="2" w:lineRule="exact"/>
        <w:rPr>
          <w:sz w:val="20"/>
          <w:szCs w:val="20"/>
          <w:color w:val="auto"/>
        </w:rPr>
      </w:pPr>
    </w:p>
    <w:p>
      <w:pPr>
        <w:jc w:val="both"/>
        <w:ind w:left="340" w:right="20" w:hanging="46"/>
        <w:spacing w:after="0" w:line="245" w:lineRule="auto"/>
        <w:rPr>
          <w:sz w:val="20"/>
          <w:szCs w:val="20"/>
          <w:color w:val="auto"/>
        </w:rPr>
      </w:pPr>
      <w:r>
        <w:rPr>
          <w:rFonts w:ascii="Arial" w:cs="Arial" w:eastAsia="Arial" w:hAnsi="Arial"/>
          <w:sz w:val="16"/>
          <w:szCs w:val="16"/>
          <w:color w:val="auto"/>
        </w:rPr>
        <w:t>·General and administrative costs decreased by $74,000 or 10.3% compared to 2012 primarily due to an increase in our allowance for doubtful accounts for our U.S. properties in 2012 which did not recur in 2013.</w:t>
      </w:r>
    </w:p>
    <w:p>
      <w:pPr>
        <w:jc w:val="both"/>
        <w:ind w:left="340" w:right="20" w:hanging="46"/>
        <w:spacing w:after="0" w:line="245" w:lineRule="auto"/>
        <w:rPr>
          <w:sz w:val="20"/>
          <w:szCs w:val="20"/>
          <w:color w:val="auto"/>
        </w:rPr>
      </w:pPr>
      <w:r>
        <w:rPr>
          <w:rFonts w:ascii="Arial" w:cs="Arial" w:eastAsia="Arial" w:hAnsi="Arial"/>
          <w:sz w:val="16"/>
          <w:szCs w:val="16"/>
          <w:color w:val="auto"/>
        </w:rPr>
        <w:t>·Australian average exchange rates decreased by 6.5% from 2012 to 2013 and the New Zealand average exchange rates increased by 1.2% from 2012 to 2013 both of which had an impact on our statements of operations.</w:t>
      </w:r>
    </w:p>
    <w:p>
      <w:pPr>
        <w:ind w:left="280"/>
        <w:spacing w:after="0"/>
        <w:rPr>
          <w:sz w:val="20"/>
          <w:szCs w:val="20"/>
          <w:color w:val="auto"/>
        </w:rPr>
      </w:pPr>
      <w:r>
        <w:rPr>
          <w:rFonts w:ascii="Arial" w:cs="Arial" w:eastAsia="Arial" w:hAnsi="Arial"/>
          <w:sz w:val="16"/>
          <w:szCs w:val="16"/>
          <w:color w:val="auto"/>
        </w:rPr>
        <w:t>·As a result of the above, real estate segment income increased by $1.5 million or 15.7% compared to 2012.</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Non-Segment Activity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Non-segment expense/income includes expense and/or income that is not directly attributable to our two operating segments.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2014 Compared to</w:t>
      </w:r>
      <w:r>
        <w:rPr>
          <w:rFonts w:ascii="Arial" w:cs="Arial" w:eastAsia="Arial" w:hAnsi="Arial"/>
          <w:sz w:val="16"/>
          <w:szCs w:val="16"/>
          <w:color w:val="auto"/>
        </w:rPr>
        <w:t xml:space="preserve"> 2013</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 expenses for 2014 increased marginally by $149,000 or 1.1% from 2013.</w:t>
      </w:r>
    </w:p>
    <w:p>
      <w:pPr>
        <w:spacing w:after="0" w:line="16" w:lineRule="exact"/>
        <w:rPr>
          <w:sz w:val="20"/>
          <w:szCs w:val="20"/>
          <w:color w:val="auto"/>
        </w:rPr>
      </w:pPr>
    </w:p>
    <w:p>
      <w:pPr>
        <w:jc w:val="both"/>
        <w:ind w:left="340" w:hanging="46"/>
        <w:spacing w:after="0" w:line="261" w:lineRule="auto"/>
        <w:rPr>
          <w:sz w:val="20"/>
          <w:szCs w:val="20"/>
          <w:color w:val="auto"/>
        </w:rPr>
      </w:pPr>
      <w:r>
        <w:rPr>
          <w:rFonts w:ascii="Arial" w:cs="Arial" w:eastAsia="Arial" w:hAnsi="Arial"/>
          <w:sz w:val="15"/>
          <w:szCs w:val="15"/>
          <w:color w:val="auto"/>
        </w:rPr>
        <w:t>·net interest expense decreased by $1.0 million compared to 2013. The decrease in interest expense during 2014 resulted from our ability to refinance certain debt obligations at favorable rates in comparison to the existing rates. Additionally, our interest expense was lower in the 2014 due to a decrease in the fair value of our interest rate swap liabilities in 2014 compared to 2013.</w:t>
      </w:r>
    </w:p>
    <w:p>
      <w:pPr>
        <w:spacing w:after="0" w:line="1" w:lineRule="exact"/>
        <w:rPr>
          <w:sz w:val="20"/>
          <w:szCs w:val="20"/>
          <w:color w:val="auto"/>
        </w:rPr>
      </w:pPr>
    </w:p>
    <w:p>
      <w:pPr>
        <w:jc w:val="both"/>
        <w:ind w:left="340" w:hanging="46"/>
        <w:spacing w:after="0" w:line="246" w:lineRule="auto"/>
        <w:rPr>
          <w:sz w:val="20"/>
          <w:szCs w:val="20"/>
          <w:color w:val="auto"/>
        </w:rPr>
      </w:pPr>
      <w:r>
        <w:rPr>
          <w:rFonts w:ascii="Arial" w:cs="Arial" w:eastAsia="Arial" w:hAnsi="Arial"/>
          <w:sz w:val="16"/>
          <w:szCs w:val="16"/>
          <w:color w:val="auto"/>
        </w:rPr>
        <w:t xml:space="preserve">·the $1.6 million in other income during 2014 was primarily related to the receipt of insurance proceeds received during 2014 for the Courtenay Central parking structure business interruption recovery claim. The $1.9 million in other income during 2013 was primarily related to a $1.4 million gain on the acquisition of a cinema and the receipt of insurance proceeds from our business interruption claim for the temporary closure of our cinema in Christchurch, New Zealand due to the February 22, 2011 earthquake (see Note 26 – </w:t>
      </w:r>
      <w:r>
        <w:rPr>
          <w:rFonts w:ascii="Arial" w:cs="Arial" w:eastAsia="Arial" w:hAnsi="Arial"/>
          <w:sz w:val="16"/>
          <w:szCs w:val="16"/>
          <w:i w:val="1"/>
          <w:iCs w:val="1"/>
          <w:color w:val="auto"/>
        </w:rPr>
        <w:t>Casualty Loss</w:t>
      </w:r>
      <w:r>
        <w:rPr>
          <w:rFonts w:ascii="Arial" w:cs="Arial" w:eastAsia="Arial" w:hAnsi="Arial"/>
          <w:sz w:val="16"/>
          <w:szCs w:val="16"/>
          <w:color w:val="auto"/>
        </w:rPr>
        <w:t xml:space="preserve"> to our 2014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16" w:right="1419" w:bottom="1440" w:gutter="0" w:footer="0" w:header="0"/>
        </w:sectPr>
      </w:pPr>
    </w:p>
    <w:bookmarkStart w:id="44" w:name="page45"/>
    <w:bookmarkEnd w:id="44"/>
    <w:p>
      <w:pPr>
        <w:jc w:val="both"/>
        <w:ind w:left="340" w:right="20" w:hanging="46"/>
        <w:spacing w:after="0" w:line="310" w:lineRule="auto"/>
        <w:rPr>
          <w:sz w:val="20"/>
          <w:szCs w:val="20"/>
          <w:color w:val="auto"/>
        </w:rPr>
      </w:pPr>
      <w:r>
        <w:rPr>
          <w:rFonts w:ascii="Arial" w:cs="Arial" w:eastAsia="Arial" w:hAnsi="Arial"/>
          <w:sz w:val="13"/>
          <w:szCs w:val="13"/>
          <w:color w:val="auto"/>
        </w:rPr>
        <w:t>·the income tax benefit of $9.8 million in 2014 compared to a $4.9 million expense in 2013 was a result of the reversal of the valuation allowance in the United States. The valuation allowance reversal is a result of the tax benefit that we now expect to realize.</w:t>
      </w:r>
    </w:p>
    <w:p>
      <w:pPr>
        <w:spacing w:after="0" w:line="1" w:lineRule="exact"/>
        <w:rPr>
          <w:sz w:val="20"/>
          <w:szCs w:val="20"/>
          <w:color w:val="auto"/>
        </w:rPr>
      </w:pPr>
    </w:p>
    <w:p>
      <w:pPr>
        <w:jc w:val="both"/>
        <w:ind w:left="340" w:right="20" w:hanging="46"/>
        <w:spacing w:after="0" w:line="250" w:lineRule="auto"/>
        <w:rPr>
          <w:sz w:val="20"/>
          <w:szCs w:val="20"/>
          <w:color w:val="auto"/>
        </w:rPr>
      </w:pPr>
      <w:r>
        <w:rPr>
          <w:rFonts w:ascii="Arial" w:cs="Arial" w:eastAsia="Arial" w:hAnsi="Arial"/>
          <w:sz w:val="16"/>
          <w:szCs w:val="16"/>
          <w:color w:val="auto"/>
        </w:rPr>
        <w:t>·equity earnings from unconsolidated investments decreased by $354,000 primarily related to decrease in income from our Mt. Gravatt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2013 Compared to 2012</w:t>
      </w:r>
    </w:p>
    <w:p>
      <w:pPr>
        <w:spacing w:after="0" w:line="157" w:lineRule="exact"/>
        <w:rPr>
          <w:sz w:val="20"/>
          <w:szCs w:val="20"/>
          <w:color w:val="auto"/>
        </w:rPr>
      </w:pPr>
    </w:p>
    <w:p>
      <w:pPr>
        <w:jc w:val="both"/>
        <w:ind w:left="340" w:hanging="46"/>
        <w:spacing w:after="0" w:line="252" w:lineRule="auto"/>
        <w:rPr>
          <w:sz w:val="20"/>
          <w:szCs w:val="20"/>
          <w:color w:val="auto"/>
        </w:rPr>
      </w:pPr>
      <w:r>
        <w:rPr>
          <w:rFonts w:ascii="Arial" w:cs="Arial" w:eastAsia="Arial" w:hAnsi="Arial"/>
          <w:sz w:val="16"/>
          <w:szCs w:val="16"/>
          <w:color w:val="auto"/>
        </w:rPr>
        <w:t>·general and administrative expense increased by $1.3 million primarily related to an increase in compensation expense, pension costs, and additional audit fees.</w:t>
      </w:r>
    </w:p>
    <w:p>
      <w:pPr>
        <w:spacing w:after="0" w:line="1" w:lineRule="exact"/>
        <w:rPr>
          <w:sz w:val="20"/>
          <w:szCs w:val="20"/>
          <w:color w:val="auto"/>
        </w:rPr>
      </w:pPr>
    </w:p>
    <w:p>
      <w:pPr>
        <w:jc w:val="both"/>
        <w:ind w:left="340" w:hanging="46"/>
        <w:spacing w:after="0" w:line="301" w:lineRule="auto"/>
        <w:rPr>
          <w:sz w:val="20"/>
          <w:szCs w:val="20"/>
          <w:color w:val="auto"/>
        </w:rPr>
      </w:pPr>
      <w:r>
        <w:rPr>
          <w:rFonts w:ascii="Arial" w:cs="Arial" w:eastAsia="Arial" w:hAnsi="Arial"/>
          <w:sz w:val="13"/>
          <w:szCs w:val="13"/>
          <w:color w:val="auto"/>
        </w:rPr>
        <w:t>·net interest expense decreased by $6.4 million compared to 2012. The decrease in interest expense during 2013 resulted from an overall decrease in our worldwide debt balances and a decrease in the interest rates on our corporate loans in the U.S. and Australia. Additionally, our interest expense was lower in 2013 due to a decrease in the fair value of our interest rate swap liabilities in 2013 compared to an increase in these liabilities during the same period in 2012 resulting in a comparative decrease in interest expense from 2012 to 2013.</w:t>
      </w:r>
    </w:p>
    <w:p>
      <w:pPr>
        <w:spacing w:after="0" w:line="2"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 xml:space="preserve">·the $1.9 million in other income during 2013 was primarily related to a $1.4 million gain on the acquisition of a cinema and the receipt of insurance proceeds from our business interruption claim for the temporary closure of our cinema in Christchurch, New Zealand (see Note 26 – </w:t>
      </w:r>
      <w:r>
        <w:rPr>
          <w:rFonts w:ascii="Arial" w:cs="Arial" w:eastAsia="Arial" w:hAnsi="Arial"/>
          <w:sz w:val="16"/>
          <w:szCs w:val="16"/>
          <w:i w:val="1"/>
          <w:iCs w:val="1"/>
          <w:color w:val="auto"/>
        </w:rPr>
        <w:t>Casualty Loss</w:t>
      </w:r>
      <w:r>
        <w:rPr>
          <w:rFonts w:ascii="Arial" w:cs="Arial" w:eastAsia="Arial" w:hAnsi="Arial"/>
          <w:sz w:val="16"/>
          <w:szCs w:val="16"/>
          <w:color w:val="auto"/>
        </w:rPr>
        <w:t xml:space="preserve"> to our 2014 Consolidated Financial Statements). The $563,000 in other income during 2012 was primarily related to the write off of our GE Capital loan costs at the time of the refinance of our U.S. Corporate Credit Facility with Bank of America; offset by, insurance proceeds from our business interruption claim for the temporary closure of our cinema in Christchurch, New Zealand due to the February 22, 2011 earthquake.</w:t>
      </w:r>
    </w:p>
    <w:p>
      <w:pPr>
        <w:spacing w:after="0" w:line="1" w:lineRule="exact"/>
        <w:rPr>
          <w:sz w:val="20"/>
          <w:szCs w:val="20"/>
          <w:color w:val="auto"/>
        </w:rPr>
      </w:pPr>
    </w:p>
    <w:p>
      <w:pPr>
        <w:jc w:val="both"/>
        <w:ind w:left="340" w:right="20" w:hanging="46"/>
        <w:spacing w:after="0" w:line="250" w:lineRule="auto"/>
        <w:rPr>
          <w:sz w:val="20"/>
          <w:szCs w:val="20"/>
          <w:color w:val="auto"/>
        </w:rPr>
      </w:pPr>
      <w:r>
        <w:rPr>
          <w:rFonts w:ascii="Arial" w:cs="Arial" w:eastAsia="Arial" w:hAnsi="Arial"/>
          <w:sz w:val="16"/>
          <w:szCs w:val="16"/>
          <w:color w:val="auto"/>
        </w:rPr>
        <w:t>·equity earnings from unconsolidated investments decreased by $252,000 primarily related to decrease in income from our Mt. Gravatt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157"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We are subject to income taxation in several jurisdictions throughout the world. Our effective tax rate and income tax liabilities will be affected by a number of factors, such as:</w:t>
      </w:r>
    </w:p>
    <w:p>
      <w:pPr>
        <w:spacing w:after="0" w:line="122" w:lineRule="exact"/>
        <w:rPr>
          <w:sz w:val="20"/>
          <w:szCs w:val="20"/>
          <w:color w:val="auto"/>
        </w:rPr>
      </w:pPr>
    </w:p>
    <w:p>
      <w:pPr>
        <w:ind w:left="900" w:hanging="61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of and projected taxable income in particular jurisdictions;</w:t>
      </w:r>
    </w:p>
    <w:p>
      <w:pPr>
        <w:spacing w:after="0" w:line="15" w:lineRule="exact"/>
        <w:rPr>
          <w:rFonts w:ascii="Arial" w:cs="Arial" w:eastAsia="Arial" w:hAnsi="Arial"/>
          <w:sz w:val="16"/>
          <w:szCs w:val="16"/>
          <w:color w:val="auto"/>
        </w:rPr>
      </w:pPr>
    </w:p>
    <w:p>
      <w:pPr>
        <w:ind w:left="440" w:hanging="157"/>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rates in particular jurisdictions;</w:t>
      </w:r>
    </w:p>
    <w:p>
      <w:pPr>
        <w:spacing w:after="0" w:line="3" w:lineRule="exact"/>
        <w:rPr>
          <w:rFonts w:ascii="Arial" w:cs="Arial" w:eastAsia="Arial" w:hAnsi="Arial"/>
          <w:sz w:val="16"/>
          <w:szCs w:val="16"/>
          <w:color w:val="auto"/>
        </w:rPr>
      </w:pPr>
    </w:p>
    <w:p>
      <w:pPr>
        <w:ind w:left="480" w:hanging="197"/>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tax treaties between jurisdictions;</w:t>
      </w:r>
    </w:p>
    <w:p>
      <w:pPr>
        <w:spacing w:after="0" w:line="3" w:lineRule="exact"/>
        <w:rPr>
          <w:rFonts w:ascii="Arial" w:cs="Arial" w:eastAsia="Arial" w:hAnsi="Arial"/>
          <w:sz w:val="16"/>
          <w:szCs w:val="16"/>
          <w:color w:val="auto"/>
        </w:rPr>
      </w:pPr>
    </w:p>
    <w:p>
      <w:pPr>
        <w:ind w:left="440" w:hanging="157"/>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extent to which income is repatriated;</w:t>
      </w:r>
    </w:p>
    <w:p>
      <w:pPr>
        <w:spacing w:after="0" w:line="3" w:lineRule="exact"/>
        <w:rPr>
          <w:rFonts w:ascii="Arial" w:cs="Arial" w:eastAsia="Arial" w:hAnsi="Arial"/>
          <w:sz w:val="16"/>
          <w:szCs w:val="16"/>
          <w:color w:val="auto"/>
        </w:rPr>
      </w:pPr>
    </w:p>
    <w:p>
      <w:pPr>
        <w:ind w:left="520" w:hanging="237"/>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future changes in law; and</w:t>
      </w:r>
    </w:p>
    <w:p>
      <w:pPr>
        <w:spacing w:after="0" w:line="3" w:lineRule="exact"/>
        <w:rPr>
          <w:rFonts w:ascii="Arial" w:cs="Arial" w:eastAsia="Arial" w:hAnsi="Arial"/>
          <w:sz w:val="16"/>
          <w:szCs w:val="16"/>
          <w:color w:val="auto"/>
        </w:rPr>
      </w:pPr>
    </w:p>
    <w:p>
      <w:pPr>
        <w:ind w:left="420" w:hanging="137"/>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future reassessment of valuation allowance.</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Generally, we file consolidated or combined tax returns in jurisdictions that permit or require such filings. For jurisdictions that do not permit such a filing, we may owe income, franchise, or capital taxes even though, on an overall basis, we may have incurred a net loss for the tax year.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Income Attributable to Reading International, Inc. Common Shareholders</w:t>
      </w:r>
    </w:p>
    <w:p>
      <w:pPr>
        <w:spacing w:after="0" w:line="157"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For the years ending 2014, 2013, and 2012, our consolidated business units produced a net income of $25.7 million; a net income of $9.0 million and a net loss of $914,000 respectively, attributable to Reading International, Inc. common shareholders. For many of the years prior to 2013 we experienced a net loss. However, as explained in the Cinema and Real Estate segment sections above, we have generally noted improvements in our segment operating income such that we have a positive segment operating income for each of the years of 2014, 2013, and 2012, that in years past has been negative. Although we cannot assure that this trend will continue, we are committed to the overall improvement of earnings through good fiscal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Plan, Liquidity, and Capital Resources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Business Plan</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While we do not believe the cinema exhibition business to be a growth business, we do believe it to be a business that will likely continue to generate fairly consistent cash flows in the years ahead even in recessionary or inflationary environments. This is based on our belief that people will continue to spend some reasonable portion of their entertainment dollar on entertainment outside of the home and that, when compared to other forms of outside-the-home entertainment, movies continue to be a popular and competitively priced option. As we believe the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45" w:name="page46"/>
    <w:bookmarkEnd w:id="45"/>
    <w:p>
      <w:pPr>
        <w:jc w:val="both"/>
        <w:spacing w:after="0" w:line="313" w:lineRule="auto"/>
        <w:rPr>
          <w:sz w:val="20"/>
          <w:szCs w:val="20"/>
          <w:color w:val="auto"/>
        </w:rPr>
      </w:pPr>
      <w:r>
        <w:rPr>
          <w:rFonts w:ascii="Arial" w:cs="Arial" w:eastAsia="Arial" w:hAnsi="Arial"/>
          <w:sz w:val="13"/>
          <w:szCs w:val="13"/>
          <w:color w:val="auto"/>
        </w:rPr>
        <w:t>cinema exhibition business to be a mature business with most markets either adequately screened or over-screened, we see growth in our cinema business coming principally from the enhancement of our current cinemas (for example, by the addition of luxury seating and broadening our food and beverage offerings), the development in select markets of specialty cinemas, and the opportunistic acquisition of already existing cinemas, rather than from the development of new conventional cinemas. From time-to-time, we invest in the securities of other companies, where we believe the business or assets of those companies to be attractive or to offer synergies to our existing entertainment and real estate businesses. In the current environment, we continue to focus on the development and redevelopment of our existing assets (particularly our New York assets and our Angelika Film Center chain), as well as to continue to be opportunistic in identifying and endeavoring to acquire undervalued assets, particularly assets with proven cash flow and that we believe to be resistant to recessionary trends.</w:t>
      </w:r>
    </w:p>
    <w:p>
      <w:pPr>
        <w:spacing w:after="0" w:line="96"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In summary, while we do have operating company attributes, we see ourselves principally as a geographically diversified real estate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 generating cinema operations and our cash consuming real estate development activities. We believe that by blending the cash generating capabilities of a cinema operation with the investment and development opportunities of our real estate development operation, our business strategy is unique among public companies.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Liquidity and Capital Resources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Currently, our liquidity needs continue to arise mainly from:</w:t>
      </w:r>
    </w:p>
    <w:p>
      <w:pPr>
        <w:spacing w:after="0" w:line="168" w:lineRule="exact"/>
        <w:rPr>
          <w:sz w:val="20"/>
          <w:szCs w:val="20"/>
          <w:color w:val="auto"/>
        </w:rPr>
      </w:pPr>
    </w:p>
    <w:p>
      <w:pPr>
        <w:ind w:left="500" w:hanging="217"/>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working capital requirements;</w:t>
      </w:r>
    </w:p>
    <w:p>
      <w:pPr>
        <w:spacing w:after="0" w:line="15" w:lineRule="exact"/>
        <w:rPr>
          <w:rFonts w:ascii="Arial" w:cs="Arial" w:eastAsia="Arial" w:hAnsi="Arial"/>
          <w:sz w:val="16"/>
          <w:szCs w:val="16"/>
          <w:color w:val="auto"/>
        </w:rPr>
      </w:pPr>
    </w:p>
    <w:p>
      <w:pPr>
        <w:ind w:left="540" w:hanging="257"/>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capital expenditures; and</w:t>
      </w:r>
    </w:p>
    <w:p>
      <w:pPr>
        <w:spacing w:after="0" w:line="3" w:lineRule="exact"/>
        <w:rPr>
          <w:rFonts w:ascii="Arial" w:cs="Arial" w:eastAsia="Arial" w:hAnsi="Arial"/>
          <w:sz w:val="16"/>
          <w:szCs w:val="16"/>
          <w:color w:val="auto"/>
        </w:rPr>
      </w:pPr>
    </w:p>
    <w:p>
      <w:pPr>
        <w:ind w:left="500" w:hanging="217"/>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debt servicing requirements.</w:t>
      </w:r>
    </w:p>
    <w:p>
      <w:pPr>
        <w:spacing w:after="0" w:line="145"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With the on-going changes to the worldwide credit markets, the business community continues to have concerns that credit will be more difficult to obtain especially for potentially risky ventures like business and asset acquisitions. However, we believe that our acquisitions over the past few years coupled with our strengthening operational cash flows demonstrate our ability to improve our profitability. This is evidenced by our ability to renew two major debt tranches during 2014 at preferential rates, amounts and duration. We believe that our business model will help to demonstrate to lending institutions our ability not only to make strategic acquisitions but also to service the associated debt.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Discussion of Our Statement of Cash Flows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discussion compares the changes in our cash flows over the past three years.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u w:val="single" w:color="auto"/>
          <w:color w:val="auto"/>
        </w:rPr>
        <w:t>2014 Compared to 2013</w:t>
      </w:r>
      <w:r>
        <w:rPr>
          <w:rFonts w:ascii="Arial" w:cs="Arial" w:eastAsia="Arial" w:hAnsi="Arial"/>
          <w:sz w:val="16"/>
          <w:szCs w:val="16"/>
          <w:color w:val="auto"/>
        </w:rPr>
        <w:t>. Cash provided by operations was $28.3 million in 2014 compared to $25.2 million in the 2013. The increase in cash provided by operations of $3.2 million was due primarily to a $2.3 million increase in operational cash flows; and a $0.9 million increase in cash from changes in operating assets and liabilities.</w:t>
      </w:r>
    </w:p>
    <w:p>
      <w:pPr>
        <w:spacing w:after="0" w:line="14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u w:val="single" w:color="auto"/>
          <w:color w:val="auto"/>
        </w:rPr>
        <w:t>2013 Compared to 2012</w:t>
      </w:r>
      <w:r>
        <w:rPr>
          <w:rFonts w:ascii="Arial" w:cs="Arial" w:eastAsia="Arial" w:hAnsi="Arial"/>
          <w:sz w:val="16"/>
          <w:szCs w:val="16"/>
          <w:color w:val="auto"/>
        </w:rPr>
        <w:t>. Cash provided by operations was $25.2 million in 2013 compared to $25.5 million in the 2012. The decrease in cash provided by operations of $313,000 was due primarily to a $5.1 million increase in operational cash flows; offset by, a $5.4 million decrease in cash from changes in operating assets and liabilities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Cash used in investing activities was $9.9 million in 2014, $6.1 million in 2013, and $6.1 million in 2012. The following summarizes our discretionary investing activities for each of the three years ending December 31, 2014:</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46" w:name="page47"/>
    <w:bookmarkEnd w:id="46"/>
    <w:p>
      <w:pPr>
        <w:ind w:left="560"/>
        <w:spacing w:after="0"/>
        <w:rPr>
          <w:sz w:val="20"/>
          <w:szCs w:val="20"/>
          <w:color w:val="auto"/>
        </w:rPr>
      </w:pPr>
      <w:r>
        <w:rPr>
          <w:rFonts w:ascii="Arial" w:cs="Arial" w:eastAsia="Arial" w:hAnsi="Arial"/>
          <w:sz w:val="16"/>
          <w:szCs w:val="16"/>
          <w:color w:val="auto"/>
        </w:rPr>
        <w:t>The $9.9 million cash used in 2014 was primarily related to:</w:t>
      </w:r>
    </w:p>
    <w:p>
      <w:pPr>
        <w:spacing w:after="0" w:line="157" w:lineRule="exact"/>
        <w:rPr>
          <w:sz w:val="20"/>
          <w:szCs w:val="20"/>
          <w:color w:val="auto"/>
        </w:rPr>
      </w:pPr>
    </w:p>
    <w:p>
      <w:pPr>
        <w:ind w:left="560" w:right="4560" w:hanging="277"/>
        <w:spacing w:after="0" w:line="451" w:lineRule="auto"/>
        <w:tabs>
          <w:tab w:leader="none" w:pos="3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$14.9 million in property enhancements to our existing properties; offset by</w:t>
      </w:r>
    </w:p>
    <w:p>
      <w:pPr>
        <w:spacing w:after="0" w:line="1" w:lineRule="exact"/>
        <w:rPr>
          <w:rFonts w:ascii="Arial" w:cs="Arial" w:eastAsia="Arial" w:hAnsi="Arial"/>
          <w:sz w:val="16"/>
          <w:szCs w:val="16"/>
          <w:color w:val="auto"/>
        </w:rPr>
      </w:pPr>
    </w:p>
    <w:p>
      <w:pPr>
        <w:ind w:left="360" w:hanging="77"/>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$5.4 million in deposit proceeds from the sale of our Burwood property.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$6.1 million cash used in 2013 was primarily related to:</w:t>
      </w:r>
    </w:p>
    <w:p>
      <w:pPr>
        <w:spacing w:after="0" w:line="157" w:lineRule="exact"/>
        <w:rPr>
          <w:sz w:val="20"/>
          <w:szCs w:val="20"/>
          <w:color w:val="auto"/>
        </w:rPr>
      </w:pPr>
    </w:p>
    <w:p>
      <w:pPr>
        <w:ind w:left="560" w:right="4560" w:hanging="277"/>
        <w:spacing w:after="0" w:line="444" w:lineRule="auto"/>
        <w:tabs>
          <w:tab w:leader="none" w:pos="372" w:val="left"/>
        </w:tabs>
        <w:numPr>
          <w:ilvl w:val="0"/>
          <w:numId w:val="18"/>
        </w:numPr>
        <w:rPr>
          <w:rFonts w:ascii="Arial" w:cs="Arial" w:eastAsia="Arial" w:hAnsi="Arial"/>
          <w:sz w:val="16"/>
          <w:szCs w:val="16"/>
          <w:color w:val="auto"/>
        </w:rPr>
      </w:pPr>
      <w:r>
        <w:rPr>
          <w:rFonts w:ascii="Arial" w:cs="Arial" w:eastAsia="Arial" w:hAnsi="Arial"/>
          <w:sz w:val="16"/>
          <w:szCs w:val="16"/>
          <w:color w:val="auto"/>
        </w:rPr>
        <w:t>$20.1 million in property enhancements to our existing properties; offset by</w:t>
      </w:r>
    </w:p>
    <w:p>
      <w:pPr>
        <w:ind w:left="400" w:hanging="117"/>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$1.6 million in cash provided from restricted cash;</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$1.9 million in cash received associated with a cinema acquisition;</w:t>
      </w:r>
    </w:p>
    <w:p>
      <w:pPr>
        <w:spacing w:after="0" w:line="3" w:lineRule="exact"/>
        <w:rPr>
          <w:rFonts w:ascii="Arial" w:cs="Arial" w:eastAsia="Arial" w:hAnsi="Arial"/>
          <w:sz w:val="16"/>
          <w:szCs w:val="16"/>
          <w:color w:val="auto"/>
        </w:rPr>
      </w:pPr>
    </w:p>
    <w:p>
      <w:pPr>
        <w:ind w:left="400" w:hanging="117"/>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$2.0 million of proceeds from a note receivable; and</w:t>
      </w:r>
    </w:p>
    <w:p>
      <w:pPr>
        <w:spacing w:after="0" w:line="3" w:lineRule="exact"/>
        <w:rPr>
          <w:rFonts w:ascii="Arial" w:cs="Arial" w:eastAsia="Arial" w:hAnsi="Arial"/>
          <w:sz w:val="16"/>
          <w:szCs w:val="16"/>
          <w:color w:val="auto"/>
        </w:rPr>
      </w:pPr>
    </w:p>
    <w:p>
      <w:pPr>
        <w:ind w:left="420" w:hanging="137"/>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$8.0 million of proceeds from time deposits.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$6.1 million cash used in 2012 was primarily related to:</w:t>
      </w:r>
    </w:p>
    <w:p>
      <w:pPr>
        <w:spacing w:after="0" w:line="157" w:lineRule="exact"/>
        <w:rPr>
          <w:sz w:val="20"/>
          <w:szCs w:val="20"/>
          <w:color w:val="auto"/>
        </w:rPr>
      </w:pPr>
    </w:p>
    <w:p>
      <w:pPr>
        <w:ind w:left="380" w:hanging="97"/>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$8.2 million in property enhancements to our existing properties;</w:t>
      </w:r>
    </w:p>
    <w:p>
      <w:pPr>
        <w:spacing w:after="0" w:line="15" w:lineRule="exact"/>
        <w:rPr>
          <w:rFonts w:ascii="Arial" w:cs="Arial" w:eastAsia="Arial" w:hAnsi="Arial"/>
          <w:sz w:val="16"/>
          <w:szCs w:val="16"/>
          <w:color w:val="auto"/>
        </w:rPr>
      </w:pPr>
    </w:p>
    <w:p>
      <w:pPr>
        <w:ind w:left="440" w:hanging="157"/>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$8.0 million to purchase time deposits;</w:t>
      </w:r>
    </w:p>
    <w:p>
      <w:pPr>
        <w:spacing w:after="0" w:line="3" w:lineRule="exact"/>
        <w:rPr>
          <w:rFonts w:ascii="Arial" w:cs="Arial" w:eastAsia="Arial" w:hAnsi="Arial"/>
          <w:sz w:val="16"/>
          <w:szCs w:val="16"/>
          <w:color w:val="auto"/>
        </w:rPr>
      </w:pPr>
    </w:p>
    <w:p>
      <w:pPr>
        <w:ind w:left="420" w:hanging="137"/>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$1.8 million to purchase a note receivable; and</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$5.5 million for the purchase of the Coachella land acquisition;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92" w:lineRule="exact"/>
        <w:rPr>
          <w:sz w:val="20"/>
          <w:szCs w:val="20"/>
          <w:color w:val="auto"/>
        </w:rPr>
      </w:pPr>
    </w:p>
    <w:p>
      <w:pPr>
        <w:ind w:left="360" w:hanging="77"/>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$14.1 million of proceeds from the sale of our Taringa and Indooroopilly properties;</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$382,000 in return of investment in unconsolidated entities; and</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$3.0 million of proceeds from the sale of marketable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68"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Cash used in financing activities was $3.3 million in 2014, $17.8 million in 2013 and $12.7 million in 2012. The following summarizes our financing activities for each of the three years ending December 31, 2014:</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$3.3 million cash used in 2014 was primarily related to:</w:t>
      </w:r>
    </w:p>
    <w:p>
      <w:pPr>
        <w:spacing w:after="0" w:line="157" w:lineRule="exact"/>
        <w:rPr>
          <w:sz w:val="20"/>
          <w:szCs w:val="20"/>
          <w:color w:val="auto"/>
        </w:rPr>
      </w:pPr>
    </w:p>
    <w:p>
      <w:pPr>
        <w:ind w:left="340" w:hanging="47"/>
        <w:spacing w:after="0" w:line="252" w:lineRule="auto"/>
        <w:rPr>
          <w:sz w:val="20"/>
          <w:szCs w:val="20"/>
          <w:color w:val="auto"/>
        </w:rPr>
      </w:pPr>
      <w:r>
        <w:rPr>
          <w:rFonts w:ascii="Arial" w:cs="Arial" w:eastAsia="Arial" w:hAnsi="Arial"/>
          <w:sz w:val="16"/>
          <w:szCs w:val="16"/>
          <w:color w:val="auto"/>
        </w:rPr>
        <w:t>·$7.1 million of loan repayments, including $2.0 million in payments on our Bank of America Revolver and Line of Credit and $5.0 million in payments on our NAB term debt; and</w:t>
      </w:r>
    </w:p>
    <w:p>
      <w:pPr>
        <w:spacing w:after="0" w:line="1" w:lineRule="exact"/>
        <w:rPr>
          <w:sz w:val="20"/>
          <w:szCs w:val="20"/>
          <w:color w:val="auto"/>
        </w:rPr>
      </w:pPr>
    </w:p>
    <w:p>
      <w:pPr>
        <w:ind w:left="360" w:hanging="77"/>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$4.1 million spent on repurchasing our Class A Non-Voting Common Stock.</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92" w:lineRule="exact"/>
        <w:rPr>
          <w:sz w:val="20"/>
          <w:szCs w:val="20"/>
          <w:color w:val="auto"/>
        </w:rPr>
      </w:pPr>
    </w:p>
    <w:p>
      <w:pPr>
        <w:ind w:left="400" w:hanging="117"/>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$8.2 million proceeds from the NAB revolver; and</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$978,000 of proceeds from the exercise of employee stock options.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$17.8 million cash used in 2013 was primarily related to:</w:t>
      </w:r>
    </w:p>
    <w:p>
      <w:pPr>
        <w:spacing w:after="0" w:line="168" w:lineRule="exact"/>
        <w:rPr>
          <w:sz w:val="20"/>
          <w:szCs w:val="20"/>
          <w:color w:val="auto"/>
        </w:rPr>
      </w:pPr>
    </w:p>
    <w:p>
      <w:pPr>
        <w:jc w:val="both"/>
        <w:ind w:left="340" w:right="20" w:hanging="47"/>
        <w:spacing w:after="0" w:line="250" w:lineRule="auto"/>
        <w:rPr>
          <w:sz w:val="20"/>
          <w:szCs w:val="20"/>
          <w:color w:val="auto"/>
        </w:rPr>
      </w:pPr>
      <w:r>
        <w:rPr>
          <w:rFonts w:ascii="Arial" w:cs="Arial" w:eastAsia="Arial" w:hAnsi="Arial"/>
          <w:sz w:val="16"/>
          <w:szCs w:val="16"/>
          <w:color w:val="auto"/>
        </w:rPr>
        <w:t>·$28.1 million of loan repayments, including a $6.4 million payoff of our former Liberty Theaters Term Loan, a $6.8 million payoff of our Sutton Hill Capital Note, $5.5 million in payments on our Bank of America Revolver and Line of Credit, $8.6 million in payments on our NAB term debt, and a $592,000 payoff of the Nationwide Loan 1; and</w:t>
      </w:r>
    </w:p>
    <w:p>
      <w:pPr>
        <w:ind w:left="400" w:hanging="117"/>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$2.1 million in noncontrolling interests’ distributions;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92" w:lineRule="exact"/>
        <w:rPr>
          <w:sz w:val="20"/>
          <w:szCs w:val="20"/>
          <w:color w:val="auto"/>
        </w:rPr>
      </w:pPr>
    </w:p>
    <w:p>
      <w:pPr>
        <w:ind w:left="340" w:right="20" w:hanging="47"/>
        <w:spacing w:after="0" w:line="265" w:lineRule="auto"/>
        <w:rPr>
          <w:sz w:val="20"/>
          <w:szCs w:val="20"/>
          <w:color w:val="auto"/>
        </w:rPr>
      </w:pPr>
      <w:r>
        <w:rPr>
          <w:rFonts w:ascii="Arial" w:cs="Arial" w:eastAsia="Arial" w:hAnsi="Arial"/>
          <w:sz w:val="16"/>
          <w:szCs w:val="16"/>
          <w:color w:val="auto"/>
        </w:rPr>
        <w:t>·$12.5 million of new borrowing, including $5.0 million from our Bank of America Revolver and $7.5 million from our new loan on the Orpheum and Minetta Lane Theatres, offset by $563,000 of borrowing costs;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47" w:name="page48"/>
    <w:bookmarkEnd w:id="47"/>
    <w:p>
      <w:pPr>
        <w:ind w:left="380" w:hanging="97"/>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$263,000 in noncontrolling interests’ contributions; and</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$248,000 of proceeds from the exercise of employee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$12.7 million cash used in 2012 was primarily related to:</w:t>
      </w:r>
    </w:p>
    <w:p>
      <w:pPr>
        <w:spacing w:after="0" w:line="157" w:lineRule="exact"/>
        <w:rPr>
          <w:sz w:val="20"/>
          <w:szCs w:val="20"/>
          <w:color w:val="auto"/>
        </w:rPr>
      </w:pPr>
    </w:p>
    <w:p>
      <w:pPr>
        <w:ind w:left="340" w:hanging="47"/>
        <w:spacing w:after="0" w:line="265" w:lineRule="auto"/>
        <w:rPr>
          <w:sz w:val="20"/>
          <w:szCs w:val="20"/>
          <w:color w:val="auto"/>
        </w:rPr>
      </w:pPr>
      <w:r>
        <w:rPr>
          <w:rFonts w:ascii="Arial" w:cs="Arial" w:eastAsia="Arial" w:hAnsi="Arial"/>
          <w:sz w:val="16"/>
          <w:szCs w:val="16"/>
          <w:color w:val="auto"/>
        </w:rPr>
        <w:t>·$62.6 million of loan repayments, including $15.0 million to pay off our Eurohypo Cinemas 1, 2, 3 loan, $32.2 million to pay off our GE Capital Loan, and $14.8 million in payments on our NAB term debt;</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57" w:lineRule="exact"/>
        <w:rPr>
          <w:sz w:val="20"/>
          <w:szCs w:val="20"/>
          <w:color w:val="auto"/>
        </w:rPr>
      </w:pPr>
    </w:p>
    <w:p>
      <w:pPr>
        <w:jc w:val="both"/>
        <w:ind w:left="340" w:hanging="47"/>
        <w:spacing w:after="0" w:line="250" w:lineRule="auto"/>
        <w:rPr>
          <w:sz w:val="20"/>
          <w:szCs w:val="20"/>
          <w:color w:val="auto"/>
        </w:rPr>
      </w:pPr>
      <w:r>
        <w:rPr>
          <w:rFonts w:ascii="Arial" w:cs="Arial" w:eastAsia="Arial" w:hAnsi="Arial"/>
          <w:sz w:val="16"/>
          <w:szCs w:val="16"/>
          <w:color w:val="auto"/>
        </w:rPr>
        <w:t>·$47.0 million of new borrowing, including $30.0 million of loan proceeds from our new Bank of America U.S. Credit Facility and $15.0 million of loan proceeds from our new Cinemas 1, 2, 3 loan (both offset by a total of $782,000 of capitalized borrowing cost) and $2.0 million of borrowing from our Bank of America line of credit;</w:t>
      </w:r>
    </w:p>
    <w:p>
      <w:pPr>
        <w:ind w:left="380" w:hanging="97"/>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$3.4 million in noncontrolling interests’ contributions; and</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$308,000 of proceeds from the exercise of employee stock options.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Future Liquidity and Capital Resources</w:t>
      </w:r>
    </w:p>
    <w:p>
      <w:pPr>
        <w:spacing w:after="0" w:line="168"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During the past 24 months, we have put into place several measures that currently have or will have a positive effect on our overall liquidity, including:</w:t>
      </w:r>
    </w:p>
    <w:p>
      <w:pPr>
        <w:spacing w:after="0" w:line="275" w:lineRule="exact"/>
        <w:rPr>
          <w:sz w:val="20"/>
          <w:szCs w:val="20"/>
          <w:color w:val="auto"/>
        </w:rPr>
      </w:pPr>
    </w:p>
    <w:p>
      <w:pPr>
        <w:jc w:val="both"/>
        <w:ind w:left="340" w:hanging="46"/>
        <w:spacing w:after="0" w:line="248" w:lineRule="auto"/>
        <w:rPr>
          <w:sz w:val="20"/>
          <w:szCs w:val="20"/>
          <w:color w:val="auto"/>
        </w:rPr>
      </w:pPr>
      <w:r>
        <w:rPr>
          <w:rFonts w:ascii="Arial" w:cs="Arial" w:eastAsia="Arial" w:hAnsi="Arial"/>
          <w:sz w:val="16"/>
          <w:szCs w:val="16"/>
          <w:color w:val="auto"/>
        </w:rPr>
        <w:t>·refinancing our existing three-tiered credit facility with National Australia Bank (“NAB”). The facility is now comprised of (1) the Bank Bill Discount Facility with a facility limit of AUS $61.3 million, an interest rate of 2.35% above the Bank Bill Swap Bid Rate (“BBSY”), and amortization at AUS$2.0 million per year; (2) the Bill Discount Facility – Revolving with a facility limit of AUS$10.0 million and an interest rate of 1.50% above the BBSY on any undrawn portion and (3) the Bank Guarantee Facility with a facility limit of AUS$5.0 million. All three have a due date of June 30, 2019.</w:t>
      </w:r>
    </w:p>
    <w:p>
      <w:pPr>
        <w:spacing w:after="0" w:line="1"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·refinancing our Cinema 1, 2, 3 term loan of $15.0 million with an additional $6.0 million for the acquisition of air rights to add additional density to any redevelopment of the property. The loan is held by Sovereign Bank. The loan is collateralized by our Cinema 1, 2, 3 property (including any air rights we may acquire). The new loan has a two-year term commencing June 27, 2014. The $15.0 million Sovereign loan had been extended on July 1, 2013 for a one year period.</w:t>
      </w:r>
    </w:p>
    <w:p>
      <w:pPr>
        <w:jc w:val="both"/>
        <w:ind w:left="340" w:hanging="46"/>
        <w:spacing w:after="0" w:line="245" w:lineRule="auto"/>
        <w:rPr>
          <w:sz w:val="20"/>
          <w:szCs w:val="20"/>
          <w:color w:val="auto"/>
        </w:rPr>
      </w:pPr>
      <w:r>
        <w:rPr>
          <w:rFonts w:ascii="Arial" w:cs="Arial" w:eastAsia="Arial" w:hAnsi="Arial"/>
          <w:sz w:val="16"/>
          <w:szCs w:val="16"/>
          <w:color w:val="auto"/>
        </w:rPr>
        <w:t>·refinancing our Bank of America revolver on November 28, 2014. Increasing the borrowing limits from $35.0 million to $55.0 million with no loan amortization required during the term. The loan has a 5-year term, maturing on December 1, 2019, with an interest rate at LIBOR plus applicable margin rate (ranging from 3.0% to 2.5%) adjusted quarterly. Previously, on March 25, 2013, Bank of America increased the borrowing limit on our BofA Revolver from $30.0 million to $35.0 million.</w:t>
      </w:r>
    </w:p>
    <w:p>
      <w:pPr>
        <w:jc w:val="both"/>
        <w:ind w:left="340" w:right="20" w:hanging="46"/>
        <w:spacing w:after="0" w:line="250" w:lineRule="auto"/>
        <w:rPr>
          <w:sz w:val="20"/>
          <w:szCs w:val="20"/>
          <w:color w:val="auto"/>
        </w:rPr>
      </w:pPr>
      <w:r>
        <w:rPr>
          <w:rFonts w:ascii="Arial" w:cs="Arial" w:eastAsia="Arial" w:hAnsi="Arial"/>
          <w:sz w:val="16"/>
          <w:szCs w:val="16"/>
          <w:color w:val="auto"/>
        </w:rPr>
        <w:t>·refinancing our Liberty Theaters loan with a Sovereign Bank $7.5 million loan securitized by our Minetta and Orpheum with a term of five years commencing May 29, 2013 with an interest rate of 2.94%.</w:t>
      </w:r>
    </w:p>
    <w:p>
      <w:pPr>
        <w:spacing w:after="0" w:line="13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As a result of the above our working capital deficit has reduced from December 31, 2013 $71.8 million to $8.8 million at December 31, 2014. We believe that we have sufficient borrowing capacity to meet our short-term working capital requirements. To meet our current and future liquidity requirements, we have the following external sources of unused liquidity:</w:t>
      </w:r>
    </w:p>
    <w:p>
      <w:pPr>
        <w:spacing w:after="0" w:line="142" w:lineRule="exact"/>
        <w:rPr>
          <w:sz w:val="20"/>
          <w:szCs w:val="20"/>
          <w:color w:val="auto"/>
        </w:rPr>
      </w:pPr>
    </w:p>
    <w:p>
      <w:pPr>
        <w:ind w:left="380" w:hanging="97"/>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$25.3 million is available on our Bank of America revolver.</w:t>
      </w:r>
    </w:p>
    <w:p>
      <w:pPr>
        <w:spacing w:after="0" w:line="15" w:lineRule="exact"/>
        <w:rPr>
          <w:rFonts w:ascii="Arial" w:cs="Arial" w:eastAsia="Arial" w:hAnsi="Arial"/>
          <w:sz w:val="16"/>
          <w:szCs w:val="16"/>
          <w:color w:val="auto"/>
        </w:rPr>
      </w:pPr>
    </w:p>
    <w:p>
      <w:pPr>
        <w:ind w:left="340" w:hanging="57"/>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$9.4 million (NZ$12.0 million) is available on our Westpac New Zealand Corporate Credit facility.</w:t>
      </w:r>
    </w:p>
    <w:p>
      <w:pPr>
        <w:spacing w:after="0" w:line="3" w:lineRule="exact"/>
        <w:rPr>
          <w:rFonts w:ascii="Arial" w:cs="Arial" w:eastAsia="Arial" w:hAnsi="Arial"/>
          <w:sz w:val="16"/>
          <w:szCs w:val="16"/>
          <w:color w:val="auto"/>
        </w:rPr>
      </w:pPr>
    </w:p>
    <w:p>
      <w:pPr>
        <w:ind w:left="340" w:hanging="57"/>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$6.0 million available on our Sovereign Line of Credit for acquisition of air rights for the Cinemas 1,2,3.</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$5.0 million is available on our Bank of America Line of Credit.</w:t>
      </w:r>
    </w:p>
    <w:p>
      <w:pPr>
        <w:spacing w:after="0" w:line="145"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Potential uses for funds during 2015 that would reduce our liquidity, other than those relating to working capital needs and debt service requirements, include:</w:t>
      </w:r>
    </w:p>
    <w:p>
      <w:pPr>
        <w:spacing w:after="0" w:line="122" w:lineRule="exact"/>
        <w:rPr>
          <w:sz w:val="20"/>
          <w:szCs w:val="20"/>
          <w:color w:val="auto"/>
        </w:rPr>
      </w:pPr>
    </w:p>
    <w:p>
      <w:pPr>
        <w:ind w:left="360" w:hanging="77"/>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payments on our legal settlement obligation for the Tax/Audit Litigation;</w:t>
      </w:r>
    </w:p>
    <w:p>
      <w:pPr>
        <w:spacing w:after="0" w:line="15" w:lineRule="exact"/>
        <w:rPr>
          <w:rFonts w:ascii="Arial" w:cs="Arial" w:eastAsia="Arial" w:hAnsi="Arial"/>
          <w:sz w:val="16"/>
          <w:szCs w:val="16"/>
          <w:color w:val="auto"/>
        </w:rPr>
      </w:pPr>
    </w:p>
    <w:p>
      <w:pPr>
        <w:ind w:left="360" w:hanging="77"/>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selective development of our currently held for development projects;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48" w:name="page49"/>
    <w:bookmarkEnd w:id="48"/>
    <w:p>
      <w:pPr>
        <w:ind w:left="280"/>
        <w:spacing w:after="0"/>
        <w:rPr>
          <w:sz w:val="20"/>
          <w:szCs w:val="20"/>
          <w:color w:val="auto"/>
        </w:rPr>
      </w:pPr>
      <w:r>
        <w:rPr>
          <w:rFonts w:ascii="Arial" w:cs="Arial" w:eastAsia="Arial" w:hAnsi="Arial"/>
          <w:sz w:val="16"/>
          <w:szCs w:val="16"/>
          <w:color w:val="auto"/>
        </w:rPr>
        <w:t>·the acquisition of assets with proven cash flow that we believe to be resistant to the current recessionary trends.</w:t>
      </w:r>
    </w:p>
    <w:p>
      <w:pPr>
        <w:spacing w:after="0" w:line="192"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Our worldwide cash position at December 31, 2014 was $50.2 million including $30.4 million in the U.S., $12.1 million in Australia, and $7.7 million in New Zealand. As part of our main credit facilities in Australia, New Zealand, and the U.S., we are subject to certain debt covenants that limit the transfer or use of cash outside of the various regional subsidiaries in which the cash is held. As such, at December 31, 2014, we have approximately $26.2 million of cash that is not restricted by loan covenants.</w:t>
      </w:r>
    </w:p>
    <w:p>
      <w:pPr>
        <w:spacing w:after="0" w:line="152"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Based upon the current levels of the consolidated operations, further anticipated cost savings and future growth, we believe our cash flow from operations, together with both the existing and anticipated lines-of-credit and other sources of liquidity (including future potential asset sales), will be adequate to meet our anticipated requirements for principal repayments, interest payments, and short-term debt maturities, plus any other debt service obligations, working capital, capital expenditures and other operating needs.</w:t>
      </w:r>
    </w:p>
    <w:p>
      <w:pPr>
        <w:spacing w:after="0" w:line="11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 films, many of which are beyond our control. If our cash flow from operations and/or proceeds from anticipated borrowings should prove to be insufficient to meet our funding needs, our current intention is do one or more of the following:</w:t>
      </w:r>
    </w:p>
    <w:p>
      <w:pPr>
        <w:spacing w:after="0" w:line="146" w:lineRule="exact"/>
        <w:rPr>
          <w:sz w:val="20"/>
          <w:szCs w:val="20"/>
          <w:color w:val="auto"/>
        </w:rPr>
      </w:pPr>
    </w:p>
    <w:p>
      <w:pPr>
        <w:ind w:left="360" w:hanging="77"/>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defer construction of projects currently slated for land we presently own;</w:t>
      </w:r>
    </w:p>
    <w:p>
      <w:pPr>
        <w:spacing w:after="0" w:line="15" w:lineRule="exact"/>
        <w:rPr>
          <w:rFonts w:ascii="Arial" w:cs="Arial" w:eastAsia="Arial" w:hAnsi="Arial"/>
          <w:sz w:val="16"/>
          <w:szCs w:val="16"/>
          <w:color w:val="auto"/>
        </w:rPr>
      </w:pPr>
    </w:p>
    <w:p>
      <w:pPr>
        <w:ind w:left="360" w:hanging="77"/>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take on joint venture partners with respect to such development projects; and/or</w:t>
      </w:r>
    </w:p>
    <w:p>
      <w:pPr>
        <w:spacing w:after="0" w:line="3" w:lineRule="exact"/>
        <w:rPr>
          <w:rFonts w:ascii="Arial" w:cs="Arial" w:eastAsia="Arial" w:hAnsi="Arial"/>
          <w:sz w:val="16"/>
          <w:szCs w:val="16"/>
          <w:color w:val="auto"/>
        </w:rPr>
      </w:pPr>
    </w:p>
    <w:p>
      <w:pPr>
        <w:ind w:left="720" w:hanging="437"/>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sell assets.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Contractual Obligations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following table provides information with respect to the maturities and scheduled principal repayments of our secured debt and lease obligations at December 31, 2014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Thereafter</w:t>
            </w: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Term Debt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38,104</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16,634</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1,635</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9,135</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70,615</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136,123</w:t>
            </w:r>
          </w:p>
        </w:tc>
        <w:tc>
          <w:tcPr>
            <w:tcW w:w="0" w:type="dxa"/>
            <w:vAlign w:val="bottom"/>
          </w:tcPr>
          <w:p>
            <w:pPr>
              <w:spacing w:after="0"/>
              <w:rPr>
                <w:sz w:val="1"/>
                <w:szCs w:val="1"/>
                <w:color w:val="auto"/>
              </w:rPr>
            </w:pPr>
          </w:p>
        </w:tc>
      </w:tr>
      <w:tr>
        <w:trPr>
          <w:trHeight w:val="180"/>
        </w:trPr>
        <w:tc>
          <w:tcPr>
            <w:tcW w:w="2060" w:type="dxa"/>
            <w:vAlign w:val="bottom"/>
          </w:tcPr>
          <w:p>
            <w:pPr>
              <w:ind w:left="100"/>
              <w:spacing w:after="0"/>
              <w:rPr>
                <w:sz w:val="20"/>
                <w:szCs w:val="20"/>
                <w:color w:val="auto"/>
              </w:rPr>
            </w:pPr>
            <w:r>
              <w:rPr>
                <w:rFonts w:ascii="Arial" w:cs="Arial" w:eastAsia="Arial" w:hAnsi="Arial"/>
                <w:sz w:val="14"/>
                <w:szCs w:val="14"/>
                <w:color w:val="auto"/>
              </w:rPr>
              <w:t>Subordinated Notes</w:t>
            </w:r>
          </w:p>
        </w:tc>
        <w:tc>
          <w:tcPr>
            <w:tcW w:w="700" w:type="dxa"/>
            <w:vAlign w:val="bottom"/>
          </w:tcPr>
          <w:p>
            <w:pPr>
              <w:spacing w:after="0"/>
              <w:rPr>
                <w:sz w:val="15"/>
                <w:szCs w:val="15"/>
                <w:color w:val="auto"/>
              </w:rPr>
            </w:pP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4"/>
                <w:szCs w:val="14"/>
                <w:color w:val="auto"/>
              </w:rPr>
              <w:t>27,913</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27,913</w:t>
            </w:r>
          </w:p>
        </w:tc>
        <w:tc>
          <w:tcPr>
            <w:tcW w:w="0" w:type="dxa"/>
            <w:vAlign w:val="bottom"/>
          </w:tcPr>
          <w:p>
            <w:pPr>
              <w:spacing w:after="0"/>
              <w:rPr>
                <w:sz w:val="1"/>
                <w:szCs w:val="1"/>
                <w:color w:val="auto"/>
              </w:rPr>
            </w:pPr>
          </w:p>
        </w:tc>
      </w:tr>
      <w:tr>
        <w:trPr>
          <w:trHeight w:val="53"/>
        </w:trPr>
        <w:tc>
          <w:tcPr>
            <w:tcW w:w="2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Tax settlement liability</w:t>
            </w:r>
          </w:p>
        </w:tc>
        <w:tc>
          <w:tcPr>
            <w:tcW w:w="7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2,900</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180"/>
        </w:trPr>
        <w:tc>
          <w:tcPr>
            <w:tcW w:w="2060" w:type="dxa"/>
            <w:vAlign w:val="bottom"/>
          </w:tcPr>
          <w:p>
            <w:pPr>
              <w:ind w:left="100"/>
              <w:spacing w:after="0"/>
              <w:rPr>
                <w:sz w:val="20"/>
                <w:szCs w:val="20"/>
                <w:color w:val="auto"/>
              </w:rPr>
            </w:pPr>
            <w:r>
              <w:rPr>
                <w:rFonts w:ascii="Arial" w:cs="Arial" w:eastAsia="Arial" w:hAnsi="Arial"/>
                <w:sz w:val="14"/>
                <w:szCs w:val="14"/>
                <w:color w:val="auto"/>
              </w:rPr>
              <w:t>Pension liability</w:t>
            </w:r>
          </w:p>
        </w:tc>
        <w:tc>
          <w:tcPr>
            <w:tcW w:w="700" w:type="dxa"/>
            <w:vAlign w:val="bottom"/>
          </w:tcPr>
          <w:p>
            <w:pPr>
              <w:spacing w:after="0"/>
              <w:rPr>
                <w:sz w:val="15"/>
                <w:szCs w:val="15"/>
                <w:color w:val="auto"/>
              </w:rPr>
            </w:pPr>
          </w:p>
        </w:tc>
        <w:tc>
          <w:tcPr>
            <w:tcW w:w="920" w:type="dxa"/>
            <w:vAlign w:val="bottom"/>
            <w:vMerge w:val="restart"/>
          </w:tcPr>
          <w:p>
            <w:pPr>
              <w:jc w:val="right"/>
              <w:ind w:right="170"/>
              <w:spacing w:after="0"/>
              <w:rPr>
                <w:sz w:val="20"/>
                <w:szCs w:val="20"/>
                <w:color w:val="auto"/>
              </w:rPr>
            </w:pPr>
            <w:r>
              <w:rPr>
                <w:rFonts w:ascii="Arial" w:cs="Arial" w:eastAsia="Arial" w:hAnsi="Arial"/>
                <w:sz w:val="14"/>
                <w:szCs w:val="14"/>
                <w:color w:val="auto"/>
              </w:rPr>
              <w:t>855</w:t>
            </w:r>
          </w:p>
        </w:tc>
        <w:tc>
          <w:tcPr>
            <w:tcW w:w="980" w:type="dxa"/>
            <w:vAlign w:val="bottom"/>
            <w:vMerge w:val="restart"/>
          </w:tcPr>
          <w:p>
            <w:pPr>
              <w:jc w:val="right"/>
              <w:ind w:right="170"/>
              <w:spacing w:after="0"/>
              <w:rPr>
                <w:sz w:val="20"/>
                <w:szCs w:val="20"/>
                <w:color w:val="auto"/>
              </w:rPr>
            </w:pPr>
            <w:r>
              <w:rPr>
                <w:rFonts w:ascii="Arial" w:cs="Arial" w:eastAsia="Arial" w:hAnsi="Arial"/>
                <w:sz w:val="14"/>
                <w:szCs w:val="14"/>
                <w:color w:val="auto"/>
              </w:rPr>
              <w:t>684</w:t>
            </w:r>
          </w:p>
        </w:tc>
        <w:tc>
          <w:tcPr>
            <w:tcW w:w="940" w:type="dxa"/>
            <w:vAlign w:val="bottom"/>
            <w:vMerge w:val="restart"/>
          </w:tcPr>
          <w:p>
            <w:pPr>
              <w:jc w:val="right"/>
              <w:ind w:right="130"/>
              <w:spacing w:after="0"/>
              <w:rPr>
                <w:sz w:val="20"/>
                <w:szCs w:val="20"/>
                <w:color w:val="auto"/>
              </w:rPr>
            </w:pPr>
            <w:r>
              <w:rPr>
                <w:rFonts w:ascii="Arial" w:cs="Arial" w:eastAsia="Arial" w:hAnsi="Arial"/>
                <w:sz w:val="14"/>
                <w:szCs w:val="14"/>
                <w:color w:val="auto"/>
              </w:rPr>
              <w:t>684</w:t>
            </w:r>
          </w:p>
        </w:tc>
        <w:tc>
          <w:tcPr>
            <w:tcW w:w="820" w:type="dxa"/>
            <w:vAlign w:val="bottom"/>
            <w:vMerge w:val="restart"/>
          </w:tcPr>
          <w:p>
            <w:pPr>
              <w:jc w:val="right"/>
              <w:ind w:right="130"/>
              <w:spacing w:after="0"/>
              <w:rPr>
                <w:sz w:val="20"/>
                <w:szCs w:val="20"/>
                <w:color w:val="auto"/>
              </w:rPr>
            </w:pPr>
            <w:r>
              <w:rPr>
                <w:rFonts w:ascii="Arial" w:cs="Arial" w:eastAsia="Arial" w:hAnsi="Arial"/>
                <w:sz w:val="14"/>
                <w:szCs w:val="14"/>
                <w:color w:val="auto"/>
              </w:rPr>
              <w:t>684</w:t>
            </w: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684</w:t>
            </w:r>
          </w:p>
        </w:tc>
        <w:tc>
          <w:tcPr>
            <w:tcW w:w="160" w:type="dxa"/>
            <w:vAlign w:val="bottom"/>
          </w:tcPr>
          <w:p>
            <w:pPr>
              <w:spacing w:after="0"/>
              <w:rPr>
                <w:sz w:val="15"/>
                <w:szCs w:val="15"/>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4"/>
                <w:szCs w:val="14"/>
                <w:color w:val="auto"/>
              </w:rPr>
              <w:t>4,004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7,595</w:t>
            </w:r>
          </w:p>
        </w:tc>
        <w:tc>
          <w:tcPr>
            <w:tcW w:w="0" w:type="dxa"/>
            <w:vAlign w:val="bottom"/>
          </w:tcPr>
          <w:p>
            <w:pPr>
              <w:spacing w:after="0"/>
              <w:rPr>
                <w:sz w:val="1"/>
                <w:szCs w:val="1"/>
                <w:color w:val="auto"/>
              </w:rPr>
            </w:pPr>
          </w:p>
        </w:tc>
      </w:tr>
      <w:tr>
        <w:trPr>
          <w:trHeight w:val="53"/>
        </w:trPr>
        <w:tc>
          <w:tcPr>
            <w:tcW w:w="2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Lease obligations</w:t>
            </w:r>
          </w:p>
        </w:tc>
        <w:tc>
          <w:tcPr>
            <w:tcW w:w="7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33,790</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29,944</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27,016</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20,440</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16,594</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64,424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192,208</w:t>
            </w:r>
          </w:p>
        </w:tc>
        <w:tc>
          <w:tcPr>
            <w:tcW w:w="0" w:type="dxa"/>
            <w:vAlign w:val="bottom"/>
          </w:tcPr>
          <w:p>
            <w:pPr>
              <w:spacing w:after="0"/>
              <w:rPr>
                <w:sz w:val="1"/>
                <w:szCs w:val="1"/>
                <w:color w:val="auto"/>
              </w:rPr>
            </w:pPr>
          </w:p>
        </w:tc>
      </w:tr>
      <w:tr>
        <w:trPr>
          <w:trHeight w:val="180"/>
        </w:trPr>
        <w:tc>
          <w:tcPr>
            <w:tcW w:w="2060" w:type="dxa"/>
            <w:vAlign w:val="bottom"/>
          </w:tcPr>
          <w:p>
            <w:pPr>
              <w:ind w:left="100"/>
              <w:spacing w:after="0"/>
              <w:rPr>
                <w:sz w:val="20"/>
                <w:szCs w:val="20"/>
                <w:color w:val="auto"/>
              </w:rPr>
            </w:pPr>
            <w:r>
              <w:rPr>
                <w:rFonts w:ascii="Arial" w:cs="Arial" w:eastAsia="Arial" w:hAnsi="Arial"/>
                <w:sz w:val="14"/>
                <w:szCs w:val="14"/>
                <w:color w:val="auto"/>
              </w:rPr>
              <w:t>Estimated interest on debt</w:t>
            </w:r>
          </w:p>
        </w:tc>
        <w:tc>
          <w:tcPr>
            <w:tcW w:w="700" w:type="dxa"/>
            <w:vAlign w:val="bottom"/>
          </w:tcPr>
          <w:p>
            <w:pPr>
              <w:spacing w:after="0"/>
              <w:rPr>
                <w:sz w:val="15"/>
                <w:szCs w:val="15"/>
                <w:color w:val="auto"/>
              </w:rPr>
            </w:pPr>
          </w:p>
        </w:tc>
        <w:tc>
          <w:tcPr>
            <w:tcW w:w="920" w:type="dxa"/>
            <w:vAlign w:val="bottom"/>
            <w:vMerge w:val="restart"/>
          </w:tcPr>
          <w:p>
            <w:pPr>
              <w:jc w:val="right"/>
              <w:ind w:right="170"/>
              <w:spacing w:after="0"/>
              <w:rPr>
                <w:sz w:val="20"/>
                <w:szCs w:val="20"/>
                <w:color w:val="auto"/>
              </w:rPr>
            </w:pPr>
            <w:r>
              <w:rPr>
                <w:rFonts w:ascii="Arial" w:cs="Arial" w:eastAsia="Arial" w:hAnsi="Arial"/>
                <w:sz w:val="14"/>
                <w:szCs w:val="14"/>
                <w:color w:val="auto"/>
              </w:rPr>
              <w:t>5,834</w:t>
            </w:r>
          </w:p>
        </w:tc>
        <w:tc>
          <w:tcPr>
            <w:tcW w:w="980" w:type="dxa"/>
            <w:vAlign w:val="bottom"/>
            <w:vMerge w:val="restart"/>
          </w:tcPr>
          <w:p>
            <w:pPr>
              <w:jc w:val="right"/>
              <w:ind w:right="170"/>
              <w:spacing w:after="0"/>
              <w:rPr>
                <w:sz w:val="20"/>
                <w:szCs w:val="20"/>
                <w:color w:val="auto"/>
              </w:rPr>
            </w:pPr>
            <w:r>
              <w:rPr>
                <w:rFonts w:ascii="Arial" w:cs="Arial" w:eastAsia="Arial" w:hAnsi="Arial"/>
                <w:sz w:val="14"/>
                <w:szCs w:val="14"/>
                <w:color w:val="auto"/>
              </w:rPr>
              <w:t>4,975</w:t>
            </w:r>
          </w:p>
        </w:tc>
        <w:tc>
          <w:tcPr>
            <w:tcW w:w="940" w:type="dxa"/>
            <w:vAlign w:val="bottom"/>
            <w:vMerge w:val="restart"/>
          </w:tcPr>
          <w:p>
            <w:pPr>
              <w:jc w:val="right"/>
              <w:ind w:right="130"/>
              <w:spacing w:after="0"/>
              <w:rPr>
                <w:sz w:val="20"/>
                <w:szCs w:val="20"/>
                <w:color w:val="auto"/>
              </w:rPr>
            </w:pPr>
            <w:r>
              <w:rPr>
                <w:rFonts w:ascii="Arial" w:cs="Arial" w:eastAsia="Arial" w:hAnsi="Arial"/>
                <w:sz w:val="14"/>
                <w:szCs w:val="14"/>
                <w:color w:val="auto"/>
              </w:rPr>
              <w:t>4,608</w:t>
            </w:r>
          </w:p>
        </w:tc>
        <w:tc>
          <w:tcPr>
            <w:tcW w:w="820" w:type="dxa"/>
            <w:vAlign w:val="bottom"/>
            <w:vMerge w:val="restart"/>
          </w:tcPr>
          <w:p>
            <w:pPr>
              <w:jc w:val="right"/>
              <w:ind w:right="130"/>
              <w:spacing w:after="0"/>
              <w:rPr>
                <w:sz w:val="20"/>
                <w:szCs w:val="20"/>
                <w:color w:val="auto"/>
              </w:rPr>
            </w:pPr>
            <w:r>
              <w:rPr>
                <w:rFonts w:ascii="Arial" w:cs="Arial" w:eastAsia="Arial" w:hAnsi="Arial"/>
                <w:sz w:val="14"/>
                <w:szCs w:val="14"/>
                <w:color w:val="auto"/>
              </w:rPr>
              <w:t>4,388</w:t>
            </w: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3,028</w:t>
            </w:r>
          </w:p>
        </w:tc>
        <w:tc>
          <w:tcPr>
            <w:tcW w:w="160" w:type="dxa"/>
            <w:vAlign w:val="bottom"/>
          </w:tcPr>
          <w:p>
            <w:pPr>
              <w:spacing w:after="0"/>
              <w:rPr>
                <w:sz w:val="15"/>
                <w:szCs w:val="15"/>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4"/>
                <w:szCs w:val="14"/>
                <w:color w:val="auto"/>
              </w:rPr>
              <w:t>8,786</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31,619</w:t>
            </w:r>
          </w:p>
        </w:tc>
        <w:tc>
          <w:tcPr>
            <w:tcW w:w="0" w:type="dxa"/>
            <w:vAlign w:val="bottom"/>
          </w:tcPr>
          <w:p>
            <w:pPr>
              <w:spacing w:after="0"/>
              <w:rPr>
                <w:sz w:val="1"/>
                <w:szCs w:val="1"/>
                <w:color w:val="auto"/>
              </w:rPr>
            </w:pPr>
          </w:p>
        </w:tc>
      </w:tr>
      <w:tr>
        <w:trPr>
          <w:trHeight w:val="53"/>
        </w:trPr>
        <w:tc>
          <w:tcPr>
            <w:tcW w:w="20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81,483</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52,237</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33,943</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34,647</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90,921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105,127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398,358</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Estimated interest on long-term debt is based on the anticipated loan balances for future periods calculated against current fixed and variable interest rates.</w:t>
      </w:r>
    </w:p>
    <w:p>
      <w:pPr>
        <w:spacing w:after="0" w:line="122"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 xml:space="preserve">We adopted FASB ASC 740-10-25 – </w:t>
      </w:r>
      <w:r>
        <w:rPr>
          <w:rFonts w:ascii="Arial" w:cs="Arial" w:eastAsia="Arial" w:hAnsi="Arial"/>
          <w:sz w:val="13"/>
          <w:szCs w:val="13"/>
          <w:i w:val="1"/>
          <w:iCs w:val="1"/>
          <w:color w:val="auto"/>
        </w:rPr>
        <w:t>Income Taxes - Uncertain Tax Positions</w:t>
      </w:r>
      <w:r>
        <w:rPr>
          <w:rFonts w:ascii="Arial" w:cs="Arial" w:eastAsia="Arial" w:hAnsi="Arial"/>
          <w:sz w:val="13"/>
          <w:szCs w:val="13"/>
          <w:color w:val="auto"/>
        </w:rPr>
        <w:t xml:space="preserve"> on January 1, 2007. As of adoption, the total amount of gross unrecognized tax benefits for uncertain tax positions was $12.5 million increasing to $13.7 million, to $14.5 million, and to $15.3 million as of December 31, 2007, 2008, and 2009, respectively. As of December 31 2010, the gross unrecognized tax benefit increased to $20.6 million, substantially as a result of having settled our Tax Audit/Litigation case (see Note 19 –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to our 2014 Consolidated Financial Statements). As of December 31, 2011, the gross unrecognized tax benefit decreased to $4.1 million largely because the Tax Audit/Litigation matter is no longer in the nature of an uncertain tax position governed by FASB ASC 740-10-25, but is a fixed and determinable tax liability. As of December 31, 2012, 2013 and 2014, the gross unrecognized tax benefit was $5.3 million, $4.0 million and $9.2 million respectively. We do not expect a significant tax payment related to the $9.2 million in uncertain tax positions within the next 12 months.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Unconsolidated Joint Venture Debt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49" w:name="page50"/>
    <w:bookmarkEnd w:id="49"/>
    <w:p>
      <w:pPr>
        <w:jc w:val="both"/>
        <w:ind w:firstLine="564"/>
        <w:spacing w:after="0" w:line="280" w:lineRule="auto"/>
        <w:rPr>
          <w:sz w:val="20"/>
          <w:szCs w:val="20"/>
          <w:color w:val="auto"/>
        </w:rPr>
      </w:pPr>
      <w:r>
        <w:rPr>
          <w:rFonts w:ascii="Arial" w:cs="Arial" w:eastAsia="Arial" w:hAnsi="Arial"/>
          <w:sz w:val="15"/>
          <w:szCs w:val="15"/>
          <w:color w:val="auto"/>
        </w:rPr>
        <w:t>Total debt of unconsolidated joint ventures was $592,000 and $634,000 as of December 31, 2014 and December 31, 2013, respectively. Our share of unconsolidated debt, based on our ownership percentage, was $197,000 and $211,000 as of December 31, 2014 and December 31, 2013, respectively. This loan is guaranteed by one of our subsidiaries to the extent of our ownership percentage.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Off-Balance Sheet Arrangements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There are no off-balance sheet transactions,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Risk Management</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the U.S. and Australia and New Zealand, and interest rates.</w:t>
      </w:r>
    </w:p>
    <w:p>
      <w:pPr>
        <w:spacing w:after="0" w:line="125"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If our operational focus shifts more to Australia and New Zealand, unrealized foreign currency translation gains and losses could materially affect our financial position. Historically, we managed our currency exposure by creating natural hedges in Australia and New Zealand. This involves local country sourcing of goods and services as well as borrowing in local currencies. During 2012, we deviated somewhat from this practice by purchasing $8.0 million in time deposits denominated in U.S. dollars and held by an Australian bank. At December 31, 2014, we hold $1.1 million in Australia denominated in U.S. dollars. Also, by paying off our New Zealand debt and paying down on our Australian debt with the proceeds of our TPS in 2007, we added an increased element of currency risk to our Company. We believe that this currency risk is mitigated by the long-term nature of the fully subordinated notes and our ability in 2009 to repurchase, at a discount, some of these securities.</w:t>
      </w:r>
    </w:p>
    <w:p>
      <w:pPr>
        <w:spacing w:after="0" w:line="13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 xml:space="preserve">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Facility provides for floating interest rates based on the BBSY, but required at that time that not less than 75% of the loan be swapped into fixed rate obligations. We elected, however, to swap 100% of the balance. Under the June 27, 2014 refinancing, the requirement that 75% of the loan balance be swapped into fixed rate obligations was no longer required. Although our Bank of America Revolver does not require a fixed interest swap agreement, we entered into an approximate three-year $28.0 million fixed interest rate swap that has a balance reduction schedule matching the loan amortization of the Bank of America Revolver. Under the November 28, 2014 refinancing there is no loan amortization required during the term of the loan. Effective October 28, 2013, we entered into a three-year $27.9 million fixed interest rate swap for our Trust Preferred Securities (see Note 13 </w:t>
      </w:r>
      <w:r>
        <w:rPr>
          <w:rFonts w:ascii="Arial" w:cs="Arial" w:eastAsia="Arial" w:hAnsi="Arial"/>
          <w:sz w:val="15"/>
          <w:szCs w:val="15"/>
          <w:i w:val="1"/>
          <w:iCs w:val="1"/>
          <w:color w:val="auto"/>
        </w:rPr>
        <w:t>–Derivative Instruments</w:t>
      </w:r>
      <w:r>
        <w:rPr>
          <w:rFonts w:ascii="Arial" w:cs="Arial" w:eastAsia="Arial" w:hAnsi="Arial"/>
          <w:sz w:val="15"/>
          <w:szCs w:val="15"/>
          <w:color w:val="auto"/>
        </w:rPr>
        <w:t xml:space="preserve"> to our 2014 Consolidated Financial Statements).</w:t>
      </w:r>
    </w:p>
    <w:p>
      <w:pPr>
        <w:spacing w:after="0" w:line="12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In accordance with FASB ASC 815-20 –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marked our interest swap instruments to market on the consolidated balance sheet resulting in a $1.0 million decrease to interest expense during 2014, a $2.0 million decrease to interest expense during 2013, and a $1.1 million increase to interest expense during 2012.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Inflation</w:t>
      </w:r>
    </w:p>
    <w:p>
      <w:pPr>
        <w:spacing w:after="0" w:line="15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to lower costs and operating expenses. In our opinion, the effects of inflation have been managed appropriately, and as a result, have not had a material impact on our operations and the resulting financial position or liquidity.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Pronouncements Adopted During 2014</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Please 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to our 2014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auto"/>
        </w:rPr>
        <w:t>New Accounting Pronouncements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Please see Note 2 –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Policies to our 2014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61"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134"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a different view as to the risks and uncertainties involved, and may have different views as to future events or our operating performance.</w:t>
      </w:r>
    </w:p>
    <w:p>
      <w:pPr>
        <w:spacing w:after="0" w:line="12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Among the factors that could cause actual results to differ materially from those expressed in or underlying our forward-looking statements are the following:</w:t>
      </w:r>
    </w:p>
    <w:p>
      <w:pPr>
        <w:spacing w:after="0" w:line="122" w:lineRule="exact"/>
        <w:rPr>
          <w:sz w:val="20"/>
          <w:szCs w:val="20"/>
          <w:color w:val="auto"/>
        </w:rPr>
      </w:pPr>
    </w:p>
    <w:p>
      <w:pPr>
        <w:ind w:left="280"/>
        <w:spacing w:after="0"/>
        <w:tabs>
          <w:tab w:leader="none" w:pos="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with respect to our cinema operations:</w:t>
      </w:r>
    </w:p>
    <w:p>
      <w:pPr>
        <w:spacing w:after="0" w:line="5" w:lineRule="exact"/>
        <w:rPr>
          <w:sz w:val="20"/>
          <w:szCs w:val="20"/>
          <w:color w:val="auto"/>
        </w:rPr>
      </w:pPr>
    </w:p>
    <w:p>
      <w:pPr>
        <w:ind w:left="1020" w:hanging="173"/>
        <w:spacing w:after="0"/>
        <w:tabs>
          <w:tab w:leader="none" w:pos="102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the number and attractiveness to movie goers of the films released in future periods;</w:t>
      </w:r>
    </w:p>
    <w:p>
      <w:pPr>
        <w:ind w:left="1020" w:hanging="173"/>
        <w:spacing w:after="0" w:line="227" w:lineRule="auto"/>
        <w:tabs>
          <w:tab w:leader="none" w:pos="102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the amount of money spent by film distributors to promote their motion pictures;</w:t>
      </w:r>
    </w:p>
    <w:p>
      <w:pPr>
        <w:ind w:left="960" w:hanging="113"/>
        <w:spacing w:after="0" w:line="227" w:lineRule="auto"/>
        <w:tabs>
          <w:tab w:leader="none" w:pos="96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the licensing fees and terms required by film distributors from motion picture exhibitors in order to exhibit their films;</w:t>
      </w:r>
    </w:p>
    <w:p>
      <w:pPr>
        <w:ind w:left="960" w:hanging="113"/>
        <w:spacing w:after="0" w:line="290" w:lineRule="auto"/>
        <w:tabs>
          <w:tab w:leader="none" w:pos="960" w:val="left"/>
        </w:tabs>
        <w:numPr>
          <w:ilvl w:val="1"/>
          <w:numId w:val="31"/>
        </w:numPr>
        <w:rPr>
          <w:rFonts w:ascii="Courier New" w:cs="Courier New" w:eastAsia="Courier New" w:hAnsi="Courier New"/>
          <w:sz w:val="13"/>
          <w:szCs w:val="13"/>
          <w:color w:val="auto"/>
        </w:rPr>
      </w:pPr>
      <w:r>
        <w:rPr>
          <w:rFonts w:ascii="Arial" w:cs="Arial" w:eastAsia="Arial" w:hAnsi="Arial"/>
          <w:sz w:val="13"/>
          <w:szCs w:val="13"/>
          <w:color w:val="auto"/>
        </w:rPr>
        <w:t>the comparative attractiveness of motion pictures as a source of entertainment and willingness and/or ability of consumers (i) to spend their dollars on entertainment and (ii) to spend their entertainment dollars on movies in an outside the home environment;</w:t>
      </w:r>
    </w:p>
    <w:p>
      <w:pPr>
        <w:jc w:val="both"/>
        <w:ind w:left="960" w:hanging="113"/>
        <w:spacing w:after="0"/>
        <w:tabs>
          <w:tab w:leader="none" w:pos="96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the extent to which we encounter competition from other cinema exhibitors, from other sources of outside-the-home entertainment, and from inside-the-home entertainment options, such as “home theaters” and competitive film product distribution technology such as, by way of example, cable, satellite broadcast and DVD rentals and sales, and so called “movies on demand;” and</w:t>
      </w:r>
    </w:p>
    <w:p>
      <w:pPr>
        <w:spacing w:after="0" w:line="1" w:lineRule="exact"/>
        <w:rPr>
          <w:rFonts w:ascii="Courier New" w:cs="Courier New" w:eastAsia="Courier New" w:hAnsi="Courier New"/>
          <w:sz w:val="16"/>
          <w:szCs w:val="16"/>
          <w:color w:val="auto"/>
        </w:rPr>
      </w:pPr>
    </w:p>
    <w:p>
      <w:pPr>
        <w:ind w:left="960" w:hanging="113"/>
        <w:spacing w:after="0"/>
        <w:tabs>
          <w:tab w:leader="none" w:pos="960" w:val="left"/>
        </w:tabs>
        <w:numPr>
          <w:ilvl w:val="1"/>
          <w:numId w:val="31"/>
        </w:numPr>
        <w:rPr>
          <w:rFonts w:ascii="Courier New" w:cs="Courier New" w:eastAsia="Courier New" w:hAnsi="Courier New"/>
          <w:sz w:val="13"/>
          <w:szCs w:val="13"/>
          <w:color w:val="auto"/>
        </w:rPr>
      </w:pPr>
      <w:r>
        <w:rPr>
          <w:rFonts w:ascii="Arial" w:cs="Arial" w:eastAsia="Arial" w:hAnsi="Arial"/>
          <w:sz w:val="13"/>
          <w:szCs w:val="13"/>
          <w:color w:val="auto"/>
        </w:rPr>
        <w:t>the extent to and the efficiency with which we are able to integrate acquisitions of cinema circuits with our existing operations.</w:t>
      </w:r>
    </w:p>
    <w:p>
      <w:pPr>
        <w:spacing w:after="0" w:line="26" w:lineRule="exact"/>
        <w:rPr>
          <w:rFonts w:ascii="Courier New" w:cs="Courier New" w:eastAsia="Courier New" w:hAnsi="Courier New"/>
          <w:sz w:val="13"/>
          <w:szCs w:val="13"/>
          <w:color w:val="auto"/>
        </w:rPr>
      </w:pPr>
    </w:p>
    <w:p>
      <w:pPr>
        <w:ind w:left="380" w:hanging="97"/>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 respect to our real estate development and operation activities:</w:t>
      </w:r>
    </w:p>
    <w:p>
      <w:pPr>
        <w:spacing w:after="0" w:line="3" w:lineRule="exact"/>
        <w:rPr>
          <w:rFonts w:ascii="Arial" w:cs="Arial" w:eastAsia="Arial" w:hAnsi="Arial"/>
          <w:sz w:val="16"/>
          <w:szCs w:val="16"/>
          <w:color w:val="auto"/>
        </w:rPr>
      </w:pPr>
    </w:p>
    <w:p>
      <w:pPr>
        <w:ind w:left="960" w:hanging="113"/>
        <w:spacing w:after="0"/>
        <w:tabs>
          <w:tab w:leader="none" w:pos="960" w:val="left"/>
        </w:tabs>
        <w:numPr>
          <w:ilvl w:val="1"/>
          <w:numId w:val="31"/>
        </w:numPr>
        <w:rPr>
          <w:rFonts w:ascii="Courier New" w:cs="Courier New" w:eastAsia="Courier New" w:hAnsi="Courier New"/>
          <w:sz w:val="13"/>
          <w:szCs w:val="13"/>
          <w:color w:val="auto"/>
        </w:rPr>
      </w:pPr>
      <w:r>
        <w:rPr>
          <w:rFonts w:ascii="Arial" w:cs="Arial" w:eastAsia="Arial" w:hAnsi="Arial"/>
          <w:sz w:val="13"/>
          <w:szCs w:val="13"/>
          <w:color w:val="auto"/>
        </w:rPr>
        <w:t>the rental rates and capitalization rates applicable to the markets in which we operate and the quality of properties that we own;</w:t>
      </w:r>
    </w:p>
    <w:p>
      <w:pPr>
        <w:spacing w:after="0" w:line="26" w:lineRule="exact"/>
        <w:rPr>
          <w:rFonts w:ascii="Courier New" w:cs="Courier New" w:eastAsia="Courier New" w:hAnsi="Courier New"/>
          <w:sz w:val="13"/>
          <w:szCs w:val="13"/>
          <w:color w:val="auto"/>
        </w:rPr>
      </w:pPr>
    </w:p>
    <w:p>
      <w:pPr>
        <w:ind w:left="960" w:hanging="113"/>
        <w:spacing w:after="0" w:line="236" w:lineRule="auto"/>
        <w:tabs>
          <w:tab w:leader="none" w:pos="96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the extent to which we can obtain on a timely basis the various land use approvals and entitlements needed to develop our properties;</w:t>
      </w:r>
    </w:p>
    <w:p>
      <w:pPr>
        <w:ind w:left="1040" w:hanging="193"/>
        <w:spacing w:after="0" w:line="227" w:lineRule="auto"/>
        <w:tabs>
          <w:tab w:leader="none" w:pos="104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the risks and uncertainties associated with real estate development;</w:t>
      </w:r>
    </w:p>
    <w:p>
      <w:pPr>
        <w:ind w:left="1120" w:hanging="273"/>
        <w:spacing w:after="0" w:line="227" w:lineRule="auto"/>
        <w:tabs>
          <w:tab w:leader="none" w:pos="112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the availability and cost of labor and materials;</w:t>
      </w:r>
    </w:p>
    <w:p>
      <w:pPr>
        <w:ind w:left="1120" w:hanging="273"/>
        <w:spacing w:after="0" w:line="227" w:lineRule="auto"/>
        <w:tabs>
          <w:tab w:leader="none" w:pos="112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competition for development sites and tenants;</w:t>
      </w:r>
    </w:p>
    <w:p>
      <w:pPr>
        <w:ind w:left="1220" w:hanging="373"/>
        <w:spacing w:after="0" w:line="227" w:lineRule="auto"/>
        <w:tabs>
          <w:tab w:leader="none" w:pos="122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environmental remediation issues;</w:t>
      </w:r>
    </w:p>
    <w:p>
      <w:pPr>
        <w:ind w:left="960" w:hanging="113"/>
        <w:spacing w:after="0" w:line="236" w:lineRule="auto"/>
        <w:tabs>
          <w:tab w:leader="none" w:pos="96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the extent to which our cinemas can continue to serve as an anchor tenant that will, in turn, be influenced by the same factors as will influence generally the results of our cinema operations; and</w:t>
      </w:r>
    </w:p>
    <w:p>
      <w:pPr>
        <w:ind w:left="960" w:right="20" w:hanging="113"/>
        <w:spacing w:after="0" w:line="236" w:lineRule="auto"/>
        <w:tabs>
          <w:tab w:leader="none" w:pos="960" w:val="left"/>
        </w:tabs>
        <w:numPr>
          <w:ilvl w:val="1"/>
          <w:numId w:val="31"/>
        </w:numPr>
        <w:rPr>
          <w:rFonts w:ascii="Courier New" w:cs="Courier New" w:eastAsia="Courier New" w:hAnsi="Courier New"/>
          <w:sz w:val="16"/>
          <w:szCs w:val="16"/>
          <w:color w:val="auto"/>
        </w:rPr>
      </w:pPr>
      <w:r>
        <w:rPr>
          <w:rFonts w:ascii="Arial" w:cs="Arial" w:eastAsia="Arial" w:hAnsi="Arial"/>
          <w:sz w:val="16"/>
          <w:szCs w:val="16"/>
          <w:color w:val="auto"/>
        </w:rPr>
        <w:t>certain of our activities are in geologically active areas, creating a risk of damage and/or disruption of real estate and/or cinema businesses from earthquakes.</w:t>
      </w:r>
    </w:p>
    <w:p>
      <w:pPr>
        <w:ind w:left="340" w:hanging="46"/>
        <w:spacing w:after="0" w:line="301" w:lineRule="auto"/>
        <w:rPr>
          <w:sz w:val="20"/>
          <w:szCs w:val="20"/>
          <w:color w:val="auto"/>
        </w:rPr>
      </w:pPr>
      <w:r>
        <w:rPr>
          <w:rFonts w:ascii="Arial" w:cs="Arial" w:eastAsia="Arial" w:hAnsi="Arial"/>
          <w:sz w:val="13"/>
          <w:szCs w:val="13"/>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1" w:lineRule="exact"/>
        <w:rPr>
          <w:sz w:val="20"/>
          <w:szCs w:val="20"/>
          <w:color w:val="auto"/>
        </w:rPr>
      </w:pPr>
    </w:p>
    <w:p>
      <w:pPr>
        <w:ind w:left="960" w:hanging="116"/>
        <w:spacing w:after="0" w:line="227"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our ongoing access to borrowed funds and capital and the interest that must be paid on that debt and the returns that must be paid</w:t>
      </w:r>
      <w:r>
        <w:rPr>
          <w:rFonts w:ascii="Courier New" w:cs="Courier New" w:eastAsia="Courier New" w:hAnsi="Courier New"/>
          <w:sz w:val="16"/>
          <w:szCs w:val="16"/>
          <w:color w:val="auto"/>
        </w:rPr>
        <w:t xml:space="preserve"> </w:t>
      </w:r>
      <w:r>
        <w:rPr>
          <w:rFonts w:ascii="Arial" w:cs="Arial" w:eastAsia="Arial" w:hAnsi="Arial"/>
          <w:sz w:val="16"/>
          <w:szCs w:val="16"/>
          <w:color w:val="auto"/>
        </w:rPr>
        <w:t>on such capital;</w:t>
      </w:r>
    </w:p>
    <w:p>
      <w:pPr>
        <w:ind w:left="1020" w:hanging="173"/>
        <w:spacing w:after="0" w:line="229" w:lineRule="auto"/>
        <w:tabs>
          <w:tab w:leader="none" w:pos="1020" w:val="left"/>
        </w:tabs>
        <w:numPr>
          <w:ilvl w:val="0"/>
          <w:numId w:val="32"/>
        </w:numPr>
        <w:rPr>
          <w:rFonts w:ascii="Courier New" w:cs="Courier New" w:eastAsia="Courier New" w:hAnsi="Courier New"/>
          <w:sz w:val="16"/>
          <w:szCs w:val="16"/>
          <w:color w:val="auto"/>
        </w:rPr>
      </w:pPr>
      <w:r>
        <w:rPr>
          <w:rFonts w:ascii="Arial" w:cs="Arial" w:eastAsia="Arial" w:hAnsi="Arial"/>
          <w:sz w:val="16"/>
          <w:szCs w:val="16"/>
          <w:color w:val="auto"/>
        </w:rPr>
        <w:t>the relative values of the currency used in the countries in which we operate;</w:t>
      </w:r>
    </w:p>
    <w:p>
      <w:pPr>
        <w:spacing w:after="0" w:line="200" w:lineRule="exact"/>
        <w:rPr>
          <w:rFonts w:ascii="Courier New" w:cs="Courier New" w:eastAsia="Courier New" w:hAnsi="Courier New"/>
          <w:sz w:val="16"/>
          <w:szCs w:val="16"/>
          <w:color w:val="auto"/>
        </w:rPr>
      </w:pPr>
    </w:p>
    <w:p>
      <w:pPr>
        <w:spacing w:after="0" w:line="317" w:lineRule="exact"/>
        <w:rPr>
          <w:rFonts w:ascii="Courier New" w:cs="Courier New" w:eastAsia="Courier New" w:hAnsi="Courier New"/>
          <w:sz w:val="16"/>
          <w:szCs w:val="16"/>
          <w:color w:val="auto"/>
        </w:rPr>
      </w:pPr>
    </w:p>
    <w:p>
      <w:pPr>
        <w:ind w:left="4480"/>
        <w:spacing w:after="0"/>
        <w:rPr>
          <w:rFonts w:ascii="Courier New" w:cs="Courier New" w:eastAsia="Courier New" w:hAnsi="Courier New"/>
          <w:sz w:val="16"/>
          <w:szCs w:val="16"/>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51" w:name="page52"/>
    <w:bookmarkEnd w:id="51"/>
    <w:p>
      <w:pPr>
        <w:jc w:val="both"/>
        <w:ind w:left="960" w:hanging="116"/>
        <w:spacing w:after="0" w:line="234"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changes in government regulation, including by way of example, the costs resulting from the implementation of the requirements</w:t>
      </w:r>
      <w:r>
        <w:rPr>
          <w:rFonts w:ascii="Courier New" w:cs="Courier New" w:eastAsia="Courier New" w:hAnsi="Courier New"/>
          <w:sz w:val="16"/>
          <w:szCs w:val="16"/>
          <w:color w:val="auto"/>
        </w:rPr>
        <w:t xml:space="preserve"> </w:t>
      </w:r>
      <w:r>
        <w:rPr>
          <w:rFonts w:ascii="Arial" w:cs="Arial" w:eastAsia="Arial" w:hAnsi="Arial"/>
          <w:sz w:val="16"/>
          <w:szCs w:val="16"/>
          <w:color w:val="auto"/>
        </w:rPr>
        <w:t>of Sarbanes-Oxley;</w:t>
      </w:r>
    </w:p>
    <w:p>
      <w:pPr>
        <w:spacing w:after="0" w:line="1" w:lineRule="exact"/>
        <w:rPr>
          <w:sz w:val="20"/>
          <w:szCs w:val="20"/>
          <w:color w:val="auto"/>
        </w:rPr>
      </w:pPr>
    </w:p>
    <w:p>
      <w:pPr>
        <w:jc w:val="both"/>
        <w:ind w:left="960" w:right="20" w:hanging="116"/>
        <w:spacing w:after="0" w:line="227"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our labor relations and costs of labor (including future government requirements with respect to pension liabilities, disability</w:t>
      </w:r>
      <w:r>
        <w:rPr>
          <w:rFonts w:ascii="Courier New" w:cs="Courier New" w:eastAsia="Courier New" w:hAnsi="Courier New"/>
          <w:sz w:val="16"/>
          <w:szCs w:val="16"/>
          <w:color w:val="auto"/>
        </w:rPr>
        <w:t xml:space="preserve"> </w:t>
      </w:r>
      <w:r>
        <w:rPr>
          <w:rFonts w:ascii="Arial" w:cs="Arial" w:eastAsia="Arial" w:hAnsi="Arial"/>
          <w:sz w:val="16"/>
          <w:szCs w:val="16"/>
          <w:color w:val="auto"/>
        </w:rPr>
        <w:t>insurance and health coverage, and vacations and leave);</w:t>
      </w:r>
    </w:p>
    <w:p>
      <w:pPr>
        <w:spacing w:after="0" w:line="1" w:lineRule="exact"/>
        <w:rPr>
          <w:sz w:val="20"/>
          <w:szCs w:val="20"/>
          <w:color w:val="auto"/>
        </w:rPr>
      </w:pPr>
    </w:p>
    <w:p>
      <w:pPr>
        <w:jc w:val="both"/>
        <w:ind w:left="960" w:hanging="116"/>
        <w:spacing w:after="0" w:line="248" w:lineRule="auto"/>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our exposure from time to time to legal claims and to uninsurable risks such as those related to our historic railroad operations,</w:t>
      </w:r>
      <w:r>
        <w:rPr>
          <w:rFonts w:ascii="Courier New" w:cs="Courier New" w:eastAsia="Courier New" w:hAnsi="Courier New"/>
          <w:sz w:val="15"/>
          <w:szCs w:val="15"/>
          <w:color w:val="auto"/>
        </w:rPr>
        <w:t xml:space="preserve"> </w:t>
      </w:r>
      <w:r>
        <w:rPr>
          <w:rFonts w:ascii="Arial" w:cs="Arial" w:eastAsia="Arial" w:hAnsi="Arial"/>
          <w:sz w:val="15"/>
          <w:szCs w:val="15"/>
          <w:color w:val="auto"/>
        </w:rPr>
        <w:t>including potential environmental claims and health-related claims relating to alleged exposure to asbestos or other substances now or in the future recognized as being possible causes of cancer or other health related problems;</w:t>
      </w:r>
    </w:p>
    <w:p>
      <w:pPr>
        <w:spacing w:after="0" w:line="2" w:lineRule="exact"/>
        <w:rPr>
          <w:sz w:val="20"/>
          <w:szCs w:val="20"/>
          <w:color w:val="auto"/>
        </w:rPr>
      </w:pPr>
    </w:p>
    <w:p>
      <w:pPr>
        <w:jc w:val="both"/>
        <w:ind w:left="960" w:right="20" w:hanging="116"/>
        <w:spacing w:after="0" w:line="227"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changes in future effective tax rates and the results of currently ongoing and future potential audits by taxing authorities having</w:t>
      </w:r>
      <w:r>
        <w:rPr>
          <w:rFonts w:ascii="Courier New" w:cs="Courier New" w:eastAsia="Courier New" w:hAnsi="Courier New"/>
          <w:sz w:val="16"/>
          <w:szCs w:val="16"/>
          <w:color w:val="auto"/>
        </w:rPr>
        <w:t xml:space="preserve"> </w:t>
      </w:r>
      <w:r>
        <w:rPr>
          <w:rFonts w:ascii="Arial" w:cs="Arial" w:eastAsia="Arial" w:hAnsi="Arial"/>
          <w:sz w:val="16"/>
          <w:szCs w:val="16"/>
          <w:color w:val="auto"/>
        </w:rPr>
        <w:t>jurisdiction over our various companies; and</w:t>
      </w:r>
    </w:p>
    <w:p>
      <w:pPr>
        <w:ind w:left="1080" w:hanging="233"/>
        <w:spacing w:after="0" w:line="229" w:lineRule="auto"/>
        <w:tabs>
          <w:tab w:leader="none" w:pos="1080" w:val="left"/>
        </w:tabs>
        <w:numPr>
          <w:ilvl w:val="0"/>
          <w:numId w:val="33"/>
        </w:numPr>
        <w:rPr>
          <w:rFonts w:ascii="Courier New" w:cs="Courier New" w:eastAsia="Courier New" w:hAnsi="Courier New"/>
          <w:sz w:val="16"/>
          <w:szCs w:val="16"/>
          <w:color w:val="auto"/>
        </w:rPr>
      </w:pPr>
      <w:r>
        <w:rPr>
          <w:rFonts w:ascii="Arial" w:cs="Arial" w:eastAsia="Arial" w:hAnsi="Arial"/>
          <w:sz w:val="16"/>
          <w:szCs w:val="16"/>
          <w:color w:val="auto"/>
        </w:rPr>
        <w:t>changes in applicable accounting policies and practices.</w:t>
      </w:r>
    </w:p>
    <w:p>
      <w:pPr>
        <w:spacing w:after="0" w:line="14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w:t>
      </w:r>
    </w:p>
    <w:p>
      <w:pPr>
        <w:spacing w:after="0" w:line="146"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3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Finally,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130"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Additionally, certain of the presentations included in this annual report may contain “non-GAAP financial measures.” In such case, a reconciliation of this information to our GAAP financial statements will be made available in connection with such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u w:val="single" w:color="auto"/>
          <w:color w:val="auto"/>
        </w:rPr>
        <w:t>Item 7A – Quantitative and Qualitative Disclosure about Market Risk</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146" w:lineRule="exact"/>
        <w:rPr>
          <w:sz w:val="20"/>
          <w:szCs w:val="20"/>
          <w:color w:val="auto"/>
        </w:rPr>
      </w:pPr>
    </w:p>
    <w:p>
      <w:pPr>
        <w:ind w:left="280"/>
        <w:spacing w:after="0"/>
        <w:tabs>
          <w:tab w:leader="none" w:pos="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it is based on a single point in time.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·it does not include the effects of other complex market reactions that would arise from the changes modeled.</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Although the results of such an analysis may be useful as a benchmark, they should not be viewed as forecasts.</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At December 31, 2014, approximately 44% and 20% of our assets (determined by the book value of such assets) were invested in assets denominated in Australian dollars (Reading US and Reading Australia) and New Zealand dollars (Reading New Zealand), respectively, including approximately $40.1 million in cash and cash equivalents. At December 31, 2013, approximately 55% and 18% of our assets were invested in assets denominated in Australian and New Zealand dollars, respectively, including approximately $34.5 million in cash and cash equivalents.</w:t>
      </w:r>
    </w:p>
    <w:p>
      <w:pPr>
        <w:spacing w:after="0" w:line="99"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w:t>
      </w:r>
    </w:p>
    <w:p>
      <w:pPr>
        <w:spacing w:after="0" w:line="93"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Historically, our policy has been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58% and 49% of our Australian and New Zealand assets (based on book value), respectively, remain subject to such exposure unless we elect to hedge our foreign currency exchange between the U.S. and Australian and New Zealand dollars. If the foreign currency rates were to fluctuate by 10% the resulting change in Australian and New Zealand assets would be $10.3 million and $4.0 million, respectively, and the change in annual net income would be $750,000 and $165,000, respectively. At the present time, we have no plan to hedge such exposure. We believe that this currency risk is mitigated by the long-term nature of the fully subordinated notes.</w:t>
      </w:r>
    </w:p>
    <w:p>
      <w:pPr>
        <w:spacing w:after="0" w:line="12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record unrealized foreign currency translation gains or losses that could materially affect our financial position. We have accumulated unrealized foreign currency translation gains of approximately $31.1 million and $45.3 million as of December 31, 2014 and 2013, respectively.</w:t>
      </w:r>
    </w:p>
    <w:p>
      <w:pPr>
        <w:spacing w:after="0" w:line="142"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113"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The majority of our loans have fixed interest rates; however, one of our international loans has a variable interest rate and a change of approximately 1% in short-term interest rates would have resulted in approximately $647,000 increase or decrease in our 2014 interest expense.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311" w:right="141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6"/>
          <w:szCs w:val="16"/>
          <w:b w:val="1"/>
          <w:bCs w:val="1"/>
          <w:u w:val="single" w:color="auto"/>
          <w:color w:val="auto"/>
        </w:rPr>
        <w:t>Item 8 – Financial Statements and Supplementary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gridSpan w:val="3"/>
          </w:tcPr>
          <w:p>
            <w:pPr>
              <w:ind w:left="3740"/>
              <w:spacing w:after="0"/>
              <w:rPr>
                <w:sz w:val="20"/>
                <w:szCs w:val="20"/>
                <w:color w:val="auto"/>
              </w:rPr>
            </w:pPr>
            <w:r>
              <w:rPr>
                <w:rFonts w:ascii="Arial" w:cs="Arial" w:eastAsia="Arial" w:hAnsi="Arial"/>
                <w:sz w:val="16"/>
                <w:szCs w:val="16"/>
                <w:color w:val="auto"/>
              </w:rPr>
              <w:t>TABLE OF CONTENTS</w:t>
            </w:r>
          </w:p>
        </w:tc>
        <w:tc>
          <w:tcPr>
            <w:tcW w:w="780" w:type="dxa"/>
            <w:vAlign w:val="bottom"/>
          </w:tcPr>
          <w:p>
            <w:pPr>
              <w:spacing w:after="0"/>
              <w:rPr>
                <w:sz w:val="16"/>
                <w:szCs w:val="16"/>
                <w:color w:val="auto"/>
              </w:rPr>
            </w:pPr>
          </w:p>
        </w:tc>
      </w:tr>
      <w:tr>
        <w:trPr>
          <w:trHeight w:val="109"/>
        </w:trPr>
        <w:tc>
          <w:tcPr>
            <w:tcW w:w="3740" w:type="dxa"/>
            <w:vAlign w:val="bottom"/>
          </w:tcPr>
          <w:p>
            <w:pPr>
              <w:spacing w:after="0"/>
              <w:rPr>
                <w:sz w:val="9"/>
                <w:szCs w:val="9"/>
                <w:color w:val="auto"/>
              </w:rPr>
            </w:pPr>
          </w:p>
        </w:tc>
        <w:tc>
          <w:tcPr>
            <w:tcW w:w="1580" w:type="dxa"/>
            <w:vAlign w:val="bottom"/>
            <w:tcBorders>
              <w:top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69"/>
        </w:trPr>
        <w:tc>
          <w:tcPr>
            <w:tcW w:w="6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Report of Independent Registered Public Accounting Firm</w:t>
            </w:r>
          </w:p>
        </w:tc>
        <w:tc>
          <w:tcPr>
            <w:tcW w:w="7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55</w:t>
            </w:r>
          </w:p>
        </w:tc>
      </w:tr>
      <w:tr>
        <w:trPr>
          <w:trHeight w:val="71"/>
        </w:trPr>
        <w:tc>
          <w:tcPr>
            <w:tcW w:w="37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69"/>
        </w:trPr>
        <w:tc>
          <w:tcPr>
            <w:tcW w:w="6640" w:type="dxa"/>
            <w:vAlign w:val="bottom"/>
            <w:gridSpan w:val="3"/>
          </w:tcPr>
          <w:p>
            <w:pPr>
              <w:ind w:left="100"/>
              <w:spacing w:after="0"/>
              <w:rPr>
                <w:sz w:val="20"/>
                <w:szCs w:val="20"/>
                <w:color w:val="auto"/>
              </w:rPr>
            </w:pPr>
            <w:r>
              <w:rPr>
                <w:rFonts w:ascii="Arial" w:cs="Arial" w:eastAsia="Arial" w:hAnsi="Arial"/>
                <w:sz w:val="16"/>
                <w:szCs w:val="16"/>
                <w:color w:val="auto"/>
              </w:rPr>
              <w:t>Consolidated Balance Sheets as of December 31, 2014 and 2013</w:t>
            </w:r>
          </w:p>
        </w:tc>
        <w:tc>
          <w:tcPr>
            <w:tcW w:w="780" w:type="dxa"/>
            <w:vAlign w:val="bottom"/>
          </w:tcPr>
          <w:p>
            <w:pPr>
              <w:jc w:val="right"/>
              <w:ind w:right="282"/>
              <w:spacing w:after="0"/>
              <w:rPr>
                <w:sz w:val="20"/>
                <w:szCs w:val="20"/>
                <w:color w:val="auto"/>
              </w:rPr>
            </w:pPr>
            <w:r>
              <w:rPr>
                <w:rFonts w:ascii="Arial" w:cs="Arial" w:eastAsia="Arial" w:hAnsi="Arial"/>
                <w:sz w:val="16"/>
                <w:szCs w:val="16"/>
                <w:color w:val="auto"/>
              </w:rPr>
              <w:t>56</w:t>
            </w:r>
          </w:p>
        </w:tc>
      </w:tr>
      <w:tr>
        <w:trPr>
          <w:trHeight w:val="71"/>
        </w:trPr>
        <w:tc>
          <w:tcPr>
            <w:tcW w:w="37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69"/>
        </w:trPr>
        <w:tc>
          <w:tcPr>
            <w:tcW w:w="6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2014</w:t>
            </w:r>
          </w:p>
        </w:tc>
        <w:tc>
          <w:tcPr>
            <w:tcW w:w="7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58</w:t>
            </w:r>
          </w:p>
        </w:tc>
      </w:tr>
      <w:tr>
        <w:trPr>
          <w:trHeight w:val="71"/>
        </w:trPr>
        <w:tc>
          <w:tcPr>
            <w:tcW w:w="37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58"/>
        </w:trPr>
        <w:tc>
          <w:tcPr>
            <w:tcW w:w="6640" w:type="dxa"/>
            <w:vAlign w:val="bottom"/>
            <w:gridSpan w:val="3"/>
          </w:tcPr>
          <w:p>
            <w:pPr>
              <w:ind w:left="100"/>
              <w:spacing w:after="0"/>
              <w:rPr>
                <w:sz w:val="20"/>
                <w:szCs w:val="20"/>
                <w:color w:val="auto"/>
              </w:rPr>
            </w:pPr>
            <w:r>
              <w:rPr>
                <w:rFonts w:ascii="Arial" w:cs="Arial" w:eastAsia="Arial" w:hAnsi="Arial"/>
                <w:sz w:val="16"/>
                <w:szCs w:val="16"/>
                <w:color w:val="auto"/>
                <w:w w:val="90"/>
              </w:rPr>
              <w:t>Consolidated Statements of Comprehensive Income (Loss) for the Three Years Ended December 31,</w:t>
            </w:r>
          </w:p>
        </w:tc>
        <w:tc>
          <w:tcPr>
            <w:tcW w:w="780" w:type="dxa"/>
            <w:vAlign w:val="bottom"/>
          </w:tcPr>
          <w:p>
            <w:pPr>
              <w:spacing w:after="0"/>
              <w:rPr>
                <w:sz w:val="22"/>
                <w:szCs w:val="22"/>
                <w:color w:val="auto"/>
              </w:rPr>
            </w:pPr>
          </w:p>
        </w:tc>
      </w:tr>
      <w:tr>
        <w:trPr>
          <w:trHeight w:val="200"/>
        </w:trPr>
        <w:tc>
          <w:tcPr>
            <w:tcW w:w="3740" w:type="dxa"/>
            <w:vAlign w:val="bottom"/>
          </w:tcPr>
          <w:p>
            <w:pPr>
              <w:ind w:left="100"/>
              <w:spacing w:after="0"/>
              <w:rPr>
                <w:sz w:val="20"/>
                <w:szCs w:val="20"/>
                <w:color w:val="auto"/>
              </w:rPr>
            </w:pPr>
            <w:r>
              <w:rPr>
                <w:rFonts w:ascii="Arial" w:cs="Arial" w:eastAsia="Arial" w:hAnsi="Arial"/>
                <w:sz w:val="16"/>
                <w:szCs w:val="16"/>
                <w:color w:val="auto"/>
              </w:rPr>
              <w:t>2014</w:t>
            </w: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Arial" w:cs="Arial" w:eastAsia="Arial" w:hAnsi="Arial"/>
                <w:sz w:val="16"/>
                <w:szCs w:val="16"/>
                <w:color w:val="auto"/>
              </w:rPr>
              <w:t>59</w:t>
            </w:r>
          </w:p>
        </w:tc>
      </w:tr>
      <w:tr>
        <w:trPr>
          <w:trHeight w:val="71"/>
        </w:trPr>
        <w:tc>
          <w:tcPr>
            <w:tcW w:w="37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69"/>
        </w:trPr>
        <w:tc>
          <w:tcPr>
            <w:tcW w:w="6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5"/>
              </w:rPr>
              <w:t>Consolidated Statements of Stockholders’ Equity for the Three Years Ended December 31, 2014</w:t>
            </w:r>
          </w:p>
        </w:tc>
        <w:tc>
          <w:tcPr>
            <w:tcW w:w="7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60</w:t>
            </w:r>
          </w:p>
        </w:tc>
      </w:tr>
      <w:tr>
        <w:trPr>
          <w:trHeight w:val="71"/>
        </w:trPr>
        <w:tc>
          <w:tcPr>
            <w:tcW w:w="37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69"/>
        </w:trPr>
        <w:tc>
          <w:tcPr>
            <w:tcW w:w="6640" w:type="dxa"/>
            <w:vAlign w:val="bottom"/>
            <w:gridSpan w:val="3"/>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2014</w:t>
            </w:r>
          </w:p>
        </w:tc>
        <w:tc>
          <w:tcPr>
            <w:tcW w:w="780" w:type="dxa"/>
            <w:vAlign w:val="bottom"/>
          </w:tcPr>
          <w:p>
            <w:pPr>
              <w:jc w:val="right"/>
              <w:ind w:right="282"/>
              <w:spacing w:after="0"/>
              <w:rPr>
                <w:sz w:val="20"/>
                <w:szCs w:val="20"/>
                <w:color w:val="auto"/>
              </w:rPr>
            </w:pPr>
            <w:r>
              <w:rPr>
                <w:rFonts w:ascii="Arial" w:cs="Arial" w:eastAsia="Arial" w:hAnsi="Arial"/>
                <w:sz w:val="16"/>
                <w:szCs w:val="16"/>
                <w:color w:val="auto"/>
              </w:rPr>
              <w:t>61</w:t>
            </w:r>
          </w:p>
        </w:tc>
      </w:tr>
      <w:tr>
        <w:trPr>
          <w:trHeight w:val="71"/>
        </w:trPr>
        <w:tc>
          <w:tcPr>
            <w:tcW w:w="37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69"/>
        </w:trPr>
        <w:tc>
          <w:tcPr>
            <w:tcW w:w="6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7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63</w:t>
            </w:r>
          </w:p>
        </w:tc>
      </w:tr>
      <w:tr>
        <w:trPr>
          <w:trHeight w:val="71"/>
        </w:trPr>
        <w:tc>
          <w:tcPr>
            <w:tcW w:w="37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099"/>
          </w:cols>
          <w:pgMar w:left="1360" w:top="205"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Reading International, Inc.</w:t>
      </w:r>
    </w:p>
    <w:p>
      <w:pPr>
        <w:spacing w:after="0" w:line="263"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We have audited the accompanying consolidated balance sheets of Reading International, Inc. and subsidiaries (the “Company”) as of December, 2014 and 2013, and the related consolidated statements of operations, comprehensive income (loss), stockholders’ equity, and cash flows for each of the three years in the period ended December 31, 2014. Our audits of the consolidated financial statements included the financial statement schedule listed in the index appearing under Schedule II. These financial statements and financial statement schedule are the responsibility of the Company’s management. Our responsibility is to express an opinion on these financial statements and financial statement schedule based on our audits.</w:t>
      </w:r>
    </w:p>
    <w:p>
      <w:pPr>
        <w:spacing w:after="0" w:line="64"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0"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Reading International, Inc. and subsidiaries as of December, 2014 and 2013, and the results of their operations and their cash flows for each of the three years in the period ended December 31, 2014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5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2014, based on criteria established in the 2013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and our report dated March 16, 2015</w:t>
      </w:r>
      <w:r>
        <w:rPr>
          <w:rFonts w:ascii="Arial" w:cs="Arial" w:eastAsia="Arial" w:hAnsi="Arial"/>
          <w:sz w:val="16"/>
          <w:szCs w:val="16"/>
          <w:i w:val="1"/>
          <w:iCs w:val="1"/>
          <w:color w:val="auto"/>
        </w:rPr>
        <w:t xml:space="preserve"> </w:t>
      </w:r>
      <w:r>
        <w:rPr>
          <w:rFonts w:ascii="Arial" w:cs="Arial" w:eastAsia="Arial" w:hAnsi="Arial"/>
          <w:sz w:val="16"/>
          <w:szCs w:val="16"/>
          <w:color w:val="auto"/>
        </w:rPr>
        <w:t>expressed an adverse opinion.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393" w:right="14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auto"/>
        </w:rPr>
        <w:t>Reading International,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 as of December 31, 2014 and 2013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r>
      <w:tr>
        <w:trPr>
          <w:trHeight w:val="232"/>
        </w:trPr>
        <w:tc>
          <w:tcPr>
            <w:tcW w:w="5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2013</w:t>
            </w:r>
          </w:p>
        </w:tc>
      </w:tr>
      <w:tr>
        <w:trPr>
          <w:trHeight w:val="200"/>
        </w:trPr>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50,248</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37,696</w:t>
            </w:r>
          </w:p>
        </w:tc>
      </w:tr>
      <w:tr>
        <w:trPr>
          <w:trHeight w:val="209"/>
        </w:trPr>
        <w:tc>
          <w:tcPr>
            <w:tcW w:w="5720" w:type="dxa"/>
            <w:vAlign w:val="bottom"/>
          </w:tcPr>
          <w:p>
            <w:pPr>
              <w:ind w:left="100"/>
              <w:spacing w:after="0"/>
              <w:rPr>
                <w:sz w:val="20"/>
                <w:szCs w:val="20"/>
                <w:color w:val="auto"/>
              </w:rPr>
            </w:pPr>
            <w:r>
              <w:rPr>
                <w:rFonts w:ascii="Arial" w:cs="Arial" w:eastAsia="Arial" w:hAnsi="Arial"/>
                <w:sz w:val="14"/>
                <w:szCs w:val="14"/>
                <w:color w:val="auto"/>
              </w:rPr>
              <w:t>Receivables</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11,348</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9,087</w:t>
            </w: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Inventory</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209"/>
        </w:trPr>
        <w:tc>
          <w:tcPr>
            <w:tcW w:w="5720" w:type="dxa"/>
            <w:vAlign w:val="bottom"/>
          </w:tcPr>
          <w:p>
            <w:pPr>
              <w:ind w:left="100"/>
              <w:spacing w:after="0"/>
              <w:rPr>
                <w:sz w:val="20"/>
                <w:szCs w:val="20"/>
                <w:color w:val="auto"/>
              </w:rPr>
            </w:pPr>
            <w:r>
              <w:rPr>
                <w:rFonts w:ascii="Arial" w:cs="Arial" w:eastAsia="Arial" w:hAnsi="Arial"/>
                <w:sz w:val="14"/>
                <w:szCs w:val="14"/>
                <w:color w:val="auto"/>
              </w:rPr>
              <w:t>Investment in marketable securities</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54</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cash</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1,433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r>
      <w:tr>
        <w:trPr>
          <w:trHeight w:val="209"/>
        </w:trPr>
        <w:tc>
          <w:tcPr>
            <w:tcW w:w="5720" w:type="dxa"/>
            <w:vAlign w:val="bottom"/>
          </w:tcPr>
          <w:p>
            <w:pPr>
              <w:ind w:left="100"/>
              <w:spacing w:after="0"/>
              <w:rPr>
                <w:sz w:val="20"/>
                <w:szCs w:val="20"/>
                <w:color w:val="auto"/>
              </w:rPr>
            </w:pPr>
            <w:r>
              <w:rPr>
                <w:rFonts w:ascii="Arial" w:cs="Arial" w:eastAsia="Arial" w:hAnsi="Arial"/>
                <w:sz w:val="14"/>
                <w:szCs w:val="14"/>
                <w:color w:val="auto"/>
              </w:rPr>
              <w:t>Deferred tax asset</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6,300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3,273</w:t>
            </w: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Prepaid and other current assets</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3,426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w:t>
            </w:r>
          </w:p>
        </w:tc>
      </w:tr>
      <w:tr>
        <w:trPr>
          <w:trHeight w:val="209"/>
        </w:trPr>
        <w:tc>
          <w:tcPr>
            <w:tcW w:w="57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Land held for sale-current</w:t>
            </w:r>
          </w:p>
        </w:tc>
        <w:tc>
          <w:tcPr>
            <w:tcW w:w="1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10,112</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current assets</w:t>
            </w:r>
          </w:p>
        </w:tc>
        <w:tc>
          <w:tcPr>
            <w:tcW w:w="1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83,931</w:t>
            </w: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55,117</w:t>
            </w:r>
          </w:p>
        </w:tc>
      </w:tr>
      <w:tr>
        <w:trPr>
          <w:trHeight w:val="106"/>
        </w:trPr>
        <w:tc>
          <w:tcPr>
            <w:tcW w:w="5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1"/>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Operating property, net</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186,889</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191,660</w:t>
            </w:r>
          </w:p>
        </w:tc>
      </w:tr>
      <w:tr>
        <w:trPr>
          <w:trHeight w:val="209"/>
        </w:trPr>
        <w:tc>
          <w:tcPr>
            <w:tcW w:w="5720" w:type="dxa"/>
            <w:vAlign w:val="bottom"/>
          </w:tcPr>
          <w:p>
            <w:pPr>
              <w:spacing w:after="0"/>
              <w:rPr>
                <w:sz w:val="20"/>
                <w:szCs w:val="20"/>
                <w:color w:val="auto"/>
              </w:rPr>
            </w:pPr>
            <w:r>
              <w:rPr>
                <w:rFonts w:ascii="Arial" w:cs="Arial" w:eastAsia="Arial" w:hAnsi="Arial"/>
                <w:sz w:val="14"/>
                <w:szCs w:val="14"/>
                <w:color w:val="auto"/>
              </w:rPr>
              <w:t>Land held for sale-non current</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42,588</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11,052</w:t>
            </w: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Investment and development property, net</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26,124</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74,230</w:t>
            </w:r>
          </w:p>
        </w:tc>
      </w:tr>
      <w:tr>
        <w:trPr>
          <w:trHeight w:val="209"/>
        </w:trPr>
        <w:tc>
          <w:tcPr>
            <w:tcW w:w="5720" w:type="dxa"/>
            <w:vAlign w:val="bottom"/>
          </w:tcPr>
          <w:p>
            <w:pPr>
              <w:spacing w:after="0"/>
              <w:rPr>
                <w:sz w:val="20"/>
                <w:szCs w:val="20"/>
                <w:color w:val="auto"/>
              </w:rPr>
            </w:pPr>
            <w:r>
              <w:rPr>
                <w:rFonts w:ascii="Arial" w:cs="Arial" w:eastAsia="Arial" w:hAnsi="Arial"/>
                <w:sz w:val="14"/>
                <w:szCs w:val="14"/>
                <w:color w:val="auto"/>
              </w:rPr>
              <w:t>Investment in unconsolidated joint ventures and entities</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6,169</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6,735</w:t>
            </w: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Investment in Reading International Trust I</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r>
      <w:tr>
        <w:trPr>
          <w:trHeight w:val="209"/>
        </w:trPr>
        <w:tc>
          <w:tcPr>
            <w:tcW w:w="5720" w:type="dxa"/>
            <w:vAlign w:val="bottom"/>
          </w:tcPr>
          <w:p>
            <w:pPr>
              <w:spacing w:after="0"/>
              <w:rPr>
                <w:sz w:val="20"/>
                <w:szCs w:val="20"/>
                <w:color w:val="auto"/>
              </w:rPr>
            </w:pPr>
            <w:r>
              <w:rPr>
                <w:rFonts w:ascii="Arial" w:cs="Arial" w:eastAsia="Arial" w:hAnsi="Arial"/>
                <w:sz w:val="14"/>
                <w:szCs w:val="14"/>
                <w:color w:val="auto"/>
              </w:rPr>
              <w:t>Goodwill</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21,281</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22,159</w:t>
            </w: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11,486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13,440</w:t>
            </w:r>
          </w:p>
        </w:tc>
      </w:tr>
      <w:tr>
        <w:trPr>
          <w:trHeight w:val="209"/>
        </w:trPr>
        <w:tc>
          <w:tcPr>
            <w:tcW w:w="5720" w:type="dxa"/>
            <w:vAlign w:val="bottom"/>
          </w:tcPr>
          <w:p>
            <w:pPr>
              <w:spacing w:after="0"/>
              <w:rPr>
                <w:sz w:val="20"/>
                <w:szCs w:val="20"/>
                <w:color w:val="auto"/>
              </w:rPr>
            </w:pPr>
            <w:r>
              <w:rPr>
                <w:rFonts w:ascii="Arial" w:cs="Arial" w:eastAsia="Arial" w:hAnsi="Arial"/>
                <w:sz w:val="14"/>
                <w:szCs w:val="14"/>
                <w:color w:val="auto"/>
              </w:rPr>
              <w:t>Deferred tax asset, net</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15,967</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5,566</w:t>
            </w:r>
          </w:p>
        </w:tc>
      </w:tr>
      <w:tr>
        <w:trPr>
          <w:trHeight w:val="211"/>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1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6,313</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6,010</w:t>
            </w:r>
          </w:p>
        </w:tc>
      </w:tr>
      <w:tr>
        <w:trPr>
          <w:trHeight w:val="186"/>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assets</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401,586</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386,807</w:t>
            </w:r>
          </w:p>
        </w:tc>
      </w:tr>
      <w:tr>
        <w:trPr>
          <w:trHeight w:val="106"/>
        </w:trPr>
        <w:tc>
          <w:tcPr>
            <w:tcW w:w="57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9"/>
        </w:trPr>
        <w:tc>
          <w:tcPr>
            <w:tcW w:w="5720" w:type="dxa"/>
            <w:vAlign w:val="bottom"/>
          </w:tcPr>
          <w:p>
            <w:pPr>
              <w:ind w:left="100"/>
              <w:spacing w:after="0"/>
              <w:rPr>
                <w:sz w:val="20"/>
                <w:szCs w:val="20"/>
                <w:color w:val="auto"/>
              </w:rPr>
            </w:pPr>
            <w:r>
              <w:rPr>
                <w:rFonts w:ascii="Arial" w:cs="Arial" w:eastAsia="Arial" w:hAnsi="Arial"/>
                <w:sz w:val="14"/>
                <w:szCs w:val="14"/>
                <w:color w:val="auto"/>
              </w:rPr>
              <w:t>Accounts payable and accrued liabilities</w:t>
            </w:r>
          </w:p>
        </w:tc>
        <w:tc>
          <w:tcPr>
            <w:tcW w:w="11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18,107</w:t>
            </w:r>
          </w:p>
        </w:tc>
        <w:tc>
          <w:tcPr>
            <w:tcW w:w="46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18,608</w:t>
            </w: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Film rent payable</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9,328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w:t>
            </w:r>
          </w:p>
        </w:tc>
      </w:tr>
      <w:tr>
        <w:trPr>
          <w:trHeight w:val="209"/>
        </w:trPr>
        <w:tc>
          <w:tcPr>
            <w:tcW w:w="5720" w:type="dxa"/>
            <w:vAlign w:val="bottom"/>
          </w:tcPr>
          <w:p>
            <w:pPr>
              <w:ind w:left="100"/>
              <w:spacing w:after="0"/>
              <w:rPr>
                <w:sz w:val="20"/>
                <w:szCs w:val="20"/>
                <w:color w:val="auto"/>
              </w:rPr>
            </w:pPr>
            <w:r>
              <w:rPr>
                <w:rFonts w:ascii="Arial" w:cs="Arial" w:eastAsia="Arial" w:hAnsi="Arial"/>
                <w:sz w:val="14"/>
                <w:szCs w:val="14"/>
                <w:color w:val="auto"/>
              </w:rPr>
              <w:t>Notes payable – current portion</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38,104</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75,538</w:t>
            </w: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Taxes payable</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6,003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8,308</w:t>
            </w:r>
          </w:p>
        </w:tc>
      </w:tr>
      <w:tr>
        <w:trPr>
          <w:trHeight w:val="209"/>
        </w:trPr>
        <w:tc>
          <w:tcPr>
            <w:tcW w:w="5720" w:type="dxa"/>
            <w:vAlign w:val="bottom"/>
          </w:tcPr>
          <w:p>
            <w:pPr>
              <w:ind w:left="100"/>
              <w:spacing w:after="0"/>
              <w:rPr>
                <w:sz w:val="20"/>
                <w:szCs w:val="20"/>
                <w:color w:val="auto"/>
              </w:rPr>
            </w:pPr>
            <w:r>
              <w:rPr>
                <w:rFonts w:ascii="Arial" w:cs="Arial" w:eastAsia="Arial" w:hAnsi="Arial"/>
                <w:sz w:val="14"/>
                <w:szCs w:val="14"/>
                <w:color w:val="auto"/>
              </w:rPr>
              <w:t>Deferred current revenue</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14,239</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11,864</w:t>
            </w:r>
          </w:p>
        </w:tc>
      </w:tr>
      <w:tr>
        <w:trPr>
          <w:trHeight w:val="211"/>
        </w:trPr>
        <w:tc>
          <w:tcPr>
            <w:tcW w:w="5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6,969</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6,155</w:t>
            </w:r>
          </w:p>
        </w:tc>
      </w:tr>
      <w:tr>
        <w:trPr>
          <w:trHeight w:val="191"/>
        </w:trPr>
        <w:tc>
          <w:tcPr>
            <w:tcW w:w="5720" w:type="dxa"/>
            <w:vAlign w:val="bottom"/>
          </w:tcPr>
          <w:p>
            <w:pPr>
              <w:spacing w:after="0"/>
              <w:rPr>
                <w:sz w:val="20"/>
                <w:szCs w:val="20"/>
                <w:color w:val="auto"/>
              </w:rPr>
            </w:pPr>
            <w:r>
              <w:rPr>
                <w:rFonts w:ascii="Arial" w:cs="Arial" w:eastAsia="Arial" w:hAnsi="Arial"/>
                <w:sz w:val="14"/>
                <w:szCs w:val="14"/>
                <w:b w:val="1"/>
                <w:bCs w:val="1"/>
                <w:color w:val="auto"/>
              </w:rPr>
              <w:t>Total current liabilities</w:t>
            </w:r>
          </w:p>
        </w:tc>
        <w:tc>
          <w:tcPr>
            <w:tcW w:w="110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92,750</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126,911</w:t>
            </w:r>
          </w:p>
        </w:tc>
      </w:tr>
      <w:tr>
        <w:trPr>
          <w:trHeight w:val="108"/>
        </w:trPr>
        <w:tc>
          <w:tcPr>
            <w:tcW w:w="57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4"/>
                <w:szCs w:val="14"/>
                <w:color w:val="auto"/>
              </w:rPr>
              <w:t>Notes payable – long-term portion</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98,019</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65,009</w:t>
            </w: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27,913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r>
      <w:tr>
        <w:trPr>
          <w:trHeight w:val="209"/>
        </w:trPr>
        <w:tc>
          <w:tcPr>
            <w:tcW w:w="5720" w:type="dxa"/>
            <w:vAlign w:val="bottom"/>
          </w:tcPr>
          <w:p>
            <w:pPr>
              <w:spacing w:after="0"/>
              <w:rPr>
                <w:sz w:val="20"/>
                <w:szCs w:val="20"/>
                <w:color w:val="auto"/>
              </w:rPr>
            </w:pPr>
            <w:r>
              <w:rPr>
                <w:rFonts w:ascii="Arial" w:cs="Arial" w:eastAsia="Arial" w:hAnsi="Arial"/>
                <w:sz w:val="14"/>
                <w:szCs w:val="14"/>
                <w:color w:val="auto"/>
              </w:rPr>
              <w:t>Noncurrent tax liabilities</w:t>
            </w:r>
          </w:p>
        </w:tc>
        <w:tc>
          <w:tcPr>
            <w:tcW w:w="1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10,029</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12,478</w:t>
            </w:r>
          </w:p>
        </w:tc>
      </w:tr>
      <w:tr>
        <w:trPr>
          <w:trHeight w:val="211"/>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40,577</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32,749</w:t>
            </w:r>
          </w:p>
        </w:tc>
      </w:tr>
      <w:tr>
        <w:trPr>
          <w:trHeight w:val="191"/>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liabilities</w:t>
            </w:r>
          </w:p>
        </w:tc>
        <w:tc>
          <w:tcPr>
            <w:tcW w:w="1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269,288</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265,060</w:t>
            </w:r>
          </w:p>
        </w:tc>
      </w:tr>
      <w:tr>
        <w:trPr>
          <w:trHeight w:val="194"/>
        </w:trPr>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 (Note 19)</w:t>
            </w:r>
          </w:p>
        </w:tc>
        <w:tc>
          <w:tcPr>
            <w:tcW w:w="1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Class A non-voting common stock, par value $0.01, 100,000,000 shares authorized,</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9"/>
        </w:trPr>
        <w:tc>
          <w:tcPr>
            <w:tcW w:w="5720" w:type="dxa"/>
            <w:vAlign w:val="bottom"/>
          </w:tcPr>
          <w:p>
            <w:pPr>
              <w:ind w:left="100"/>
              <w:spacing w:after="0"/>
              <w:rPr>
                <w:sz w:val="20"/>
                <w:szCs w:val="20"/>
                <w:color w:val="auto"/>
              </w:rPr>
            </w:pPr>
            <w:r>
              <w:rPr>
                <w:rFonts w:ascii="Arial" w:cs="Arial" w:eastAsia="Arial" w:hAnsi="Arial"/>
                <w:sz w:val="14"/>
                <w:szCs w:val="14"/>
                <w:color w:val="auto"/>
              </w:rPr>
              <w:t>32,537,008 issued and 21,741,586 outstanding at December 31, 2014 and 32,254,199</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issued and 21,890,029 outstanding at December 31, 2013</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209"/>
        </w:trPr>
        <w:tc>
          <w:tcPr>
            <w:tcW w:w="5720" w:type="dxa"/>
            <w:vAlign w:val="bottom"/>
          </w:tcPr>
          <w:p>
            <w:pPr>
              <w:spacing w:after="0"/>
              <w:rPr>
                <w:sz w:val="20"/>
                <w:szCs w:val="20"/>
                <w:color w:val="auto"/>
              </w:rPr>
            </w:pPr>
            <w:r>
              <w:rPr>
                <w:rFonts w:ascii="Arial" w:cs="Arial" w:eastAsia="Arial" w:hAnsi="Arial"/>
                <w:sz w:val="14"/>
                <w:szCs w:val="14"/>
                <w:color w:val="auto"/>
              </w:rPr>
              <w:t>Class B voting common stock, par value $0.01, 20,000,000 shares authorized and</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1,495,490 issued and outstanding at December 31, 2014 and at December 31, 2013</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9"/>
        </w:trPr>
        <w:tc>
          <w:tcPr>
            <w:tcW w:w="5720" w:type="dxa"/>
            <w:vAlign w:val="bottom"/>
          </w:tcPr>
          <w:p>
            <w:pPr>
              <w:spacing w:after="0"/>
              <w:rPr>
                <w:sz w:val="20"/>
                <w:szCs w:val="20"/>
                <w:color w:val="auto"/>
              </w:rPr>
            </w:pPr>
            <w:r>
              <w:rPr>
                <w:rFonts w:ascii="Arial" w:cs="Arial" w:eastAsia="Arial" w:hAnsi="Arial"/>
                <w:sz w:val="14"/>
                <w:szCs w:val="14"/>
                <w:color w:val="auto"/>
              </w:rPr>
              <w:t>Nonvoting preferred stock, par value $0.01, 12,000 shares authorized and no issued</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or outstanding shares at December 31, 2014 and December 31, 2013</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57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100" w:type="dxa"/>
            <w:vAlign w:val="bottom"/>
          </w:tcPr>
          <w:p>
            <w:pPr>
              <w:spacing w:after="0"/>
              <w:rPr>
                <w:sz w:val="17"/>
                <w:szCs w:val="17"/>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140,237</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137,849</w:t>
            </w: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27" w:right="14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2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(32,251)</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(57,952)</w:t>
            </w:r>
          </w:p>
        </w:tc>
      </w:tr>
      <w:tr>
        <w:trPr>
          <w:trHeight w:val="209"/>
        </w:trPr>
        <w:tc>
          <w:tcPr>
            <w:tcW w:w="4880" w:type="dxa"/>
            <w:vAlign w:val="bottom"/>
          </w:tcPr>
          <w:p>
            <w:pPr>
              <w:spacing w:after="0"/>
              <w:rPr>
                <w:sz w:val="20"/>
                <w:szCs w:val="20"/>
                <w:color w:val="auto"/>
              </w:rPr>
            </w:pPr>
            <w:r>
              <w:rPr>
                <w:rFonts w:ascii="Arial" w:cs="Arial" w:eastAsia="Arial" w:hAnsi="Arial"/>
                <w:sz w:val="14"/>
                <w:szCs w:val="14"/>
                <w:color w:val="auto"/>
              </w:rPr>
              <w:t>Treasury shares</w:t>
            </w:r>
          </w:p>
        </w:tc>
        <w:tc>
          <w:tcPr>
            <w:tcW w:w="20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(8,582)</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(4,512)</w:t>
            </w:r>
          </w:p>
        </w:tc>
      </w:tr>
      <w:tr>
        <w:trPr>
          <w:trHeight w:val="211"/>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Accumulated other comprehensive income</w:t>
            </w:r>
          </w:p>
        </w:tc>
        <w:tc>
          <w:tcPr>
            <w:tcW w:w="20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28,039</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41,515</w:t>
            </w:r>
          </w:p>
        </w:tc>
      </w:tr>
      <w:tr>
        <w:trPr>
          <w:trHeight w:val="191"/>
        </w:trPr>
        <w:tc>
          <w:tcPr>
            <w:tcW w:w="4880" w:type="dxa"/>
            <w:vAlign w:val="bottom"/>
          </w:tcPr>
          <w:p>
            <w:pPr>
              <w:spacing w:after="0"/>
              <w:rPr>
                <w:sz w:val="20"/>
                <w:szCs w:val="20"/>
                <w:color w:val="auto"/>
              </w:rPr>
            </w:pPr>
            <w:r>
              <w:rPr>
                <w:rFonts w:ascii="Arial" w:cs="Arial" w:eastAsia="Arial" w:hAnsi="Arial"/>
                <w:sz w:val="14"/>
                <w:szCs w:val="14"/>
                <w:b w:val="1"/>
                <w:bCs w:val="1"/>
                <w:color w:val="auto"/>
              </w:rPr>
              <w:t>Total Reading International, Inc. stockholders’ equity</w:t>
            </w:r>
          </w:p>
        </w:tc>
        <w:tc>
          <w:tcPr>
            <w:tcW w:w="206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127,686</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117,140</w:t>
            </w:r>
          </w:p>
        </w:tc>
      </w:tr>
      <w:tr>
        <w:trPr>
          <w:trHeight w:val="211"/>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20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4,612</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4,607</w:t>
            </w:r>
          </w:p>
        </w:tc>
      </w:tr>
      <w:tr>
        <w:trPr>
          <w:trHeight w:val="191"/>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stockholders’ equity</w:t>
            </w:r>
          </w:p>
        </w:tc>
        <w:tc>
          <w:tcPr>
            <w:tcW w:w="20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132,298</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121,747</w:t>
            </w:r>
          </w:p>
        </w:tc>
      </w:tr>
      <w:tr>
        <w:trPr>
          <w:trHeight w:val="186"/>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0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401,586</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386,807</w:t>
            </w: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40" w:right="141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0" w:lineRule="exact"/>
        <w:rPr>
          <w:sz w:val="20"/>
          <w:szCs w:val="20"/>
          <w:color w:val="auto"/>
        </w:rPr>
      </w:pPr>
    </w:p>
    <w:p>
      <w:pPr>
        <w:ind w:right="3400"/>
        <w:spacing w:after="0" w:line="250" w:lineRule="auto"/>
        <w:rPr>
          <w:sz w:val="20"/>
          <w:szCs w:val="20"/>
          <w:color w:val="auto"/>
        </w:rPr>
      </w:pPr>
      <w:r>
        <w:rPr>
          <w:rFonts w:ascii="Arial" w:cs="Arial" w:eastAsia="Arial" w:hAnsi="Arial"/>
          <w:sz w:val="16"/>
          <w:szCs w:val="16"/>
          <w:b w:val="1"/>
          <w:bCs w:val="1"/>
          <w:color w:val="auto"/>
        </w:rPr>
        <w:t>Consolidated Statements of Operations for the Three Years Ended December 31, 2014 (U.S. 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Pr>
          <w:p>
            <w:pPr>
              <w:spacing w:after="0"/>
              <w:rPr>
                <w:sz w:val="15"/>
                <w:szCs w:val="15"/>
                <w:color w:val="auto"/>
              </w:rPr>
            </w:pPr>
          </w:p>
        </w:tc>
      </w:tr>
      <w:tr>
        <w:trPr>
          <w:trHeight w:val="208"/>
        </w:trPr>
        <w:tc>
          <w:tcPr>
            <w:tcW w:w="5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2012</w:t>
            </w:r>
          </w:p>
        </w:tc>
      </w:tr>
      <w:tr>
        <w:trPr>
          <w:trHeight w:val="35"/>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8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revenue</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5"/>
        </w:trPr>
        <w:tc>
          <w:tcPr>
            <w:tcW w:w="5620" w:type="dxa"/>
            <w:vAlign w:val="bottom"/>
          </w:tcPr>
          <w:p>
            <w:pPr>
              <w:spacing w:after="0"/>
              <w:rPr>
                <w:sz w:val="20"/>
                <w:szCs w:val="20"/>
                <w:color w:val="auto"/>
              </w:rPr>
            </w:pPr>
            <w:r>
              <w:rPr>
                <w:rFonts w:ascii="Arial" w:cs="Arial" w:eastAsia="Arial" w:hAnsi="Arial"/>
                <w:sz w:val="14"/>
                <w:szCs w:val="14"/>
                <w:color w:val="auto"/>
              </w:rPr>
              <w:t>Cinema</w:t>
            </w:r>
          </w:p>
        </w:tc>
        <w:tc>
          <w:tcPr>
            <w:tcW w:w="3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237,861</w:t>
            </w:r>
          </w:p>
        </w:tc>
        <w:tc>
          <w:tcPr>
            <w:tcW w:w="3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239,418</w:t>
            </w:r>
          </w:p>
        </w:tc>
        <w:tc>
          <w:tcPr>
            <w:tcW w:w="3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234,703</w:t>
            </w:r>
          </w:p>
        </w:tc>
      </w:tr>
      <w:tr>
        <w:trPr>
          <w:trHeight w:val="188"/>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Real estate</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16,887</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18,803</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19,727</w:t>
            </w:r>
          </w:p>
        </w:tc>
      </w:tr>
      <w:tr>
        <w:trPr>
          <w:trHeight w:val="214"/>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operating revenue</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254,748</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258,221</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254,430</w:t>
            </w:r>
          </w:p>
        </w:tc>
      </w:tr>
      <w:tr>
        <w:trPr>
          <w:trHeight w:val="186"/>
        </w:trPr>
        <w:tc>
          <w:tcPr>
            <w:tcW w:w="56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Operating expense</w:t>
            </w:r>
          </w:p>
        </w:tc>
        <w:tc>
          <w:tcPr>
            <w:tcW w:w="3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r>
      <w:tr>
        <w:trPr>
          <w:trHeight w:val="190"/>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Cinema</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188,435</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193,206</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190,511</w:t>
            </w:r>
          </w:p>
        </w:tc>
      </w:tr>
      <w:tr>
        <w:trPr>
          <w:trHeight w:val="185"/>
        </w:trPr>
        <w:tc>
          <w:tcPr>
            <w:tcW w:w="5620" w:type="dxa"/>
            <w:vAlign w:val="bottom"/>
          </w:tcPr>
          <w:p>
            <w:pPr>
              <w:spacing w:after="0"/>
              <w:rPr>
                <w:sz w:val="20"/>
                <w:szCs w:val="20"/>
                <w:color w:val="auto"/>
              </w:rPr>
            </w:pPr>
            <w:r>
              <w:rPr>
                <w:rFonts w:ascii="Arial" w:cs="Arial" w:eastAsia="Arial" w:hAnsi="Arial"/>
                <w:sz w:val="14"/>
                <w:szCs w:val="14"/>
                <w:color w:val="auto"/>
              </w:rPr>
              <w:t>Real estate</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9,770</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10,830</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11,163</w:t>
            </w:r>
          </w:p>
        </w:tc>
      </w:tr>
      <w:tr>
        <w:trPr>
          <w:trHeight w:val="190"/>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15,468</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15,197</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16,049</w:t>
            </w:r>
          </w:p>
        </w:tc>
      </w:tr>
      <w:tr>
        <w:trPr>
          <w:trHeight w:val="185"/>
        </w:trPr>
        <w:tc>
          <w:tcPr>
            <w:tcW w:w="56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18,902</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18,053</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16,117</w:t>
            </w:r>
          </w:p>
        </w:tc>
      </w:tr>
      <w:tr>
        <w:trPr>
          <w:trHeight w:val="188"/>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Impairment expense</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r>
      <w:tr>
        <w:trPr>
          <w:trHeight w:val="226"/>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operating expense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232,575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237,286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235,303</w:t>
            </w:r>
          </w:p>
        </w:tc>
      </w:tr>
      <w:tr>
        <w:trPr>
          <w:trHeight w:val="209"/>
        </w:trPr>
        <w:tc>
          <w:tcPr>
            <w:tcW w:w="56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22,173</w:t>
            </w: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20,935</w:t>
            </w:r>
          </w:p>
        </w:tc>
        <w:tc>
          <w:tcPr>
            <w:tcW w:w="3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19,127</w:t>
            </w:r>
          </w:p>
        </w:tc>
      </w:tr>
      <w:tr>
        <w:trPr>
          <w:trHeight w:val="73"/>
        </w:trPr>
        <w:tc>
          <w:tcPr>
            <w:tcW w:w="56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85"/>
        </w:trPr>
        <w:tc>
          <w:tcPr>
            <w:tcW w:w="562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662</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407</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190"/>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(9,662)</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(10,444)</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(17,226)</w:t>
            </w:r>
          </w:p>
        </w:tc>
      </w:tr>
      <w:tr>
        <w:trPr>
          <w:trHeight w:val="185"/>
        </w:trPr>
        <w:tc>
          <w:tcPr>
            <w:tcW w:w="5620" w:type="dxa"/>
            <w:vAlign w:val="bottom"/>
          </w:tcPr>
          <w:p>
            <w:pPr>
              <w:spacing w:after="0"/>
              <w:rPr>
                <w:sz w:val="20"/>
                <w:szCs w:val="20"/>
                <w:color w:val="auto"/>
              </w:rPr>
            </w:pPr>
            <w:r>
              <w:rPr>
                <w:rFonts w:ascii="Arial" w:cs="Arial" w:eastAsia="Arial" w:hAnsi="Arial"/>
                <w:sz w:val="14"/>
                <w:szCs w:val="14"/>
                <w:color w:val="auto"/>
              </w:rPr>
              <w:t>Net gain (loss) on sale of assets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188"/>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r>
      <w:tr>
        <w:trPr>
          <w:trHeight w:val="217"/>
        </w:trPr>
        <w:tc>
          <w:tcPr>
            <w:tcW w:w="5620" w:type="dxa"/>
            <w:vAlign w:val="bottom"/>
          </w:tcPr>
          <w:p>
            <w:pPr>
              <w:spacing w:after="0"/>
              <w:rPr>
                <w:sz w:val="20"/>
                <w:szCs w:val="20"/>
                <w:color w:val="auto"/>
              </w:rPr>
            </w:pPr>
            <w:r>
              <w:rPr>
                <w:rFonts w:ascii="Arial" w:cs="Arial" w:eastAsia="Arial" w:hAnsi="Arial"/>
                <w:sz w:val="14"/>
                <w:szCs w:val="14"/>
                <w:b w:val="1"/>
                <w:bCs w:val="1"/>
                <w:color w:val="auto"/>
                <w:w w:val="90"/>
              </w:rPr>
              <w:t>Income before income tax expense and equity earnings of unconsolidated joint ventures and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6"/>
        </w:trPr>
        <w:tc>
          <w:tcPr>
            <w:tcW w:w="5620" w:type="dxa"/>
            <w:vAlign w:val="bottom"/>
          </w:tcPr>
          <w:p>
            <w:pPr>
              <w:spacing w:after="0"/>
              <w:rPr>
                <w:sz w:val="20"/>
                <w:szCs w:val="20"/>
                <w:color w:val="auto"/>
              </w:rPr>
            </w:pPr>
            <w:r>
              <w:rPr>
                <w:rFonts w:ascii="Arial" w:cs="Arial" w:eastAsia="Arial" w:hAnsi="Arial"/>
                <w:sz w:val="14"/>
                <w:szCs w:val="14"/>
                <w:b w:val="1"/>
                <w:bCs w:val="1"/>
                <w:color w:val="auto"/>
              </w:rPr>
              <w:t>entities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14,844</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12,718</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2,282</w:t>
            </w:r>
          </w:p>
        </w:tc>
      </w:tr>
      <w:tr>
        <w:trPr>
          <w:trHeight w:val="188"/>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9,785</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(4,942)</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(4,904)</w:t>
            </w:r>
          </w:p>
        </w:tc>
      </w:tr>
      <w:tr>
        <w:trPr>
          <w:trHeight w:val="426"/>
        </w:trPr>
        <w:tc>
          <w:tcPr>
            <w:tcW w:w="5620" w:type="dxa"/>
            <w:vAlign w:val="bottom"/>
          </w:tcPr>
          <w:p>
            <w:pPr>
              <w:spacing w:after="0"/>
              <w:rPr>
                <w:sz w:val="20"/>
                <w:szCs w:val="20"/>
                <w:color w:val="auto"/>
              </w:rPr>
            </w:pPr>
            <w:r>
              <w:rPr>
                <w:rFonts w:ascii="Arial" w:cs="Arial" w:eastAsia="Arial" w:hAnsi="Arial"/>
                <w:sz w:val="14"/>
                <w:szCs w:val="14"/>
                <w:b w:val="1"/>
                <w:bCs w:val="1"/>
                <w:color w:val="auto"/>
                <w:w w:val="95"/>
              </w:rPr>
              <w:t>Income (loss) before equity earnings (loss) of unconsolidated joint ventures and entities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24,629</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7,776</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(2,622)</w:t>
            </w:r>
          </w:p>
        </w:tc>
      </w:tr>
      <w:tr>
        <w:trPr>
          <w:trHeight w:val="188"/>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Equity earnings of unconsolidated joint ventures and entities</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1,621</w:t>
            </w:r>
          </w:p>
        </w:tc>
      </w:tr>
      <w:tr>
        <w:trPr>
          <w:trHeight w:val="215"/>
        </w:trPr>
        <w:tc>
          <w:tcPr>
            <w:tcW w:w="5620" w:type="dxa"/>
            <w:vAlign w:val="bottom"/>
          </w:tcPr>
          <w:p>
            <w:pPr>
              <w:spacing w:after="0"/>
              <w:rPr>
                <w:sz w:val="20"/>
                <w:szCs w:val="20"/>
                <w:color w:val="auto"/>
              </w:rPr>
            </w:pPr>
            <w:r>
              <w:rPr>
                <w:rFonts w:ascii="Arial" w:cs="Arial" w:eastAsia="Arial" w:hAnsi="Arial"/>
                <w:sz w:val="14"/>
                <w:szCs w:val="14"/>
                <w:b w:val="1"/>
                <w:bCs w:val="1"/>
                <w:color w:val="auto"/>
              </w:rPr>
              <w:t>Income (loss) before discontinued operations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25,644</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9,145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(1,001)</w:t>
            </w:r>
          </w:p>
        </w:tc>
      </w:tr>
      <w:tr>
        <w:trPr>
          <w:trHeight w:val="190"/>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(Loss) from discontinued operations, net of tax</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(Loss) on sale of discontinued operations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r>
      <w:tr>
        <w:trPr>
          <w:trHeight w:val="229"/>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r>
      <w:tr>
        <w:trPr>
          <w:trHeight w:val="421"/>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income (loss) attributable to Reading International, Inc.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25,701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r>
      <w:tr>
        <w:trPr>
          <w:trHeight w:val="59"/>
        </w:trPr>
        <w:tc>
          <w:tcPr>
            <w:tcW w:w="5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34"/>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7"/>
              </w:rPr>
              <w:t>Basic  income  (loss)  per  common  share  attributable  to  Reading  International,  Inc.</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189"/>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shareholders:</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5"/>
        </w:trPr>
        <w:tc>
          <w:tcPr>
            <w:tcW w:w="5620" w:type="dxa"/>
            <w:vAlign w:val="bottom"/>
          </w:tcPr>
          <w:p>
            <w:pPr>
              <w:spacing w:after="0"/>
              <w:rPr>
                <w:sz w:val="20"/>
                <w:szCs w:val="20"/>
                <w:color w:val="auto"/>
              </w:rPr>
            </w:pPr>
            <w:r>
              <w:rPr>
                <w:rFonts w:ascii="Arial" w:cs="Arial" w:eastAsia="Arial" w:hAnsi="Arial"/>
                <w:sz w:val="14"/>
                <w:szCs w:val="14"/>
                <w:color w:val="auto"/>
              </w:rPr>
              <w:t>Earnings (loss) from continuing operations</w:t>
            </w:r>
          </w:p>
        </w:tc>
        <w:tc>
          <w:tcPr>
            <w:tcW w:w="3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1.10</w:t>
            </w:r>
          </w:p>
        </w:tc>
        <w:tc>
          <w:tcPr>
            <w:tcW w:w="3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0.39</w:t>
            </w:r>
          </w:p>
        </w:tc>
        <w:tc>
          <w:tcPr>
            <w:tcW w:w="3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8"/>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Earnings (loss) from discontinued operations, net</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42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Basic income (loss) per share attributable to Reading International, Inc. shareholders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0.39</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r>
      <w:tr>
        <w:trPr>
          <w:trHeight w:val="94"/>
        </w:trPr>
        <w:tc>
          <w:tcPr>
            <w:tcW w:w="56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r>
      <w:tr>
        <w:trPr>
          <w:trHeight w:val="258"/>
        </w:trPr>
        <w:tc>
          <w:tcPr>
            <w:tcW w:w="5620" w:type="dxa"/>
            <w:vAlign w:val="bottom"/>
          </w:tcPr>
          <w:p>
            <w:pPr>
              <w:spacing w:after="0"/>
              <w:rPr>
                <w:sz w:val="20"/>
                <w:szCs w:val="20"/>
                <w:color w:val="auto"/>
              </w:rPr>
            </w:pPr>
            <w:r>
              <w:rPr>
                <w:rFonts w:ascii="Arial" w:cs="Arial" w:eastAsia="Arial" w:hAnsi="Arial"/>
                <w:sz w:val="14"/>
                <w:szCs w:val="14"/>
                <w:b w:val="1"/>
                <w:bCs w:val="1"/>
                <w:color w:val="auto"/>
              </w:rPr>
              <w:t>Diluted income (loss) per common share attributable to Reading International, Inc.</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86"/>
        </w:trPr>
        <w:tc>
          <w:tcPr>
            <w:tcW w:w="562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Earnings (loss)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Earnings (loss) from discontinued operations, net</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r>
      <w:tr>
        <w:trPr>
          <w:trHeight w:val="421"/>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7"/>
              </w:rPr>
              <w:t>Diluted income (loss) per share attributable to Reading International, Inc.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09"/>
        </w:trPr>
        <w:tc>
          <w:tcPr>
            <w:tcW w:w="5620" w:type="dxa"/>
            <w:vAlign w:val="bottom"/>
          </w:tcPr>
          <w:p>
            <w:pPr>
              <w:spacing w:after="0"/>
              <w:rPr>
                <w:sz w:val="20"/>
                <w:szCs w:val="20"/>
                <w:color w:val="auto"/>
              </w:rPr>
            </w:pPr>
            <w:r>
              <w:rPr>
                <w:rFonts w:ascii="Arial" w:cs="Arial" w:eastAsia="Arial" w:hAnsi="Arial"/>
                <w:sz w:val="14"/>
                <w:szCs w:val="14"/>
                <w:b w:val="1"/>
                <w:bCs w:val="1"/>
                <w:color w:val="auto"/>
              </w:rPr>
              <w:t>Weighted average number of shares outstanding–basic</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23,431,855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23,348,003</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23,028,596</w:t>
            </w:r>
          </w:p>
        </w:tc>
      </w:tr>
      <w:tr>
        <w:trPr>
          <w:trHeight w:val="226"/>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 shares outstanding–diluted</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23,749,221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23,520,271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23,028,596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78739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7390" cy="146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35650" cy="47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5650" cy="47625"/>
                    </a:xfrm>
                    <a:prstGeom prst="rect">
                      <a:avLst/>
                    </a:prstGeom>
                    <a:noFill/>
                  </pic:spPr>
                </pic:pic>
              </a:graphicData>
            </a:graphic>
          </wp:anchor>
        </w:drawing>
      </w:r>
    </w:p>
    <w:p>
      <w:pPr>
        <w:sectPr>
          <w:pgSz w:w="11900" w:h="16838" w:orient="portrait"/>
          <w:cols w:equalWidth="0" w:num="1">
            <w:col w:w="9120"/>
          </w:cols>
          <w:pgMar w:left="1360" w:top="135" w:right="141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0" w:lineRule="exact"/>
        <w:rPr>
          <w:sz w:val="20"/>
          <w:szCs w:val="20"/>
          <w:color w:val="auto"/>
        </w:rPr>
      </w:pPr>
    </w:p>
    <w:p>
      <w:pPr>
        <w:ind w:right="2120"/>
        <w:spacing w:after="0" w:line="250" w:lineRule="auto"/>
        <w:rPr>
          <w:sz w:val="20"/>
          <w:szCs w:val="20"/>
          <w:color w:val="auto"/>
        </w:rPr>
      </w:pPr>
      <w:r>
        <w:rPr>
          <w:rFonts w:ascii="Arial" w:cs="Arial" w:eastAsia="Arial" w:hAnsi="Arial"/>
          <w:sz w:val="16"/>
          <w:szCs w:val="16"/>
          <w:b w:val="1"/>
          <w:bCs w:val="1"/>
          <w:color w:val="auto"/>
        </w:rPr>
        <w:t>Consolidated Statements of Comprehensive Income (Loss) for the Three Years Ended December 31, 2014 (U.S.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Pr>
          <w:p>
            <w:pPr>
              <w:spacing w:after="0"/>
              <w:rPr>
                <w:sz w:val="14"/>
                <w:szCs w:val="14"/>
                <w:color w:val="auto"/>
              </w:rPr>
            </w:pPr>
          </w:p>
        </w:tc>
      </w:tr>
      <w:tr>
        <w:trPr>
          <w:trHeight w:val="289"/>
        </w:trPr>
        <w:tc>
          <w:tcPr>
            <w:tcW w:w="5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2012</w:t>
            </w: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9,145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r>
      <w:tr>
        <w:trPr>
          <w:trHeight w:val="232"/>
        </w:trPr>
        <w:tc>
          <w:tcPr>
            <w:tcW w:w="5300" w:type="dxa"/>
            <w:vAlign w:val="bottom"/>
          </w:tcPr>
          <w:p>
            <w:pPr>
              <w:spacing w:after="0"/>
              <w:rPr>
                <w:sz w:val="20"/>
                <w:szCs w:val="20"/>
                <w:color w:val="auto"/>
              </w:rPr>
            </w:pPr>
            <w:r>
              <w:rPr>
                <w:rFonts w:ascii="Arial" w:cs="Arial" w:eastAsia="Arial" w:hAnsi="Arial"/>
                <w:sz w:val="14"/>
                <w:szCs w:val="14"/>
                <w:color w:val="auto"/>
              </w:rPr>
              <w:t>Cumulative foreign currency adjustment</w:t>
            </w:r>
          </w:p>
        </w:tc>
        <w:tc>
          <w:tcPr>
            <w:tcW w:w="3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(14,214)</w:t>
            </w:r>
          </w:p>
        </w:tc>
        <w:tc>
          <w:tcPr>
            <w:tcW w:w="3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(19,368)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4,419</w:t>
            </w:r>
          </w:p>
        </w:tc>
      </w:tr>
      <w:tr>
        <w:trPr>
          <w:trHeight w:val="276"/>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w w:val="96"/>
              </w:rPr>
              <w:t>Reclassification of realized gain on available for sale investments included in net income</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185"/>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(loss)</w:t>
            </w: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32"/>
        </w:trPr>
        <w:tc>
          <w:tcPr>
            <w:tcW w:w="5300" w:type="dxa"/>
            <w:vAlign w:val="bottom"/>
          </w:tcPr>
          <w:p>
            <w:pPr>
              <w:spacing w:after="0"/>
              <w:rPr>
                <w:sz w:val="20"/>
                <w:szCs w:val="20"/>
                <w:color w:val="auto"/>
              </w:rPr>
            </w:pPr>
            <w:r>
              <w:rPr>
                <w:rFonts w:ascii="Arial" w:cs="Arial" w:eastAsia="Arial" w:hAnsi="Arial"/>
                <w:sz w:val="14"/>
                <w:szCs w:val="14"/>
                <w:color w:val="auto"/>
              </w:rPr>
              <w:t>Unrealized income (loss) on available for sale investments</w:t>
            </w:r>
          </w:p>
        </w:tc>
        <w:tc>
          <w:tcPr>
            <w:tcW w:w="3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35"/>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Accrued pension service benefit (costs)</w:t>
            </w:r>
          </w:p>
        </w:tc>
        <w:tc>
          <w:tcPr>
            <w:tcW w:w="3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(593)</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w:t>
            </w:r>
          </w:p>
        </w:tc>
      </w:tr>
      <w:tr>
        <w:trPr>
          <w:trHeight w:val="215"/>
        </w:trPr>
        <w:tc>
          <w:tcPr>
            <w:tcW w:w="530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3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12,168</w:t>
            </w:r>
          </w:p>
        </w:tc>
        <w:tc>
          <w:tcPr>
            <w:tcW w:w="120" w:type="dxa"/>
            <w:vAlign w:val="bottom"/>
          </w:tcPr>
          <w:p>
            <w:pPr>
              <w:spacing w:after="0"/>
              <w:rPr>
                <w:sz w:val="18"/>
                <w:szCs w:val="18"/>
                <w:color w:val="auto"/>
              </w:rPr>
            </w:pPr>
          </w:p>
        </w:tc>
        <w:tc>
          <w:tcPr>
            <w:tcW w:w="3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(10,816)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1,031</w:t>
            </w:r>
          </w:p>
        </w:tc>
      </w:tr>
      <w:tr>
        <w:trPr>
          <w:trHeight w:val="237"/>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r>
      <w:tr>
        <w:trPr>
          <w:trHeight w:val="232"/>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(41)</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107</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09"/>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Comprehensive income (loss) attributable to Reading International, Inc.</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12,184</w:t>
            </w: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(10,813)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1,518</w:t>
            </w: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80010</wp:posOffset>
            </wp:positionV>
            <wp:extent cx="6887210" cy="47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87210" cy="47625"/>
                    </a:xfrm>
                    <a:prstGeom prst="rect">
                      <a:avLst/>
                    </a:prstGeom>
                    <a:noFill/>
                  </pic:spPr>
                </pic:pic>
              </a:graphicData>
            </a:graphic>
          </wp:anchor>
        </w:drawing>
      </w:r>
    </w:p>
    <w:p>
      <w:pPr>
        <w:sectPr>
          <w:pgSz w:w="11900" w:h="16838" w:orient="portrait"/>
          <w:cols w:equalWidth="0" w:num="1">
            <w:col w:w="9120"/>
          </w:cols>
          <w:pgMar w:left="1360" w:top="323" w:right="141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color w:val="auto"/>
        </w:rPr>
        <w:t>Reading International, Inc. and Subsidiaries</w:t>
      </w:r>
    </w:p>
    <w:p>
      <w:pPr>
        <w:spacing w:after="0" w:line="207" w:lineRule="auto"/>
        <w:rPr>
          <w:sz w:val="20"/>
          <w:szCs w:val="20"/>
          <w:color w:val="auto"/>
        </w:rPr>
      </w:pPr>
      <w:r>
        <w:rPr>
          <w:rFonts w:ascii="Arial" w:cs="Arial" w:eastAsia="Arial" w:hAnsi="Arial"/>
          <w:sz w:val="13"/>
          <w:szCs w:val="13"/>
          <w:b w:val="1"/>
          <w:bCs w:val="1"/>
          <w:color w:val="auto"/>
        </w:rPr>
        <w:t>Consolidated Statements of Stockholders’ Equity for the Three Years Ended December 31, 2014</w:t>
      </w:r>
    </w:p>
    <w:p>
      <w:pPr>
        <w:spacing w:after="0" w:line="237" w:lineRule="auto"/>
        <w:rPr>
          <w:sz w:val="20"/>
          <w:szCs w:val="20"/>
          <w:color w:val="auto"/>
        </w:rPr>
      </w:pPr>
      <w:r>
        <w:rPr>
          <w:rFonts w:ascii="Arial" w:cs="Arial" w:eastAsia="Arial" w:hAnsi="Arial"/>
          <w:sz w:val="13"/>
          <w:szCs w:val="13"/>
          <w:b w:val="1"/>
          <w:b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4"/>
              </w:rPr>
              <w:t>Common Stock</w:t>
            </w: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11"/>
                <w:szCs w:val="11"/>
                <w:color w:val="auto"/>
              </w:rPr>
            </w:pPr>
          </w:p>
        </w:tc>
        <w:tc>
          <w:tcPr>
            <w:tcW w:w="740" w:type="dxa"/>
            <w:vAlign w:val="bottom"/>
          </w:tcPr>
          <w:p>
            <w:pPr>
              <w:jc w:val="center"/>
              <w:ind w:right="185"/>
              <w:spacing w:after="0"/>
              <w:rPr>
                <w:sz w:val="20"/>
                <w:szCs w:val="20"/>
                <w:color w:val="auto"/>
              </w:rPr>
            </w:pPr>
            <w:r>
              <w:rPr>
                <w:rFonts w:ascii="Arial" w:cs="Arial" w:eastAsia="Arial" w:hAnsi="Arial"/>
                <w:sz w:val="11"/>
                <w:szCs w:val="11"/>
                <w:b w:val="1"/>
                <w:bCs w:val="1"/>
                <w:color w:val="auto"/>
                <w:w w:val="87"/>
              </w:rPr>
              <w:t>Reading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6"/>
        </w:trPr>
        <w:tc>
          <w:tcPr>
            <w:tcW w:w="258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45"/>
              <w:spacing w:after="0"/>
              <w:rPr>
                <w:sz w:val="20"/>
                <w:szCs w:val="20"/>
                <w:color w:val="auto"/>
              </w:rPr>
            </w:pPr>
            <w:r>
              <w:rPr>
                <w:rFonts w:ascii="Arial" w:cs="Arial" w:eastAsia="Arial" w:hAnsi="Arial"/>
                <w:sz w:val="11"/>
                <w:szCs w:val="11"/>
                <w:b w:val="1"/>
                <w:bCs w:val="1"/>
                <w:color w:val="auto"/>
                <w:w w:val="89"/>
              </w:rPr>
              <w:t>Class A</w:t>
            </w:r>
          </w:p>
        </w:tc>
        <w:tc>
          <w:tcPr>
            <w:tcW w:w="6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125"/>
              <w:spacing w:after="0"/>
              <w:rPr>
                <w:sz w:val="20"/>
                <w:szCs w:val="20"/>
                <w:color w:val="auto"/>
              </w:rPr>
            </w:pPr>
            <w:r>
              <w:rPr>
                <w:rFonts w:ascii="Arial" w:cs="Arial" w:eastAsia="Arial" w:hAnsi="Arial"/>
                <w:sz w:val="11"/>
                <w:szCs w:val="11"/>
                <w:b w:val="1"/>
                <w:bCs w:val="1"/>
                <w:color w:val="auto"/>
                <w:w w:val="89"/>
              </w:rPr>
              <w:t>Class B</w:t>
            </w:r>
          </w:p>
        </w:tc>
        <w:tc>
          <w:tcPr>
            <w:tcW w:w="740" w:type="dxa"/>
            <w:vAlign w:val="bottom"/>
            <w:gridSpan w:val="2"/>
          </w:tcPr>
          <w:p>
            <w:pPr>
              <w:jc w:val="right"/>
              <w:ind w:right="105"/>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185"/>
              <w:spacing w:after="0"/>
              <w:rPr>
                <w:sz w:val="20"/>
                <w:szCs w:val="20"/>
                <w:color w:val="auto"/>
              </w:rPr>
            </w:pPr>
            <w:r>
              <w:rPr>
                <w:rFonts w:ascii="Arial" w:cs="Arial" w:eastAsia="Arial" w:hAnsi="Arial"/>
                <w:sz w:val="11"/>
                <w:szCs w:val="11"/>
                <w:b w:val="1"/>
                <w:bCs w:val="1"/>
                <w:color w:val="auto"/>
                <w:w w:val="95"/>
              </w:rPr>
              <w:t>Other</w:t>
            </w:r>
          </w:p>
        </w:tc>
        <w:tc>
          <w:tcPr>
            <w:tcW w:w="920" w:type="dxa"/>
            <w:vAlign w:val="bottom"/>
            <w:gridSpan w:val="2"/>
          </w:tcPr>
          <w:p>
            <w:pPr>
              <w:jc w:val="center"/>
              <w:ind w:right="5"/>
              <w:spacing w:after="0"/>
              <w:rPr>
                <w:sz w:val="20"/>
                <w:szCs w:val="20"/>
                <w:color w:val="auto"/>
              </w:rPr>
            </w:pPr>
            <w:r>
              <w:rPr>
                <w:rFonts w:ascii="Arial" w:cs="Arial" w:eastAsia="Arial" w:hAnsi="Arial"/>
                <w:sz w:val="11"/>
                <w:szCs w:val="11"/>
                <w:b w:val="1"/>
                <w:bCs w:val="1"/>
                <w:color w:val="auto"/>
                <w:w w:val="93"/>
              </w:rPr>
              <w:t>International Inc.</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45"/>
              <w:spacing w:after="0"/>
              <w:rPr>
                <w:sz w:val="20"/>
                <w:szCs w:val="20"/>
                <w:color w:val="auto"/>
              </w:rPr>
            </w:pPr>
            <w:r>
              <w:rPr>
                <w:rFonts w:ascii="Arial" w:cs="Arial" w:eastAsia="Arial" w:hAnsi="Arial"/>
                <w:sz w:val="11"/>
                <w:szCs w:val="11"/>
                <w:b w:val="1"/>
                <w:bCs w:val="1"/>
                <w:color w:val="auto"/>
              </w:rPr>
              <w:t>Total</w:t>
            </w:r>
          </w:p>
        </w:tc>
      </w:tr>
      <w:tr>
        <w:trPr>
          <w:trHeight w:val="188"/>
        </w:trPr>
        <w:tc>
          <w:tcPr>
            <w:tcW w:w="258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jc w:val="right"/>
              <w:ind w:right="105"/>
              <w:spacing w:after="0"/>
              <w:rPr>
                <w:sz w:val="20"/>
                <w:szCs w:val="20"/>
                <w:color w:val="auto"/>
              </w:rPr>
            </w:pPr>
            <w:r>
              <w:rPr>
                <w:rFonts w:ascii="Arial" w:cs="Arial" w:eastAsia="Arial" w:hAnsi="Arial"/>
                <w:sz w:val="11"/>
                <w:szCs w:val="11"/>
                <w:b w:val="1"/>
                <w:bCs w:val="1"/>
                <w:color w:val="auto"/>
                <w:w w:val="94"/>
              </w:rPr>
              <w:t>Class A</w:t>
            </w:r>
          </w:p>
        </w:tc>
        <w:tc>
          <w:tcPr>
            <w:tcW w:w="160" w:type="dxa"/>
            <w:vAlign w:val="bottom"/>
          </w:tcPr>
          <w:p>
            <w:pPr>
              <w:spacing w:after="0"/>
              <w:rPr>
                <w:sz w:val="16"/>
                <w:szCs w:val="16"/>
                <w:color w:val="auto"/>
              </w:rPr>
            </w:pPr>
          </w:p>
        </w:tc>
        <w:tc>
          <w:tcPr>
            <w:tcW w:w="580" w:type="dxa"/>
            <w:vAlign w:val="bottom"/>
            <w:tcBorders>
              <w:right w:val="single" w:sz="8" w:color="auto"/>
            </w:tcBorders>
          </w:tcPr>
          <w:p>
            <w:pPr>
              <w:jc w:val="center"/>
              <w:ind w:right="205"/>
              <w:spacing w:after="0"/>
              <w:rPr>
                <w:sz w:val="20"/>
                <w:szCs w:val="20"/>
                <w:color w:val="auto"/>
              </w:rPr>
            </w:pPr>
            <w:r>
              <w:rPr>
                <w:rFonts w:ascii="Arial" w:cs="Arial" w:eastAsia="Arial" w:hAnsi="Arial"/>
                <w:sz w:val="11"/>
                <w:szCs w:val="11"/>
                <w:b w:val="1"/>
                <w:bCs w:val="1"/>
                <w:color w:val="auto"/>
                <w:w w:val="89"/>
              </w:rPr>
              <w:t>Par</w:t>
            </w:r>
          </w:p>
        </w:tc>
        <w:tc>
          <w:tcPr>
            <w:tcW w:w="620" w:type="dxa"/>
            <w:vAlign w:val="bottom"/>
            <w:tcBorders>
              <w:right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Class B</w:t>
            </w:r>
          </w:p>
        </w:tc>
        <w:tc>
          <w:tcPr>
            <w:tcW w:w="120" w:type="dxa"/>
            <w:vAlign w:val="bottom"/>
          </w:tcPr>
          <w:p>
            <w:pPr>
              <w:spacing w:after="0"/>
              <w:rPr>
                <w:sz w:val="16"/>
                <w:szCs w:val="16"/>
                <w:color w:val="auto"/>
              </w:rPr>
            </w:pPr>
          </w:p>
        </w:tc>
        <w:tc>
          <w:tcPr>
            <w:tcW w:w="540" w:type="dxa"/>
            <w:vAlign w:val="bottom"/>
          </w:tcPr>
          <w:p>
            <w:pPr>
              <w:jc w:val="center"/>
              <w:ind w:right="125"/>
              <w:spacing w:after="0"/>
              <w:rPr>
                <w:sz w:val="20"/>
                <w:szCs w:val="20"/>
                <w:color w:val="auto"/>
              </w:rPr>
            </w:pPr>
            <w:r>
              <w:rPr>
                <w:rFonts w:ascii="Arial" w:cs="Arial" w:eastAsia="Arial" w:hAnsi="Arial"/>
                <w:sz w:val="11"/>
                <w:szCs w:val="11"/>
                <w:b w:val="1"/>
                <w:bCs w:val="1"/>
                <w:color w:val="auto"/>
                <w:w w:val="89"/>
              </w:rPr>
              <w:t>Par</w:t>
            </w:r>
          </w:p>
        </w:tc>
        <w:tc>
          <w:tcPr>
            <w:tcW w:w="120" w:type="dxa"/>
            <w:vAlign w:val="bottom"/>
          </w:tcPr>
          <w:p>
            <w:pPr>
              <w:spacing w:after="0"/>
              <w:rPr>
                <w:sz w:val="16"/>
                <w:szCs w:val="16"/>
                <w:color w:val="auto"/>
              </w:rPr>
            </w:pPr>
          </w:p>
        </w:tc>
        <w:tc>
          <w:tcPr>
            <w:tcW w:w="620" w:type="dxa"/>
            <w:vAlign w:val="bottom"/>
          </w:tcPr>
          <w:p>
            <w:pPr>
              <w:jc w:val="right"/>
              <w:ind w:right="185"/>
              <w:spacing w:after="0"/>
              <w:rPr>
                <w:sz w:val="20"/>
                <w:szCs w:val="20"/>
                <w:color w:val="auto"/>
              </w:rPr>
            </w:pPr>
            <w:r>
              <w:rPr>
                <w:rFonts w:ascii="Arial" w:cs="Arial" w:eastAsia="Arial" w:hAnsi="Arial"/>
                <w:sz w:val="11"/>
                <w:szCs w:val="11"/>
                <w:b w:val="1"/>
                <w:bCs w:val="1"/>
                <w:color w:val="auto"/>
                <w:w w:val="98"/>
              </w:rPr>
              <w:t>Paid-In</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6"/>
                <w:szCs w:val="16"/>
                <w:color w:val="auto"/>
              </w:rPr>
            </w:pPr>
          </w:p>
        </w:tc>
        <w:tc>
          <w:tcPr>
            <w:tcW w:w="600" w:type="dxa"/>
            <w:vAlign w:val="bottom"/>
          </w:tcPr>
          <w:p>
            <w:pPr>
              <w:jc w:val="right"/>
              <w:ind w:right="125"/>
              <w:spacing w:after="0"/>
              <w:rPr>
                <w:sz w:val="20"/>
                <w:szCs w:val="20"/>
                <w:color w:val="auto"/>
              </w:rPr>
            </w:pPr>
            <w:r>
              <w:rPr>
                <w:rFonts w:ascii="Arial" w:cs="Arial" w:eastAsia="Arial" w:hAnsi="Arial"/>
                <w:sz w:val="11"/>
                <w:szCs w:val="11"/>
                <w:b w:val="1"/>
                <w:bCs w:val="1"/>
                <w:color w:val="auto"/>
                <w:w w:val="85"/>
              </w:rPr>
              <w:t>Treasury</w:t>
            </w:r>
          </w:p>
        </w:tc>
        <w:tc>
          <w:tcPr>
            <w:tcW w:w="8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Comprehensive</w:t>
            </w:r>
          </w:p>
        </w:tc>
        <w:tc>
          <w:tcPr>
            <w:tcW w:w="920" w:type="dxa"/>
            <w:vAlign w:val="bottom"/>
            <w:gridSpan w:val="2"/>
          </w:tcPr>
          <w:p>
            <w:pPr>
              <w:jc w:val="center"/>
              <w:ind w:right="5"/>
              <w:spacing w:after="0"/>
              <w:rPr>
                <w:sz w:val="20"/>
                <w:szCs w:val="20"/>
                <w:color w:val="auto"/>
              </w:rPr>
            </w:pPr>
            <w:r>
              <w:rPr>
                <w:rFonts w:ascii="Arial" w:cs="Arial" w:eastAsia="Arial" w:hAnsi="Arial"/>
                <w:sz w:val="11"/>
                <w:szCs w:val="11"/>
                <w:b w:val="1"/>
                <w:bCs w:val="1"/>
                <w:color w:val="auto"/>
                <w:w w:val="90"/>
              </w:rPr>
              <w:t>Stockholders’</w:t>
            </w:r>
          </w:p>
        </w:tc>
        <w:tc>
          <w:tcPr>
            <w:tcW w:w="840" w:type="dxa"/>
            <w:vAlign w:val="bottom"/>
            <w:gridSpan w:val="2"/>
          </w:tcPr>
          <w:p>
            <w:pPr>
              <w:jc w:val="right"/>
              <w:ind w:right="45"/>
              <w:spacing w:after="0"/>
              <w:rPr>
                <w:sz w:val="20"/>
                <w:szCs w:val="20"/>
                <w:color w:val="auto"/>
              </w:rPr>
            </w:pPr>
            <w:r>
              <w:rPr>
                <w:rFonts w:ascii="Arial" w:cs="Arial" w:eastAsia="Arial" w:hAnsi="Arial"/>
                <w:sz w:val="11"/>
                <w:szCs w:val="11"/>
                <w:b w:val="1"/>
                <w:bCs w:val="1"/>
                <w:color w:val="auto"/>
                <w:w w:val="91"/>
              </w:rPr>
              <w:t>Noncontrolling</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Stockholders’</w:t>
            </w:r>
          </w:p>
        </w:tc>
      </w:tr>
      <w:tr>
        <w:trPr>
          <w:trHeight w:val="179"/>
        </w:trPr>
        <w:tc>
          <w:tcPr>
            <w:tcW w:w="258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jc w:val="right"/>
              <w:ind w:right="125"/>
              <w:spacing w:after="0"/>
              <w:rPr>
                <w:sz w:val="20"/>
                <w:szCs w:val="20"/>
                <w:color w:val="auto"/>
              </w:rPr>
            </w:pPr>
            <w:r>
              <w:rPr>
                <w:rFonts w:ascii="Arial" w:cs="Arial" w:eastAsia="Arial" w:hAnsi="Arial"/>
                <w:sz w:val="11"/>
                <w:szCs w:val="11"/>
                <w:b w:val="1"/>
                <w:bCs w:val="1"/>
                <w:color w:val="auto"/>
                <w:w w:val="97"/>
              </w:rPr>
              <w:t>Shares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center"/>
              <w:ind w:right="225"/>
              <w:spacing w:after="0"/>
              <w:rPr>
                <w:sz w:val="20"/>
                <w:szCs w:val="20"/>
                <w:color w:val="auto"/>
              </w:rPr>
            </w:pPr>
            <w:r>
              <w:rPr>
                <w:rFonts w:ascii="Arial" w:cs="Arial" w:eastAsia="Arial" w:hAnsi="Arial"/>
                <w:sz w:val="11"/>
                <w:szCs w:val="11"/>
                <w:b w:val="1"/>
                <w:bCs w:val="1"/>
                <w:color w:val="auto"/>
                <w:w w:val="88"/>
              </w:rPr>
              <w:t>Value</w:t>
            </w:r>
          </w:p>
        </w:tc>
        <w:tc>
          <w:tcPr>
            <w:tcW w:w="620" w:type="dxa"/>
            <w:vAlign w:val="bottom"/>
            <w:tcBorders>
              <w:bottom w:val="single" w:sz="8" w:color="auto"/>
              <w:right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125"/>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Deficit</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Stock</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Income/(Loss)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85"/>
              <w:spacing w:after="0"/>
              <w:rPr>
                <w:sz w:val="20"/>
                <w:szCs w:val="20"/>
                <w:color w:val="auto"/>
              </w:rPr>
            </w:pPr>
            <w:r>
              <w:rPr>
                <w:rFonts w:ascii="Arial" w:cs="Arial" w:eastAsia="Arial" w:hAnsi="Arial"/>
                <w:sz w:val="11"/>
                <w:szCs w:val="11"/>
                <w:b w:val="1"/>
                <w:bCs w:val="1"/>
                <w:color w:val="auto"/>
                <w:w w:val="89"/>
              </w:rPr>
              <w:t>Equity</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w w:val="91"/>
              </w:rPr>
              <w:t>Interests</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Equity</w:t>
            </w:r>
          </w:p>
        </w:tc>
      </w:tr>
      <w:tr>
        <w:trPr>
          <w:trHeight w:val="183"/>
        </w:trPr>
        <w:tc>
          <w:tcPr>
            <w:tcW w:w="2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At January 1, 2012</w:t>
            </w:r>
          </w:p>
        </w:tc>
        <w:tc>
          <w:tcPr>
            <w:tcW w:w="560" w:type="dxa"/>
            <w:vAlign w:val="bottom"/>
            <w:tcBorders>
              <w:bottom w:val="single" w:sz="8" w:color="auto"/>
              <w:right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21,311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right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220</w:t>
            </w:r>
          </w:p>
        </w:tc>
        <w:tc>
          <w:tcPr>
            <w:tcW w:w="620" w:type="dxa"/>
            <w:vAlign w:val="bottom"/>
            <w:tcBorders>
              <w:bottom w:val="single" w:sz="8" w:color="auto"/>
              <w:right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1,495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135,171</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(66,079)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(4,512)</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58,937</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123,752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1,235</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124,987</w:t>
            </w:r>
          </w:p>
        </w:tc>
      </w:tr>
      <w:tr>
        <w:trPr>
          <w:trHeight w:val="59"/>
        </w:trPr>
        <w:tc>
          <w:tcPr>
            <w:tcW w:w="258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11"/>
        </w:trPr>
        <w:tc>
          <w:tcPr>
            <w:tcW w:w="2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Net loss</w:t>
            </w:r>
          </w:p>
        </w:tc>
        <w:tc>
          <w:tcPr>
            <w:tcW w:w="56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(1,406)</w:t>
            </w:r>
          </w:p>
        </w:tc>
      </w:tr>
      <w:tr>
        <w:trPr>
          <w:trHeight w:val="211"/>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Other comprehensive income</w:t>
            </w:r>
          </w:p>
        </w:tc>
        <w:tc>
          <w:tcPr>
            <w:tcW w:w="56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2,432</w:t>
            </w:r>
          </w:p>
        </w:tc>
        <w:tc>
          <w:tcPr>
            <w:tcW w:w="180" w:type="dxa"/>
            <w:vAlign w:val="bottom"/>
          </w:tcPr>
          <w:p>
            <w:pPr>
              <w:spacing w:after="0"/>
              <w:rPr>
                <w:sz w:val="18"/>
                <w:szCs w:val="18"/>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2,432</w:t>
            </w:r>
          </w:p>
        </w:tc>
        <w:tc>
          <w:tcPr>
            <w:tcW w:w="14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2,437</w:t>
            </w:r>
          </w:p>
        </w:tc>
      </w:tr>
      <w:tr>
        <w:trPr>
          <w:trHeight w:val="211"/>
        </w:trPr>
        <w:tc>
          <w:tcPr>
            <w:tcW w:w="2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w w:val="92"/>
              </w:rPr>
              <w:t>Stock option and restricted stock compensation expense</w:t>
            </w:r>
          </w:p>
        </w:tc>
        <w:tc>
          <w:tcPr>
            <w:tcW w:w="56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w:t>
            </w:r>
          </w:p>
        </w:tc>
        <w:tc>
          <w:tcPr>
            <w:tcW w:w="6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1,276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1,278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1,278</w:t>
            </w:r>
          </w:p>
        </w:tc>
      </w:tr>
      <w:tr>
        <w:trPr>
          <w:trHeight w:val="258"/>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8"/>
              </w:rPr>
              <w:t>Class A common stock issued for stock bonuses and</w:t>
            </w:r>
          </w:p>
        </w:tc>
        <w:tc>
          <w:tcPr>
            <w:tcW w:w="5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29"/>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options exercised</w:t>
            </w:r>
          </w:p>
        </w:tc>
        <w:tc>
          <w:tcPr>
            <w:tcW w:w="560" w:type="dxa"/>
            <w:vAlign w:val="bottom"/>
            <w:tcBorders>
              <w:right w:val="single" w:sz="8" w:color="auto"/>
            </w:tcBorders>
          </w:tcPr>
          <w:p>
            <w:pPr>
              <w:jc w:val="right"/>
              <w:ind w:right="65"/>
              <w:spacing w:after="0"/>
              <w:rPr>
                <w:sz w:val="20"/>
                <w:szCs w:val="20"/>
                <w:color w:val="auto"/>
              </w:rPr>
            </w:pPr>
            <w:r>
              <w:rPr>
                <w:rFonts w:ascii="Arial" w:cs="Arial" w:eastAsia="Arial" w:hAnsi="Arial"/>
                <w:sz w:val="11"/>
                <w:szCs w:val="11"/>
                <w:color w:val="auto"/>
              </w:rPr>
              <w:t>277</w:t>
            </w:r>
          </w:p>
        </w:tc>
        <w:tc>
          <w:tcPr>
            <w:tcW w:w="160" w:type="dxa"/>
            <w:vAlign w:val="bottom"/>
          </w:tcPr>
          <w:p>
            <w:pPr>
              <w:spacing w:after="0"/>
              <w:rPr>
                <w:sz w:val="11"/>
                <w:szCs w:val="11"/>
                <w:color w:val="auto"/>
              </w:rPr>
            </w:pPr>
          </w:p>
        </w:tc>
        <w:tc>
          <w:tcPr>
            <w:tcW w:w="580" w:type="dxa"/>
            <w:vAlign w:val="bottom"/>
            <w:tcBorders>
              <w:right w:val="single" w:sz="8" w:color="auto"/>
            </w:tcBorders>
          </w:tcPr>
          <w:p>
            <w:pPr>
              <w:jc w:val="right"/>
              <w:ind w:right="65"/>
              <w:spacing w:after="0"/>
              <w:rPr>
                <w:sz w:val="20"/>
                <w:szCs w:val="20"/>
                <w:color w:val="auto"/>
              </w:rPr>
            </w:pPr>
            <w:r>
              <w:rPr>
                <w:rFonts w:ascii="Arial" w:cs="Arial" w:eastAsia="Arial" w:hAnsi="Arial"/>
                <w:sz w:val="11"/>
                <w:szCs w:val="11"/>
                <w:color w:val="auto"/>
              </w:rPr>
              <w:t>1</w:t>
            </w:r>
          </w:p>
        </w:tc>
        <w:tc>
          <w:tcPr>
            <w:tcW w:w="62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307</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308</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308</w:t>
            </w:r>
          </w:p>
        </w:tc>
      </w:tr>
      <w:tr>
        <w:trPr>
          <w:trHeight w:val="211"/>
        </w:trPr>
        <w:tc>
          <w:tcPr>
            <w:tcW w:w="2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Contributions from noncontrolling shareholders</w:t>
            </w:r>
          </w:p>
        </w:tc>
        <w:tc>
          <w:tcPr>
            <w:tcW w:w="560" w:type="dxa"/>
            <w:vAlign w:val="bottom"/>
            <w:tcBorders>
              <w:bottom w:val="single" w:sz="8" w:color="auto"/>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3,350</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3,350</w:t>
            </w:r>
          </w:p>
        </w:tc>
      </w:tr>
      <w:tr>
        <w:trPr>
          <w:trHeight w:val="212"/>
        </w:trPr>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At December 31, 2012</w:t>
            </w:r>
          </w:p>
        </w:tc>
        <w:tc>
          <w:tcPr>
            <w:tcW w:w="560" w:type="dxa"/>
            <w:vAlign w:val="bottom"/>
            <w:tcBorders>
              <w:bottom w:val="single" w:sz="8" w:color="auto"/>
              <w:right w:val="single" w:sz="8" w:color="auto"/>
            </w:tcBorders>
          </w:tcPr>
          <w:p>
            <w:pPr>
              <w:jc w:val="right"/>
              <w:ind w:right="65"/>
              <w:spacing w:after="0"/>
              <w:rPr>
                <w:sz w:val="20"/>
                <w:szCs w:val="20"/>
                <w:color w:val="auto"/>
              </w:rPr>
            </w:pPr>
            <w:r>
              <w:rPr>
                <w:rFonts w:ascii="Arial" w:cs="Arial" w:eastAsia="Arial" w:hAnsi="Arial"/>
                <w:sz w:val="11"/>
                <w:szCs w:val="11"/>
                <w:color w:val="auto"/>
              </w:rPr>
              <w:t>21,588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right w:val="single" w:sz="8" w:color="auto"/>
            </w:tcBorders>
          </w:tcPr>
          <w:p>
            <w:pPr>
              <w:jc w:val="right"/>
              <w:ind w:right="65"/>
              <w:spacing w:after="0"/>
              <w:rPr>
                <w:sz w:val="20"/>
                <w:szCs w:val="20"/>
                <w:color w:val="auto"/>
              </w:rPr>
            </w:pPr>
            <w:r>
              <w:rPr>
                <w:rFonts w:ascii="Arial" w:cs="Arial" w:eastAsia="Arial" w:hAnsi="Arial"/>
                <w:sz w:val="11"/>
                <w:szCs w:val="11"/>
                <w:color w:val="auto"/>
              </w:rPr>
              <w:t>223</w:t>
            </w:r>
          </w:p>
        </w:tc>
        <w:tc>
          <w:tcPr>
            <w:tcW w:w="620" w:type="dxa"/>
            <w:vAlign w:val="bottom"/>
            <w:tcBorders>
              <w:bottom w:val="single" w:sz="8" w:color="auto"/>
              <w:right w:val="single" w:sz="8" w:color="auto"/>
            </w:tcBorders>
          </w:tcPr>
          <w:p>
            <w:pPr>
              <w:jc w:val="right"/>
              <w:ind w:right="65"/>
              <w:spacing w:after="0"/>
              <w:rPr>
                <w:sz w:val="20"/>
                <w:szCs w:val="20"/>
                <w:color w:val="auto"/>
              </w:rPr>
            </w:pPr>
            <w:r>
              <w:rPr>
                <w:rFonts w:ascii="Arial" w:cs="Arial" w:eastAsia="Arial" w:hAnsi="Arial"/>
                <w:sz w:val="11"/>
                <w:szCs w:val="11"/>
                <w:color w:val="auto"/>
              </w:rPr>
              <w:t>1,495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136,754</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(66,993)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(4,512)</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61,369</w:t>
            </w: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126,856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4,098</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130,954</w:t>
            </w:r>
          </w:p>
        </w:tc>
      </w:tr>
      <w:tr>
        <w:trPr>
          <w:trHeight w:val="211"/>
        </w:trPr>
        <w:tc>
          <w:tcPr>
            <w:tcW w:w="2580" w:type="dxa"/>
            <w:vAlign w:val="bottom"/>
            <w:tcBorders>
              <w:top w:val="single" w:sz="8" w:color="CCEEFF"/>
              <w:right w:val="single" w:sz="8" w:color="auto"/>
            </w:tcBorders>
          </w:tcPr>
          <w:p>
            <w:pPr>
              <w:spacing w:after="0"/>
              <w:rPr>
                <w:sz w:val="20"/>
                <w:szCs w:val="20"/>
                <w:color w:val="auto"/>
              </w:rPr>
            </w:pPr>
            <w:r>
              <w:rPr>
                <w:rFonts w:ascii="Arial" w:cs="Arial" w:eastAsia="Arial" w:hAnsi="Arial"/>
                <w:sz w:val="11"/>
                <w:szCs w:val="11"/>
                <w:color w:val="auto"/>
              </w:rPr>
              <w:t>Net income</w:t>
            </w:r>
          </w:p>
        </w:tc>
        <w:tc>
          <w:tcPr>
            <w:tcW w:w="560" w:type="dxa"/>
            <w:vAlign w:val="bottom"/>
            <w:tcBorders>
              <w:top w:val="single" w:sz="8" w:color="CCEEFF"/>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CCEEFF"/>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ind w:right="5"/>
              <w:spacing w:after="0"/>
              <w:rPr>
                <w:sz w:val="20"/>
                <w:szCs w:val="20"/>
                <w:color w:val="auto"/>
              </w:rPr>
            </w:pPr>
            <w:r>
              <w:rPr>
                <w:rFonts w:ascii="Arial" w:cs="Arial" w:eastAsia="Arial" w:hAnsi="Arial"/>
                <w:sz w:val="11"/>
                <w:szCs w:val="11"/>
                <w:color w:val="auto"/>
              </w:rPr>
              <w:t>9,041</w:t>
            </w: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jc w:val="right"/>
              <w:ind w:right="5"/>
              <w:spacing w:after="0"/>
              <w:rPr>
                <w:sz w:val="20"/>
                <w:szCs w:val="20"/>
                <w:color w:val="auto"/>
              </w:rPr>
            </w:pPr>
            <w:r>
              <w:rPr>
                <w:rFonts w:ascii="Arial" w:cs="Arial" w:eastAsia="Arial" w:hAnsi="Arial"/>
                <w:sz w:val="11"/>
                <w:szCs w:val="11"/>
                <w:color w:val="auto"/>
              </w:rPr>
              <w:t>9,041</w:t>
            </w: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ind w:right="25"/>
              <w:spacing w:after="0"/>
              <w:rPr>
                <w:sz w:val="20"/>
                <w:szCs w:val="20"/>
                <w:color w:val="auto"/>
              </w:rPr>
            </w:pPr>
            <w:r>
              <w:rPr>
                <w:rFonts w:ascii="Arial" w:cs="Arial" w:eastAsia="Arial" w:hAnsi="Arial"/>
                <w:sz w:val="11"/>
                <w:szCs w:val="11"/>
                <w:color w:val="auto"/>
              </w:rPr>
              <w:t>104</w:t>
            </w: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9,145</w:t>
            </w:r>
          </w:p>
        </w:tc>
      </w:tr>
      <w:tr>
        <w:trPr>
          <w:trHeight w:val="211"/>
        </w:trPr>
        <w:tc>
          <w:tcPr>
            <w:tcW w:w="2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56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(19,854)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(19,854)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(19,961)</w:t>
            </w:r>
          </w:p>
        </w:tc>
      </w:tr>
      <w:tr>
        <w:trPr>
          <w:trHeight w:val="211"/>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2"/>
              </w:rPr>
              <w:t>Stock option and restricted stock compensation expense</w:t>
            </w:r>
          </w:p>
        </w:tc>
        <w:tc>
          <w:tcPr>
            <w:tcW w:w="56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580" w:type="dxa"/>
            <w:vAlign w:val="bottom"/>
            <w:tcBorders>
              <w:right w:val="single" w:sz="8" w:color="auto"/>
            </w:tcBorders>
          </w:tcPr>
          <w:p>
            <w:pPr>
              <w:jc w:val="right"/>
              <w:ind w:right="65"/>
              <w:spacing w:after="0"/>
              <w:rPr>
                <w:sz w:val="20"/>
                <w:szCs w:val="20"/>
                <w:color w:val="auto"/>
              </w:rPr>
            </w:pPr>
            <w:r>
              <w:rPr>
                <w:rFonts w:ascii="Arial" w:cs="Arial" w:eastAsia="Arial" w:hAnsi="Arial"/>
                <w:sz w:val="11"/>
                <w:szCs w:val="11"/>
                <w:color w:val="auto"/>
              </w:rPr>
              <w:t>2</w:t>
            </w:r>
          </w:p>
        </w:tc>
        <w:tc>
          <w:tcPr>
            <w:tcW w:w="62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948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950</w:t>
            </w:r>
          </w:p>
        </w:tc>
      </w:tr>
      <w:tr>
        <w:trPr>
          <w:trHeight w:val="235"/>
        </w:trPr>
        <w:tc>
          <w:tcPr>
            <w:tcW w:w="2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w w:val="98"/>
              </w:rPr>
              <w:t>Class A common stock issued for stock bonuses and</w:t>
            </w:r>
          </w:p>
        </w:tc>
        <w:tc>
          <w:tcPr>
            <w:tcW w:w="56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tcBorders>
              <w:right w:val="single" w:sz="8" w:color="auto"/>
            </w:tcBorders>
            <w:shd w:val="clear" w:color="auto" w:fill="CCEEFF"/>
          </w:tcPr>
          <w:p>
            <w:pPr>
              <w:spacing w:after="0"/>
              <w:rPr>
                <w:sz w:val="20"/>
                <w:szCs w:val="20"/>
                <w:color w:val="auto"/>
              </w:rPr>
            </w:pPr>
          </w:p>
        </w:tc>
        <w:tc>
          <w:tcPr>
            <w:tcW w:w="62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29"/>
        </w:trPr>
        <w:tc>
          <w:tcPr>
            <w:tcW w:w="2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options exercised</w:t>
            </w:r>
          </w:p>
        </w:tc>
        <w:tc>
          <w:tcPr>
            <w:tcW w:w="56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280</w:t>
            </w:r>
          </w:p>
        </w:tc>
        <w:tc>
          <w:tcPr>
            <w:tcW w:w="1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248</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248</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w:t>
            </w:r>
          </w:p>
        </w:tc>
      </w:tr>
      <w:tr>
        <w:trPr>
          <w:trHeight w:val="211"/>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Conversion of noncontrolling interest to equity</w:t>
            </w:r>
          </w:p>
        </w:tc>
        <w:tc>
          <w:tcPr>
            <w:tcW w:w="56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(101)</w:t>
            </w:r>
          </w:p>
        </w:tc>
        <w:tc>
          <w:tcPr>
            <w:tcW w:w="14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101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11"/>
        </w:trPr>
        <w:tc>
          <w:tcPr>
            <w:tcW w:w="2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Contributions from noncontrolling shareholders</w:t>
            </w:r>
          </w:p>
        </w:tc>
        <w:tc>
          <w:tcPr>
            <w:tcW w:w="56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2,513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2,513</w:t>
            </w:r>
          </w:p>
        </w:tc>
      </w:tr>
      <w:tr>
        <w:trPr>
          <w:trHeight w:val="211"/>
        </w:trPr>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Distributions to noncontrolling shareholders</w:t>
            </w:r>
          </w:p>
        </w:tc>
        <w:tc>
          <w:tcPr>
            <w:tcW w:w="56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(2,102)</w:t>
            </w:r>
          </w:p>
        </w:tc>
      </w:tr>
      <w:tr>
        <w:trPr>
          <w:trHeight w:val="148"/>
        </w:trPr>
        <w:tc>
          <w:tcPr>
            <w:tcW w:w="2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At December 31, 2013</w:t>
            </w:r>
          </w:p>
        </w:tc>
        <w:tc>
          <w:tcPr>
            <w:tcW w:w="560" w:type="dxa"/>
            <w:vAlign w:val="bottom"/>
            <w:tcBorders>
              <w:bottom w:val="single" w:sz="8" w:color="auto"/>
              <w:right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21,890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right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225</w:t>
            </w:r>
          </w:p>
        </w:tc>
        <w:tc>
          <w:tcPr>
            <w:tcW w:w="620" w:type="dxa"/>
            <w:vAlign w:val="bottom"/>
            <w:tcBorders>
              <w:bottom w:val="single" w:sz="8" w:color="auto"/>
              <w:right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1,495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137,849</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(57,952)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(4,512)</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41,515</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117,140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4,607</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121,747</w:t>
            </w:r>
          </w:p>
        </w:tc>
      </w:tr>
      <w:tr>
        <w:trPr>
          <w:trHeight w:val="200"/>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Net income</w:t>
            </w:r>
          </w:p>
        </w:tc>
        <w:tc>
          <w:tcPr>
            <w:tcW w:w="56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25,701</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25,701</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25,644</w:t>
            </w:r>
          </w:p>
        </w:tc>
      </w:tr>
      <w:tr>
        <w:trPr>
          <w:trHeight w:val="211"/>
        </w:trPr>
        <w:tc>
          <w:tcPr>
            <w:tcW w:w="2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56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(13,476)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(13,476)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(13,517)</w:t>
            </w:r>
          </w:p>
        </w:tc>
      </w:tr>
      <w:tr>
        <w:trPr>
          <w:trHeight w:val="211"/>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2"/>
              </w:rPr>
              <w:t>Stock option and restricted stock compensation expense</w:t>
            </w:r>
          </w:p>
        </w:tc>
        <w:tc>
          <w:tcPr>
            <w:tcW w:w="56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580" w:type="dxa"/>
            <w:vAlign w:val="bottom"/>
            <w:tcBorders>
              <w:right w:val="single" w:sz="8" w:color="auto"/>
            </w:tcBorders>
          </w:tcPr>
          <w:p>
            <w:pPr>
              <w:jc w:val="right"/>
              <w:ind w:right="65"/>
              <w:spacing w:after="0"/>
              <w:rPr>
                <w:sz w:val="20"/>
                <w:szCs w:val="20"/>
                <w:color w:val="auto"/>
              </w:rPr>
            </w:pPr>
            <w:r>
              <w:rPr>
                <w:rFonts w:ascii="Arial" w:cs="Arial" w:eastAsia="Arial" w:hAnsi="Arial"/>
                <w:sz w:val="11"/>
                <w:szCs w:val="11"/>
                <w:color w:val="auto"/>
              </w:rPr>
              <w:t>3</w:t>
            </w:r>
          </w:p>
        </w:tc>
        <w:tc>
          <w:tcPr>
            <w:tcW w:w="62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1,410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1,413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1,413</w:t>
            </w:r>
          </w:p>
        </w:tc>
      </w:tr>
      <w:tr>
        <w:trPr>
          <w:trHeight w:val="211"/>
        </w:trPr>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Stock repurchase plan</w:t>
            </w:r>
          </w:p>
        </w:tc>
        <w:tc>
          <w:tcPr>
            <w:tcW w:w="56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(432)</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(4,070)</w:t>
            </w:r>
          </w:p>
        </w:tc>
      </w:tr>
      <w:tr>
        <w:trPr>
          <w:trHeight w:val="270"/>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8"/>
              </w:rPr>
              <w:t>Class A common stock issued for stock bonuses and</w:t>
            </w:r>
          </w:p>
        </w:tc>
        <w:tc>
          <w:tcPr>
            <w:tcW w:w="5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29"/>
        </w:trPr>
        <w:tc>
          <w:tcPr>
            <w:tcW w:w="25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options exercised</w:t>
            </w:r>
          </w:p>
        </w:tc>
        <w:tc>
          <w:tcPr>
            <w:tcW w:w="560" w:type="dxa"/>
            <w:vAlign w:val="bottom"/>
            <w:tcBorders>
              <w:right w:val="single" w:sz="8" w:color="auto"/>
            </w:tcBorders>
          </w:tcPr>
          <w:p>
            <w:pPr>
              <w:jc w:val="right"/>
              <w:ind w:right="65"/>
              <w:spacing w:after="0"/>
              <w:rPr>
                <w:sz w:val="20"/>
                <w:szCs w:val="20"/>
                <w:color w:val="auto"/>
              </w:rPr>
            </w:pPr>
            <w:r>
              <w:rPr>
                <w:rFonts w:ascii="Arial" w:cs="Arial" w:eastAsia="Arial" w:hAnsi="Arial"/>
                <w:sz w:val="11"/>
                <w:szCs w:val="11"/>
                <w:color w:val="auto"/>
              </w:rPr>
              <w:t>283</w:t>
            </w:r>
          </w:p>
        </w:tc>
        <w:tc>
          <w:tcPr>
            <w:tcW w:w="160" w:type="dxa"/>
            <w:vAlign w:val="bottom"/>
          </w:tcPr>
          <w:p>
            <w:pPr>
              <w:spacing w:after="0"/>
              <w:rPr>
                <w:sz w:val="11"/>
                <w:szCs w:val="11"/>
                <w:color w:val="auto"/>
              </w:rPr>
            </w:pP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978</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978</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978</w:t>
            </w:r>
          </w:p>
        </w:tc>
      </w:tr>
      <w:tr>
        <w:trPr>
          <w:trHeight w:val="211"/>
        </w:trPr>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Contributions from noncontrolling shareholders</w:t>
            </w:r>
          </w:p>
        </w:tc>
        <w:tc>
          <w:tcPr>
            <w:tcW w:w="56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327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w:t>
            </w:r>
          </w:p>
        </w:tc>
      </w:tr>
      <w:tr>
        <w:trPr>
          <w:trHeight w:val="211"/>
        </w:trPr>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Distributions to noncontrolling shareholders</w:t>
            </w:r>
          </w:p>
        </w:tc>
        <w:tc>
          <w:tcPr>
            <w:tcW w:w="56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w:t>
            </w:r>
          </w:p>
        </w:tc>
      </w:tr>
      <w:tr>
        <w:trPr>
          <w:trHeight w:val="148"/>
        </w:trPr>
        <w:tc>
          <w:tcPr>
            <w:tcW w:w="25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At December 31, 2014</w:t>
            </w:r>
          </w:p>
        </w:tc>
        <w:tc>
          <w:tcPr>
            <w:tcW w:w="560" w:type="dxa"/>
            <w:vAlign w:val="bottom"/>
            <w:tcBorders>
              <w:bottom w:val="single" w:sz="8" w:color="auto"/>
              <w:right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21,741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right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228</w:t>
            </w:r>
          </w:p>
        </w:tc>
        <w:tc>
          <w:tcPr>
            <w:tcW w:w="620" w:type="dxa"/>
            <w:vAlign w:val="bottom"/>
            <w:tcBorders>
              <w:bottom w:val="single" w:sz="8" w:color="auto"/>
              <w:right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1,495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140,237</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(32,251)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(8,582)</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28,039</w:t>
            </w: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127,686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4,612</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132,298</w:t>
            </w: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80010</wp:posOffset>
            </wp:positionV>
            <wp:extent cx="6887210" cy="47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87210" cy="47625"/>
                    </a:xfrm>
                    <a:prstGeom prst="rect">
                      <a:avLst/>
                    </a:prstGeom>
                    <a:noFill/>
                  </pic:spPr>
                </pic:pic>
              </a:graphicData>
            </a:graphic>
          </wp:anchor>
        </w:drawing>
      </w:r>
    </w:p>
    <w:p>
      <w:pPr>
        <w:sectPr>
          <w:pgSz w:w="11900" w:h="16838" w:orient="portrait"/>
          <w:cols w:equalWidth="0" w:num="1">
            <w:col w:w="10780"/>
          </w:cols>
          <w:pgMar w:left="560" w:top="290" w:right="55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Reading International, Inc. and Subsidiaries</w:t>
      </w:r>
    </w:p>
    <w:p>
      <w:pPr>
        <w:spacing w:after="0" w:line="23" w:lineRule="exact"/>
        <w:rPr>
          <w:sz w:val="20"/>
          <w:szCs w:val="20"/>
          <w:color w:val="auto"/>
        </w:rPr>
      </w:pPr>
    </w:p>
    <w:p>
      <w:pPr>
        <w:ind w:right="4000"/>
        <w:spacing w:after="0" w:line="285" w:lineRule="auto"/>
        <w:rPr>
          <w:sz w:val="20"/>
          <w:szCs w:val="20"/>
          <w:color w:val="auto"/>
        </w:rPr>
      </w:pPr>
      <w:r>
        <w:rPr>
          <w:rFonts w:ascii="Arial" w:cs="Arial" w:eastAsia="Arial" w:hAnsi="Arial"/>
          <w:sz w:val="14"/>
          <w:szCs w:val="14"/>
          <w:b w:val="1"/>
          <w:bCs w:val="1"/>
          <w:color w:val="auto"/>
        </w:rPr>
        <w:t>Consolidated Statements of Cash Flows for the Three Years Ended December 31, 2014 (U.S.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82"/>
        </w:trPr>
        <w:tc>
          <w:tcPr>
            <w:tcW w:w="5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20" w:type="dxa"/>
            <w:vAlign w:val="bottom"/>
          </w:tcPr>
          <w:p>
            <w:pPr>
              <w:spacing w:after="0"/>
              <w:rPr>
                <w:sz w:val="20"/>
                <w:szCs w:val="20"/>
                <w:color w:val="auto"/>
              </w:rPr>
            </w:pPr>
            <w:r>
              <w:rPr>
                <w:rFonts w:ascii="Arial" w:cs="Arial" w:eastAsia="Arial" w:hAnsi="Arial"/>
                <w:sz w:val="14"/>
                <w:szCs w:val="14"/>
                <w:color w:val="auto"/>
              </w:rPr>
              <w:t>Net 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25,644</w:t>
            </w:r>
          </w:p>
        </w:tc>
        <w:tc>
          <w:tcPr>
            <w:tcW w:w="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9,145</w:t>
            </w:r>
          </w:p>
        </w:tc>
        <w:tc>
          <w:tcPr>
            <w:tcW w:w="3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496"/>
        </w:trPr>
        <w:tc>
          <w:tcPr>
            <w:tcW w:w="5520" w:type="dxa"/>
            <w:vAlign w:val="bottom"/>
            <w:shd w:val="clear" w:color="auto" w:fill="CCEEFF"/>
          </w:tcPr>
          <w:p>
            <w:pPr>
              <w:ind w:left="100"/>
              <w:spacing w:after="0"/>
              <w:rPr>
                <w:sz w:val="20"/>
                <w:szCs w:val="20"/>
                <w:color w:val="auto"/>
              </w:rPr>
            </w:pPr>
            <w:r>
              <w:rPr>
                <w:rFonts w:ascii="Arial" w:cs="Arial" w:eastAsia="Arial" w:hAnsi="Arial"/>
                <w:sz w:val="14"/>
                <w:szCs w:val="14"/>
                <w:i w:val="1"/>
                <w:iCs w:val="1"/>
                <w:color w:val="auto"/>
              </w:rPr>
              <w:t>Adjustments to reconcile net income (loss) to net cash provided by operating activities:</w:t>
            </w: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(Income) loss recognized on foreign currency transactions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(415)</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(earnings) loss of unconsolidated joint ventures and entities</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(1,015)</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Distributions of earnings from unconsolidated joint ventures and entities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857</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1,095</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provision on impairment of asset</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(Gain) loss on sale of assets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56</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valuation allowance for net deferred tax assets</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(14,029)</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2,198</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Gain on sale of marketable securities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cinema acquisition and settlement</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15,468</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15,197</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16,384</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prior service costs</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738</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660</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Amortization of above and below market leases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292</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413</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deferred financing costs</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737</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954</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Amortization of straight-line rent</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310</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574</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based compensation expense</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1,413</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950</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520" w:type="dxa"/>
            <w:vAlign w:val="bottom"/>
          </w:tcPr>
          <w:p>
            <w:pPr>
              <w:ind w:left="180"/>
              <w:spacing w:after="0"/>
              <w:rPr>
                <w:sz w:val="20"/>
                <w:szCs w:val="20"/>
                <w:color w:val="auto"/>
              </w:rPr>
            </w:pPr>
            <w:r>
              <w:rPr>
                <w:rFonts w:ascii="Arial" w:cs="Arial" w:eastAsia="Arial" w:hAnsi="Arial"/>
                <w:sz w:val="14"/>
                <w:szCs w:val="14"/>
                <w:i w:val="1"/>
                <w:iCs w:val="1"/>
                <w:color w:val="auto"/>
              </w:rPr>
              <w:t>Changes in assets and liabilities:</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decrease in receivables</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(2,753)</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281</w:t>
            </w: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244"/>
        </w:trPr>
        <w:tc>
          <w:tcPr>
            <w:tcW w:w="5520" w:type="dxa"/>
            <w:vAlign w:val="bottom"/>
          </w:tcPr>
          <w:p>
            <w:pPr>
              <w:ind w:left="280"/>
              <w:spacing w:after="0"/>
              <w:rPr>
                <w:sz w:val="20"/>
                <w:szCs w:val="20"/>
                <w:color w:val="auto"/>
              </w:rPr>
            </w:pPr>
            <w:r>
              <w:rPr>
                <w:rFonts w:ascii="Arial" w:cs="Arial" w:eastAsia="Arial" w:hAnsi="Arial"/>
                <w:sz w:val="14"/>
                <w:szCs w:val="14"/>
                <w:color w:val="auto"/>
              </w:rPr>
              <w:t>(Increase) decrease in prepaid and other assets</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(493)</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249"/>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(decrease) in accounts payable and accrued expenses</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148</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556</w:t>
            </w: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244"/>
        </w:trPr>
        <w:tc>
          <w:tcPr>
            <w:tcW w:w="5520" w:type="dxa"/>
            <w:vAlign w:val="bottom"/>
          </w:tcPr>
          <w:p>
            <w:pPr>
              <w:ind w:left="280"/>
              <w:spacing w:after="0"/>
              <w:rPr>
                <w:sz w:val="20"/>
                <w:szCs w:val="20"/>
                <w:color w:val="auto"/>
              </w:rPr>
            </w:pPr>
            <w:r>
              <w:rPr>
                <w:rFonts w:ascii="Arial" w:cs="Arial" w:eastAsia="Arial" w:hAnsi="Arial"/>
                <w:sz w:val="14"/>
                <w:szCs w:val="14"/>
                <w:color w:val="auto"/>
              </w:rPr>
              <w:t>Increase in film rent payable</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3,117</w:t>
            </w: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133</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(decrease) in taxes payable</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(4,743)</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(3,294)</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Increase (decrease) in deferred revenue and other liabilities</w:t>
            </w: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2,677</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227"/>
        </w:trPr>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5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28,343</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25,183</w:t>
            </w: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25,496</w:t>
            </w:r>
          </w:p>
        </w:tc>
        <w:tc>
          <w:tcPr>
            <w:tcW w:w="0" w:type="dxa"/>
            <w:vAlign w:val="bottom"/>
          </w:tcPr>
          <w:p>
            <w:pPr>
              <w:spacing w:after="0"/>
              <w:rPr>
                <w:sz w:val="1"/>
                <w:szCs w:val="1"/>
                <w:color w:val="auto"/>
              </w:rPr>
            </w:pPr>
          </w:p>
        </w:tc>
      </w:tr>
      <w:tr>
        <w:trPr>
          <w:trHeight w:val="227"/>
        </w:trPr>
        <w:tc>
          <w:tcPr>
            <w:tcW w:w="55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acquisitions</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(5,510)</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Cash received from cinema acquisition</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1,936</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and additions to operating property</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(14,914)</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(20,082)</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(8,213)</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Change in restricted cash</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(614)</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1,609</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notes receivable</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Proceeds from notes receivable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2,000</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 of marketable securities</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Distributions of investment in unconsolidated joint ventures and entities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208</w:t>
            </w:r>
          </w:p>
        </w:tc>
        <w:tc>
          <w:tcPr>
            <w:tcW w:w="28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395</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property</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5,422</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14,078</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Arial" w:cs="Arial" w:eastAsia="Arial" w:hAnsi="Arial"/>
                <w:sz w:val="14"/>
                <w:szCs w:val="14"/>
                <w:color w:val="auto"/>
              </w:rPr>
              <w:t>Purchase of time deposits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62"/>
        </w:trPr>
        <w:tc>
          <w:tcPr>
            <w:tcW w:w="5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327" w:right="1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49"/>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time deposits</w:t>
            </w: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8,000</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(9,898)</w:t>
            </w: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(6,142)</w:t>
            </w: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(6,095)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80"/>
              <w:spacing w:after="0"/>
              <w:rPr>
                <w:sz w:val="20"/>
                <w:szCs w:val="20"/>
                <w:color w:val="auto"/>
              </w:rPr>
            </w:pPr>
            <w:r>
              <w:rPr>
                <w:rFonts w:ascii="Arial" w:cs="Arial" w:eastAsia="Arial" w:hAnsi="Arial"/>
                <w:sz w:val="14"/>
                <w:szCs w:val="14"/>
                <w:color w:val="auto"/>
              </w:rPr>
              <w:t>Repayment of long-term borrowings</w:t>
            </w: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(7,140)</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(28,121)</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(62,602)</w:t>
            </w:r>
          </w:p>
        </w:tc>
        <w:tc>
          <w:tcPr>
            <w:tcW w:w="0" w:type="dxa"/>
            <w:vAlign w:val="bottom"/>
          </w:tcPr>
          <w:p>
            <w:pPr>
              <w:spacing w:after="0"/>
              <w:rPr>
                <w:sz w:val="1"/>
                <w:szCs w:val="1"/>
                <w:color w:val="auto"/>
              </w:rPr>
            </w:pPr>
          </w:p>
        </w:tc>
      </w:tr>
      <w:tr>
        <w:trPr>
          <w:trHeight w:val="249"/>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borrowings</w:t>
            </w: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8,173</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12,500</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47,007</w:t>
            </w:r>
          </w:p>
        </w:tc>
        <w:tc>
          <w:tcPr>
            <w:tcW w:w="0" w:type="dxa"/>
            <w:vAlign w:val="bottom"/>
          </w:tcPr>
          <w:p>
            <w:pPr>
              <w:spacing w:after="0"/>
              <w:rPr>
                <w:sz w:val="1"/>
                <w:szCs w:val="1"/>
                <w:color w:val="auto"/>
              </w:rPr>
            </w:pPr>
          </w:p>
        </w:tc>
      </w:tr>
      <w:tr>
        <w:trPr>
          <w:trHeight w:val="244"/>
        </w:trPr>
        <w:tc>
          <w:tcPr>
            <w:tcW w:w="5700" w:type="dxa"/>
            <w:vAlign w:val="bottom"/>
          </w:tcPr>
          <w:p>
            <w:pPr>
              <w:ind w:left="180"/>
              <w:spacing w:after="0"/>
              <w:rPr>
                <w:sz w:val="20"/>
                <w:szCs w:val="20"/>
                <w:color w:val="auto"/>
              </w:rPr>
            </w:pPr>
            <w:r>
              <w:rPr>
                <w:rFonts w:ascii="Arial" w:cs="Arial" w:eastAsia="Arial" w:hAnsi="Arial"/>
                <w:sz w:val="14"/>
                <w:szCs w:val="14"/>
                <w:color w:val="auto"/>
              </w:rPr>
              <w:t>Capitalized borrowing costs</w:t>
            </w: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(1,320)</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(563)</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249"/>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Class A Nonvoting Common Stock</w:t>
            </w: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(4,070)</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5700" w:type="dxa"/>
            <w:vAlign w:val="bottom"/>
          </w:tcPr>
          <w:p>
            <w:pPr>
              <w:ind w:left="180"/>
              <w:spacing w:after="0"/>
              <w:rPr>
                <w:sz w:val="20"/>
                <w:szCs w:val="20"/>
                <w:color w:val="auto"/>
              </w:rPr>
            </w:pPr>
            <w:r>
              <w:rPr>
                <w:rFonts w:ascii="Arial" w:cs="Arial" w:eastAsia="Arial" w:hAnsi="Arial"/>
                <w:sz w:val="14"/>
                <w:szCs w:val="14"/>
                <w:color w:val="auto"/>
              </w:rPr>
              <w:t>Proceeds from the exercise of stock options</w:t>
            </w:r>
          </w:p>
        </w:tc>
        <w:tc>
          <w:tcPr>
            <w:tcW w:w="6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978</w:t>
            </w:r>
          </w:p>
        </w:tc>
        <w:tc>
          <w:tcPr>
            <w:tcW w:w="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248</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2"/>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 contributions</w:t>
            </w:r>
          </w:p>
        </w:tc>
        <w:tc>
          <w:tcPr>
            <w:tcW w:w="6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327</w:t>
            </w:r>
          </w:p>
        </w:tc>
        <w:tc>
          <w:tcPr>
            <w:tcW w:w="3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263</w:t>
            </w:r>
          </w:p>
        </w:tc>
        <w:tc>
          <w:tcPr>
            <w:tcW w:w="3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3,350</w:t>
            </w:r>
          </w:p>
        </w:tc>
        <w:tc>
          <w:tcPr>
            <w:tcW w:w="0" w:type="dxa"/>
            <w:vAlign w:val="bottom"/>
          </w:tcPr>
          <w:p>
            <w:pPr>
              <w:spacing w:after="0"/>
              <w:rPr>
                <w:sz w:val="1"/>
                <w:szCs w:val="1"/>
                <w:color w:val="auto"/>
              </w:rPr>
            </w:pPr>
          </w:p>
        </w:tc>
      </w:tr>
      <w:tr>
        <w:trPr>
          <w:trHeight w:val="67"/>
        </w:trPr>
        <w:tc>
          <w:tcPr>
            <w:tcW w:w="57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180"/>
              <w:spacing w:after="0"/>
              <w:rPr>
                <w:sz w:val="20"/>
                <w:szCs w:val="20"/>
                <w:color w:val="auto"/>
              </w:rPr>
            </w:pPr>
            <w:r>
              <w:rPr>
                <w:rFonts w:ascii="Arial" w:cs="Arial" w:eastAsia="Arial" w:hAnsi="Arial"/>
                <w:sz w:val="14"/>
                <w:szCs w:val="14"/>
                <w:color w:val="auto"/>
              </w:rPr>
              <w:t>Noncontrolling interest distributions</w:t>
            </w:r>
          </w:p>
        </w:tc>
        <w:tc>
          <w:tcPr>
            <w:tcW w:w="64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(223)</w:t>
            </w:r>
          </w:p>
        </w:tc>
        <w:tc>
          <w:tcPr>
            <w:tcW w:w="3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(2,102)</w:t>
            </w:r>
          </w:p>
        </w:tc>
        <w:tc>
          <w:tcPr>
            <w:tcW w:w="3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57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cash used in financing activities</w:t>
            </w:r>
          </w:p>
        </w:tc>
        <w:tc>
          <w:tcPr>
            <w:tcW w:w="6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(3,275)</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(17,775)</w:t>
            </w: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(12,719)</w:t>
            </w:r>
          </w:p>
        </w:tc>
        <w:tc>
          <w:tcPr>
            <w:tcW w:w="0" w:type="dxa"/>
            <w:vAlign w:val="bottom"/>
          </w:tcPr>
          <w:p>
            <w:pPr>
              <w:spacing w:after="0"/>
              <w:rPr>
                <w:sz w:val="1"/>
                <w:szCs w:val="1"/>
                <w:color w:val="auto"/>
              </w:rPr>
            </w:pPr>
          </w:p>
        </w:tc>
      </w:tr>
      <w:tr>
        <w:trPr>
          <w:trHeight w:val="227"/>
        </w:trPr>
        <w:tc>
          <w:tcPr>
            <w:tcW w:w="5700" w:type="dxa"/>
            <w:vAlign w:val="bottom"/>
          </w:tcPr>
          <w:p>
            <w:pPr>
              <w:spacing w:after="0"/>
              <w:rPr>
                <w:sz w:val="20"/>
                <w:szCs w:val="20"/>
                <w:color w:val="auto"/>
              </w:rPr>
            </w:pPr>
            <w:r>
              <w:rPr>
                <w:rFonts w:ascii="Arial" w:cs="Arial" w:eastAsia="Arial" w:hAnsi="Arial"/>
                <w:sz w:val="14"/>
                <w:szCs w:val="14"/>
                <w:b w:val="1"/>
                <w:bCs w:val="1"/>
                <w:color w:val="auto"/>
              </w:rPr>
              <w:t>Effect of exchange rate on cash</w:t>
            </w:r>
          </w:p>
        </w:tc>
        <w:tc>
          <w:tcPr>
            <w:tcW w:w="6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(2,618)</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(2,101)</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5700" w:type="dxa"/>
            <w:vAlign w:val="bottom"/>
          </w:tcPr>
          <w:p>
            <w:pPr>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6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12,552</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(835)</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6,934</w:t>
            </w:r>
          </w:p>
        </w:tc>
        <w:tc>
          <w:tcPr>
            <w:tcW w:w="0" w:type="dxa"/>
            <w:vAlign w:val="bottom"/>
          </w:tcPr>
          <w:p>
            <w:pPr>
              <w:spacing w:after="0"/>
              <w:rPr>
                <w:sz w:val="1"/>
                <w:szCs w:val="1"/>
                <w:color w:val="auto"/>
              </w:rPr>
            </w:pPr>
          </w:p>
        </w:tc>
      </w:tr>
      <w:tr>
        <w:trPr>
          <w:trHeight w:val="247"/>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the beginning of the period</w:t>
            </w:r>
          </w:p>
        </w:tc>
        <w:tc>
          <w:tcPr>
            <w:tcW w:w="6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37,696</w:t>
            </w: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38,531</w:t>
            </w:r>
          </w:p>
        </w:tc>
        <w:tc>
          <w:tcPr>
            <w:tcW w:w="3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31,597</w:t>
            </w:r>
          </w:p>
        </w:tc>
        <w:tc>
          <w:tcPr>
            <w:tcW w:w="0" w:type="dxa"/>
            <w:vAlign w:val="bottom"/>
          </w:tcPr>
          <w:p>
            <w:pPr>
              <w:spacing w:after="0"/>
              <w:rPr>
                <w:sz w:val="1"/>
                <w:szCs w:val="1"/>
                <w:color w:val="auto"/>
              </w:rPr>
            </w:pPr>
          </w:p>
        </w:tc>
      </w:tr>
      <w:tr>
        <w:trPr>
          <w:trHeight w:val="221"/>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50,248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37,696</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38,531</w:t>
            </w:r>
          </w:p>
        </w:tc>
        <w:tc>
          <w:tcPr>
            <w:tcW w:w="0" w:type="dxa"/>
            <w:vAlign w:val="bottom"/>
          </w:tcPr>
          <w:p>
            <w:pPr>
              <w:spacing w:after="0"/>
              <w:rPr>
                <w:sz w:val="1"/>
                <w:szCs w:val="1"/>
                <w:color w:val="auto"/>
              </w:rPr>
            </w:pPr>
          </w:p>
        </w:tc>
      </w:tr>
      <w:tr>
        <w:trPr>
          <w:trHeight w:val="282"/>
        </w:trPr>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w:t>
            </w: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80"/>
              <w:spacing w:after="0"/>
              <w:rPr>
                <w:sz w:val="20"/>
                <w:szCs w:val="20"/>
                <w:color w:val="auto"/>
              </w:rPr>
            </w:pPr>
            <w:r>
              <w:rPr>
                <w:rFonts w:ascii="Arial" w:cs="Arial" w:eastAsia="Arial" w:hAnsi="Arial"/>
                <w:sz w:val="14"/>
                <w:szCs w:val="14"/>
                <w:color w:val="auto"/>
              </w:rPr>
              <w:t>Cash paid during the period for:</w:t>
            </w: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on borrowings</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6,953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14,526</w:t>
            </w:r>
          </w:p>
        </w:tc>
        <w:tc>
          <w:tcPr>
            <w:tcW w:w="0" w:type="dxa"/>
            <w:vAlign w:val="bottom"/>
          </w:tcPr>
          <w:p>
            <w:pPr>
              <w:spacing w:after="0"/>
              <w:rPr>
                <w:sz w:val="1"/>
                <w:szCs w:val="1"/>
                <w:color w:val="auto"/>
              </w:rPr>
            </w:pPr>
          </w:p>
        </w:tc>
      </w:tr>
      <w:tr>
        <w:trPr>
          <w:trHeight w:val="244"/>
        </w:trPr>
        <w:tc>
          <w:tcPr>
            <w:tcW w:w="570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6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6,407</w:t>
            </w:r>
          </w:p>
        </w:tc>
        <w:tc>
          <w:tcPr>
            <w:tcW w:w="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5,903</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5,666</w:t>
            </w:r>
          </w:p>
        </w:tc>
        <w:tc>
          <w:tcPr>
            <w:tcW w:w="0" w:type="dxa"/>
            <w:vAlign w:val="bottom"/>
          </w:tcPr>
          <w:p>
            <w:pPr>
              <w:spacing w:after="0"/>
              <w:rPr>
                <w:sz w:val="1"/>
                <w:szCs w:val="1"/>
                <w:color w:val="auto"/>
              </w:rPr>
            </w:pPr>
          </w:p>
        </w:tc>
      </w:tr>
      <w:tr>
        <w:trPr>
          <w:trHeight w:val="296"/>
        </w:trPr>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Transactions</w:t>
            </w: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180"/>
              <w:spacing w:after="0"/>
              <w:rPr>
                <w:sz w:val="20"/>
                <w:szCs w:val="20"/>
                <w:color w:val="auto"/>
              </w:rPr>
            </w:pPr>
            <w:r>
              <w:rPr>
                <w:rFonts w:ascii="Arial" w:cs="Arial" w:eastAsia="Arial" w:hAnsi="Arial"/>
                <w:sz w:val="14"/>
                <w:szCs w:val="14"/>
                <w:color w:val="auto"/>
              </w:rPr>
              <w:t>Lease make-good accrual</w:t>
            </w:r>
          </w:p>
        </w:tc>
        <w:tc>
          <w:tcPr>
            <w:tcW w:w="640" w:type="dxa"/>
            <w:vAlign w:val="bottom"/>
            <w:vMerge w:val="restart"/>
          </w:tcPr>
          <w:p>
            <w:pPr>
              <w:jc w:val="right"/>
              <w:ind w:right="17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4,637</w:t>
            </w:r>
          </w:p>
        </w:tc>
        <w:tc>
          <w:tcPr>
            <w:tcW w:w="34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2"/>
        </w:trPr>
        <w:tc>
          <w:tcPr>
            <w:tcW w:w="57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Contribution from noncontrolling shareholder in exchange for debt reduction - related party</w:t>
            </w:r>
          </w:p>
        </w:tc>
        <w:tc>
          <w:tcPr>
            <w:tcW w:w="6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57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2,250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700" w:type="dxa"/>
            <w:vAlign w:val="bottom"/>
          </w:tcPr>
          <w:p>
            <w:pPr>
              <w:ind w:left="180"/>
              <w:spacing w:after="0"/>
              <w:rPr>
                <w:sz w:val="20"/>
                <w:szCs w:val="20"/>
                <w:color w:val="auto"/>
              </w:rPr>
            </w:pPr>
            <w:r>
              <w:rPr>
                <w:rFonts w:ascii="Arial" w:cs="Arial" w:eastAsia="Arial" w:hAnsi="Arial"/>
                <w:sz w:val="14"/>
                <w:szCs w:val="14"/>
                <w:color w:val="auto"/>
              </w:rPr>
              <w:t>Conversion of noncontrolling interest to equity</w:t>
            </w:r>
          </w:p>
        </w:tc>
        <w:tc>
          <w:tcPr>
            <w:tcW w:w="64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101</w:t>
            </w:r>
          </w:p>
        </w:tc>
        <w:tc>
          <w:tcPr>
            <w:tcW w:w="3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5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In-kind exchange of stock for the exercise of options, net</w:t>
            </w:r>
          </w:p>
        </w:tc>
        <w:tc>
          <w:tcPr>
            <w:tcW w:w="6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301</w:t>
            </w:r>
          </w:p>
        </w:tc>
        <w:tc>
          <w:tcPr>
            <w:tcW w:w="3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7"/>
        </w:trPr>
        <w:tc>
          <w:tcPr>
            <w:tcW w:w="57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180"/>
              <w:spacing w:after="0"/>
              <w:rPr>
                <w:sz w:val="20"/>
                <w:szCs w:val="20"/>
                <w:color w:val="auto"/>
              </w:rPr>
            </w:pPr>
            <w:r>
              <w:rPr>
                <w:rFonts w:ascii="Arial" w:cs="Arial" w:eastAsia="Arial" w:hAnsi="Arial"/>
                <w:sz w:val="14"/>
                <w:szCs w:val="14"/>
                <w:color w:val="auto"/>
              </w:rPr>
              <w:t>Contribution from noncontrolling shareholder from bonus accrual</w:t>
            </w:r>
          </w:p>
        </w:tc>
        <w:tc>
          <w:tcPr>
            <w:tcW w:w="64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62"/>
        </w:trPr>
        <w:tc>
          <w:tcPr>
            <w:tcW w:w="5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80" w:right="1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2014</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 – Nature of Business</w:t>
      </w:r>
    </w:p>
    <w:p>
      <w:pPr>
        <w:spacing w:after="0" w:line="172" w:lineRule="exact"/>
        <w:rPr>
          <w:sz w:val="20"/>
          <w:szCs w:val="20"/>
          <w:color w:val="auto"/>
        </w:rPr>
      </w:pPr>
    </w:p>
    <w:p>
      <w:pPr>
        <w:jc w:val="both"/>
        <w:ind w:right="1220" w:firstLine="564"/>
        <w:spacing w:after="0" w:line="328" w:lineRule="auto"/>
        <w:rPr>
          <w:sz w:val="20"/>
          <w:szCs w:val="20"/>
          <w:color w:val="auto"/>
        </w:rPr>
      </w:pPr>
      <w:r>
        <w:rPr>
          <w:rFonts w:ascii="Arial" w:cs="Arial" w:eastAsia="Arial" w:hAnsi="Arial"/>
          <w:sz w:val="13"/>
          <w:szCs w:val="13"/>
          <w:color w:val="auto"/>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development, ownership and operation of multiplex cinemas in the United States, Australia, and New Zealand; and</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development, ownership, and operation of retail and commercial real estate in Australia, New Zealand, and the United States.</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 –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Basis of Consolidation</w:t>
      </w:r>
    </w:p>
    <w:p>
      <w:pPr>
        <w:spacing w:after="0" w:line="157" w:lineRule="exact"/>
        <w:rPr>
          <w:sz w:val="20"/>
          <w:szCs w:val="20"/>
          <w:color w:val="auto"/>
        </w:rPr>
      </w:pPr>
    </w:p>
    <w:p>
      <w:pPr>
        <w:jc w:val="both"/>
        <w:ind w:right="1220" w:firstLine="564"/>
        <w:spacing w:after="0" w:line="250" w:lineRule="auto"/>
        <w:rPr>
          <w:sz w:val="20"/>
          <w:szCs w:val="20"/>
          <w:color w:val="auto"/>
        </w:rPr>
      </w:pPr>
      <w:r>
        <w:rPr>
          <w:rFonts w:ascii="Arial" w:cs="Arial" w:eastAsia="Arial" w:hAnsi="Arial"/>
          <w:sz w:val="16"/>
          <w:szCs w:val="16"/>
          <w:color w:val="auto"/>
        </w:rPr>
        <w:t>The consolidated financial statements of RDI and its subsidiaries include the accounts of RDGE, CRG, and CDL. Also consolidated are Australia Country Cinemas Pty, Limited (“ACC”), a company in which we own a 75% interest and whose only assets are our leasehold cinemas in Townsville and Dubbo, Australia, Sutton Hill Properties, LLC, a company in which we own a 75% interest and whose only asset is the fee interest in the Cinemas 1, 2, 3, and Shadow View Land and Farming, LLC in which we own a 50% controlling membership interest and whose only asset is a 202-acre land parcel in Coachella, California.</w:t>
      </w:r>
    </w:p>
    <w:p>
      <w:pPr>
        <w:spacing w:after="0" w:line="134" w:lineRule="exact"/>
        <w:rPr>
          <w:sz w:val="20"/>
          <w:szCs w:val="20"/>
          <w:color w:val="auto"/>
        </w:rPr>
      </w:pPr>
    </w:p>
    <w:p>
      <w:pPr>
        <w:jc w:val="both"/>
        <w:ind w:right="1220" w:firstLine="564"/>
        <w:spacing w:after="0" w:line="381" w:lineRule="auto"/>
        <w:rPr>
          <w:sz w:val="20"/>
          <w:szCs w:val="20"/>
          <w:color w:val="auto"/>
        </w:rPr>
      </w:pPr>
      <w:r>
        <w:rPr>
          <w:rFonts w:ascii="Arial" w:cs="Arial" w:eastAsia="Arial" w:hAnsi="Arial"/>
          <w:sz w:val="13"/>
          <w:szCs w:val="13"/>
          <w:color w:val="auto"/>
        </w:rPr>
        <w:t>Our investment interests are accounted for as unconsolidated joint ventures and entities, and accordingly, our unconsolidated joint ventures and entities in 20% to 50% owned companies are accounted for on the equity method. These investment interests include our</w:t>
      </w:r>
    </w:p>
    <w:p>
      <w:pPr>
        <w:spacing w:after="0" w:line="66" w:lineRule="exact"/>
        <w:rPr>
          <w:sz w:val="20"/>
          <w:szCs w:val="20"/>
          <w:color w:val="auto"/>
        </w:rPr>
      </w:pPr>
    </w:p>
    <w:p>
      <w:pPr>
        <w:ind w:left="340" w:right="1220" w:hanging="46"/>
        <w:spacing w:after="0" w:line="252" w:lineRule="auto"/>
        <w:rPr>
          <w:sz w:val="20"/>
          <w:szCs w:val="20"/>
          <w:color w:val="auto"/>
        </w:rPr>
      </w:pPr>
      <w:r>
        <w:rPr>
          <w:rFonts w:ascii="Arial" w:cs="Arial" w:eastAsia="Arial" w:hAnsi="Arial"/>
          <w:sz w:val="16"/>
          <w:szCs w:val="16"/>
          <w:color w:val="auto"/>
        </w:rPr>
        <w:t>·25% undivided interest in the unincorporated joint venture that owns 205-209 East 57th Street Associates, LLC (Place 57) a limited liability company formed to redevelop our former cinema site at 205 East 57th Street in Manhattan;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·33.3% undivided interest in the unincorporated joint venture that owns the Mt. Gravatt cinema in a suburb of Brisbane, Australia;</w:t>
      </w:r>
    </w:p>
    <w:p>
      <w:pPr>
        <w:spacing w:after="0" w:line="4" w:lineRule="exact"/>
        <w:rPr>
          <w:sz w:val="20"/>
          <w:szCs w:val="20"/>
          <w:color w:val="auto"/>
        </w:rPr>
      </w:pPr>
    </w:p>
    <w:p>
      <w:pPr>
        <w:ind w:left="340" w:right="1220" w:hanging="46"/>
        <w:spacing w:after="0" w:line="245" w:lineRule="auto"/>
        <w:rPr>
          <w:sz w:val="20"/>
          <w:szCs w:val="20"/>
          <w:color w:val="auto"/>
        </w:rPr>
      </w:pPr>
      <w:r>
        <w:rPr>
          <w:rFonts w:ascii="Arial" w:cs="Arial" w:eastAsia="Arial" w:hAnsi="Arial"/>
          <w:sz w:val="16"/>
          <w:szCs w:val="16"/>
          <w:color w:val="auto"/>
        </w:rPr>
        <w:t>·33.3% undivided interest in Rialto Distribution, an unincorporated joint venture engaged in the business of distributing art film in New Zealand and Australia; and</w:t>
      </w:r>
    </w:p>
    <w:p>
      <w:pPr>
        <w:ind w:right="4680" w:firstLine="283"/>
        <w:spacing w:after="0" w:line="436" w:lineRule="auto"/>
        <w:tabs>
          <w:tab w:leader="none" w:pos="3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50% undivided interest in the unincorporated joint venture that owns Rialto Cinemas. </w:t>
      </w:r>
      <w:r>
        <w:rPr>
          <w:rFonts w:ascii="Arial" w:cs="Arial" w:eastAsia="Arial" w:hAnsi="Arial"/>
          <w:sz w:val="16"/>
          <w:szCs w:val="16"/>
          <w:u w:val="single" w:color="auto"/>
          <w:color w:val="auto"/>
        </w:rPr>
        <w:t>Notes Payable Refinancing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Australian NAB Corporate Term Loan and Revolver</w:t>
      </w:r>
    </w:p>
    <w:p>
      <w:pPr>
        <w:spacing w:after="0" w:line="168" w:lineRule="exact"/>
        <w:rPr>
          <w:sz w:val="20"/>
          <w:szCs w:val="20"/>
          <w:color w:val="auto"/>
        </w:rPr>
      </w:pPr>
    </w:p>
    <w:p>
      <w:pPr>
        <w:jc w:val="both"/>
        <w:ind w:right="1220"/>
        <w:spacing w:after="0" w:line="250" w:lineRule="auto"/>
        <w:rPr>
          <w:sz w:val="20"/>
          <w:szCs w:val="20"/>
          <w:color w:val="auto"/>
        </w:rPr>
      </w:pPr>
      <w:r>
        <w:rPr>
          <w:rFonts w:ascii="Arial" w:cs="Arial" w:eastAsia="Arial" w:hAnsi="Arial"/>
          <w:sz w:val="16"/>
          <w:szCs w:val="16"/>
          <w:color w:val="auto"/>
        </w:rPr>
        <w:t>On June 27, 2014, we refinanced our existing three-tiered credit facility with NAB. It is comprised of (1) the Bank Bill Discount Facility with a facility limit of AUS$61.3 million, an interest rate of 2.35% above the BBSY, and amortization at AUS$2.0 million per year; (2) the Bill Discount Facility – Revolving with a facility limit of AUS$10.0 million and an interest rate of 1.50% above the BBSY on any undrawn portion and (3) the Bank Guarantee Facility with a facility limit of AUS$5.0 million. All three have a due date of June 30, 2019. The modification of this particular term loan was not considered to be substantial as defined by ASC 740.</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Zealand Corporate Credit Facility</w:t>
      </w:r>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10400"/>
          </w:cols>
          <w:pgMar w:left="1360" w:top="464" w:right="139" w:bottom="1440" w:gutter="0" w:footer="0" w:header="0"/>
        </w:sectPr>
      </w:pPr>
    </w:p>
    <w:bookmarkStart w:id="63" w:name="page64"/>
    <w:bookmarkEnd w:id="63"/>
    <w:p>
      <w:pPr>
        <w:jc w:val="both"/>
        <w:ind w:firstLine="564"/>
        <w:spacing w:after="0" w:line="255" w:lineRule="auto"/>
        <w:rPr>
          <w:sz w:val="20"/>
          <w:szCs w:val="20"/>
          <w:color w:val="auto"/>
        </w:rPr>
      </w:pPr>
      <w:r>
        <w:rPr>
          <w:rFonts w:ascii="Arial" w:cs="Arial" w:eastAsia="Arial" w:hAnsi="Arial"/>
          <w:sz w:val="16"/>
          <w:szCs w:val="16"/>
          <w:color w:val="auto"/>
        </w:rPr>
        <w:t>The New Zealand bank loan with Westpac comes due for repayment on March 31, 2015. This loan has been classified as a short term liability on the consolidated balance sheet as of December 31, 2014. The loan is expected to be refinanced at terms similar or better to the existing Credit Facility.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Cinemas 1, 2, 3 Term Loan</w:t>
      </w:r>
    </w:p>
    <w:p>
      <w:pPr>
        <w:spacing w:after="0" w:line="15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On June 26, 2014, our controlled subsidiary Sutton Hill Properties, LLC, entered into an agreement with Sovereign Bank, refinancing the current loan on the property and providing an additional $6.0 million for the acquisition of air rights to add additional density to any redevelopment of the property (“air rights”).We replaced an existing term loan of $15.0 million that was scheduled to mature on the following day. The new loan has a 2-year term, payable interest only, commencing June 27, 2014, all principal and unpaid interest due and payable on maturity.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Credit Facility</w:t>
      </w:r>
    </w:p>
    <w:p>
      <w:pPr>
        <w:spacing w:after="0" w:line="168"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 xml:space="preserve">On November 28, 2014, we refinanced our Bank of America revolver, which increased the borrowing limits from $35.0 million to $55.0 million with no loan amortization required during the term. The loan has a 5-year term, maturing on December 1, 2019. Interest rate at Libor plus applicable margin rate (ranging from 2.5% to 3.0%) adjusted quarterly. On March 25, 2013, Bank of America increased the borrowing limit on our BofA Revolver from $30.0 million to $35.0 million. In addition, Bank of America increased our existing $3.0 million line of credit to $5.0 million. On October 31, 2012, we replaced our GE Capital Term Loan of $27.7 million with a credit facility from Bank of America of $30.0 million with an interest rate of between 2.50% and 3.00% above LIBOR and an expiration date of October 31, 2017. See Note 12 –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Payable</w:t>
      </w:r>
      <w:r>
        <w:rPr>
          <w:rFonts w:ascii="Arial" w:cs="Arial" w:eastAsia="Arial" w:hAnsi="Arial"/>
          <w:sz w:val="16"/>
          <w:szCs w:val="16"/>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Minetta and Orpheum Theatres Loan</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 xml:space="preserve">On May 29, 2013, we replaced our Liberty Theater Term Loan with a loan secured by our Orpheum and Minetta Lane theaters, thus releasing the Royal George from the security and leaving it unencumbered. This new loan has a note balance of $7.5 million bearing an interest rate of LIBOR plus a 2.5% margin and having a LIBOR rate cap of 4.00%. See Note 12 – </w:t>
      </w:r>
      <w:r>
        <w:rPr>
          <w:rFonts w:ascii="Arial" w:cs="Arial" w:eastAsia="Arial" w:hAnsi="Arial"/>
          <w:sz w:val="15"/>
          <w:szCs w:val="15"/>
          <w:i w:val="1"/>
          <w:iCs w:val="1"/>
          <w:color w:val="auto"/>
        </w:rPr>
        <w:t>Notes Payable</w:t>
      </w:r>
      <w:r>
        <w:rPr>
          <w:rFonts w:ascii="Arial" w:cs="Arial" w:eastAsia="Arial" w:hAnsi="Arial"/>
          <w:sz w:val="15"/>
          <w:szCs w:val="15"/>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Position</w:t>
      </w:r>
    </w:p>
    <w:p>
      <w:pPr>
        <w:spacing w:after="0" w:line="15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Our cash position at December 31, 2014 was $50.2 million, including $30.4 million in the U.S., $12.1 million in Australia, and $7.7 million in New Zealand. As part of our main credit facilities in Australia, New Zealand and the U.S., we are subject to certain debt covenants that limit the transfer or use of cash outside of the various regional subsidiaries in which the cash is held. As such, at December 31, 2014, we have approximately $26.2 million of cash worldwide that is not restricted by loan covenants.</w:t>
      </w:r>
    </w:p>
    <w:p>
      <w:pPr>
        <w:spacing w:after="0" w:line="131" w:lineRule="exact"/>
        <w:rPr>
          <w:sz w:val="20"/>
          <w:szCs w:val="20"/>
          <w:color w:val="auto"/>
        </w:rPr>
      </w:pPr>
    </w:p>
    <w:p>
      <w:pPr>
        <w:jc w:val="both"/>
        <w:ind w:firstLine="564"/>
        <w:spacing w:after="0" w:line="272" w:lineRule="auto"/>
        <w:rPr>
          <w:sz w:val="20"/>
          <w:szCs w:val="20"/>
          <w:color w:val="auto"/>
        </w:rPr>
      </w:pPr>
      <w:r>
        <w:rPr>
          <w:rFonts w:ascii="Arial" w:cs="Arial" w:eastAsia="Arial" w:hAnsi="Arial"/>
          <w:sz w:val="15"/>
          <w:szCs w:val="15"/>
          <w:color w:val="auto"/>
        </w:rPr>
        <w:t xml:space="preserve">At December 31, 2014, $25.3 million is available on our Bank of America revolver in the U.S.; </w:t>
      </w:r>
      <w:r>
        <w:rPr>
          <w:rFonts w:ascii="Arial" w:cs="Arial" w:eastAsia="Arial" w:hAnsi="Arial"/>
          <w:sz w:val="15"/>
          <w:szCs w:val="15"/>
          <w:b w:val="1"/>
          <w:bCs w:val="1"/>
          <w:color w:val="auto"/>
        </w:rPr>
        <w:t>$</w:t>
      </w:r>
      <w:r>
        <w:rPr>
          <w:rFonts w:ascii="Arial" w:cs="Arial" w:eastAsia="Arial" w:hAnsi="Arial"/>
          <w:sz w:val="15"/>
          <w:szCs w:val="15"/>
          <w:color w:val="auto"/>
        </w:rPr>
        <w:t>9.4 million (NZ$12.0 million) available under our New Zealand Corporate Credit facility; $5.0 million available under our BofA Revolver in the U.S and $6.0 million available under our Sovereign Line of Credit in the US to be used for the acquisition of the air rights for the Cinemas 1,2,3. Accordingly, we believe that we have sufficient borrowing capacity under our various credit facilities, together with our $50.2 million cash balance, and continuing generation of cash through operations, to meet our anticipated short-term working capital requirements.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Principles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consolidated financial statements have been prepared in accordance with accounting principles generally accepted in the United States of America (“US GAAP”).</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and Cash Equivalents</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consider all highly liquid investments with original maturities of three months or less when purchased to be cash equivalents for which cost approximates fair value.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Time Deposits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4" w:name="page65"/>
    <w:bookmarkEnd w:id="64"/>
    <w:p>
      <w:pPr>
        <w:jc w:val="both"/>
        <w:ind w:firstLine="564"/>
        <w:spacing w:after="0" w:line="341" w:lineRule="auto"/>
        <w:rPr>
          <w:sz w:val="20"/>
          <w:szCs w:val="20"/>
          <w:color w:val="auto"/>
        </w:rPr>
      </w:pPr>
      <w:r>
        <w:rPr>
          <w:rFonts w:ascii="Arial" w:cs="Arial" w:eastAsia="Arial" w:hAnsi="Arial"/>
          <w:sz w:val="13"/>
          <w:szCs w:val="13"/>
          <w:color w:val="auto"/>
        </w:rPr>
        <w:t>Time deposits are cash depository investments in which the original maturity of the investments is greater than 90 days. During May 2012, we purchased $8.0 million in U.S. dollar time deposits in Australia which matured on January 3, 2013 having an interest rate of 0.48%. On December 31, 2013, we had $1.1 million US dollars held on deposit in Australia. We had no time deposits at December 31, 2014.</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Receivables</w:t>
      </w:r>
    </w:p>
    <w:p>
      <w:pPr>
        <w:spacing w:after="0" w:line="157"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Our receivables balance is composed primarily of credit card receivables, representing the purchase price of tickets, concessions,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 management fee receivable from the managed cinemas and property damage insurance recovery proceeds. We have no history of significant bad debt losses and we have established an allowance for accounts that we deem uncollectible.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Inventory</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Inventory is composed of concession goods used in theater operations and is stated at the lower of cost (first-in, first-out method) or net realizable value.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in Marketable Securities</w:t>
      </w:r>
    </w:p>
    <w:p>
      <w:pPr>
        <w:spacing w:after="0" w:line="157" w:lineRule="exact"/>
        <w:rPr>
          <w:sz w:val="20"/>
          <w:szCs w:val="20"/>
          <w:color w:val="auto"/>
        </w:rPr>
      </w:pPr>
    </w:p>
    <w:p>
      <w:pPr>
        <w:jc w:val="both"/>
        <w:ind w:firstLine="564"/>
        <w:spacing w:after="0" w:line="264" w:lineRule="auto"/>
        <w:rPr>
          <w:sz w:val="20"/>
          <w:szCs w:val="20"/>
          <w:color w:val="auto"/>
        </w:rPr>
      </w:pPr>
      <w:r>
        <w:rPr>
          <w:rFonts w:ascii="Arial" w:cs="Arial" w:eastAsia="Arial" w:hAnsi="Arial"/>
          <w:sz w:val="15"/>
          <w:szCs w:val="15"/>
          <w:color w:val="auto"/>
        </w:rPr>
        <w:t xml:space="preserve">We account for investments in marketable debt and equity securities in accordance with Financial Accounting Standards Board (“FASB”) Accounting Standards Codification (“ASC”) 320-10 - </w:t>
      </w:r>
      <w:r>
        <w:rPr>
          <w:rFonts w:ascii="Arial" w:cs="Arial" w:eastAsia="Arial" w:hAnsi="Arial"/>
          <w:sz w:val="15"/>
          <w:szCs w:val="15"/>
          <w:i w:val="1"/>
          <w:iCs w:val="1"/>
          <w:color w:val="auto"/>
        </w:rPr>
        <w:t>Investments—Debt and Equity Securities</w:t>
      </w:r>
      <w:r>
        <w:rPr>
          <w:rFonts w:ascii="Arial" w:cs="Arial" w:eastAsia="Arial" w:hAnsi="Arial"/>
          <w:sz w:val="15"/>
          <w:szCs w:val="15"/>
          <w:color w:val="auto"/>
        </w:rPr>
        <w:t xml:space="preserve"> (“ASC 320-10”). Our investment in Marketable Securities includes equity instruments that are classified as available for sale and are recorded at market using the specific identification method. In accordance with ASC 320-10, available for sale securities are carried at their fair market value and any difference between cost and market value is recorded as unrealized gain or loss, net of income taxes, and is reported as accumulated other comprehensive income in the consolidated statement of stockholders’ equity. Premiums and discounts of any debt instruments are recognized in interest income using the effective interest method. Realized gains and losses and declines in value expected to be other-than-temporary on available for sale securities are included in other expense. We evaluate our available for sale securities for other than temporary impairments at the end of each reporting period. These investments have a cumulative unrealized gain of $10,000 included in other comprehensive income at December 31, 2014. For the years ended December 31, 2014, 2013, and 2012, our net unrealized losses were $1,000, $0, and $2,000, respectively. The cost of securities sold is based on the specific identification method. Interest and dividends on securities classified as available for sale are included in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Cash</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classify restricted cash as those cash accounts for which the use of funds is restricted by contract or bank covenant. At December 31, 2014 and 2013, our restricted cash balance was $1,433,000 and $782,000,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The carrying amounts of our cash and cash equivalents, accounts receivable, restricted cash, and accounts payable approximate fair value due to their short-term maturities. See Note 16 –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 Financial Instruments</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 xml:space="preserve">In accordance with FASB ASC 815-20 –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815-20”), we carry all derivative financial instruments on our consolidated balance sheets at fair value. Derivatives are generally executed for interest rate management purposes but are not designated as hedges in accordance with ASC 815-20. Therefore, changes in market values are recognized in current earnings.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Operating property</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Operating property consists of land, buildings and improvements, leasehold improvements, fixtures and equipment which we use to derive operating income associated with our two business segments, cinema exhibition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5" w:name="page66"/>
    <w:bookmarkEnd w:id="65"/>
    <w:p>
      <w:pPr>
        <w:jc w:val="both"/>
        <w:spacing w:after="0" w:line="299" w:lineRule="auto"/>
        <w:rPr>
          <w:sz w:val="20"/>
          <w:szCs w:val="20"/>
          <w:color w:val="auto"/>
        </w:rPr>
      </w:pPr>
      <w:r>
        <w:rPr>
          <w:rFonts w:ascii="Arial" w:cs="Arial" w:eastAsia="Arial" w:hAnsi="Arial"/>
          <w:sz w:val="15"/>
          <w:szCs w:val="15"/>
          <w:color w:val="auto"/>
        </w:rPr>
        <w:t>and real estate. Buildings and improvements, leasehold improvements, fixtures and equipment initially recorded at the lower of cost or fair market value and depreciated over the useful lives of the related assets. In accordance with US GAAP, land is not depreciated.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and Development Property</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Investment and development property consists of land, new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investment and development property are building and improvement costs directly associated with the development of potential cinemas (whether for sale or lease), the development of entertainment themed retail centers (“ETRCs”), or other improvements to real property. As incurred, we expense start-up costs (such as pre-opening cinema advertising and training expense) and other costs not directly related to the acquisition and development of long-term assets. We cease capitalization on a development property when the property is complete and ready for its intended use, or if activities necessary to get the property ready for its intended use have been substantially curtailed. During the year-ended December 31, 2009, we decided to curtail our current development progress on certain Australian and New Zealand land development projects. As a result, these properties are considered held for development and we have not capitalized interest for these projects since 2009 and will not do so, until the development work recommences.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for the Impairment of Long Lived Assets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30"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Pursuant to FASB ASC 360-35, we review internal management reports on a monthly basis as well as monitoring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undiscounted future cash flows is less than the carrying amount of the asset, then impairment is recognized for the amount by which the carrying value of the asset exceeds its estimated fair value based on an appraisal or a discounted cash flow calculation.</w:t>
      </w:r>
    </w:p>
    <w:p>
      <w:pPr>
        <w:spacing w:after="0" w:line="93"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For certain non-income producing properties, we obtain appraisals or other evidence to evaluate whether there are impairment indicators for these assets. No impairment losses were recorded in 2014 or 2013. In 2012, an impairment loss of $1.5 million was recorded.</w:t>
      </w:r>
    </w:p>
    <w:p>
      <w:pPr>
        <w:spacing w:after="0" w:line="66"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Pursuant to FASB ASC 350-35, goodwill and intangible assets are evaluated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There was no impairment for the goodwill and intangible assets for the years ended December 31, 2014, 2013, and 2012,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Variable Interest Entity</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Our determination of the appropriate accounting method with respect to our investment in Reading International Trust I, which is considered a Variable Interest Entity (“VIE”), is based on FASB ASC 810-10. We account for this VIE, of which we are not the primary beneficiary, under the equity method of accounting.</w:t>
      </w:r>
    </w:p>
    <w:p>
      <w:pPr>
        <w:spacing w:after="0" w:line="142"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We determine if an entity is a VIE under FASB ASC 810-10 based on several factors, including whether the entity’s total equity investment at risk upon inception is sufficient to finance the entity’s activities without additional subordinated financial support. We make judgments regarding the sufficiency of the equity at risk based first on a qualitative analysis, then a quantitative analysis, if necessary. In a quantitative analysis, we incorporate various estimates, including estimated future cash flows, asset hold periods and discount rates, as well as estimates of the probabilities of various scenarios occurring. If the entity is a VIE, we then determine whether we consolidate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6" w:name="page67"/>
    <w:bookmarkEnd w:id="66"/>
    <w:p>
      <w:pPr>
        <w:jc w:val="both"/>
        <w:spacing w:after="0" w:line="321" w:lineRule="auto"/>
        <w:rPr>
          <w:sz w:val="20"/>
          <w:szCs w:val="20"/>
          <w:color w:val="auto"/>
        </w:rPr>
      </w:pPr>
      <w:r>
        <w:rPr>
          <w:rFonts w:ascii="Arial" w:cs="Arial" w:eastAsia="Arial" w:hAnsi="Arial"/>
          <w:sz w:val="13"/>
          <w:szCs w:val="13"/>
          <w:color w:val="auto"/>
        </w:rPr>
        <w:t>the entity as the primary beneficiary. We determine whether an entity is a VIE and, if so, whether it should be consolidated by utilizing judgments and estimates that are inherently subjective. If we made different judgments or utilized different estimates in these evaluations, it could result in differing conclusions as to whether or not an entity is a VIE and whether or not to consolidate such entity. Our investments in unconsolidated entities in which we have the ability to exercise significant influence over operating and financial policies, but do not control, or entities which are variable interest entities in which we are not the primary beneficiary are accounted for under the equity method.</w:t>
      </w:r>
    </w:p>
    <w:p>
      <w:pPr>
        <w:spacing w:after="0" w:line="104"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We carry our investment in the Reading International Trust I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 (loss) of this equity method entity is included in consolidated net income (loss). We have no implicit or explicit obligation to further fund our investment in Reading International Trust I.</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Goodwill and Intangible Assets</w:t>
      </w:r>
    </w:p>
    <w:p>
      <w:pPr>
        <w:spacing w:after="0" w:line="157"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We use the purchase method of accounting for all business combinations. Goodwill and intangible assets with indefinite useful lives are not amortized, but instead, tested for impairment at least annually. Prior to conducting our goodwill impairment analysis, we assess long-lived assets for impairment in accordance with FASB ASC 360-15 - </w:t>
      </w:r>
      <w:r>
        <w:rPr>
          <w:rFonts w:ascii="Arial" w:cs="Arial" w:eastAsia="Arial" w:hAnsi="Arial"/>
          <w:sz w:val="15"/>
          <w:szCs w:val="15"/>
          <w:i w:val="1"/>
          <w:iCs w:val="1"/>
          <w:color w:val="auto"/>
        </w:rPr>
        <w:t>Impairment or Disposal of Long-Lived Assets</w:t>
      </w:r>
      <w:r>
        <w:rPr>
          <w:rFonts w:ascii="Arial" w:cs="Arial" w:eastAsia="Arial" w:hAnsi="Arial"/>
          <w:sz w:val="15"/>
          <w:szCs w:val="15"/>
          <w:color w:val="auto"/>
        </w:rPr>
        <w:t xml:space="preserve"> (“ASC 360-15”). We then perform the impairment analysis at the reporting unit level (one level below the operating segment level) (see Note 10 – </w:t>
      </w:r>
      <w:r>
        <w:rPr>
          <w:rFonts w:ascii="Arial" w:cs="Arial" w:eastAsia="Arial" w:hAnsi="Arial"/>
          <w:sz w:val="15"/>
          <w:szCs w:val="15"/>
          <w:i w:val="1"/>
          <w:iCs w:val="1"/>
          <w:color w:val="auto"/>
        </w:rPr>
        <w:t>Goodwill and Intangibles</w:t>
      </w:r>
      <w:r>
        <w:rPr>
          <w:rFonts w:ascii="Arial" w:cs="Arial" w:eastAsia="Arial" w:hAnsi="Arial"/>
          <w:sz w:val="15"/>
          <w:szCs w:val="15"/>
          <w:color w:val="auto"/>
        </w:rPr>
        <w:t xml:space="preserve">) as defined by FASB ASC 350-35 </w:t>
      </w:r>
      <w:r>
        <w:rPr>
          <w:rFonts w:ascii="Arial" w:cs="Arial" w:eastAsia="Arial" w:hAnsi="Arial"/>
          <w:sz w:val="15"/>
          <w:szCs w:val="15"/>
          <w:i w:val="1"/>
          <w:iCs w:val="1"/>
          <w:color w:val="auto"/>
        </w:rPr>
        <w:t>– Goodwill Subsequent Measurement</w:t>
      </w:r>
      <w:r>
        <w:rPr>
          <w:rFonts w:ascii="Arial" w:cs="Arial" w:eastAsia="Arial" w:hAnsi="Arial"/>
          <w:sz w:val="15"/>
          <w:szCs w:val="15"/>
          <w:color w:val="auto"/>
        </w:rPr>
        <w:t xml:space="preserve"> (“ASC 350-35”). This analysis requires management to make a series of critical assumptions to: (1) evaluate whether any impairment exists; and (2) measure the amount of impairment. We estimate the fair value of our reporting units as compared with their current book value. If the estimated fair value of a reporting unit is less than the book value, then impairment is deemed to have occurred. In estimating the fair value of our reporting units, we primarily use the income approach (which uses forecasted, discounted cash flows to estimate the fair value of the reporting unit).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Discontinued Operations and Properties Held for Sale</w:t>
      </w:r>
    </w:p>
    <w:p>
      <w:pPr>
        <w:spacing w:after="0" w:line="157"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In accordance with ASC 360-15, the revenue, expenses and net gain on dispositions of operating properties and the revenue and expenses on properties classified as held for sale are reported in the consolidated statements of operations as discontinued operations for all periods presented through the date of the respective disposition. The net gain (loss) on disposition is included in the period the property is sold. In determining whether the income and loss and net gain on dispositions of operating properties is reported as discontinued operations, we evaluate whether we have any significant continuing involvement in the operations, leasing or management of the sold property in accordance with FASB ASC 205-20 – </w:t>
      </w:r>
      <w:r>
        <w:rPr>
          <w:rFonts w:ascii="Arial" w:cs="Arial" w:eastAsia="Arial" w:hAnsi="Arial"/>
          <w:sz w:val="15"/>
          <w:szCs w:val="15"/>
          <w:i w:val="1"/>
          <w:iCs w:val="1"/>
          <w:color w:val="auto"/>
        </w:rPr>
        <w:t>Presentation of Financial Statements – Discontinued Operations</w:t>
      </w:r>
      <w:r>
        <w:rPr>
          <w:rFonts w:ascii="Arial" w:cs="Arial" w:eastAsia="Arial" w:hAnsi="Arial"/>
          <w:sz w:val="15"/>
          <w:szCs w:val="15"/>
          <w:color w:val="auto"/>
        </w:rPr>
        <w:t xml:space="preserve"> (“ASC 205-20”). If we were to determine that there was any significant continuing involvement, the income and loss and net gain on dispositions of the operating property would not be recorded in discontinued operations.</w:t>
      </w:r>
    </w:p>
    <w:p>
      <w:pPr>
        <w:spacing w:after="0" w:line="127"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 xml:space="preserve">A property is classified as held for sale when certain criteria, as set forth under ASC 360-15, are met. At such time,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For a description of the properties previously held for sale see Note 9 – </w:t>
      </w:r>
      <w:r>
        <w:rPr>
          <w:rFonts w:ascii="Arial" w:cs="Arial" w:eastAsia="Arial" w:hAnsi="Arial"/>
          <w:sz w:val="15"/>
          <w:szCs w:val="15"/>
          <w:i w:val="1"/>
          <w:iCs w:val="1"/>
          <w:color w:val="auto"/>
        </w:rPr>
        <w:t>Transfer of Held for Sale Real Estate to Continuing Operations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Items</w:t>
      </w:r>
      <w:r>
        <w:rPr>
          <w:rFonts w:ascii="Arial" w:cs="Arial" w:eastAsia="Arial" w:hAnsi="Arial"/>
          <w:sz w:val="15"/>
          <w:szCs w:val="15"/>
          <w:color w:val="auto"/>
        </w:rPr>
        <w:t>. These asset transfers from held for sale to operating resulted in a reclassification of their operating results which is reflected in</w:t>
      </w:r>
      <w:r>
        <w:rPr>
          <w:rFonts w:ascii="Arial" w:cs="Arial" w:eastAsia="Arial" w:hAnsi="Arial"/>
          <w:sz w:val="15"/>
          <w:szCs w:val="15"/>
          <w:i w:val="1"/>
          <w:iCs w:val="1"/>
          <w:color w:val="auto"/>
        </w:rPr>
        <w:t xml:space="preserve"> </w:t>
      </w:r>
      <w:r>
        <w:rPr>
          <w:rFonts w:ascii="Arial" w:cs="Arial" w:eastAsia="Arial" w:hAnsi="Arial"/>
          <w:sz w:val="15"/>
          <w:szCs w:val="15"/>
          <w:color w:val="auto"/>
        </w:rPr>
        <w:t>our December 31, 2014, 2013, and 2012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Recognition</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Revenue from cinema ticket sales and concession sales are recognized when sold. Revenue from gift certificate sales is deferred and recognized when the certificates are redeemed. Rental revenue is recognized on a straight-line basis in accordance with FASB ASC 840-20-25 – </w:t>
      </w:r>
      <w:r>
        <w:rPr>
          <w:rFonts w:ascii="Arial" w:cs="Arial" w:eastAsia="Arial" w:hAnsi="Arial"/>
          <w:sz w:val="16"/>
          <w:szCs w:val="16"/>
          <w:i w:val="1"/>
          <w:iCs w:val="1"/>
          <w:color w:val="auto"/>
        </w:rPr>
        <w:t xml:space="preserve">Leases Having Both Scheduled Rent Increases and Contingent Rents </w:t>
      </w:r>
      <w:r>
        <w:rPr>
          <w:rFonts w:ascii="Arial" w:cs="Arial" w:eastAsia="Arial" w:hAnsi="Arial"/>
          <w:sz w:val="16"/>
          <w:szCs w:val="16"/>
          <w:color w:val="auto"/>
        </w:rPr>
        <w:t>(“ASC 840-20-25”).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Deferred Leasing/Financing Costs</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Direct costs incurred in connection with obtaining tenants and/or financing are amortized over the respective term of the lease or loan on a straight-line basis. Direct costs incurred in connection with financing are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6"/>
          <w:szCs w:val="16"/>
          <w:color w:val="auto"/>
        </w:rPr>
        <w:t>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Advertising Expense</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expense our advertising as incurred. The amount of our advertising expense was $2.1 million, $3.4 million, and $3.8 million for the years ended December 2014, 2013, and 2012,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Legal Settlement Income/Expense</w:t>
      </w:r>
    </w:p>
    <w:p>
      <w:pPr>
        <w:spacing w:after="0" w:line="168"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 xml:space="preserve">For the years ended December 31, 2014, 2013, and 2012, we recorded losses on the settlement of litigation of ($83,000), ($285,000), and ($194,000), respectively, included in other income (expense). Also included in other income/expense for the year ended December 31, 2013 was a $1.4 million net gain on acquisition and settlement (see Note 8 – </w:t>
      </w:r>
      <w:r>
        <w:rPr>
          <w:rFonts w:ascii="Arial" w:cs="Arial" w:eastAsia="Arial" w:hAnsi="Arial"/>
          <w:sz w:val="13"/>
          <w:szCs w:val="13"/>
          <w:i w:val="1"/>
          <w:iCs w:val="1"/>
          <w:color w:val="auto"/>
        </w:rPr>
        <w:t>Acquisitions, Disposals, and Assets Held for Sale</w:t>
      </w:r>
      <w:r>
        <w:rPr>
          <w:rFonts w:ascii="Arial" w:cs="Arial" w:eastAsia="Arial" w:hAnsi="Arial"/>
          <w:sz w:val="13"/>
          <w:szCs w:val="13"/>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Depreciation and amortization are provided using the straight-line method over the estimated useful lives of the assets. The estimated useful lives are generally as follows:</w:t>
      </w:r>
    </w:p>
    <w:p>
      <w:pPr>
        <w:sectPr>
          <w:pgSz w:w="11900" w:h="16838" w:orient="portrait"/>
          <w:cols w:equalWidth="0" w:num="1">
            <w:col w:w="9180"/>
          </w:cols>
          <w:pgMar w:left="1360" w:top="468" w:right="1359" w:bottom="1440" w:gutter="0" w:footer="0" w:header="0"/>
        </w:sectPr>
      </w:pPr>
    </w:p>
    <w:p>
      <w:pPr>
        <w:spacing w:after="0" w:line="21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Building and improvements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15-40 years</w:t>
      </w:r>
    </w:p>
    <w:p>
      <w:pPr>
        <w:spacing w:after="0" w:line="191" w:lineRule="exact"/>
        <w:rPr>
          <w:sz w:val="20"/>
          <w:szCs w:val="20"/>
          <w:color w:val="auto"/>
        </w:rPr>
      </w:pPr>
    </w:p>
    <w:p>
      <w:pPr>
        <w:sectPr>
          <w:pgSz w:w="11900" w:h="16838" w:orient="portrait"/>
          <w:cols w:equalWidth="0" w:num="2">
            <w:col w:w="2300" w:space="720"/>
            <w:col w:w="6160"/>
          </w:cols>
          <w:pgMar w:left="1360" w:top="468" w:right="1359" w:bottom="1440" w:gutter="0" w:footer="0" w:header="0"/>
          <w:type w:val="continuous"/>
        </w:sectPr>
      </w:pPr>
    </w:p>
    <w:p>
      <w:pPr>
        <w:ind w:left="100"/>
        <w:spacing w:after="0"/>
        <w:rPr>
          <w:sz w:val="20"/>
          <w:szCs w:val="20"/>
          <w:color w:val="auto"/>
        </w:rPr>
      </w:pPr>
      <w:r>
        <w:rPr>
          <w:rFonts w:ascii="Arial" w:cs="Arial" w:eastAsia="Arial" w:hAnsi="Arial"/>
          <w:sz w:val="13"/>
          <w:szCs w:val="13"/>
          <w:color w:val="auto"/>
        </w:rPr>
        <w:t>Leasehold improvement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Shorter of the life of the lease or useful life of the improvement</w:t>
      </w:r>
    </w:p>
    <w:p>
      <w:pPr>
        <w:spacing w:after="0" w:line="191" w:lineRule="exact"/>
        <w:rPr>
          <w:sz w:val="20"/>
          <w:szCs w:val="20"/>
          <w:color w:val="auto"/>
        </w:rPr>
      </w:pPr>
    </w:p>
    <w:p>
      <w:pPr>
        <w:sectPr>
          <w:pgSz w:w="11900" w:h="16838" w:orient="portrait"/>
          <w:cols w:equalWidth="0" w:num="2">
            <w:col w:w="2300" w:space="720"/>
            <w:col w:w="6160"/>
          </w:cols>
          <w:pgMar w:left="1360" w:top="468" w:right="1359" w:bottom="1440" w:gutter="0" w:footer="0" w:header="0"/>
          <w:type w:val="continuous"/>
        </w:sectPr>
      </w:pPr>
    </w:p>
    <w:p>
      <w:pPr>
        <w:ind w:left="100"/>
        <w:spacing w:after="0"/>
        <w:rPr>
          <w:sz w:val="20"/>
          <w:szCs w:val="20"/>
          <w:color w:val="auto"/>
        </w:rPr>
      </w:pPr>
      <w:r>
        <w:rPr>
          <w:rFonts w:ascii="Arial" w:cs="Arial" w:eastAsia="Arial" w:hAnsi="Arial"/>
          <w:sz w:val="13"/>
          <w:szCs w:val="13"/>
          <w:color w:val="auto"/>
        </w:rPr>
        <w:t>Theater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7 years</w:t>
      </w:r>
    </w:p>
    <w:p>
      <w:pPr>
        <w:spacing w:after="0" w:line="191" w:lineRule="exact"/>
        <w:rPr>
          <w:sz w:val="20"/>
          <w:szCs w:val="20"/>
          <w:color w:val="auto"/>
        </w:rPr>
      </w:pPr>
    </w:p>
    <w:p>
      <w:pPr>
        <w:sectPr>
          <w:pgSz w:w="11900" w:h="16838" w:orient="portrait"/>
          <w:cols w:equalWidth="0" w:num="2">
            <w:col w:w="2300" w:space="720"/>
            <w:col w:w="6160"/>
          </w:cols>
          <w:pgMar w:left="1360" w:top="468" w:right="1359" w:bottom="1440" w:gutter="0" w:footer="0" w:header="0"/>
          <w:type w:val="continuous"/>
        </w:sectPr>
      </w:pPr>
    </w:p>
    <w:p>
      <w:pPr>
        <w:ind w:left="100"/>
        <w:spacing w:after="0"/>
        <w:rPr>
          <w:sz w:val="20"/>
          <w:szCs w:val="20"/>
          <w:color w:val="auto"/>
        </w:rPr>
      </w:pPr>
      <w:r>
        <w:rPr>
          <w:rFonts w:ascii="Arial" w:cs="Arial" w:eastAsia="Arial" w:hAnsi="Arial"/>
          <w:sz w:val="13"/>
          <w:szCs w:val="13"/>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 – 10 years</w:t>
      </w:r>
    </w:p>
    <w:p>
      <w:pPr>
        <w:spacing w:after="0" w:line="200" w:lineRule="exact"/>
        <w:rPr>
          <w:sz w:val="20"/>
          <w:szCs w:val="20"/>
          <w:color w:val="auto"/>
        </w:rPr>
      </w:pPr>
    </w:p>
    <w:p>
      <w:pPr>
        <w:sectPr>
          <w:pgSz w:w="11900" w:h="16838" w:orient="portrait"/>
          <w:cols w:equalWidth="0" w:num="2">
            <w:col w:w="2300" w:space="720"/>
            <w:col w:w="6160"/>
          </w:cols>
          <w:pgMar w:left="1360" w:top="468" w:right="135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Translation of Non-U.S. Currency Amounts</w:t>
      </w:r>
    </w:p>
    <w:p>
      <w:pPr>
        <w:spacing w:after="0" w:line="15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12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carrying value of our Australian and New Zealand assets fluctuates due to changes in the exchange rate between the U.S. dollar and the Australian and New Zealand dollars. The exchange rates of the U.S. dollar to the Australian dollar were $0.8173 and $0.8929 as of December 31, 2014 and 2013, respectively. The exchange rates of the U.S. dollar to the New Zealand dollar were $0.7796 and $0.8229 as of December 31, 2014 and 2013,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157"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 xml:space="preserve">We account for income taxes under FASB ASC 740-10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740-10”), which prescribes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Valuation allowances are established, when necessary, to reduce deferred tax assets to the amount expected to be realized. Income tax expense (benefit) is the tax payable (refundable) for the period and the change during the period in deferred tax assets and liabilities.</w:t>
      </w:r>
    </w:p>
    <w:p>
      <w:pPr>
        <w:spacing w:after="0" w:line="137"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In projecting future taxable income, we begin with historical results adjusted for the results of discontinued operations and changes in accounting policies. We then include assumptions about the amount of projected future state, federal and foreign pretax operating income, the reversal of temporary differences, and the implementation of feasible and prudent tax planning strategies. These assumptions require significant judgment about the forecasts of future taxable income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type w:val="continuous"/>
        </w:sectPr>
      </w:pPr>
    </w:p>
    <w:bookmarkStart w:id="68" w:name="page69"/>
    <w:bookmarkEnd w:id="68"/>
    <w:p>
      <w:pPr>
        <w:jc w:val="both"/>
        <w:spacing w:after="0" w:line="251" w:lineRule="auto"/>
        <w:rPr>
          <w:sz w:val="20"/>
          <w:szCs w:val="20"/>
          <w:color w:val="auto"/>
        </w:rPr>
      </w:pPr>
      <w:r>
        <w:rPr>
          <w:rFonts w:ascii="Arial" w:cs="Arial" w:eastAsia="Arial" w:hAnsi="Arial"/>
          <w:sz w:val="16"/>
          <w:szCs w:val="16"/>
          <w:color w:val="auto"/>
        </w:rPr>
        <w:t>are consistent with the plans and estimates we use to manage the underlying businesses. In evaluating the objective evidence that historical results provide, we consider three years of cumulative operating income (loss). In the event we were to determine that we would be able to realize our deferred income tax assets in the future in excess of their net recorded amount, we would make an adjustment to the valuation allowance, which would reduce the provision for income taxes.</w:t>
      </w:r>
    </w:p>
    <w:p>
      <w:pPr>
        <w:spacing w:after="0" w:line="146"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ASC 740-10 provides that 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54"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recognize tax liabilities in accordance with ASC 740-10 and we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they are determined.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Earnings Per Share</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 xml:space="preserve">Basic earnings per share is calculated using the weighted average number of shares of Class A and Class B Stock outstanding during the years ended December 31, 2014, 2013, and 2012, respectively. Diluted earnings per share is calculated by dividing net earnings available to common stockholders by the weighted average common shares outstanding plus the dilutive effect of stock options and unvested restricted stock. We had issued stock options to purchase 568,250, 709,850, and 672,350 shares of Class A Common Stock at December 31, 2014, 2013, and 2012, respectively, at a weighted average exercise price of $6.88, $6.66, and $6.24 per share, respectively. Stock options to purchase 185,100, 185,100, and 185,100 shares of Class B Common Stock were outstanding at the years ended December 31, 2014, 2013, and 2012, respectively, at a weighted average exercise price of $9.90, $9.90, and $9.90 per share, respectively. In accordance with FASB ASC 260-10 – </w:t>
      </w:r>
      <w:r>
        <w:rPr>
          <w:rFonts w:ascii="Arial" w:cs="Arial" w:eastAsia="Arial" w:hAnsi="Arial"/>
          <w:sz w:val="15"/>
          <w:szCs w:val="15"/>
          <w:i w:val="1"/>
          <w:iCs w:val="1"/>
          <w:color w:val="auto"/>
        </w:rPr>
        <w:t>Earnings Per Share</w:t>
      </w:r>
      <w:r>
        <w:rPr>
          <w:rFonts w:ascii="Arial" w:cs="Arial" w:eastAsia="Arial" w:hAnsi="Arial"/>
          <w:sz w:val="15"/>
          <w:szCs w:val="15"/>
          <w:color w:val="auto"/>
        </w:rPr>
        <w:t xml:space="preserve"> (“ASC 260-10”), for any years that we record losses from continuing operations before discontinued operations, the effect of the stock options and restricted stock are anti-dilutive and accordingly excluded from the diluted earnings per share computation (see Note 4 – </w:t>
      </w:r>
      <w:r>
        <w:rPr>
          <w:rFonts w:ascii="Arial" w:cs="Arial" w:eastAsia="Arial" w:hAnsi="Arial"/>
          <w:sz w:val="15"/>
          <w:szCs w:val="15"/>
          <w:i w:val="1"/>
          <w:iCs w:val="1"/>
          <w:color w:val="auto"/>
        </w:rPr>
        <w:t>Earnings (Loss) Per</w:t>
      </w:r>
      <w:r>
        <w:rPr>
          <w:rFonts w:ascii="Arial" w:cs="Arial" w:eastAsia="Arial" w:hAnsi="Arial"/>
          <w:sz w:val="15"/>
          <w:szCs w:val="15"/>
          <w:color w:val="auto"/>
        </w:rPr>
        <w:t xml:space="preserve"> </w:t>
      </w:r>
      <w:r>
        <w:rPr>
          <w:rFonts w:ascii="Arial" w:cs="Arial" w:eastAsia="Arial" w:hAnsi="Arial"/>
          <w:sz w:val="15"/>
          <w:szCs w:val="15"/>
          <w:i w:val="1"/>
          <w:iCs w:val="1"/>
          <w:color w:val="auto"/>
        </w:rPr>
        <w:t>Share</w:t>
      </w:r>
      <w:r>
        <w:rPr>
          <w:rFonts w:ascii="Arial" w:cs="Arial" w:eastAsia="Arial" w:hAnsi="Arial"/>
          <w:sz w:val="15"/>
          <w:szCs w:val="15"/>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Purchase Price Allocation</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We allocate the purchase price to tangible assets of an acquired property (which includes land, building and 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tenant improvements are based on present values determined based upon the application of hypothetical leases with market rates and terms.</w:t>
      </w:r>
    </w:p>
    <w:p>
      <w:pPr>
        <w:spacing w:after="0" w:line="99"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as a reduction of rental income over the remaining non-cancelable terms of the respective leases. We amortize any capitalized below-market lease values as an increase to rental income over the initial term and any fixed-rate renewal periods in the respective leases.</w:t>
      </w:r>
    </w:p>
    <w:p>
      <w:pPr>
        <w:spacing w:after="0" w:line="120"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We measure the aggregate value of other intangible assets acquired based on the difference between (i) the property valued with existing in-place leases adjusted to market rental rates and (ii) the property valued as if vacant. Management’s estimates of value are made using methods similar to those used by independent appraisers (e.g., discounted cash flow analysis). Factors considered by management in its analysis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tangible and intangible assets acquired. In estimating carrying costs, management includes real estate taxes, insurance and other operating expenses and estimates of lost rentals at market rates during the expected lease-up periods. Management also estimates costs to</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9" w:name="page70"/>
    <w:bookmarkEnd w:id="69"/>
    <w:p>
      <w:pPr>
        <w:jc w:val="both"/>
        <w:spacing w:after="0" w:line="265" w:lineRule="auto"/>
        <w:rPr>
          <w:sz w:val="20"/>
          <w:szCs w:val="20"/>
          <w:color w:val="auto"/>
        </w:rPr>
      </w:pPr>
      <w:r>
        <w:rPr>
          <w:rFonts w:ascii="Arial" w:cs="Arial" w:eastAsia="Arial" w:hAnsi="Arial"/>
          <w:sz w:val="16"/>
          <w:szCs w:val="16"/>
          <w:color w:val="auto"/>
        </w:rPr>
        <w:t>execute similar leases including leasing commissions, legal, and other related expenses to the extent that such costs are not already incurred in connection with a new lease origination as part of the transaction.</w:t>
      </w:r>
    </w:p>
    <w:p>
      <w:pPr>
        <w:spacing w:after="0" w:line="134"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The total amount of other intangible assets acquired is further allocated to in-place lease values and customer relationship intangible values based on management’s evaluation of the specific characteristics of each tenant’s lease and our overall relationship with that respective tenant. Characteristics considered by management in allocating these values include the nature and extent of our existing business relationships with the tenant, growth prospects for developing new business with the tenant, the tenant’s credit quality and expectations of lease renewals (including those existing under the terms of the lease agreement), among other factors.</w:t>
      </w:r>
    </w:p>
    <w:p>
      <w:pPr>
        <w:spacing w:after="0" w:line="122"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We amortize the value of in-place leases to expense over the initial term of the respective leases. The value of customer relationship intangibles is amortized to expense over the initial term and any renewal periods in the respective leases, but in no event may the amortization period for intangible assets exceed the remaining depreciable life of the building. Should a tenant terminate its lease, the unamortized portion of the in-place lease value and customer relationship intangibles would be charged to expense.</w:t>
      </w:r>
    </w:p>
    <w:p>
      <w:pPr>
        <w:spacing w:after="0" w:line="11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These assessments have a direct impact on revenue and net income.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 market would be amortized monthly as a direct reduction to rental revenue and ultimately reduce the amount of net income.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Business Acquisition Valuations</w:t>
      </w:r>
    </w:p>
    <w:p>
      <w:pPr>
        <w:spacing w:after="0" w:line="157"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 xml:space="preserve">The assets and liabilities of businesses acquired are recorded at their respective preliminary fair values as of the acquisition date in accordance with FASB ASC 805-10 –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(“ASC 805-10”). Upon the acquisition of real properties, we allocate the purchase price of such properties to acquired tangible assets, consisting of land and building, and identified intangible assets and liabilities, consisting of the value of above market and below market leases and the value of in-place leases, based in each case on their fair values. We use independent appraisals to assist in the determination of the fair values of the tangible assets of an acquired property (which includes land and building). We also perform valuations and physical counts of property, plant and equipment, valuations of investments and the involuntary termination of employees, as necessary. Costs in excess of the net fair values of assets and liabilities acquired are recorded as goodwill.</w:t>
      </w:r>
    </w:p>
    <w:p>
      <w:pPr>
        <w:spacing w:after="0" w:line="9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record and amortize above-market and below-market operating leases assumed in the acquisition of a business in the same way as those under real estate acquisitions.</w:t>
      </w:r>
    </w:p>
    <w:p>
      <w:pPr>
        <w:spacing w:after="0" w:line="134"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fair values of any other intangible assets acquired are based on the expected discounted cash flows of the identified intangible assets. Finite-lived intangible assets are amortized using the straight-line method of amortization over the expected period in which those assets are expected to contribute to our future cash flows. We do not amortize indefinite lived intangibles and goodwill.</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FASB ASC 820-10 –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820-10”) defines fair value, establishes a framework for measuring fair value in GAAP and provides for expanded disclosure about fair value measurements. ASC 820-10 applies to all other accounting pronouncements that require or permit fair value measurements.</w:t>
      </w:r>
    </w:p>
    <w:p>
      <w:pPr>
        <w:spacing w:after="0" w:line="142"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 xml:space="preserve">The fair value of our financial assets and liabilities are disclosed in Note 16 –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to our consolidated financial statements. We generally determine or calculate the fair value of financial instruments using quoted market prices in active markets when such information is available or using appropriate present value or other valuation techniques, such as discounted cash flow analyses, incorporating available market discount rate information for similar types of instruments while estimating for non-performance and liquidity risk. These techniques are significantly affected by the assumptions used, including the discount rate, credit spreads, and estimates of future cash flow.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70" w:name="page71"/>
    <w:bookmarkEnd w:id="70"/>
    <w:p>
      <w:pPr>
        <w:jc w:val="both"/>
        <w:ind w:firstLine="564"/>
        <w:spacing w:after="0" w:line="266" w:lineRule="auto"/>
        <w:rPr>
          <w:sz w:val="20"/>
          <w:szCs w:val="20"/>
          <w:color w:val="auto"/>
        </w:rPr>
      </w:pPr>
      <w:r>
        <w:rPr>
          <w:rFonts w:ascii="Arial" w:cs="Arial" w:eastAsia="Arial" w:hAnsi="Arial"/>
          <w:sz w:val="15"/>
          <w:szCs w:val="15"/>
          <w:color w:val="auto"/>
        </w:rPr>
        <w:t>The financial assets and liabilities recorded at fair value in our consolidated financial statements are marketable securities and interest rate swaps/cap. The carrying amounts of our cash and cash equivalents, restricted cash and accounts payable approximate fair value due to their short-term maturities. The remaining financial assets and liabilities that are only disclosed at fair value are comprised of notes payable, TPS, and other debt instruments. We estimated the fair value of our secured mortgage notes payable, our unsecured notes payable, TPS and other debt instruments by performing discounted cash flow analyses using an appropriate market discount rate. We calculated the market discount rate by obtaining period-end treasury rates for fixed-rate debt, or LIBOR rates for variable-rate debt, for maturities that correspond to the maturities of our debt adding an appropriate credit spread derived from information obtained from third-party financial institutions. These credit spreads take into account factors such as our credit standing, the maturity of the debt, whether the debt is secured or unsecured, and the loan-to-value ratios of the debt.</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Assets and liabilities typically recorded at fair value on a non-recurring basis to which ASC 820-10 applies include:</w:t>
      </w:r>
    </w:p>
    <w:p>
      <w:pPr>
        <w:spacing w:after="0" w:line="157" w:lineRule="exact"/>
        <w:rPr>
          <w:sz w:val="20"/>
          <w:szCs w:val="20"/>
          <w:color w:val="auto"/>
        </w:rPr>
      </w:pPr>
    </w:p>
    <w:p>
      <w:pPr>
        <w:ind w:left="280" w:right="2040"/>
        <w:spacing w:after="0" w:line="310" w:lineRule="auto"/>
        <w:rPr>
          <w:sz w:val="20"/>
          <w:szCs w:val="20"/>
          <w:color w:val="auto"/>
        </w:rPr>
      </w:pPr>
      <w:r>
        <w:rPr>
          <w:rFonts w:ascii="Arial" w:cs="Arial" w:eastAsia="Arial" w:hAnsi="Arial"/>
          <w:sz w:val="13"/>
          <w:szCs w:val="13"/>
          <w:color w:val="auto"/>
        </w:rPr>
        <w:t>·Non-financial assets and liabilities initially measured at fair value in an acquisition or business combination; ·Long-lived assets measured at fair value due to an impairment assessment under ASC 360-15; and</w:t>
      </w:r>
    </w:p>
    <w:p>
      <w:pPr>
        <w:spacing w:after="0" w:line="1" w:lineRule="exact"/>
        <w:rPr>
          <w:sz w:val="20"/>
          <w:szCs w:val="20"/>
          <w:color w:val="auto"/>
        </w:rPr>
      </w:pPr>
    </w:p>
    <w:p>
      <w:pPr>
        <w:ind w:right="1180" w:firstLine="282"/>
        <w:spacing w:after="0" w:line="444" w:lineRule="auto"/>
        <w:rPr>
          <w:sz w:val="20"/>
          <w:szCs w:val="20"/>
          <w:color w:val="auto"/>
        </w:rPr>
      </w:pPr>
      <w:r>
        <w:rPr>
          <w:rFonts w:ascii="Arial" w:cs="Arial" w:eastAsia="Arial" w:hAnsi="Arial"/>
          <w:sz w:val="16"/>
          <w:szCs w:val="16"/>
          <w:color w:val="auto"/>
        </w:rPr>
        <w:t xml:space="preserve">·Asset retirement obligations initially measured under FASB ASC 410-20 – </w:t>
      </w:r>
      <w:r>
        <w:rPr>
          <w:rFonts w:ascii="Arial" w:cs="Arial" w:eastAsia="Arial" w:hAnsi="Arial"/>
          <w:sz w:val="16"/>
          <w:szCs w:val="16"/>
          <w:i w:val="1"/>
          <w:iCs w:val="1"/>
          <w:color w:val="auto"/>
        </w:rPr>
        <w:t>Asset Retirement Obligations</w:t>
      </w:r>
      <w:r>
        <w:rPr>
          <w:rFonts w:ascii="Arial" w:cs="Arial" w:eastAsia="Arial" w:hAnsi="Arial"/>
          <w:sz w:val="16"/>
          <w:szCs w:val="16"/>
          <w:color w:val="auto"/>
        </w:rPr>
        <w:t xml:space="preserve"> (“ASC 410-20”). </w:t>
      </w:r>
      <w:r>
        <w:rPr>
          <w:rFonts w:ascii="Arial" w:cs="Arial" w:eastAsia="Arial" w:hAnsi="Arial"/>
          <w:sz w:val="16"/>
          <w:szCs w:val="16"/>
          <w:u w:val="single" w:color="auto"/>
          <w:color w:val="auto"/>
        </w:rPr>
        <w:t>Use of Estimates</w:t>
      </w:r>
    </w:p>
    <w:p>
      <w:pPr>
        <w:spacing w:after="0" w:line="1"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 and expenses during the reported period. Actual results could differ from those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Pronouncements Adopted During 2014</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new pronouncements were adopted during the year ended December 31, 2014.</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New Accounting Pronouncements</w:t>
      </w:r>
    </w:p>
    <w:p>
      <w:pPr>
        <w:spacing w:after="0" w:line="157"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 xml:space="preserve">In April 2014, the FASB issued ASU No. 2014-08, </w:t>
      </w:r>
      <w:r>
        <w:rPr>
          <w:rFonts w:ascii="Arial" w:cs="Arial" w:eastAsia="Arial" w:hAnsi="Arial"/>
          <w:sz w:val="16"/>
          <w:szCs w:val="16"/>
          <w:i w:val="1"/>
          <w:iCs w:val="1"/>
          <w:color w:val="auto"/>
        </w:rPr>
        <w:t>Reporting Discontinued Operations and Disclosures of Disposals of Components of</w:t>
      </w:r>
      <w:r>
        <w:rPr>
          <w:rFonts w:ascii="Arial" w:cs="Arial" w:eastAsia="Arial" w:hAnsi="Arial"/>
          <w:sz w:val="16"/>
          <w:szCs w:val="16"/>
          <w:color w:val="auto"/>
        </w:rPr>
        <w:t xml:space="preserve"> </w:t>
      </w:r>
      <w:r>
        <w:rPr>
          <w:rFonts w:ascii="Arial" w:cs="Arial" w:eastAsia="Arial" w:hAnsi="Arial"/>
          <w:sz w:val="16"/>
          <w:szCs w:val="16"/>
          <w:i w:val="1"/>
          <w:iCs w:val="1"/>
          <w:color w:val="auto"/>
        </w:rPr>
        <w:t>an Entity</w:t>
      </w:r>
      <w:r>
        <w:rPr>
          <w:rFonts w:ascii="Arial" w:cs="Arial" w:eastAsia="Arial" w:hAnsi="Arial"/>
          <w:sz w:val="16"/>
          <w:szCs w:val="16"/>
          <w:color w:val="auto"/>
        </w:rPr>
        <w:t>. The amendments in this update change the criteria for determining which disposals can be presented as discontinued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modify related disclosure requirements. The guidance applies prospectively to new disposals and new classifications of disposal groups as held for sale after the effective date, and is effective for the Company as of January 1, 2015. However, all entities may adopt the guidance early for new disposals (or new classifications as held for sale) that have not been reported in financial statements previously issued or available for issuance.</w:t>
      </w:r>
    </w:p>
    <w:p>
      <w:pPr>
        <w:spacing w:after="0" w:line="135"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In May 2014, the Financial Accounting Standards Board issued a new standard to achieve a consistent application of revenue recognition within the U.S. resulting in a single revenue model to be applied by reporting companies under U.S. generally accepted accounting principles. Under the new model, recognition of revenues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The new standard is effective for us beginning in the first quarter of 2017; early adoption is prohibited. The new standard is required to be applied retrospectively to each prior reporting period presented or retrospectively with the cumulative effect of initially applying it recognized at the date of initial application. We have not yet selected a transition method nor have we determined the impact of the new standard on our consolidated condensed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auto"/>
        </w:rPr>
        <w:t>Note 3 – Stock Based Compensation and Employee Stock Option Plan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Based Compensation</w:t>
      </w:r>
    </w:p>
    <w:p>
      <w:pPr>
        <w:spacing w:after="0" w:line="15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As part of his compensation package, Mr. James J. Cotter, Sr. our now deceased Chairman of the Board and Chief Executive Officer, was granted $1,200,000, $750,000, and $950,000, of restricted Class A Non-voting Common Stock (“Class A Stock”) for each of the years ended December 31, 2014, 2013, and 2012, respectively. The 2014, 2013, and 2012 stock grants of 160,643, 125,209, and 217,890 shares, respectively, were granted with stock grant prices of $7.47, $5.99, and $4.36, respectively. Mr. Cotter, Sr.’s stock compensation was granted fully vested with a five-year restriction on sale. As of December 31, 2014, the 2014 stock grant had not yet been issued. During 2014, we issued to Mr. Cotter, Sr. 125,209 of Class A Stock for his 2013 vested stock grants which had a stock grant price of $5.99 and a grant date fair value of $750,000.</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2012, we issued 9,680 shares as a one-time stock grant of Class A Stock to our employees valued at $44,000.</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During the years ended December 31, 2014, 2013, and 2012, we recorded compensation expense of $1,200,000, $750,000, and $994,000, respectively, for the vesting of all our restricted stock grants. The following table details the grants and vesting of restricted stock to our employees (dollars in thousands):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r>
      <w:tr>
        <w:trPr>
          <w:trHeight w:val="188"/>
        </w:trPr>
        <w:tc>
          <w:tcPr>
            <w:tcW w:w="4180" w:type="dxa"/>
            <w:vAlign w:val="bottom"/>
          </w:tcPr>
          <w:p>
            <w:pPr>
              <w:spacing w:after="0"/>
              <w:rPr>
                <w:sz w:val="16"/>
                <w:szCs w:val="16"/>
                <w:color w:val="auto"/>
              </w:rPr>
            </w:pPr>
          </w:p>
        </w:tc>
        <w:tc>
          <w:tcPr>
            <w:tcW w:w="3420" w:type="dxa"/>
            <w:vAlign w:val="bottom"/>
          </w:tcPr>
          <w:p>
            <w:pPr>
              <w:jc w:val="right"/>
              <w:ind w:right="382"/>
              <w:spacing w:after="0"/>
              <w:rPr>
                <w:sz w:val="20"/>
                <w:szCs w:val="20"/>
                <w:color w:val="auto"/>
              </w:rPr>
            </w:pPr>
            <w:r>
              <w:rPr>
                <w:rFonts w:ascii="Arial" w:cs="Arial" w:eastAsia="Arial" w:hAnsi="Arial"/>
                <w:sz w:val="16"/>
                <w:szCs w:val="16"/>
                <w:b w:val="1"/>
                <w:bCs w:val="1"/>
                <w:color w:val="auto"/>
              </w:rPr>
              <w:t>Non-Vested</w:t>
            </w: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Fair Value at Grant</w:t>
            </w:r>
          </w:p>
        </w:tc>
      </w:tr>
      <w:tr>
        <w:trPr>
          <w:trHeight w:val="208"/>
        </w:trPr>
        <w:tc>
          <w:tcPr>
            <w:tcW w:w="41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Restricted Stock</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200"/>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Outstanding – January 1, 2012</w:t>
            </w:r>
          </w:p>
        </w:tc>
        <w:tc>
          <w:tcPr>
            <w:tcW w:w="3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180" w:type="dxa"/>
            <w:vAlign w:val="bottom"/>
          </w:tcPr>
          <w:p>
            <w:pPr>
              <w:spacing w:after="0"/>
              <w:rPr>
                <w:sz w:val="20"/>
                <w:szCs w:val="20"/>
                <w:color w:val="auto"/>
              </w:rPr>
            </w:pPr>
            <w:r>
              <w:rPr>
                <w:rFonts w:ascii="Arial" w:cs="Arial" w:eastAsia="Arial" w:hAnsi="Arial"/>
                <w:sz w:val="16"/>
                <w:szCs w:val="16"/>
                <w:color w:val="auto"/>
              </w:rPr>
              <w:t>Granted</w:t>
            </w:r>
          </w:p>
        </w:tc>
        <w:tc>
          <w:tcPr>
            <w:tcW w:w="3420" w:type="dxa"/>
            <w:vAlign w:val="bottom"/>
          </w:tcPr>
          <w:p>
            <w:pPr>
              <w:jc w:val="right"/>
              <w:ind w:right="142"/>
              <w:spacing w:after="0"/>
              <w:rPr>
                <w:sz w:val="20"/>
                <w:szCs w:val="20"/>
                <w:color w:val="auto"/>
              </w:rPr>
            </w:pPr>
            <w:r>
              <w:rPr>
                <w:rFonts w:ascii="Arial" w:cs="Arial" w:eastAsia="Arial" w:hAnsi="Arial"/>
                <w:sz w:val="16"/>
                <w:szCs w:val="16"/>
                <w:color w:val="auto"/>
              </w:rPr>
              <w:t>227,570</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994</w:t>
            </w:r>
          </w:p>
        </w:tc>
      </w:tr>
      <w:tr>
        <w:trPr>
          <w:trHeight w:val="211"/>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Vested</w:t>
            </w:r>
          </w:p>
        </w:tc>
        <w:tc>
          <w:tcPr>
            <w:tcW w:w="34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(227,570)</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w:t>
            </w:r>
          </w:p>
        </w:tc>
      </w:tr>
      <w:tr>
        <w:trPr>
          <w:trHeight w:val="192"/>
        </w:trPr>
        <w:tc>
          <w:tcPr>
            <w:tcW w:w="4180" w:type="dxa"/>
            <w:vAlign w:val="bottom"/>
          </w:tcPr>
          <w:p>
            <w:pPr>
              <w:spacing w:after="0"/>
              <w:rPr>
                <w:sz w:val="20"/>
                <w:szCs w:val="20"/>
                <w:color w:val="auto"/>
              </w:rPr>
            </w:pPr>
            <w:r>
              <w:rPr>
                <w:rFonts w:ascii="Arial" w:cs="Arial" w:eastAsia="Arial" w:hAnsi="Arial"/>
                <w:sz w:val="16"/>
                <w:szCs w:val="16"/>
                <w:color w:val="auto"/>
              </w:rPr>
              <w:t>Outstanding – December 31, 2012</w:t>
            </w:r>
          </w:p>
        </w:tc>
        <w:tc>
          <w:tcPr>
            <w:tcW w:w="34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3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125,209</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1"/>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Vested</w:t>
            </w:r>
          </w:p>
        </w:tc>
        <w:tc>
          <w:tcPr>
            <w:tcW w:w="34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(125,209)</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r>
      <w:tr>
        <w:trPr>
          <w:trHeight w:val="192"/>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Outstanding – December 31, 2013</w:t>
            </w:r>
          </w:p>
        </w:tc>
        <w:tc>
          <w:tcPr>
            <w:tcW w:w="3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180" w:type="dxa"/>
            <w:vAlign w:val="bottom"/>
          </w:tcPr>
          <w:p>
            <w:pPr>
              <w:spacing w:after="0"/>
              <w:rPr>
                <w:sz w:val="20"/>
                <w:szCs w:val="20"/>
                <w:color w:val="auto"/>
              </w:rPr>
            </w:pPr>
            <w:r>
              <w:rPr>
                <w:rFonts w:ascii="Arial" w:cs="Arial" w:eastAsia="Arial" w:hAnsi="Arial"/>
                <w:sz w:val="16"/>
                <w:szCs w:val="16"/>
                <w:color w:val="auto"/>
              </w:rPr>
              <w:t>Granted</w:t>
            </w:r>
          </w:p>
        </w:tc>
        <w:tc>
          <w:tcPr>
            <w:tcW w:w="3420" w:type="dxa"/>
            <w:vAlign w:val="bottom"/>
          </w:tcPr>
          <w:p>
            <w:pPr>
              <w:jc w:val="right"/>
              <w:ind w:right="142"/>
              <w:spacing w:after="0"/>
              <w:rPr>
                <w:sz w:val="20"/>
                <w:szCs w:val="20"/>
                <w:color w:val="auto"/>
              </w:rPr>
            </w:pPr>
            <w:r>
              <w:rPr>
                <w:rFonts w:ascii="Arial" w:cs="Arial" w:eastAsia="Arial" w:hAnsi="Arial"/>
                <w:sz w:val="16"/>
                <w:szCs w:val="16"/>
                <w:color w:val="auto"/>
              </w:rPr>
              <w:t>160,643</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1"/>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Vested</w:t>
            </w:r>
          </w:p>
        </w:tc>
        <w:tc>
          <w:tcPr>
            <w:tcW w:w="34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(160,643)</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07"/>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Outstanding – December 31, 2014</w:t>
            </w:r>
          </w:p>
        </w:tc>
        <w:tc>
          <w:tcPr>
            <w:tcW w:w="3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Employee Stock Option Plan</w:t>
      </w:r>
    </w:p>
    <w:p>
      <w:pPr>
        <w:spacing w:after="0" w:line="192"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We have a long-term incentive stock option plan that provides for the grant to eligible employees, directors, and consultants of incentive or nonstatutory options to purchase shares of our Class A Stock. Our 1999 Stock Option Plan expired in November 2009, and was replaced by our new 2010 Stock Incentive Plan, which was approved by the holders of our Class B Voting Common Stock in May 2010.</w:t>
      </w:r>
    </w:p>
    <w:p>
      <w:pPr>
        <w:spacing w:after="0" w:line="11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FASB ASC 718-10 –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718-10”) requires that all stock-based compensation be recognized as an expense in the financial statements and that such costs be measured at the fair value of the award. We estimate the valuation of stock based compensation using a Black-Scholes option-pricing model.</w:t>
      </w:r>
    </w:p>
    <w:p>
      <w:pPr>
        <w:spacing w:after="0" w:line="130"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When our tax deduction from an option exercise exceeds the compensation cost resulting from the option, a tax benefit is created. ASC 718-10 requires that excess tax benefits related to stock option exercises be reflected as financing cash inflows instead of operating cash inflows. For the years ended December 31, 2014, 2013, and 2012, there was no impact to the consolidated statements of cash flows because there were no material recognized tax benefits during these periods.</w:t>
      </w:r>
    </w:p>
    <w:p>
      <w:pPr>
        <w:spacing w:after="0" w:line="14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ASC 718-10 requires companies to estimate forfeitures. Based on our historical experience, we did not estimate any forfeitures for the options granted during the years ended December 31, 2013, and 2012. However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72" w:name="page73"/>
    <w:bookmarkEnd w:id="72"/>
    <w:p>
      <w:pPr>
        <w:jc w:val="both"/>
        <w:spacing w:after="0" w:line="280" w:lineRule="auto"/>
        <w:rPr>
          <w:sz w:val="20"/>
          <w:szCs w:val="20"/>
          <w:color w:val="auto"/>
        </w:rPr>
      </w:pPr>
      <w:r>
        <w:rPr>
          <w:rFonts w:ascii="Arial" w:cs="Arial" w:eastAsia="Arial" w:hAnsi="Arial"/>
          <w:sz w:val="15"/>
          <w:szCs w:val="15"/>
          <w:color w:val="auto"/>
        </w:rPr>
        <w:t>during 2014, we had forfeitures of 64,000 options for the Class A common stock as a result of employee terminations. It is the company’s policy, unless adjusted by the Compensation Committee, to give the terminated employees three months from their termination date to exercise their options. If the options are not exercised within the three month period, they are considered forfeited.</w:t>
      </w:r>
    </w:p>
    <w:p>
      <w:pPr>
        <w:spacing w:after="0" w:line="125"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In accordance with ASC 718-10, we estimate the fair value of our options using the Black-Scholes option-pricing model, which takes into account assumptions such as the dividend yield, the risk-free interest rate, the expected stock price volatility, and the expected life of the options. The dividend yield is excluded from the calculation, as it is our present intention to retain all earnings. We estimated the expected stock price volatility based on our historical price volatility measured using daily share prices back to the inception of the Company in its current form beginning on December 31, 2001. We estimate the expected option life based on our historical share option exercise experience during this same period. We expense the estimated grant date fair values of options issued on a straight-line basis over their vesting periods.</w:t>
      </w:r>
    </w:p>
    <w:p>
      <w:pPr>
        <w:spacing w:after="0" w:line="96"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For the 80,000 175,000 and 206,000 options granted during 2014, 2013 and 2012 respectively, we estimated the fair value of these options at the date of grant using a Black-Scholes option-pricing model with the following weighted average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80" w:type="dxa"/>
            <w:vAlign w:val="bottom"/>
          </w:tcPr>
          <w:p>
            <w:pPr>
              <w:spacing w:after="0"/>
              <w:rPr>
                <w:sz w:val="17"/>
                <w:szCs w:val="17"/>
                <w:color w:val="auto"/>
              </w:rPr>
            </w:pPr>
          </w:p>
        </w:tc>
        <w:tc>
          <w:tcPr>
            <w:tcW w:w="3420" w:type="dxa"/>
            <w:vAlign w:val="bottom"/>
          </w:tcPr>
          <w:p>
            <w:pPr>
              <w:jc w:val="center"/>
              <w:ind w:left="1682"/>
              <w:spacing w:after="0"/>
              <w:rPr>
                <w:sz w:val="20"/>
                <w:szCs w:val="20"/>
                <w:color w:val="auto"/>
              </w:rPr>
            </w:pPr>
            <w:r>
              <w:rPr>
                <w:rFonts w:ascii="Arial" w:cs="Arial" w:eastAsia="Arial" w:hAnsi="Arial"/>
                <w:sz w:val="16"/>
                <w:szCs w:val="16"/>
                <w:b w:val="1"/>
                <w:bCs w:val="1"/>
                <w:color w:val="auto"/>
                <w:w w:val="84"/>
              </w:rPr>
              <w:t>2014</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4"/>
              </w:rPr>
              <w:t>2013</w:t>
            </w:r>
          </w:p>
        </w:tc>
        <w:tc>
          <w:tcPr>
            <w:tcW w:w="0" w:type="dxa"/>
            <w:vAlign w:val="bottom"/>
          </w:tcPr>
          <w:p>
            <w:pPr>
              <w:spacing w:after="0"/>
              <w:rPr>
                <w:sz w:val="1"/>
                <w:szCs w:val="1"/>
                <w:color w:val="auto"/>
              </w:rPr>
            </w:pPr>
          </w:p>
        </w:tc>
      </w:tr>
      <w:tr>
        <w:trPr>
          <w:trHeight w:val="28"/>
        </w:trPr>
        <w:tc>
          <w:tcPr>
            <w:tcW w:w="40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option exercise price</w:t>
            </w:r>
          </w:p>
        </w:tc>
        <w:tc>
          <w:tcPr>
            <w:tcW w:w="3420" w:type="dxa"/>
            <w:vAlign w:val="bottom"/>
            <w:tcBorders>
              <w:bottom w:val="single" w:sz="8" w:color="CCEEFF"/>
            </w:tcBorders>
            <w:shd w:val="clear" w:color="auto" w:fill="CCEEFF"/>
          </w:tcPr>
          <w:p>
            <w:pPr>
              <w:jc w:val="center"/>
              <w:ind w:left="1682"/>
              <w:spacing w:after="0"/>
              <w:rPr>
                <w:sz w:val="20"/>
                <w:szCs w:val="20"/>
                <w:color w:val="auto"/>
              </w:rPr>
            </w:pPr>
            <w:r>
              <w:rPr>
                <w:rFonts w:ascii="Arial" w:cs="Arial" w:eastAsia="Arial" w:hAnsi="Arial"/>
                <w:sz w:val="16"/>
                <w:szCs w:val="16"/>
                <w:color w:val="auto"/>
                <w:w w:val="84"/>
              </w:rPr>
              <w:t>$8.56</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4"/>
              </w:rPr>
              <w:t>$6.19</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420" w:type="dxa"/>
            <w:vAlign w:val="bottom"/>
            <w:vMerge w:val="restart"/>
          </w:tcPr>
          <w:p>
            <w:pPr>
              <w:jc w:val="center"/>
              <w:ind w:left="1662"/>
              <w:spacing w:after="0"/>
              <w:rPr>
                <w:sz w:val="20"/>
                <w:szCs w:val="20"/>
                <w:color w:val="auto"/>
              </w:rPr>
            </w:pPr>
            <w:r>
              <w:rPr>
                <w:rFonts w:ascii="Arial" w:cs="Arial" w:eastAsia="Arial" w:hAnsi="Arial"/>
                <w:sz w:val="16"/>
                <w:szCs w:val="16"/>
                <w:color w:val="auto"/>
                <w:w w:val="88"/>
              </w:rPr>
              <w:t>2.51%</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88"/>
              </w:rPr>
              <w:t>2.25%</w:t>
            </w:r>
          </w:p>
        </w:tc>
        <w:tc>
          <w:tcPr>
            <w:tcW w:w="0" w:type="dxa"/>
            <w:vAlign w:val="bottom"/>
          </w:tcPr>
          <w:p>
            <w:pPr>
              <w:spacing w:after="0"/>
              <w:rPr>
                <w:sz w:val="1"/>
                <w:szCs w:val="1"/>
                <w:color w:val="auto"/>
              </w:rPr>
            </w:pPr>
          </w:p>
        </w:tc>
      </w:tr>
      <w:tr>
        <w:trPr>
          <w:trHeight w:val="58"/>
        </w:trPr>
        <w:tc>
          <w:tcPr>
            <w:tcW w:w="40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3420" w:type="dxa"/>
            <w:vAlign w:val="bottom"/>
            <w:tcBorders>
              <w:bottom w:val="single" w:sz="8" w:color="CCEEFF"/>
            </w:tcBorders>
            <w:shd w:val="clear" w:color="auto" w:fill="CCEEFF"/>
          </w:tcPr>
          <w:p>
            <w:pPr>
              <w:jc w:val="center"/>
              <w:ind w:left="1682"/>
              <w:spacing w:after="0"/>
              <w:rPr>
                <w:sz w:val="20"/>
                <w:szCs w:val="20"/>
                <w:color w:val="auto"/>
              </w:rPr>
            </w:pPr>
            <w:r>
              <w:rPr>
                <w:rFonts w:ascii="Arial" w:cs="Arial" w:eastAsia="Arial" w:hAnsi="Arial"/>
                <w:sz w:val="16"/>
                <w:szCs w:val="16"/>
                <w:color w:val="auto"/>
                <w:w w:val="93"/>
              </w:rPr>
              <w:t>--</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Expected option life</w:t>
            </w:r>
          </w:p>
        </w:tc>
        <w:tc>
          <w:tcPr>
            <w:tcW w:w="3420" w:type="dxa"/>
            <w:vAlign w:val="bottom"/>
          </w:tcPr>
          <w:p>
            <w:pPr>
              <w:ind w:left="2320"/>
              <w:spacing w:after="0"/>
              <w:rPr>
                <w:sz w:val="20"/>
                <w:szCs w:val="20"/>
                <w:color w:val="auto"/>
              </w:rPr>
            </w:pPr>
            <w:r>
              <w:rPr>
                <w:rFonts w:ascii="Arial" w:cs="Arial" w:eastAsia="Arial" w:hAnsi="Arial"/>
                <w:sz w:val="16"/>
                <w:szCs w:val="16"/>
                <w:color w:val="auto"/>
              </w:rPr>
              <w:t>5.00 yrs.</w:t>
            </w:r>
          </w:p>
        </w:tc>
        <w:tc>
          <w:tcPr>
            <w:tcW w:w="1680" w:type="dxa"/>
            <w:vAlign w:val="bottom"/>
          </w:tcPr>
          <w:p>
            <w:pPr>
              <w:ind w:left="580"/>
              <w:spacing w:after="0"/>
              <w:rPr>
                <w:sz w:val="20"/>
                <w:szCs w:val="20"/>
                <w:color w:val="auto"/>
              </w:rPr>
            </w:pPr>
            <w:r>
              <w:rPr>
                <w:rFonts w:ascii="Arial" w:cs="Arial" w:eastAsia="Arial" w:hAnsi="Arial"/>
                <w:sz w:val="16"/>
                <w:szCs w:val="16"/>
                <w:color w:val="auto"/>
              </w:rPr>
              <w:t>5.00 yrs.</w:t>
            </w:r>
          </w:p>
        </w:tc>
        <w:tc>
          <w:tcPr>
            <w:tcW w:w="0" w:type="dxa"/>
            <w:vAlign w:val="bottom"/>
          </w:tcPr>
          <w:p>
            <w:pPr>
              <w:spacing w:after="0"/>
              <w:rPr>
                <w:sz w:val="1"/>
                <w:szCs w:val="1"/>
                <w:color w:val="auto"/>
              </w:rPr>
            </w:pPr>
          </w:p>
        </w:tc>
      </w:tr>
      <w:tr>
        <w:trPr>
          <w:trHeight w:val="59"/>
        </w:trPr>
        <w:tc>
          <w:tcPr>
            <w:tcW w:w="40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3420" w:type="dxa"/>
            <w:vAlign w:val="bottom"/>
            <w:tcBorders>
              <w:bottom w:val="single" w:sz="8" w:color="CCEEFF"/>
            </w:tcBorders>
            <w:shd w:val="clear" w:color="auto" w:fill="CCEEFF"/>
          </w:tcPr>
          <w:p>
            <w:pPr>
              <w:jc w:val="center"/>
              <w:ind w:left="1662"/>
              <w:spacing w:after="0"/>
              <w:rPr>
                <w:sz w:val="20"/>
                <w:szCs w:val="20"/>
                <w:color w:val="auto"/>
              </w:rPr>
            </w:pPr>
            <w:r>
              <w:rPr>
                <w:rFonts w:ascii="Arial" w:cs="Arial" w:eastAsia="Arial" w:hAnsi="Arial"/>
                <w:sz w:val="16"/>
                <w:szCs w:val="16"/>
                <w:color w:val="auto"/>
                <w:w w:val="88"/>
              </w:rPr>
              <w:t>31.33%</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31.80%</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Weighted average fair value</w:t>
            </w:r>
          </w:p>
        </w:tc>
        <w:tc>
          <w:tcPr>
            <w:tcW w:w="3420" w:type="dxa"/>
            <w:vAlign w:val="bottom"/>
          </w:tcPr>
          <w:p>
            <w:pPr>
              <w:jc w:val="center"/>
              <w:ind w:left="1682"/>
              <w:spacing w:after="0"/>
              <w:rPr>
                <w:sz w:val="20"/>
                <w:szCs w:val="20"/>
                <w:color w:val="auto"/>
              </w:rPr>
            </w:pPr>
            <w:r>
              <w:rPr>
                <w:rFonts w:ascii="Arial" w:cs="Arial" w:eastAsia="Arial" w:hAnsi="Arial"/>
                <w:sz w:val="16"/>
                <w:szCs w:val="16"/>
                <w:color w:val="auto"/>
                <w:w w:val="84"/>
              </w:rPr>
              <w:t>$2.76</w:t>
            </w:r>
          </w:p>
        </w:tc>
        <w:tc>
          <w:tcPr>
            <w:tcW w:w="1680" w:type="dxa"/>
            <w:vAlign w:val="bottom"/>
          </w:tcPr>
          <w:p>
            <w:pPr>
              <w:jc w:val="center"/>
              <w:spacing w:after="0"/>
              <w:rPr>
                <w:sz w:val="20"/>
                <w:szCs w:val="20"/>
                <w:color w:val="auto"/>
              </w:rPr>
            </w:pPr>
            <w:r>
              <w:rPr>
                <w:rFonts w:ascii="Arial" w:cs="Arial" w:eastAsia="Arial" w:hAnsi="Arial"/>
                <w:sz w:val="16"/>
                <w:szCs w:val="16"/>
                <w:color w:val="auto"/>
                <w:w w:val="84"/>
              </w:rPr>
              <w:t>$1.98</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Using the above assumptions and based on our use of the modified prospective method, we recorded $146,000, $199,000, and $285,000 in compensation expense for the total estimated grant date fair value of stock options that vested during the years ended December 31, 2014, 2013, and 2012, respectively. At December 31, 2014 total unrecognized estimated compensation cost related to non-vested stock options granted was $446,000 which is expected to be recognized over a weighted average vesting period of 2.50 years.</w:t>
      </w:r>
    </w:p>
    <w:p>
      <w:pPr>
        <w:spacing w:after="0" w:line="128"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color w:val="auto"/>
        </w:rPr>
        <w:t>For the stock options exercised during the years ended December 31, 2014, 2013 and 2012 we issued 157,600, 62,500 and 95,000 shares of Class A Stock for cash to employees of the corporation under this stock based compensation plan with weighted average exercise prices of $6.21, $3.98 and $4.68 respectively. The total realized value of stock options exercised during the years ended December 31, 2014 and 2013 was $321,200 and $133,000, respectively. We recorded cash received from stock options exercised of $978,000 and $248,000 during the years ended December 31, 2014 and 2013, respectively. In 2013, 75,000 options were exercised having a realized value of $124,000 for which we did not receive any cash but the employee elected to receive the net incremental number of in-the-money shares of 53,136 based on an exercise price of $4.01 and a market price of $5.66. In 2012, 41,000 options were exercised having a realized value of $103,000 for which we did not receive cash but the employee elected to receive the net incremental number of in-the-money shares of 15,822 based on an exercise price of $4.01 and a market price of $6.53. At December 31, 2014, the intrinsic, unrealized value of all options outstanding, vested and expected to vest, was $ 4,197,000 of which 59.0% were currently exercisable.</w:t>
      </w:r>
    </w:p>
    <w:p>
      <w:pPr>
        <w:spacing w:after="0" w:line="288"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Pursuant to both our 1999 Stock Option Plan and our 2010 Stock Incentive Plan, all stock options expire within ten years of their grant date. The aggregate total number of shares of Class A Stock and Class B voting common stock authorized for issuance under our 2010 Stock Option Plan is 1,250,000. At the time that options are exercised, at the discretion of management, we will either issue treasury shares or make a new issuance of shares to the employee or board member. Dependent on the grant letter to the employee or board member, the required service period for option vesting is between zero and four years.</w:t>
      </w:r>
    </w:p>
    <w:p>
      <w:pPr>
        <w:spacing w:after="0" w:line="200" w:lineRule="exact"/>
        <w:rPr>
          <w:sz w:val="20"/>
          <w:szCs w:val="20"/>
          <w:color w:val="auto"/>
        </w:rPr>
      </w:pPr>
    </w:p>
    <w:p>
      <w:pPr>
        <w:spacing w:after="0" w:line="3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had the following stock options outstanding and exercisable: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0"/>
              </w:rPr>
              <w:t>Weighted Average</w:t>
            </w:r>
          </w:p>
        </w:tc>
      </w:tr>
      <w:tr>
        <w:trPr>
          <w:trHeight w:val="20"/>
        </w:trPr>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2"/>
        </w:trPr>
        <w:tc>
          <w:tcPr>
            <w:tcW w:w="2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5"/>
              </w:rPr>
              <w:t>Average Exercise</w:t>
            </w:r>
          </w:p>
        </w:tc>
        <w:tc>
          <w:tcPr>
            <w:tcW w:w="160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9"/>
              </w:rPr>
              <w:t>Price of</w:t>
            </w:r>
          </w:p>
        </w:tc>
      </w:tr>
      <w:tr>
        <w:trPr>
          <w:trHeight w:val="20"/>
        </w:trPr>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62"/>
        </w:trPr>
        <w:tc>
          <w:tcPr>
            <w:tcW w:w="2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Price of Options</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Exercisable</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9"/>
              </w:rPr>
              <w:t>Exercisable</w:t>
            </w:r>
          </w:p>
        </w:tc>
      </w:tr>
      <w:tr>
        <w:trPr>
          <w:trHeight w:val="20"/>
        </w:trPr>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62"/>
        </w:trPr>
        <w:tc>
          <w:tcPr>
            <w:tcW w:w="2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0"/>
              </w:rPr>
              <w:t>Options</w:t>
            </w:r>
          </w:p>
        </w:tc>
      </w:tr>
      <w:tr>
        <w:trPr>
          <w:trHeight w:val="20"/>
        </w:trPr>
        <w:tc>
          <w:tcPr>
            <w:tcW w:w="2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289"/>
        </w:trPr>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Class A</w:t>
            </w:r>
          </w:p>
        </w:tc>
        <w:tc>
          <w:tcPr>
            <w:tcW w:w="7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3"/>
              </w:rPr>
              <w:t>Class B</w:t>
            </w:r>
          </w:p>
        </w:tc>
        <w:tc>
          <w:tcPr>
            <w:tcW w:w="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Class A</w:t>
            </w:r>
          </w:p>
        </w:tc>
        <w:tc>
          <w:tcPr>
            <w:tcW w:w="8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8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Class A</w:t>
            </w:r>
          </w:p>
        </w:tc>
        <w:tc>
          <w:tcPr>
            <w:tcW w:w="7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85"/>
              </w:rPr>
              <w:t>Class A</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85"/>
              </w:rPr>
              <w:t>Class B</w:t>
            </w:r>
          </w:p>
        </w:tc>
      </w:tr>
      <w:tr>
        <w:trPr>
          <w:trHeight w:val="209"/>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Outstanding-January 1, 2012</w:t>
            </w:r>
          </w:p>
        </w:tc>
        <w:tc>
          <w:tcPr>
            <w:tcW w:w="1360" w:type="dxa"/>
            <w:vAlign w:val="bottom"/>
            <w:tcBorders>
              <w:bottom w:val="single" w:sz="8" w:color="auto"/>
            </w:tcBorders>
            <w:gridSpan w:val="4"/>
            <w:shd w:val="clear" w:color="auto" w:fill="CCEEFF"/>
          </w:tcPr>
          <w:p>
            <w:pPr>
              <w:jc w:val="right"/>
              <w:ind w:right="90"/>
              <w:spacing w:after="0"/>
              <w:rPr>
                <w:sz w:val="20"/>
                <w:szCs w:val="20"/>
                <w:color w:val="auto"/>
              </w:rPr>
            </w:pPr>
            <w:r>
              <w:rPr>
                <w:rFonts w:ascii="Arial" w:cs="Arial" w:eastAsia="Arial" w:hAnsi="Arial"/>
                <w:sz w:val="14"/>
                <w:szCs w:val="14"/>
                <w:color w:val="auto"/>
              </w:rPr>
              <w:t>622,350</w:t>
            </w:r>
          </w:p>
        </w:tc>
        <w:tc>
          <w:tcPr>
            <w:tcW w:w="7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185,100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4"/>
            <w:shd w:val="clear" w:color="auto" w:fill="CCEEFF"/>
          </w:tcPr>
          <w:p>
            <w:pPr>
              <w:ind w:left="280"/>
              <w:spacing w:after="0"/>
              <w:rPr>
                <w:sz w:val="20"/>
                <w:szCs w:val="20"/>
                <w:color w:val="auto"/>
              </w:rPr>
            </w:pPr>
            <w:r>
              <w:rPr>
                <w:rFonts w:ascii="Arial" w:cs="Arial" w:eastAsia="Arial" w:hAnsi="Arial"/>
                <w:sz w:val="14"/>
                <w:szCs w:val="14"/>
                <w:color w:val="auto"/>
              </w:rPr>
              <w:t>5.65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9.90</w:t>
            </w:r>
          </w:p>
        </w:tc>
        <w:tc>
          <w:tcPr>
            <w:tcW w:w="8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544,383</w:t>
            </w:r>
          </w:p>
        </w:tc>
        <w:tc>
          <w:tcPr>
            <w:tcW w:w="78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167,550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10.05</w:t>
            </w:r>
          </w:p>
        </w:tc>
      </w:tr>
      <w:tr>
        <w:trPr>
          <w:trHeight w:val="203"/>
        </w:trPr>
        <w:tc>
          <w:tcPr>
            <w:tcW w:w="2380" w:type="dxa"/>
            <w:vAlign w:val="bottom"/>
          </w:tcPr>
          <w:p>
            <w:pPr>
              <w:ind w:left="100"/>
              <w:spacing w:after="0"/>
              <w:rPr>
                <w:sz w:val="20"/>
                <w:szCs w:val="20"/>
                <w:color w:val="auto"/>
              </w:rPr>
            </w:pPr>
            <w:r>
              <w:rPr>
                <w:rFonts w:ascii="Arial" w:cs="Arial" w:eastAsia="Arial" w:hAnsi="Arial"/>
                <w:sz w:val="14"/>
                <w:szCs w:val="14"/>
                <w:color w:val="auto"/>
              </w:rPr>
              <w:t>Granted</w:t>
            </w:r>
          </w:p>
        </w:tc>
        <w:tc>
          <w:tcPr>
            <w:tcW w:w="1360" w:type="dxa"/>
            <w:vAlign w:val="bottom"/>
            <w:gridSpan w:val="4"/>
          </w:tcPr>
          <w:p>
            <w:pPr>
              <w:jc w:val="right"/>
              <w:ind w:right="90"/>
              <w:spacing w:after="0"/>
              <w:rPr>
                <w:sz w:val="20"/>
                <w:szCs w:val="20"/>
                <w:color w:val="auto"/>
              </w:rPr>
            </w:pPr>
            <w:r>
              <w:rPr>
                <w:rFonts w:ascii="Arial" w:cs="Arial" w:eastAsia="Arial" w:hAnsi="Arial"/>
                <w:sz w:val="14"/>
                <w:szCs w:val="14"/>
                <w:color w:val="auto"/>
              </w:rPr>
              <w:t>206,000</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gridSpan w:val="4"/>
          </w:tcPr>
          <w:p>
            <w:pPr>
              <w:ind w:left="280"/>
              <w:spacing w:after="0"/>
              <w:rPr>
                <w:sz w:val="20"/>
                <w:szCs w:val="20"/>
                <w:color w:val="auto"/>
              </w:rPr>
            </w:pPr>
            <w:r>
              <w:rPr>
                <w:rFonts w:ascii="Arial" w:cs="Arial" w:eastAsia="Arial" w:hAnsi="Arial"/>
                <w:sz w:val="14"/>
                <w:szCs w:val="14"/>
                <w:color w:val="auto"/>
              </w:rPr>
              <w:t>5.94</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5"/>
          </w:tcPr>
          <w:p>
            <w:pPr>
              <w:ind w:left="640"/>
              <w:spacing w:after="0"/>
              <w:rPr>
                <w:sz w:val="20"/>
                <w:szCs w:val="20"/>
                <w:color w:val="auto"/>
              </w:rPr>
            </w:pPr>
            <w:r>
              <w:rPr>
                <w:rFonts w:ascii="Arial" w:cs="Arial" w:eastAsia="Arial" w:hAnsi="Arial"/>
                <w:sz w:val="14"/>
                <w:szCs w:val="14"/>
                <w:color w:val="auto"/>
                <w:w w:val="97"/>
              </w:rPr>
              <w:t>-- --</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5"/>
          </w:tcPr>
          <w:p>
            <w:pPr>
              <w:jc w:val="right"/>
              <w:spacing w:after="0"/>
              <w:rPr>
                <w:sz w:val="20"/>
                <w:szCs w:val="20"/>
                <w:color w:val="auto"/>
              </w:rPr>
            </w:pPr>
            <w:r>
              <w:rPr>
                <w:rFonts w:ascii="Arial" w:cs="Arial" w:eastAsia="Arial" w:hAnsi="Arial"/>
                <w:sz w:val="14"/>
                <w:szCs w:val="14"/>
                <w:color w:val="auto"/>
              </w:rPr>
              <w:t>--</w:t>
            </w:r>
          </w:p>
        </w:tc>
      </w:tr>
      <w:tr>
        <w:trPr>
          <w:trHeight w:val="226"/>
        </w:trPr>
        <w:tc>
          <w:tcPr>
            <w:tcW w:w="2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1360" w:type="dxa"/>
            <w:vAlign w:val="bottom"/>
            <w:gridSpan w:val="4"/>
            <w:shd w:val="clear" w:color="auto" w:fill="CCEEFF"/>
          </w:tcPr>
          <w:p>
            <w:pPr>
              <w:jc w:val="right"/>
              <w:ind w:right="70"/>
              <w:spacing w:after="0"/>
              <w:rPr>
                <w:sz w:val="20"/>
                <w:szCs w:val="20"/>
                <w:color w:val="auto"/>
              </w:rPr>
            </w:pPr>
            <w:r>
              <w:rPr>
                <w:rFonts w:ascii="Arial" w:cs="Arial" w:eastAsia="Arial" w:hAnsi="Arial"/>
                <w:sz w:val="14"/>
                <w:szCs w:val="14"/>
                <w:color w:val="auto"/>
              </w:rPr>
              <w:t>(136,000)</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60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4.68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5"/>
            <w:shd w:val="clear" w:color="auto" w:fill="CCEEFF"/>
          </w:tcPr>
          <w:p>
            <w:pPr>
              <w:ind w:left="640"/>
              <w:spacing w:after="0"/>
              <w:rPr>
                <w:sz w:val="20"/>
                <w:szCs w:val="20"/>
                <w:color w:val="auto"/>
              </w:rPr>
            </w:pPr>
            <w:r>
              <w:rPr>
                <w:rFonts w:ascii="Arial" w:cs="Arial" w:eastAsia="Arial" w:hAnsi="Arial"/>
                <w:sz w:val="14"/>
                <w:szCs w:val="14"/>
                <w:color w:val="auto"/>
                <w:w w:val="97"/>
              </w:rPr>
              <w:t>-- --</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2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Expired</w:t>
            </w:r>
          </w:p>
        </w:tc>
        <w:tc>
          <w:tcPr>
            <w:tcW w:w="13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color w:val="auto"/>
              </w:rPr>
              <w:t>(20,000)</w:t>
            </w: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3.75</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color w:val="auto"/>
                <w:w w:val="97"/>
              </w:rPr>
              <w:t>-- --</w:t>
            </w: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Outstanding - December 31, 2012</w:t>
            </w:r>
          </w:p>
        </w:tc>
        <w:tc>
          <w:tcPr>
            <w:tcW w:w="1360" w:type="dxa"/>
            <w:vAlign w:val="bottom"/>
            <w:tcBorders>
              <w:bottom w:val="single" w:sz="8" w:color="auto"/>
            </w:tcBorders>
            <w:gridSpan w:val="4"/>
            <w:shd w:val="clear" w:color="auto" w:fill="CCEEFF"/>
          </w:tcPr>
          <w:p>
            <w:pPr>
              <w:jc w:val="right"/>
              <w:ind w:right="90"/>
              <w:spacing w:after="0"/>
              <w:rPr>
                <w:sz w:val="20"/>
                <w:szCs w:val="20"/>
                <w:color w:val="auto"/>
              </w:rPr>
            </w:pPr>
            <w:r>
              <w:rPr>
                <w:rFonts w:ascii="Arial" w:cs="Arial" w:eastAsia="Arial" w:hAnsi="Arial"/>
                <w:sz w:val="14"/>
                <w:szCs w:val="14"/>
                <w:color w:val="auto"/>
              </w:rPr>
              <w:t>672,350</w:t>
            </w:r>
          </w:p>
        </w:tc>
        <w:tc>
          <w:tcPr>
            <w:tcW w:w="7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185,100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4"/>
            <w:shd w:val="clear" w:color="auto" w:fill="CCEEFF"/>
          </w:tcPr>
          <w:p>
            <w:pPr>
              <w:ind w:left="280"/>
              <w:spacing w:after="0"/>
              <w:rPr>
                <w:sz w:val="20"/>
                <w:szCs w:val="20"/>
                <w:color w:val="auto"/>
              </w:rPr>
            </w:pPr>
            <w:r>
              <w:rPr>
                <w:rFonts w:ascii="Arial" w:cs="Arial" w:eastAsia="Arial" w:hAnsi="Arial"/>
                <w:sz w:val="14"/>
                <w:szCs w:val="14"/>
                <w:color w:val="auto"/>
              </w:rPr>
              <w:t>6.24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9.90</w:t>
            </w:r>
          </w:p>
        </w:tc>
        <w:tc>
          <w:tcPr>
            <w:tcW w:w="8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546,350</w:t>
            </w:r>
          </w:p>
        </w:tc>
        <w:tc>
          <w:tcPr>
            <w:tcW w:w="78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185,100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9.90</w:t>
            </w:r>
          </w:p>
        </w:tc>
      </w:tr>
      <w:tr>
        <w:trPr>
          <w:trHeight w:val="203"/>
        </w:trPr>
        <w:tc>
          <w:tcPr>
            <w:tcW w:w="2380" w:type="dxa"/>
            <w:vAlign w:val="bottom"/>
          </w:tcPr>
          <w:p>
            <w:pPr>
              <w:ind w:left="100"/>
              <w:spacing w:after="0"/>
              <w:rPr>
                <w:sz w:val="20"/>
                <w:szCs w:val="20"/>
                <w:color w:val="auto"/>
              </w:rPr>
            </w:pPr>
            <w:r>
              <w:rPr>
                <w:rFonts w:ascii="Arial" w:cs="Arial" w:eastAsia="Arial" w:hAnsi="Arial"/>
                <w:sz w:val="14"/>
                <w:szCs w:val="14"/>
                <w:color w:val="auto"/>
              </w:rPr>
              <w:t>Granted</w:t>
            </w:r>
          </w:p>
        </w:tc>
        <w:tc>
          <w:tcPr>
            <w:tcW w:w="1360" w:type="dxa"/>
            <w:vAlign w:val="bottom"/>
            <w:gridSpan w:val="4"/>
          </w:tcPr>
          <w:p>
            <w:pPr>
              <w:jc w:val="right"/>
              <w:ind w:right="90"/>
              <w:spacing w:after="0"/>
              <w:rPr>
                <w:sz w:val="20"/>
                <w:szCs w:val="20"/>
                <w:color w:val="auto"/>
              </w:rPr>
            </w:pPr>
            <w:r>
              <w:rPr>
                <w:rFonts w:ascii="Arial" w:cs="Arial" w:eastAsia="Arial" w:hAnsi="Arial"/>
                <w:sz w:val="14"/>
                <w:szCs w:val="14"/>
                <w:color w:val="auto"/>
              </w:rPr>
              <w:t>175,000</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gridSpan w:val="4"/>
          </w:tcPr>
          <w:p>
            <w:pPr>
              <w:ind w:left="280"/>
              <w:spacing w:after="0"/>
              <w:rPr>
                <w:sz w:val="20"/>
                <w:szCs w:val="20"/>
                <w:color w:val="auto"/>
              </w:rPr>
            </w:pPr>
            <w:r>
              <w:rPr>
                <w:rFonts w:ascii="Arial" w:cs="Arial" w:eastAsia="Arial" w:hAnsi="Arial"/>
                <w:sz w:val="14"/>
                <w:szCs w:val="14"/>
                <w:color w:val="auto"/>
              </w:rPr>
              <w:t>6.19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4"/>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gridSpan w:val="5"/>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1360" w:type="dxa"/>
            <w:vAlign w:val="bottom"/>
            <w:tcBorders>
              <w:bottom w:val="single" w:sz="8" w:color="auto"/>
            </w:tcBorders>
            <w:gridSpan w:val="4"/>
            <w:shd w:val="clear" w:color="auto" w:fill="CCEEFF"/>
          </w:tcPr>
          <w:p>
            <w:pPr>
              <w:jc w:val="right"/>
              <w:ind w:right="70"/>
              <w:spacing w:after="0"/>
              <w:rPr>
                <w:sz w:val="20"/>
                <w:szCs w:val="20"/>
                <w:color w:val="auto"/>
              </w:rPr>
            </w:pPr>
            <w:r>
              <w:rPr>
                <w:rFonts w:ascii="Arial" w:cs="Arial" w:eastAsia="Arial" w:hAnsi="Arial"/>
                <w:sz w:val="14"/>
                <w:szCs w:val="14"/>
                <w:color w:val="auto"/>
              </w:rPr>
              <w:t>(137,500)</w:t>
            </w:r>
          </w:p>
        </w:tc>
        <w:tc>
          <w:tcPr>
            <w:tcW w:w="7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4"/>
            <w:shd w:val="clear" w:color="auto" w:fill="CCEEFF"/>
          </w:tcPr>
          <w:p>
            <w:pPr>
              <w:ind w:left="280"/>
              <w:spacing w:after="0"/>
              <w:rPr>
                <w:sz w:val="20"/>
                <w:szCs w:val="20"/>
                <w:color w:val="auto"/>
              </w:rPr>
            </w:pPr>
            <w:r>
              <w:rPr>
                <w:rFonts w:ascii="Arial" w:cs="Arial" w:eastAsia="Arial" w:hAnsi="Arial"/>
                <w:sz w:val="14"/>
                <w:szCs w:val="14"/>
                <w:color w:val="auto"/>
              </w:rPr>
              <w:t>4.00</w:t>
            </w: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4"/>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 December 31, 2013</w:t>
            </w:r>
          </w:p>
        </w:tc>
        <w:tc>
          <w:tcPr>
            <w:tcW w:w="1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color w:val="auto"/>
              </w:rPr>
              <w:t>709,850</w:t>
            </w: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185,100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6.66</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9.90</w:t>
            </w:r>
          </w:p>
        </w:tc>
        <w:tc>
          <w:tcPr>
            <w:tcW w:w="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490,350</w:t>
            </w:r>
          </w:p>
        </w:tc>
        <w:tc>
          <w:tcPr>
            <w:tcW w:w="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185,100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9.90</w:t>
            </w:r>
          </w:p>
        </w:tc>
      </w:tr>
      <w:tr>
        <w:trPr>
          <w:trHeight w:val="211"/>
        </w:trPr>
        <w:tc>
          <w:tcPr>
            <w:tcW w:w="2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Granted</w:t>
            </w:r>
          </w:p>
        </w:tc>
        <w:tc>
          <w:tcPr>
            <w:tcW w:w="1360" w:type="dxa"/>
            <w:vAlign w:val="bottom"/>
            <w:gridSpan w:val="4"/>
            <w:shd w:val="clear" w:color="auto" w:fill="CCEEFF"/>
          </w:tcPr>
          <w:p>
            <w:pPr>
              <w:jc w:val="right"/>
              <w:ind w:right="90"/>
              <w:spacing w:after="0"/>
              <w:rPr>
                <w:sz w:val="20"/>
                <w:szCs w:val="20"/>
                <w:color w:val="auto"/>
              </w:rPr>
            </w:pPr>
            <w:r>
              <w:rPr>
                <w:rFonts w:ascii="Arial" w:cs="Arial" w:eastAsia="Arial" w:hAnsi="Arial"/>
                <w:sz w:val="14"/>
                <w:szCs w:val="14"/>
                <w:color w:val="auto"/>
              </w:rPr>
              <w:t>80,000</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8.56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2380" w:type="dxa"/>
            <w:vAlign w:val="bottom"/>
          </w:tcPr>
          <w:p>
            <w:pPr>
              <w:ind w:left="100"/>
              <w:spacing w:after="0"/>
              <w:rPr>
                <w:sz w:val="20"/>
                <w:szCs w:val="20"/>
                <w:color w:val="auto"/>
              </w:rPr>
            </w:pPr>
            <w:r>
              <w:rPr>
                <w:rFonts w:ascii="Arial" w:cs="Arial" w:eastAsia="Arial" w:hAnsi="Arial"/>
                <w:sz w:val="14"/>
                <w:szCs w:val="14"/>
                <w:color w:val="auto"/>
              </w:rPr>
              <w:t>Exercised</w:t>
            </w:r>
          </w:p>
        </w:tc>
        <w:tc>
          <w:tcPr>
            <w:tcW w:w="1360" w:type="dxa"/>
            <w:vAlign w:val="bottom"/>
            <w:gridSpan w:val="4"/>
          </w:tcPr>
          <w:p>
            <w:pPr>
              <w:jc w:val="right"/>
              <w:ind w:right="70"/>
              <w:spacing w:after="0"/>
              <w:rPr>
                <w:sz w:val="20"/>
                <w:szCs w:val="20"/>
                <w:color w:val="auto"/>
              </w:rPr>
            </w:pPr>
            <w:r>
              <w:rPr>
                <w:rFonts w:ascii="Arial" w:cs="Arial" w:eastAsia="Arial" w:hAnsi="Arial"/>
                <w:sz w:val="14"/>
                <w:szCs w:val="14"/>
                <w:color w:val="auto"/>
              </w:rPr>
              <w:t>(157,600)</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00" w:type="dxa"/>
            <w:vAlign w:val="bottom"/>
            <w:gridSpan w:val="4"/>
          </w:tcPr>
          <w:p>
            <w:pPr>
              <w:ind w:left="280"/>
              <w:spacing w:after="0"/>
              <w:rPr>
                <w:sz w:val="20"/>
                <w:szCs w:val="20"/>
                <w:color w:val="auto"/>
              </w:rPr>
            </w:pPr>
            <w:r>
              <w:rPr>
                <w:rFonts w:ascii="Arial" w:cs="Arial" w:eastAsia="Arial" w:hAnsi="Arial"/>
                <w:sz w:val="14"/>
                <w:szCs w:val="14"/>
                <w:color w:val="auto"/>
              </w:rPr>
              <w:t>6.21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4"/>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620" w:type="dxa"/>
            <w:vAlign w:val="bottom"/>
            <w:gridSpan w:val="5"/>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Expired</w:t>
            </w:r>
          </w:p>
        </w:tc>
        <w:tc>
          <w:tcPr>
            <w:tcW w:w="1360" w:type="dxa"/>
            <w:vAlign w:val="bottom"/>
            <w:tcBorders>
              <w:bottom w:val="single" w:sz="8" w:color="auto"/>
            </w:tcBorders>
            <w:gridSpan w:val="4"/>
            <w:shd w:val="clear" w:color="auto" w:fill="CCEEFF"/>
          </w:tcPr>
          <w:p>
            <w:pPr>
              <w:jc w:val="right"/>
              <w:ind w:right="70"/>
              <w:spacing w:after="0"/>
              <w:rPr>
                <w:sz w:val="20"/>
                <w:szCs w:val="20"/>
                <w:color w:val="auto"/>
              </w:rPr>
            </w:pPr>
            <w:r>
              <w:rPr>
                <w:rFonts w:ascii="Arial" w:cs="Arial" w:eastAsia="Arial" w:hAnsi="Arial"/>
                <w:sz w:val="14"/>
                <w:szCs w:val="14"/>
                <w:color w:val="auto"/>
              </w:rPr>
              <w:t>(64,000)</w:t>
            </w:r>
          </w:p>
        </w:tc>
        <w:tc>
          <w:tcPr>
            <w:tcW w:w="7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4"/>
            <w:shd w:val="clear" w:color="auto" w:fill="CCEEFF"/>
          </w:tcPr>
          <w:p>
            <w:pPr>
              <w:ind w:left="280"/>
              <w:spacing w:after="0"/>
              <w:rPr>
                <w:sz w:val="20"/>
                <w:szCs w:val="20"/>
                <w:color w:val="auto"/>
              </w:rPr>
            </w:pPr>
            <w:r>
              <w:rPr>
                <w:rFonts w:ascii="Arial" w:cs="Arial" w:eastAsia="Arial" w:hAnsi="Arial"/>
                <w:sz w:val="14"/>
                <w:szCs w:val="14"/>
                <w:color w:val="auto"/>
              </w:rPr>
              <w:t>6.83</w:t>
            </w: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4"/>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 December 31, 2014</w:t>
            </w:r>
          </w:p>
        </w:tc>
        <w:tc>
          <w:tcPr>
            <w:tcW w:w="1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color w:val="auto"/>
              </w:rPr>
              <w:t>568,250</w:t>
            </w: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185,100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6.88</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9.90</w:t>
            </w:r>
          </w:p>
        </w:tc>
        <w:tc>
          <w:tcPr>
            <w:tcW w:w="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348,000</w:t>
            </w:r>
          </w:p>
        </w:tc>
        <w:tc>
          <w:tcPr>
            <w:tcW w:w="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185,100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6.82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9.90</w:t>
            </w:r>
          </w:p>
        </w:tc>
      </w:tr>
    </w:tbl>
    <w:p>
      <w:pPr>
        <w:spacing w:after="0" w:line="17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weighted average remaining contractual life of all options outstanding, vested and expected to vest, at December 31, 2014 and 2013 were approximately 2.44 and 4.70 years, respectively. The weighted average remaining contractual life of the exercisable options outstanding at December 31, 2014 and 2013 was approximately 3.11 and 3.63 years, respectively.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4 – Earnings (Loss) Per Share</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For the three years ended December 31, 2014, we calculated the following earnings (loss) per share (dollars in thousands, except per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2012</w:t>
            </w:r>
          </w:p>
        </w:tc>
      </w:tr>
      <w:tr>
        <w:trPr>
          <w:trHeight w:val="200"/>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continuing operations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25,701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9,041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r>
      <w:tr>
        <w:trPr>
          <w:trHeight w:val="209"/>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(loss) from discontinued operations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r>
      <w:tr>
        <w:trPr>
          <w:trHeight w:val="429"/>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Reading International, Inc. common shareholders</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25,701</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9,041</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r>
      <w:tr>
        <w:trPr>
          <w:trHeight w:val="258"/>
        </w:trPr>
        <w:tc>
          <w:tcPr>
            <w:tcW w:w="5600" w:type="dxa"/>
            <w:vAlign w:val="bottom"/>
          </w:tcPr>
          <w:p>
            <w:pPr>
              <w:spacing w:after="0"/>
              <w:rPr>
                <w:sz w:val="20"/>
                <w:szCs w:val="20"/>
                <w:color w:val="auto"/>
              </w:rPr>
            </w:pPr>
            <w:r>
              <w:rPr>
                <w:rFonts w:ascii="Arial" w:cs="Arial" w:eastAsia="Arial" w:hAnsi="Arial"/>
                <w:sz w:val="14"/>
                <w:szCs w:val="14"/>
                <w:b w:val="1"/>
                <w:bCs w:val="1"/>
                <w:color w:val="auto"/>
                <w:w w:val="96"/>
              </w:rPr>
              <w:t>Basic  income  (loss)  per  common  share  attributable  to  Reading  International,  Inc.</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86"/>
        </w:trPr>
        <w:tc>
          <w:tcPr>
            <w:tcW w:w="560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Earnings (loss) from continuing operations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209"/>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Earnings (loss) from discontinued operations,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r>
      <w:tr>
        <w:trPr>
          <w:trHeight w:val="452"/>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Basic income (loss) per share attributable to Reading International, Inc. shareholders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93"/>
        </w:trPr>
        <w:tc>
          <w:tcPr>
            <w:tcW w:w="5600" w:type="dxa"/>
            <w:vAlign w:val="bottom"/>
          </w:tcPr>
          <w:p>
            <w:pPr>
              <w:spacing w:after="0"/>
              <w:rPr>
                <w:sz w:val="20"/>
                <w:szCs w:val="20"/>
                <w:color w:val="auto"/>
              </w:rPr>
            </w:pPr>
            <w:r>
              <w:rPr>
                <w:rFonts w:ascii="Arial" w:cs="Arial" w:eastAsia="Arial" w:hAnsi="Arial"/>
                <w:sz w:val="14"/>
                <w:szCs w:val="14"/>
                <w:b w:val="1"/>
                <w:bCs w:val="1"/>
                <w:color w:val="auto"/>
              </w:rPr>
              <w:t>Diluted income (loss) per common share attributable to Reading International, Inc.</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560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7"/>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Earnings (loss) from continuing operations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230"/>
        </w:trPr>
        <w:tc>
          <w:tcPr>
            <w:tcW w:w="5600" w:type="dxa"/>
            <w:vAlign w:val="bottom"/>
          </w:tcPr>
          <w:p>
            <w:pPr>
              <w:spacing w:after="0"/>
              <w:rPr>
                <w:sz w:val="20"/>
                <w:szCs w:val="20"/>
                <w:color w:val="auto"/>
              </w:rPr>
            </w:pPr>
            <w:r>
              <w:rPr>
                <w:rFonts w:ascii="Arial" w:cs="Arial" w:eastAsia="Arial" w:hAnsi="Arial"/>
                <w:sz w:val="14"/>
                <w:szCs w:val="14"/>
                <w:color w:val="auto"/>
              </w:rPr>
              <w:t>Earnings (loss) from discontinued operations, net</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(0.02)</w:t>
            </w: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660" w:right="1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462"/>
        </w:trPr>
        <w:tc>
          <w:tcPr>
            <w:tcW w:w="5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98"/>
              </w:rPr>
              <w:t>Diluted income (loss) per share attributable to Reading International, Inc. shareholders</w:t>
            </w:r>
          </w:p>
        </w:tc>
        <w:tc>
          <w:tcPr>
            <w:tcW w:w="6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1.08</w:t>
            </w: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0.38</w:t>
            </w: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32"/>
        </w:trPr>
        <w:tc>
          <w:tcPr>
            <w:tcW w:w="5280" w:type="dxa"/>
            <w:vAlign w:val="bottom"/>
          </w:tcPr>
          <w:p>
            <w:pPr>
              <w:spacing w:after="0"/>
              <w:rPr>
                <w:sz w:val="20"/>
                <w:szCs w:val="20"/>
                <w:color w:val="auto"/>
              </w:rPr>
            </w:pPr>
            <w:r>
              <w:rPr>
                <w:rFonts w:ascii="Arial" w:cs="Arial" w:eastAsia="Arial" w:hAnsi="Arial"/>
                <w:sz w:val="14"/>
                <w:szCs w:val="14"/>
                <w:color w:val="auto"/>
              </w:rPr>
              <w:t>Weighted average shares of common stock – basic</w:t>
            </w:r>
          </w:p>
        </w:tc>
        <w:tc>
          <w:tcPr>
            <w:tcW w:w="6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23,431,855</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23,348,003</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23,028,596</w:t>
            </w:r>
          </w:p>
        </w:tc>
      </w:tr>
      <w:tr>
        <w:trPr>
          <w:trHeight w:val="253"/>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Weighted average shares of common stock – diluted</w:t>
            </w:r>
          </w:p>
        </w:tc>
        <w:tc>
          <w:tcPr>
            <w:tcW w:w="6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23,749,221</w:t>
            </w: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23,520,271</w:t>
            </w: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23,028,596</w:t>
            </w:r>
          </w:p>
        </w:tc>
      </w:tr>
    </w:tbl>
    <w:p>
      <w:pPr>
        <w:spacing w:after="0" w:line="175" w:lineRule="exact"/>
        <w:rPr>
          <w:sz w:val="20"/>
          <w:szCs w:val="20"/>
          <w:color w:val="auto"/>
        </w:rPr>
      </w:pPr>
    </w:p>
    <w:p>
      <w:pPr>
        <w:jc w:val="both"/>
        <w:ind w:right="20" w:firstLine="564"/>
        <w:spacing w:after="0" w:line="266" w:lineRule="auto"/>
        <w:rPr>
          <w:sz w:val="20"/>
          <w:szCs w:val="20"/>
          <w:color w:val="auto"/>
        </w:rPr>
      </w:pPr>
      <w:r>
        <w:rPr>
          <w:rFonts w:ascii="Arial" w:cs="Arial" w:eastAsia="Arial" w:hAnsi="Arial"/>
          <w:sz w:val="15"/>
          <w:szCs w:val="15"/>
          <w:color w:val="auto"/>
        </w:rPr>
        <w:t>For the years ended December 31, 2014 and 2013 the weighted average common stock – dilutive included 317,366 and 172,268, respectively, of incremental shares of exercisable in-the-money stock options and unissued restricted Class A Stock. For the year ended December 31, 2012, we recorded a loss from continuing operations. As such, the 284,054 of incremental shares of exercisable in-the-money stock options and unissued restricted Class A Stock were excluded from the computation of diluted loss per share because they were anti-dilutive in that period. In addition, 596,627, 847,891, and 791,286 of out-of-the-money stock options were excluded from the computation of diluted earnings (loss) per share for the years ended December 31, 2014, 2013, and 2012, respectively. The total number of in-the-money stock options, out-of-the-money stock options, and unissued restricted Class A Stock that could potentially dilute basic earnings per share was 1,953,350, 1,020,159, and 1,075,340 for the years ended December 31, 2014, 2013, and 2012,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5 – Prepaid and Other Assets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80" w:type="dxa"/>
            <w:vAlign w:val="bottom"/>
          </w:tcPr>
          <w:p>
            <w:pPr>
              <w:ind w:left="560"/>
              <w:spacing w:after="0"/>
              <w:rPr>
                <w:sz w:val="20"/>
                <w:szCs w:val="20"/>
                <w:color w:val="auto"/>
              </w:rPr>
            </w:pPr>
            <w:r>
              <w:rPr>
                <w:rFonts w:ascii="Arial" w:cs="Arial" w:eastAsia="Arial" w:hAnsi="Arial"/>
                <w:sz w:val="16"/>
                <w:szCs w:val="16"/>
                <w:color w:val="auto"/>
                <w:w w:val="93"/>
              </w:rPr>
              <w:t>Prepaid and other assets are summarized as follows (dollars in thousands):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529"/>
        </w:trPr>
        <w:tc>
          <w:tcPr>
            <w:tcW w:w="5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54"/>
        </w:trPr>
        <w:tc>
          <w:tcPr>
            <w:tcW w:w="55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2013</w:t>
            </w:r>
          </w:p>
        </w:tc>
      </w:tr>
      <w:tr>
        <w:trPr>
          <w:trHeight w:val="235"/>
        </w:trPr>
        <w:tc>
          <w:tcPr>
            <w:tcW w:w="5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Prepaid and other current assets</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3"/>
        </w:trPr>
        <w:tc>
          <w:tcPr>
            <w:tcW w:w="558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138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1,166</w:t>
            </w:r>
          </w:p>
        </w:tc>
        <w:tc>
          <w:tcPr>
            <w:tcW w:w="6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24"/>
        </w:trPr>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taxes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855</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23"/>
        </w:trPr>
        <w:tc>
          <w:tcPr>
            <w:tcW w:w="5580" w:type="dxa"/>
            <w:vAlign w:val="bottom"/>
          </w:tcPr>
          <w:p>
            <w:pPr>
              <w:ind w:left="100"/>
              <w:spacing w:after="0"/>
              <w:rPr>
                <w:sz w:val="20"/>
                <w:szCs w:val="20"/>
                <w:color w:val="auto"/>
              </w:rPr>
            </w:pPr>
            <w:r>
              <w:rPr>
                <w:rFonts w:ascii="Arial" w:cs="Arial" w:eastAsia="Arial" w:hAnsi="Arial"/>
                <w:sz w:val="16"/>
                <w:szCs w:val="16"/>
                <w:color w:val="auto"/>
              </w:rPr>
              <w:t>Prepaid rent</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1,033</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1,210</w:t>
            </w:r>
          </w:p>
        </w:tc>
      </w:tr>
      <w:tr>
        <w:trPr>
          <w:trHeight w:val="224"/>
        </w:trPr>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Deposits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369</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23"/>
        </w:trPr>
        <w:tc>
          <w:tcPr>
            <w:tcW w:w="5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95"/>
        </w:trPr>
        <w:tc>
          <w:tcPr>
            <w:tcW w:w="5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 prepaid and other current assets</w:t>
            </w:r>
          </w:p>
        </w:tc>
        <w:tc>
          <w:tcPr>
            <w:tcW w:w="1380" w:type="dxa"/>
            <w:vAlign w:val="bottom"/>
            <w:tcBorders>
              <w:bottom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3,426</w:t>
            </w:r>
          </w:p>
        </w:tc>
        <w:tc>
          <w:tcPr>
            <w:tcW w:w="6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r>
      <w:tr>
        <w:trPr>
          <w:trHeight w:val="106"/>
        </w:trPr>
        <w:tc>
          <w:tcPr>
            <w:tcW w:w="5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34"/>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Other non-current assets</w:t>
            </w: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r>
      <w:tr>
        <w:trPr>
          <w:trHeight w:val="203"/>
        </w:trPr>
        <w:tc>
          <w:tcPr>
            <w:tcW w:w="5580" w:type="dxa"/>
            <w:vAlign w:val="bottom"/>
          </w:tcPr>
          <w:p>
            <w:pPr>
              <w:ind w:left="100"/>
              <w:spacing w:after="0"/>
              <w:rPr>
                <w:sz w:val="20"/>
                <w:szCs w:val="20"/>
                <w:color w:val="auto"/>
              </w:rPr>
            </w:pPr>
            <w:r>
              <w:rPr>
                <w:rFonts w:ascii="Arial" w:cs="Arial" w:eastAsia="Arial" w:hAnsi="Arial"/>
                <w:sz w:val="16"/>
                <w:szCs w:val="16"/>
                <w:color w:val="auto"/>
              </w:rPr>
              <w:t>Other non-cinema and non-rental real estate assets</w:t>
            </w:r>
          </w:p>
        </w:tc>
        <w:tc>
          <w:tcPr>
            <w:tcW w:w="138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1,134</w:t>
            </w:r>
          </w:p>
        </w:tc>
        <w:tc>
          <w:tcPr>
            <w:tcW w:w="6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1,134</w:t>
            </w:r>
          </w:p>
        </w:tc>
      </w:tr>
      <w:tr>
        <w:trPr>
          <w:trHeight w:val="224"/>
        </w:trPr>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Long-term deposits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97</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23"/>
        </w:trPr>
        <w:tc>
          <w:tcPr>
            <w:tcW w:w="5580" w:type="dxa"/>
            <w:vAlign w:val="bottom"/>
          </w:tcPr>
          <w:p>
            <w:pPr>
              <w:ind w:left="100"/>
              <w:spacing w:after="0"/>
              <w:rPr>
                <w:sz w:val="20"/>
                <w:szCs w:val="20"/>
                <w:color w:val="auto"/>
              </w:rPr>
            </w:pPr>
            <w:r>
              <w:rPr>
                <w:rFonts w:ascii="Arial" w:cs="Arial" w:eastAsia="Arial" w:hAnsi="Arial"/>
                <w:sz w:val="16"/>
                <w:szCs w:val="16"/>
                <w:color w:val="auto"/>
              </w:rPr>
              <w:t>Deferred financing costs, net</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2,515</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1,833</w:t>
            </w:r>
          </w:p>
        </w:tc>
      </w:tr>
      <w:tr>
        <w:trPr>
          <w:trHeight w:val="224"/>
        </w:trPr>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cap at fair value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23"/>
        </w:trPr>
        <w:tc>
          <w:tcPr>
            <w:tcW w:w="5580" w:type="dxa"/>
            <w:vAlign w:val="bottom"/>
          </w:tcPr>
          <w:p>
            <w:pPr>
              <w:ind w:left="100"/>
              <w:spacing w:after="0"/>
              <w:rPr>
                <w:sz w:val="20"/>
                <w:szCs w:val="20"/>
                <w:color w:val="auto"/>
              </w:rPr>
            </w:pPr>
            <w:r>
              <w:rPr>
                <w:rFonts w:ascii="Arial" w:cs="Arial" w:eastAsia="Arial" w:hAnsi="Arial"/>
                <w:sz w:val="16"/>
                <w:szCs w:val="16"/>
                <w:color w:val="auto"/>
              </w:rPr>
              <w:t>Tenant inducement asset</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24"/>
        </w:trPr>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Straight-line rent asset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2,547</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w:t>
            </w:r>
          </w:p>
        </w:tc>
      </w:tr>
      <w:tr>
        <w:trPr>
          <w:trHeight w:val="223"/>
        </w:trPr>
        <w:tc>
          <w:tcPr>
            <w:tcW w:w="5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95"/>
        </w:trPr>
        <w:tc>
          <w:tcPr>
            <w:tcW w:w="5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1380" w:type="dxa"/>
            <w:vAlign w:val="bottom"/>
            <w:tcBorders>
              <w:bottom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6,313</w:t>
            </w:r>
          </w:p>
        </w:tc>
        <w:tc>
          <w:tcPr>
            <w:tcW w:w="6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6 – Operating Property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Property associated with our operating activities is summarized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vMerge w:val="restart"/>
          </w:tcPr>
          <w:p>
            <w:pPr>
              <w:spacing w:after="0"/>
              <w:rPr>
                <w:sz w:val="20"/>
                <w:szCs w:val="20"/>
                <w:color w:val="auto"/>
              </w:rPr>
            </w:pPr>
            <w:r>
              <w:rPr>
                <w:rFonts w:ascii="Arial" w:cs="Arial" w:eastAsia="Arial" w:hAnsi="Arial"/>
                <w:sz w:val="16"/>
                <w:szCs w:val="16"/>
                <w:b w:val="1"/>
                <w:bCs w:val="1"/>
                <w:color w:val="auto"/>
              </w:rPr>
              <w:t>Operating property</w:t>
            </w:r>
          </w:p>
        </w:tc>
        <w:tc>
          <w:tcPr>
            <w:tcW w:w="2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8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2"/>
              <w:spacing w:after="0" w:line="181" w:lineRule="exact"/>
              <w:rPr>
                <w:sz w:val="20"/>
                <w:szCs w:val="20"/>
                <w:color w:val="auto"/>
              </w:rPr>
            </w:pPr>
            <w:r>
              <w:rPr>
                <w:rFonts w:ascii="Arial" w:cs="Arial" w:eastAsia="Arial" w:hAnsi="Arial"/>
                <w:sz w:val="16"/>
                <w:szCs w:val="16"/>
                <w:b w:val="1"/>
                <w:bCs w:val="1"/>
                <w:color w:val="auto"/>
              </w:rPr>
              <w:t>2014</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Land</w:t>
            </w:r>
          </w:p>
        </w:tc>
        <w:tc>
          <w:tcPr>
            <w:tcW w:w="3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62,024</w:t>
            </w:r>
          </w:p>
        </w:tc>
        <w:tc>
          <w:tcPr>
            <w:tcW w:w="6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00"/>
              <w:spacing w:after="0"/>
              <w:rPr>
                <w:sz w:val="20"/>
                <w:szCs w:val="20"/>
                <w:color w:val="auto"/>
              </w:rPr>
            </w:pPr>
            <w:r>
              <w:rPr>
                <w:rFonts w:ascii="Arial" w:cs="Arial" w:eastAsia="Arial" w:hAnsi="Arial"/>
                <w:sz w:val="16"/>
                <w:szCs w:val="16"/>
                <w:color w:val="auto"/>
              </w:rPr>
              <w:t>Building and improvements</w:t>
            </w: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120,913</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8"/>
        </w:trPr>
        <w:tc>
          <w:tcPr>
            <w:tcW w:w="3180" w:type="dxa"/>
            <w:vAlign w:val="bottom"/>
          </w:tcPr>
          <w:p>
            <w:pPr>
              <w:spacing w:after="0"/>
              <w:rPr>
                <w:sz w:val="24"/>
                <w:szCs w:val="24"/>
                <w:color w:val="auto"/>
              </w:rPr>
            </w:pPr>
          </w:p>
        </w:tc>
        <w:tc>
          <w:tcPr>
            <w:tcW w:w="2760" w:type="dxa"/>
            <w:vAlign w:val="bottom"/>
          </w:tcPr>
          <w:p>
            <w:pPr>
              <w:jc w:val="right"/>
              <w:ind w:right="1182"/>
              <w:spacing w:after="0"/>
              <w:rPr>
                <w:sz w:val="20"/>
                <w:szCs w:val="20"/>
                <w:color w:val="auto"/>
              </w:rPr>
            </w:pPr>
            <w:r>
              <w:rPr>
                <w:rFonts w:ascii="Arial" w:cs="Arial" w:eastAsia="Arial" w:hAnsi="Arial"/>
                <w:sz w:val="16"/>
                <w:szCs w:val="16"/>
                <w:color w:val="auto"/>
              </w:rPr>
              <w:t>75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180" w:type="dxa"/>
            <w:vAlign w:val="bottom"/>
            <w:tcBorders>
              <w:bottom w:val="single" w:sz="8" w:color="9A9A9A"/>
            </w:tcBorders>
          </w:tcPr>
          <w:p>
            <w:pPr>
              <w:spacing w:after="0"/>
              <w:rPr>
                <w:sz w:val="11"/>
                <w:szCs w:val="11"/>
                <w:color w:val="auto"/>
              </w:rPr>
            </w:pPr>
          </w:p>
        </w:tc>
        <w:tc>
          <w:tcPr>
            <w:tcW w:w="27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0" w:right="1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5"/>
        </w:trPr>
        <w:tc>
          <w:tcPr>
            <w:tcW w:w="3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Leasehold improvements</w:t>
            </w:r>
          </w:p>
        </w:tc>
        <w:tc>
          <w:tcPr>
            <w:tcW w:w="2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51,494</w:t>
            </w: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46,330</w:t>
            </w:r>
          </w:p>
        </w:tc>
      </w:tr>
      <w:tr>
        <w:trPr>
          <w:trHeight w:val="234"/>
        </w:trPr>
        <w:tc>
          <w:tcPr>
            <w:tcW w:w="3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Fixtures and equipment</w:t>
            </w:r>
          </w:p>
        </w:tc>
        <w:tc>
          <w:tcPr>
            <w:tcW w:w="2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107,286</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106,099</w:t>
            </w:r>
          </w:p>
        </w:tc>
      </w:tr>
      <w:tr>
        <w:trPr>
          <w:trHeight w:val="215"/>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cost</w:t>
            </w:r>
          </w:p>
        </w:tc>
        <w:tc>
          <w:tcPr>
            <w:tcW w:w="2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341,717</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341,068</w:t>
            </w:r>
          </w:p>
        </w:tc>
      </w:tr>
      <w:tr>
        <w:trPr>
          <w:trHeight w:val="234"/>
        </w:trPr>
        <w:tc>
          <w:tcPr>
            <w:tcW w:w="3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Less: accumulated depreciation</w:t>
            </w:r>
          </w:p>
        </w:tc>
        <w:tc>
          <w:tcPr>
            <w:tcW w:w="2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(154,828)</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(149,408)</w:t>
            </w:r>
          </w:p>
        </w:tc>
      </w:tr>
      <w:tr>
        <w:trPr>
          <w:trHeight w:val="207"/>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property, net</w:t>
            </w:r>
          </w:p>
        </w:tc>
        <w:tc>
          <w:tcPr>
            <w:tcW w:w="242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186,889</w:t>
            </w:r>
          </w:p>
        </w:tc>
        <w:tc>
          <w:tcPr>
            <w:tcW w:w="6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191,660</w:t>
            </w:r>
          </w:p>
        </w:tc>
      </w:tr>
    </w:tbl>
    <w:p>
      <w:pPr>
        <w:spacing w:after="0" w:line="15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Depreciation expense for operating property was $14.4 million, $14.0 million, and $14.9 million for the three years ended December 31, 2014, 2013, and 2012,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7 – Investment and Development Property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Investment and development property is summarized as follows (dollars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207"/>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Investment and Development Property</w:t>
            </w: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2014</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2013</w:t>
            </w:r>
          </w:p>
        </w:tc>
      </w:tr>
      <w:tr>
        <w:trPr>
          <w:trHeight w:val="223"/>
        </w:trPr>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Land</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23,833</w:t>
            </w:r>
          </w:p>
        </w:tc>
        <w:tc>
          <w:tcPr>
            <w:tcW w:w="6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59,550</w:t>
            </w:r>
          </w:p>
        </w:tc>
      </w:tr>
      <w:tr>
        <w:trPr>
          <w:trHeight w:val="234"/>
        </w:trPr>
        <w:tc>
          <w:tcPr>
            <w:tcW w:w="4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Construction-in-progress (including capitalized interest)</w:t>
            </w: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2,291</w:t>
            </w: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14,680</w:t>
            </w:r>
          </w:p>
        </w:tc>
      </w:tr>
      <w:tr>
        <w:trPr>
          <w:trHeight w:val="207"/>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Investment and development property, net</w:t>
            </w:r>
          </w:p>
        </w:tc>
        <w:tc>
          <w:tcPr>
            <w:tcW w:w="15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26,124</w:t>
            </w:r>
          </w:p>
        </w:tc>
        <w:tc>
          <w:tcPr>
            <w:tcW w:w="6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74,230</w:t>
            </w:r>
          </w:p>
        </w:tc>
      </w:tr>
    </w:tbl>
    <w:p>
      <w:pPr>
        <w:spacing w:after="0" w:line="17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During the year-ended December 31, 2009, we decided to curtail our current development progress on certain Australian and New Zealand land development projects. As a result, we did not capitalize interest on these projects during 2014, 2013, and 2012 and we will not capitalize interest for these projects until development work recommences.</w:t>
      </w:r>
    </w:p>
    <w:p>
      <w:pPr>
        <w:spacing w:after="0" w:line="13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During 2014, our Burwood property was transferred to Held for Sale as an outcome of our successful sale transaction, which has not been treated as a sale, under U.S. GAAP.</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8 – Acquisitions, Disposals, and Assets Held for Sale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2014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Land held for Sale - Burwood</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On May 12, 2014, we entered into a contract to sell our undeveloped 50.6 acre parcel in Burwood, Victoria, Australia, to an affiliate of Australand Holdings Limited for a purchase price of $54.6 million (AUS$65.0 million).</w:t>
      </w:r>
    </w:p>
    <w:p>
      <w:pPr>
        <w:spacing w:after="0" w:line="134"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Reading received $5.9 million (AUS$6.5 million) on the May 23, 2014 closing. The balance of the purchase price is due on December 31, 2017. The agreement provides for mandatory pre-payments in the event that any of the land is sold by the buyer, any such prepayment being in an amount equal to the greater of (a) 90% of the net sale price or (b) the balance of the purchase price multiplied by a fraction the numerator of which is the square footage of property being sold by the buyer and the denominator of which is the original square footage of the property being sold to the buyer. The agreement does not provide for the payment of interest on the balance owed.</w:t>
      </w:r>
    </w:p>
    <w:p>
      <w:pPr>
        <w:spacing w:after="0" w:line="120" w:lineRule="exact"/>
        <w:rPr>
          <w:sz w:val="20"/>
          <w:szCs w:val="20"/>
          <w:color w:val="auto"/>
        </w:rPr>
      </w:pPr>
    </w:p>
    <w:p>
      <w:pPr>
        <w:jc w:val="both"/>
        <w:ind w:firstLine="564"/>
        <w:spacing w:after="0" w:line="254" w:lineRule="auto"/>
        <w:rPr>
          <w:sz w:val="20"/>
          <w:szCs w:val="20"/>
          <w:color w:val="auto"/>
        </w:rPr>
      </w:pPr>
      <w:r>
        <w:rPr>
          <w:rFonts w:ascii="Arial" w:cs="Arial" w:eastAsia="Arial" w:hAnsi="Arial"/>
          <w:sz w:val="17"/>
          <w:szCs w:val="17"/>
          <w:color w:val="auto"/>
        </w:rPr>
        <w:t>Our book value in the property is $42.6 million (AUS$52.1 million) and while the transaction was treated as a current sale for tax purposes [tax basis $37.4 million (AUS$45.3 million)], it does not qualify as a sale under US GAAP until the receipt of the payment of the balance of the purchase price due on December 31, 2017 (or earlier depending upon whether any prepayment obligation is triggered). The asset has been listed as a long term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-30480</wp:posOffset>
            </wp:positionV>
            <wp:extent cx="2730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2013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Plano Cinema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80" w:right="1359" w:bottom="1440" w:gutter="0" w:footer="0" w:header="0"/>
        </w:sectPr>
      </w:pPr>
    </w:p>
    <w:bookmarkStart w:id="76" w:name="page77"/>
    <w:bookmarkEnd w:id="76"/>
    <w:p>
      <w:pPr>
        <w:jc w:val="both"/>
        <w:ind w:firstLine="564"/>
        <w:spacing w:after="0" w:line="321" w:lineRule="auto"/>
        <w:rPr>
          <w:sz w:val="20"/>
          <w:szCs w:val="20"/>
          <w:color w:val="auto"/>
        </w:rPr>
      </w:pPr>
      <w:r>
        <w:rPr>
          <w:rFonts w:ascii="Arial" w:cs="Arial" w:eastAsia="Arial" w:hAnsi="Arial"/>
          <w:sz w:val="13"/>
          <w:szCs w:val="13"/>
          <w:color w:val="auto"/>
        </w:rPr>
        <w:t>On December 31, 2013, we settled a management fee claim that we had against the owner of the Plano, Texas cinema that we had managed since 2003 for a cash receipt of $1.9 million. As part of the settlement, we acquired that entity, and through the purchase of that entity acquired the underlying cinema’s lease and the associated personal property, equipment, and trade fixtures. Because the fair value of the lease, in light of anticipated rent payments, resulted in a lease liability of $320,000 and the acquired net assets, including cash received in connection with the settlement, were valued at $1.7 million, we recorded a net gain on acquisition and settlement of $1.4 million.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Land Held for Sale – Moonee Ponds</w:t>
      </w:r>
    </w:p>
    <w:p>
      <w:pPr>
        <w:spacing w:after="0" w:line="192" w:lineRule="exact"/>
        <w:rPr>
          <w:sz w:val="20"/>
          <w:szCs w:val="20"/>
          <w:color w:val="auto"/>
        </w:rPr>
      </w:pPr>
    </w:p>
    <w:p>
      <w:pPr>
        <w:jc w:val="both"/>
        <w:ind w:firstLine="564"/>
        <w:spacing w:after="0" w:line="312" w:lineRule="auto"/>
        <w:rPr>
          <w:sz w:val="20"/>
          <w:szCs w:val="20"/>
          <w:color w:val="auto"/>
        </w:rPr>
      </w:pPr>
      <w:r>
        <w:rPr>
          <w:rFonts w:ascii="Arial" w:cs="Arial" w:eastAsia="Arial" w:hAnsi="Arial"/>
          <w:sz w:val="13"/>
          <w:szCs w:val="13"/>
          <w:color w:val="auto"/>
        </w:rPr>
        <w:t>On October 15, 2013, we entered into a definitive purchase and sale agreement with Moonee Ponds Pty Ltd, an affiliate of Leighton Properties Pty Ltd, for the sale of our properties located in Moonee Ponds, Victoria, Australia. The agreement calls for a sale price of AUS$23.0 million payable in full on April 16, 2015. Leighton Properties Pty Ltd. has guaranteed the purchaser’s performance. Our attorney has received from the purchaser bank guaranties and checks in the amount of AUS$2.3 million representing the agreed upon 10% deposit. These amounts will be held by our attorney and released to us upon settlement on April 16, 2015. Prior to settlement, Reading retains title to the properties, is responsible for their costs (including taxes and utilities), and is entitled to receive all of their revenues (the properties are currently used as a parking lot). The properties comprise approximately 3.3 acres and are carried on our books at $11.6 million (AUS$12.4 million) at December 31, 2014 which is classified as land held for sale on our December 31, 2014 consolidated balance sheet. The historical operations of this property were as an non-attendant parking lot which are not material and thus not separately presented as discontinued operations.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2012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Indooroopilly - Sale</w:t>
      </w:r>
    </w:p>
    <w:p>
      <w:pPr>
        <w:spacing w:after="0" w:line="15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On November 20, 2012, we sold our Indooroopilly property for $12.4 million (AUS$12.0 million). As its book value at the time of sale was $12.5 million (AUS$12.1 million), we recorded a loss on sale in the form of an impairment expense of $318,000 (AUS$306,000) for the year ended December 31, 2012 which included the cost to sell the property. The operational results are included in income (loss) from discontinued operations on our Consolidated Statements of Operations for the year ended December 31, 2012 The condensed statement of operations for Indooroopilly is as follows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2012</w:t>
            </w:r>
          </w:p>
        </w:tc>
        <w:tc>
          <w:tcPr>
            <w:tcW w:w="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11"/>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7"/>
              </w:rPr>
              <w:t>793</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6"/>
                <w:szCs w:val="16"/>
                <w:color w:val="auto"/>
              </w:rPr>
              <w:t>Less: operating expense</w:t>
            </w:r>
          </w:p>
        </w:tc>
        <w:tc>
          <w:tcPr>
            <w:tcW w:w="194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w w:val="97"/>
              </w:rPr>
              <w:t>560</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4"/>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impairment expense</w:t>
            </w:r>
          </w:p>
        </w:tc>
        <w:tc>
          <w:tcPr>
            <w:tcW w:w="19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97"/>
              </w:rPr>
              <w:t>318</w:t>
            </w: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9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(loss) from discontinued operations, net of tax</w:t>
            </w:r>
          </w:p>
        </w:tc>
        <w:tc>
          <w:tcPr>
            <w:tcW w:w="1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84"/>
              </w:rPr>
              <w:t>(85)</w:t>
            </w:r>
          </w:p>
        </w:tc>
        <w:tc>
          <w:tcPr>
            <w:tcW w:w="2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Taringa - Sale</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February 21, 2012, we sold our three properties of approximately 1.1 acres in the Taringa area of Brisbane, Australia for $1.9 million (AUS$1.8 million). Because the net carrying amounts of these properties were greater than the total sale price, we recorded an impairment expense for these properties of $369,000 (AUS$365,000) for the year ended December 31, 2011.</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Coachella, California Land - Acquisition</w:t>
      </w:r>
    </w:p>
    <w:p>
      <w:pPr>
        <w:spacing w:after="0" w:line="15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On January 10, 2012, Shadow View Land and Farming, LLC, a limited liability company owned by our Company, acquired a 202-acre property, then zoned for the development of over 800 single-family residential units, located in the City of Coachella, California. The property was acquired at a foreclosure auction for $5.5 million. The property was acquired as a long-term investment in developable land. Half of the funds used to acquire the land were provided by the Mr. James J. Cotter, Sr. our former Chairman, Chief Executive Officer and controlling shareholder. Upon the approval of our Conflicts Committee, these funds were converted on January 18, 2012 into a</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77" w:name="page78"/>
    <w:bookmarkEnd w:id="77"/>
    <w:p>
      <w:pPr>
        <w:spacing w:after="0"/>
        <w:rPr>
          <w:sz w:val="20"/>
          <w:szCs w:val="20"/>
          <w:color w:val="auto"/>
        </w:rPr>
      </w:pPr>
      <w:r>
        <w:rPr>
          <w:rFonts w:ascii="Arial" w:cs="Arial" w:eastAsia="Arial" w:hAnsi="Arial"/>
          <w:sz w:val="13"/>
          <w:szCs w:val="13"/>
          <w:color w:val="auto"/>
        </w:rPr>
        <w:t xml:space="preserve">50% interest in Shadow View Land and Farming, LLC. We are the managing member of this company. See Note 20 – </w:t>
      </w:r>
      <w:r>
        <w:rPr>
          <w:rFonts w:ascii="Arial" w:cs="Arial" w:eastAsia="Arial" w:hAnsi="Arial"/>
          <w:sz w:val="13"/>
          <w:szCs w:val="13"/>
          <w:i w:val="1"/>
          <w:iCs w:val="1"/>
          <w:color w:val="auto"/>
        </w:rPr>
        <w:t>Noncontrolling Interests</w:t>
      </w:r>
      <w:r>
        <w:rPr>
          <w:rFonts w:ascii="Arial" w:cs="Arial" w:eastAsia="Arial" w:hAnsi="Arial"/>
          <w:sz w:val="13"/>
          <w:szCs w:val="13"/>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9 – Transfer of Held for Sale Real Estate to Continuing Operations and Related Items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transfers of held for sale real estate to continuing operations or related items in 2014, 2013 or 2012.</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10 – Goodwill and Intangible Assets</w:t>
      </w:r>
    </w:p>
    <w:p>
      <w:pPr>
        <w:spacing w:after="0" w:line="17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Goodwill associated with our business combinations is tested for impairment at the beginning of the fourth quarter with continued evaluation through the end of the fourth quarter of every year. The fair value estimates of each of our reporting units is based on the projected profits and cash flows of the related assets using each reporting unit’s weighted average cost of capital as a discount rate. As a result of this test, whereby the Step 1 Test was passed for all reporting units, it was determined that there is no impairment to our goodwill as of December 31, 2014 or 2013.</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December 31, 2014 and 2013, our goodwill consisted of the following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2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580" w:type="dxa"/>
            <w:vAlign w:val="bottom"/>
          </w:tcPr>
          <w:p>
            <w:pPr>
              <w:spacing w:after="0"/>
              <w:rPr>
                <w:sz w:val="17"/>
                <w:szCs w:val="17"/>
                <w:color w:val="auto"/>
              </w:rPr>
            </w:pPr>
          </w:p>
        </w:tc>
        <w:tc>
          <w:tcPr>
            <w:tcW w:w="1080" w:type="dxa"/>
            <w:vAlign w:val="bottom"/>
          </w:tcPr>
          <w:p>
            <w:pPr>
              <w:jc w:val="right"/>
              <w:ind w:right="322"/>
              <w:spacing w:after="0"/>
              <w:rPr>
                <w:sz w:val="20"/>
                <w:szCs w:val="20"/>
                <w:color w:val="auto"/>
              </w:rPr>
            </w:pPr>
            <w:r>
              <w:rPr>
                <w:rFonts w:ascii="Arial" w:cs="Arial" w:eastAsia="Arial" w:hAnsi="Arial"/>
                <w:sz w:val="16"/>
                <w:szCs w:val="16"/>
                <w:b w:val="1"/>
                <w:bCs w:val="1"/>
                <w:color w:val="auto"/>
              </w:rPr>
              <w:t>Cinema</w:t>
            </w:r>
          </w:p>
        </w:tc>
        <w:tc>
          <w:tcPr>
            <w:tcW w:w="24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Arial" w:cs="Arial" w:eastAsia="Arial" w:hAnsi="Arial"/>
                <w:sz w:val="16"/>
                <w:szCs w:val="16"/>
                <w:b w:val="1"/>
                <w:bCs w:val="1"/>
                <w:color w:val="auto"/>
                <w:w w:val="99"/>
              </w:rPr>
              <w:t>Real Estate</w:t>
            </w:r>
          </w:p>
        </w:tc>
        <w:tc>
          <w:tcPr>
            <w:tcW w:w="380" w:type="dxa"/>
            <w:vAlign w:val="bottom"/>
          </w:tcPr>
          <w:p>
            <w:pPr>
              <w:spacing w:after="0"/>
              <w:rPr>
                <w:sz w:val="17"/>
                <w:szCs w:val="17"/>
                <w:color w:val="auto"/>
              </w:rPr>
            </w:pPr>
          </w:p>
        </w:tc>
        <w:tc>
          <w:tcPr>
            <w:tcW w:w="960" w:type="dxa"/>
            <w:vAlign w:val="bottom"/>
          </w:tcPr>
          <w:p>
            <w:pPr>
              <w:jc w:val="right"/>
              <w:ind w:right="322"/>
              <w:spacing w:after="0"/>
              <w:rPr>
                <w:sz w:val="20"/>
                <w:szCs w:val="20"/>
                <w:color w:val="auto"/>
              </w:rPr>
            </w:pPr>
            <w:r>
              <w:rPr>
                <w:rFonts w:ascii="Arial" w:cs="Arial" w:eastAsia="Arial" w:hAnsi="Arial"/>
                <w:sz w:val="16"/>
                <w:szCs w:val="16"/>
                <w:b w:val="1"/>
                <w:bCs w:val="1"/>
                <w:color w:val="auto"/>
              </w:rPr>
              <w:t>Total</w:t>
            </w:r>
          </w:p>
        </w:tc>
      </w:tr>
      <w:tr>
        <w:trPr>
          <w:trHeight w:val="28"/>
        </w:trPr>
        <w:tc>
          <w:tcPr>
            <w:tcW w:w="3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 2014</w:t>
            </w:r>
          </w:p>
        </w:tc>
        <w:tc>
          <w:tcPr>
            <w:tcW w:w="15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16,935</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5,224</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22,159</w:t>
            </w: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(878)</w:t>
            </w:r>
          </w:p>
        </w:tc>
        <w:tc>
          <w:tcPr>
            <w:tcW w:w="2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4"/>
        </w:trPr>
        <w:tc>
          <w:tcPr>
            <w:tcW w:w="3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5"/>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December 31, 2014</w:t>
            </w:r>
          </w:p>
        </w:tc>
        <w:tc>
          <w:tcPr>
            <w:tcW w:w="15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16,057</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5,224</w:t>
            </w:r>
          </w:p>
        </w:tc>
        <w:tc>
          <w:tcPr>
            <w:tcW w:w="3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21,281</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2013</w:t>
            </w:r>
          </w:p>
        </w:tc>
        <w:tc>
          <w:tcPr>
            <w:tcW w:w="1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b w:val="1"/>
                <w:bCs w:val="1"/>
                <w:color w:val="auto"/>
              </w:rPr>
              <w:t>Cinema</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99"/>
              </w:rPr>
              <w:t>Real Estate</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b w:val="1"/>
                <w:bCs w:val="1"/>
                <w:color w:val="auto"/>
              </w:rPr>
              <w:t>Total</w:t>
            </w: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Balance as of January 1, 2013</w:t>
            </w: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17,674</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5,224</w:t>
            </w:r>
          </w:p>
        </w:tc>
        <w:tc>
          <w:tcPr>
            <w:tcW w:w="3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22,898</w:t>
            </w:r>
          </w:p>
        </w:tc>
      </w:tr>
      <w:tr>
        <w:trPr>
          <w:trHeight w:val="240"/>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5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r>
      <w:tr>
        <w:trPr>
          <w:trHeight w:val="195"/>
        </w:trPr>
        <w:tc>
          <w:tcPr>
            <w:tcW w:w="3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Balance at December 31, 2013</w:t>
            </w:r>
          </w:p>
        </w:tc>
        <w:tc>
          <w:tcPr>
            <w:tcW w:w="15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16,935</w:t>
            </w:r>
          </w:p>
        </w:tc>
        <w:tc>
          <w:tcPr>
            <w:tcW w:w="2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5,224</w:t>
            </w:r>
          </w:p>
        </w:tc>
        <w:tc>
          <w:tcPr>
            <w:tcW w:w="3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22,159</w:t>
            </w:r>
          </w:p>
        </w:tc>
      </w:tr>
    </w:tbl>
    <w:p>
      <w:pPr>
        <w:spacing w:after="0" w:line="15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have intangible assets other than goodwill that are subject to amortization which are being amortized over various periods (dollars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b w:val="1"/>
                <w:bCs w:val="1"/>
                <w:color w:val="auto"/>
                <w:w w:val="91"/>
              </w:rPr>
              <w:t>Other Intangible</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of December 31, 2014</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4"/>
              </w:rPr>
              <w:t>Beneficial Leases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8"/>
              </w:rPr>
              <w:t>Trade Name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Total</w:t>
            </w:r>
          </w:p>
        </w:tc>
      </w:tr>
      <w:tr>
        <w:trPr>
          <w:trHeight w:val="235"/>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Gross carrying amount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24,150</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7,254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423</w:t>
            </w:r>
          </w:p>
        </w:tc>
        <w:tc>
          <w:tcPr>
            <w:tcW w:w="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31,827</w:t>
            </w:r>
          </w:p>
        </w:tc>
      </w:tr>
      <w:tr>
        <w:trPr>
          <w:trHeight w:val="246"/>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Accumulated amortization</w:t>
            </w:r>
          </w:p>
        </w:tc>
        <w:tc>
          <w:tcPr>
            <w:tcW w:w="7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15,989</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3,929</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423</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20,341</w:t>
            </w:r>
          </w:p>
        </w:tc>
      </w:tr>
      <w:tr>
        <w:trPr>
          <w:trHeight w:val="219"/>
        </w:trPr>
        <w:tc>
          <w:tcPr>
            <w:tcW w:w="27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Total, net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8,161</w:t>
            </w:r>
          </w:p>
        </w:tc>
        <w:tc>
          <w:tcPr>
            <w:tcW w:w="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3,325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11,486</w:t>
            </w: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27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91"/>
              </w:rPr>
              <w:t>Other Intangible</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8"/>
        </w:trPr>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 of December 31, 2013</w:t>
            </w:r>
          </w:p>
        </w:tc>
        <w:tc>
          <w:tcPr>
            <w:tcW w:w="7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4"/>
              </w:rPr>
              <w:t>Beneficial Leases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b w:val="1"/>
                <w:bCs w:val="1"/>
                <w:color w:val="auto"/>
                <w:w w:val="98"/>
              </w:rPr>
              <w:t>Trade Name</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b w:val="1"/>
                <w:bCs w:val="1"/>
                <w:color w:val="auto"/>
              </w:rPr>
              <w:t>Total</w:t>
            </w:r>
          </w:p>
        </w:tc>
      </w:tr>
      <w:tr>
        <w:trPr>
          <w:trHeight w:val="234"/>
        </w:trPr>
        <w:tc>
          <w:tcPr>
            <w:tcW w:w="2700" w:type="dxa"/>
            <w:vAlign w:val="bottom"/>
          </w:tcPr>
          <w:p>
            <w:pPr>
              <w:spacing w:after="0"/>
              <w:rPr>
                <w:sz w:val="20"/>
                <w:szCs w:val="20"/>
                <w:color w:val="auto"/>
              </w:rPr>
            </w:pPr>
            <w:r>
              <w:rPr>
                <w:rFonts w:ascii="Arial" w:cs="Arial" w:eastAsia="Arial" w:hAnsi="Arial"/>
                <w:sz w:val="16"/>
                <w:szCs w:val="16"/>
                <w:color w:val="auto"/>
              </w:rPr>
              <w:t>Gross carrying amount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24,223</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7,254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455</w:t>
            </w:r>
          </w:p>
        </w:tc>
        <w:tc>
          <w:tcPr>
            <w:tcW w:w="4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31,932</w:t>
            </w:r>
          </w:p>
        </w:tc>
      </w:tr>
      <w:tr>
        <w:trPr>
          <w:trHeight w:val="247"/>
        </w:trPr>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Accumulated amortization</w:t>
            </w:r>
          </w:p>
        </w:tc>
        <w:tc>
          <w:tcPr>
            <w:tcW w:w="7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14,520</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3,517</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455</w:t>
            </w: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18,492</w:t>
            </w:r>
          </w:p>
        </w:tc>
      </w:tr>
      <w:tr>
        <w:trPr>
          <w:trHeight w:val="219"/>
        </w:trPr>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Total, net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9,703</w:t>
            </w: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3,737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13,440</w:t>
            </w:r>
          </w:p>
        </w:tc>
      </w:tr>
    </w:tbl>
    <w:p>
      <w:pPr>
        <w:spacing w:after="0" w:line="175"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We amortize our beneficial leases over the lease period, the longest of which is approximately 30 years; our trade name using an accelerated amortization method over its estimated useful life of 45 years; and our option fee and other intangible assets over 10 years. For the years ended December 31, 2014, 2013, and 2012, our amortization expense was $2.0 million, $2.2 million, and $2.2 million, respectively. The estimated amortization expense in the five succeeding years and thereafter is as follows (dollars in thousands):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78" w:name="page79"/>
    <w:bookmarkEnd w:id="78"/>
    <w:p>
      <w:pPr>
        <w:ind w:left="78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2015</w:t>
            </w:r>
          </w:p>
        </w:tc>
        <w:tc>
          <w:tcPr>
            <w:tcW w:w="262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720" w:type="dxa"/>
            <w:vAlign w:val="bottom"/>
            <w:tcBorders>
              <w:top w:val="single" w:sz="8" w:color="CCEEFF"/>
            </w:tcBorders>
            <w:shd w:val="clear" w:color="auto" w:fill="CCEEFF"/>
          </w:tcPr>
          <w:p>
            <w:pPr>
              <w:spacing w:after="0"/>
              <w:rPr>
                <w:sz w:val="19"/>
                <w:szCs w:val="19"/>
                <w:color w:val="auto"/>
              </w:rPr>
            </w:pPr>
          </w:p>
        </w:tc>
      </w:tr>
      <w:tr>
        <w:trPr>
          <w:trHeight w:val="234"/>
        </w:trPr>
        <w:tc>
          <w:tcPr>
            <w:tcW w:w="5020" w:type="dxa"/>
            <w:vAlign w:val="bottom"/>
            <w:gridSpan w:val="2"/>
          </w:tcPr>
          <w:p>
            <w:pPr>
              <w:ind w:left="740"/>
              <w:spacing w:after="0"/>
              <w:rPr>
                <w:sz w:val="20"/>
                <w:szCs w:val="20"/>
                <w:color w:val="auto"/>
              </w:rPr>
            </w:pPr>
            <w:r>
              <w:rPr>
                <w:rFonts w:ascii="Arial" w:cs="Arial" w:eastAsia="Arial" w:hAnsi="Arial"/>
                <w:sz w:val="16"/>
                <w:szCs w:val="16"/>
                <w:color w:val="auto"/>
              </w:rPr>
              <w:t>2016</w:t>
            </w:r>
          </w:p>
        </w:tc>
        <w:tc>
          <w:tcPr>
            <w:tcW w:w="2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1,722</w:t>
            </w:r>
          </w:p>
        </w:tc>
        <w:tc>
          <w:tcPr>
            <w:tcW w:w="720" w:type="dxa"/>
            <w:vAlign w:val="bottom"/>
          </w:tcPr>
          <w:p>
            <w:pPr>
              <w:spacing w:after="0"/>
              <w:rPr>
                <w:sz w:val="20"/>
                <w:szCs w:val="20"/>
                <w:color w:val="auto"/>
              </w:rPr>
            </w:pPr>
          </w:p>
        </w:tc>
      </w:tr>
      <w:tr>
        <w:trPr>
          <w:trHeight w:val="235"/>
        </w:trPr>
        <w:tc>
          <w:tcPr>
            <w:tcW w:w="50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2017</w:t>
            </w:r>
          </w:p>
        </w:tc>
        <w:tc>
          <w:tcPr>
            <w:tcW w:w="2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720" w:type="dxa"/>
            <w:vAlign w:val="bottom"/>
            <w:shd w:val="clear" w:color="auto" w:fill="CCEEFF"/>
          </w:tcPr>
          <w:p>
            <w:pPr>
              <w:spacing w:after="0"/>
              <w:rPr>
                <w:sz w:val="20"/>
                <w:szCs w:val="20"/>
                <w:color w:val="auto"/>
              </w:rPr>
            </w:pPr>
          </w:p>
        </w:tc>
      </w:tr>
      <w:tr>
        <w:trPr>
          <w:trHeight w:val="234"/>
        </w:trPr>
        <w:tc>
          <w:tcPr>
            <w:tcW w:w="5020" w:type="dxa"/>
            <w:vAlign w:val="bottom"/>
            <w:gridSpan w:val="2"/>
          </w:tcPr>
          <w:p>
            <w:pPr>
              <w:ind w:left="740"/>
              <w:spacing w:after="0"/>
              <w:rPr>
                <w:sz w:val="20"/>
                <w:szCs w:val="20"/>
                <w:color w:val="auto"/>
              </w:rPr>
            </w:pPr>
            <w:r>
              <w:rPr>
                <w:rFonts w:ascii="Arial" w:cs="Arial" w:eastAsia="Arial" w:hAnsi="Arial"/>
                <w:sz w:val="16"/>
                <w:szCs w:val="16"/>
                <w:color w:val="auto"/>
              </w:rPr>
              <w:t>2018</w:t>
            </w:r>
          </w:p>
        </w:tc>
        <w:tc>
          <w:tcPr>
            <w:tcW w:w="2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1,318</w:t>
            </w:r>
          </w:p>
        </w:tc>
        <w:tc>
          <w:tcPr>
            <w:tcW w:w="720" w:type="dxa"/>
            <w:vAlign w:val="bottom"/>
          </w:tcPr>
          <w:p>
            <w:pPr>
              <w:spacing w:after="0"/>
              <w:rPr>
                <w:sz w:val="20"/>
                <w:szCs w:val="20"/>
                <w:color w:val="auto"/>
              </w:rPr>
            </w:pPr>
          </w:p>
        </w:tc>
      </w:tr>
      <w:tr>
        <w:trPr>
          <w:trHeight w:val="235"/>
        </w:trPr>
        <w:tc>
          <w:tcPr>
            <w:tcW w:w="50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2019</w:t>
            </w:r>
          </w:p>
        </w:tc>
        <w:tc>
          <w:tcPr>
            <w:tcW w:w="2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720" w:type="dxa"/>
            <w:vAlign w:val="bottom"/>
            <w:shd w:val="clear" w:color="auto" w:fill="CCEEFF"/>
          </w:tcPr>
          <w:p>
            <w:pPr>
              <w:spacing w:after="0"/>
              <w:rPr>
                <w:sz w:val="20"/>
                <w:szCs w:val="20"/>
                <w:color w:val="auto"/>
              </w:rPr>
            </w:pPr>
          </w:p>
        </w:tc>
      </w:tr>
      <w:tr>
        <w:trPr>
          <w:trHeight w:val="234"/>
        </w:trPr>
        <w:tc>
          <w:tcPr>
            <w:tcW w:w="740" w:type="dxa"/>
            <w:vAlign w:val="bottom"/>
            <w:tcBorders>
              <w:bottom w:val="single" w:sz="8" w:color="CCEEFF"/>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2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w:t>
            </w:r>
          </w:p>
        </w:tc>
        <w:tc>
          <w:tcPr>
            <w:tcW w:w="720" w:type="dxa"/>
            <w:vAlign w:val="bottom"/>
            <w:tcBorders>
              <w:bottom w:val="single" w:sz="8" w:color="CCEEFF"/>
            </w:tcBorders>
          </w:tcPr>
          <w:p>
            <w:pPr>
              <w:spacing w:after="0"/>
              <w:rPr>
                <w:sz w:val="20"/>
                <w:szCs w:val="20"/>
                <w:color w:val="auto"/>
              </w:rPr>
            </w:pPr>
          </w:p>
        </w:tc>
      </w:tr>
      <w:tr>
        <w:trPr>
          <w:trHeight w:val="207"/>
        </w:trPr>
        <w:tc>
          <w:tcPr>
            <w:tcW w:w="74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future amortization expense</w:t>
            </w:r>
          </w:p>
        </w:tc>
        <w:tc>
          <w:tcPr>
            <w:tcW w:w="262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720" w:type="dxa"/>
            <w:vAlign w:val="bottom"/>
            <w:tcBorders>
              <w:bottom w:val="single" w:sz="8" w:color="CCEEFF"/>
            </w:tcBorders>
            <w:shd w:val="clear" w:color="auto" w:fill="CCEEFF"/>
          </w:tcPr>
          <w:p>
            <w:pPr>
              <w:spacing w:after="0"/>
              <w:rPr>
                <w:sz w:val="18"/>
                <w:szCs w:val="18"/>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11 – Investments in and Advances to Unconsolidated Joint Ventures and Entities</w:t>
      </w:r>
    </w:p>
    <w:p>
      <w:pPr>
        <w:spacing w:after="0" w:line="1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Investments in and advances to unconsolidated joint ventures and entities are accounted for under the equity method of accounting except for Rialto Distribution as described below. As of December 31, 2014 and 2013, these investments in and advances to unconsolidated joint ventures and entities include the following (dollars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254"/>
        </w:trPr>
        <w:tc>
          <w:tcPr>
            <w:tcW w:w="37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center"/>
              <w:ind w:left="882"/>
              <w:spacing w:after="0"/>
              <w:rPr>
                <w:sz w:val="20"/>
                <w:szCs w:val="20"/>
                <w:color w:val="auto"/>
              </w:rPr>
            </w:pPr>
            <w:r>
              <w:rPr>
                <w:rFonts w:ascii="Arial" w:cs="Arial" w:eastAsia="Arial" w:hAnsi="Arial"/>
                <w:sz w:val="16"/>
                <w:szCs w:val="16"/>
                <w:b w:val="1"/>
                <w:bCs w:val="1"/>
                <w:color w:val="auto"/>
                <w:w w:val="89"/>
              </w:rPr>
              <w:t>Interest</w:t>
            </w:r>
          </w:p>
        </w:tc>
        <w:tc>
          <w:tcPr>
            <w:tcW w:w="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rPr>
              <w:t>2014</w:t>
            </w: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2013</w:t>
            </w:r>
          </w:p>
        </w:tc>
      </w:tr>
      <w:tr>
        <w:trPr>
          <w:trHeight w:val="258"/>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Rialto Distribution</w:t>
            </w:r>
          </w:p>
        </w:tc>
        <w:tc>
          <w:tcPr>
            <w:tcW w:w="1920" w:type="dxa"/>
            <w:vAlign w:val="bottom"/>
            <w:shd w:val="clear" w:color="auto" w:fill="CCEEFF"/>
          </w:tcPr>
          <w:p>
            <w:pPr>
              <w:jc w:val="center"/>
              <w:ind w:left="882"/>
              <w:spacing w:after="0"/>
              <w:rPr>
                <w:sz w:val="20"/>
                <w:szCs w:val="20"/>
                <w:color w:val="auto"/>
              </w:rPr>
            </w:pPr>
            <w:r>
              <w:rPr>
                <w:rFonts w:ascii="Arial" w:cs="Arial" w:eastAsia="Arial" w:hAnsi="Arial"/>
                <w:sz w:val="16"/>
                <w:szCs w:val="16"/>
                <w:color w:val="auto"/>
                <w:w w:val="88"/>
              </w:rPr>
              <w:t>33.3%</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Rialto Cinemas</w:t>
            </w:r>
          </w:p>
        </w:tc>
        <w:tc>
          <w:tcPr>
            <w:tcW w:w="1920" w:type="dxa"/>
            <w:vAlign w:val="bottom"/>
          </w:tcPr>
          <w:p>
            <w:pPr>
              <w:jc w:val="center"/>
              <w:ind w:left="882"/>
              <w:spacing w:after="0"/>
              <w:rPr>
                <w:sz w:val="20"/>
                <w:szCs w:val="20"/>
                <w:color w:val="auto"/>
              </w:rPr>
            </w:pPr>
            <w:r>
              <w:rPr>
                <w:rFonts w:ascii="Arial" w:cs="Arial" w:eastAsia="Arial" w:hAnsi="Arial"/>
                <w:sz w:val="16"/>
                <w:szCs w:val="16"/>
                <w:color w:val="auto"/>
                <w:w w:val="88"/>
              </w:rPr>
              <w:t>50.0%</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1,564</w:t>
            </w:r>
          </w:p>
        </w:tc>
        <w:tc>
          <w:tcPr>
            <w:tcW w:w="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1,571</w:t>
            </w:r>
          </w:p>
        </w:tc>
      </w:tr>
      <w:tr>
        <w:trPr>
          <w:trHeight w:val="271"/>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205-209 East 57</w:t>
            </w:r>
            <w:r>
              <w:rPr>
                <w:rFonts w:ascii="Arial" w:cs="Arial" w:eastAsia="Arial" w:hAnsi="Arial"/>
                <w:sz w:val="7"/>
                <w:szCs w:val="7"/>
                <w:color w:val="auto"/>
              </w:rPr>
              <w:t>th</w:t>
            </w:r>
            <w:r>
              <w:rPr>
                <w:rFonts w:ascii="Arial" w:cs="Arial" w:eastAsia="Arial" w:hAnsi="Arial"/>
                <w:sz w:val="16"/>
                <w:szCs w:val="16"/>
                <w:color w:val="auto"/>
              </w:rPr>
              <w:t xml:space="preserve"> Street Associates, LLC</w:t>
            </w:r>
          </w:p>
        </w:tc>
        <w:tc>
          <w:tcPr>
            <w:tcW w:w="1920" w:type="dxa"/>
            <w:vAlign w:val="bottom"/>
            <w:shd w:val="clear" w:color="auto" w:fill="CCEEFF"/>
          </w:tcPr>
          <w:p>
            <w:pPr>
              <w:jc w:val="center"/>
              <w:ind w:left="882"/>
              <w:spacing w:after="0"/>
              <w:rPr>
                <w:sz w:val="20"/>
                <w:szCs w:val="20"/>
                <w:color w:val="auto"/>
              </w:rPr>
            </w:pPr>
            <w:r>
              <w:rPr>
                <w:rFonts w:ascii="Arial" w:cs="Arial" w:eastAsia="Arial" w:hAnsi="Arial"/>
                <w:sz w:val="16"/>
                <w:szCs w:val="16"/>
                <w:color w:val="auto"/>
                <w:w w:val="88"/>
              </w:rPr>
              <w:t>25.0%</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Mt. Gravatt</w:t>
            </w:r>
          </w:p>
        </w:tc>
        <w:tc>
          <w:tcPr>
            <w:tcW w:w="1920" w:type="dxa"/>
            <w:vAlign w:val="bottom"/>
            <w:tcBorders>
              <w:bottom w:val="single" w:sz="8" w:color="auto"/>
            </w:tcBorders>
          </w:tcPr>
          <w:p>
            <w:pPr>
              <w:jc w:val="center"/>
              <w:ind w:left="882"/>
              <w:spacing w:after="0"/>
              <w:rPr>
                <w:sz w:val="20"/>
                <w:szCs w:val="20"/>
                <w:color w:val="auto"/>
              </w:rPr>
            </w:pPr>
            <w:r>
              <w:rPr>
                <w:rFonts w:ascii="Arial" w:cs="Arial" w:eastAsia="Arial" w:hAnsi="Arial"/>
                <w:sz w:val="16"/>
                <w:szCs w:val="16"/>
                <w:color w:val="auto"/>
                <w:w w:val="88"/>
              </w:rPr>
              <w:t>33.3%</w:t>
            </w:r>
          </w:p>
        </w:tc>
        <w:tc>
          <w:tcPr>
            <w:tcW w:w="3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4,605</w:t>
            </w:r>
          </w:p>
        </w:tc>
        <w:tc>
          <w:tcPr>
            <w:tcW w:w="6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5,164</w:t>
            </w:r>
          </w:p>
        </w:tc>
      </w:tr>
      <w:tr>
        <w:trPr>
          <w:trHeight w:val="242"/>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6,169</w:t>
            </w:r>
          </w:p>
        </w:tc>
        <w:tc>
          <w:tcPr>
            <w:tcW w:w="64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6,735</w:t>
            </w:r>
          </w:p>
        </w:tc>
      </w:tr>
    </w:tbl>
    <w:p>
      <w:pPr>
        <w:spacing w:after="0" w:line="17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For the years ended December 31, 2014, 2013, and 2012, we recorded our earnings (loss) from our unconsolidated joint ventures and entities as follows (dollars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r>
      <w:tr>
        <w:trPr>
          <w:trHeight w:val="254"/>
        </w:trPr>
        <w:tc>
          <w:tcPr>
            <w:tcW w:w="4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2012</w:t>
            </w:r>
          </w:p>
        </w:tc>
      </w:tr>
      <w:tr>
        <w:trPr>
          <w:trHeight w:val="258"/>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Rialto Distribution</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159</w:t>
            </w:r>
          </w:p>
        </w:tc>
        <w:tc>
          <w:tcPr>
            <w:tcW w:w="4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70"/>
        </w:trPr>
        <w:tc>
          <w:tcPr>
            <w:tcW w:w="4100" w:type="dxa"/>
            <w:vAlign w:val="bottom"/>
          </w:tcPr>
          <w:p>
            <w:pPr>
              <w:spacing w:after="0"/>
              <w:rPr>
                <w:sz w:val="20"/>
                <w:szCs w:val="20"/>
                <w:color w:val="auto"/>
              </w:rPr>
            </w:pPr>
            <w:r>
              <w:rPr>
                <w:rFonts w:ascii="Arial" w:cs="Arial" w:eastAsia="Arial" w:hAnsi="Arial"/>
                <w:sz w:val="16"/>
                <w:szCs w:val="16"/>
                <w:color w:val="auto"/>
              </w:rPr>
              <w:t>Rialto Cinemas</w:t>
            </w: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297</w:t>
            </w:r>
          </w:p>
        </w:tc>
        <w:tc>
          <w:tcPr>
            <w:tcW w:w="34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221</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71"/>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205-209 East 57</w:t>
            </w:r>
            <w:r>
              <w:rPr>
                <w:rFonts w:ascii="Arial" w:cs="Arial" w:eastAsia="Arial" w:hAnsi="Arial"/>
                <w:sz w:val="7"/>
                <w:szCs w:val="7"/>
                <w:color w:val="auto"/>
              </w:rPr>
              <w:t>th</w:t>
            </w:r>
            <w:r>
              <w:rPr>
                <w:rFonts w:ascii="Arial" w:cs="Arial" w:eastAsia="Arial" w:hAnsi="Arial"/>
                <w:sz w:val="16"/>
                <w:szCs w:val="16"/>
                <w:color w:val="auto"/>
              </w:rPr>
              <w:t xml:space="preserve"> Street Associates, LLC</w:t>
            </w:r>
          </w:p>
        </w:tc>
        <w:tc>
          <w:tcPr>
            <w:tcW w:w="1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Mt. Gravatt</w:t>
            </w:r>
          </w:p>
        </w:tc>
        <w:tc>
          <w:tcPr>
            <w:tcW w:w="16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598</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990</w:t>
            </w:r>
          </w:p>
        </w:tc>
        <w:tc>
          <w:tcPr>
            <w:tcW w:w="4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r>
      <w:tr>
        <w:trPr>
          <w:trHeight w:val="242"/>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equity earnings</w:t>
            </w:r>
          </w:p>
        </w:tc>
        <w:tc>
          <w:tcPr>
            <w:tcW w:w="1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1,015</w:t>
            </w:r>
          </w:p>
        </w:tc>
        <w:tc>
          <w:tcPr>
            <w:tcW w:w="3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1,369</w:t>
            </w:r>
          </w:p>
        </w:tc>
        <w:tc>
          <w:tcPr>
            <w:tcW w:w="4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Rialto Distribution</w:t>
      </w:r>
    </w:p>
    <w:p>
      <w:pPr>
        <w:spacing w:after="0" w:line="168"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Due to significant losses in years past, we determined that the goodwill associated with Rialto Distribution’s investment in the film distribution business was fully impaired. As a result of these losses, as of January 1, 2010, we treat our interest as a cost method interest in an unconsolidated joint venture. For the years ended December 31, 2014, 2013, and 2012 we received $120,000 (NZ$140,000), $159,000 (NZ$195,000), and $199,000 (NZ$245,000), respectively, in distributions from our interest in Rialto Distribution which we recorded as earnings at the time of receipt.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Rialto Cinemas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581" w:right="1359" w:bottom="1440" w:gutter="0" w:footer="0" w:header="0"/>
        </w:sectPr>
      </w:pPr>
    </w:p>
    <w:bookmarkStart w:id="79" w:name="page80"/>
    <w:bookmarkEnd w:id="79"/>
    <w:p>
      <w:pPr>
        <w:jc w:val="both"/>
        <w:ind w:firstLine="564"/>
        <w:spacing w:after="0" w:line="265" w:lineRule="auto"/>
        <w:rPr>
          <w:sz w:val="20"/>
          <w:szCs w:val="20"/>
          <w:color w:val="auto"/>
        </w:rPr>
      </w:pPr>
      <w:r>
        <w:rPr>
          <w:rFonts w:ascii="Arial" w:cs="Arial" w:eastAsia="Arial" w:hAnsi="Arial"/>
          <w:sz w:val="16"/>
          <w:szCs w:val="16"/>
          <w:color w:val="auto"/>
        </w:rPr>
        <w:t>We own an undivided 50% interest in the assets and liabilities of the Rialto Entertainment joint venture and treat our interest as an equity method interest in an unconsolidated joint venture.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205-209 East 57th Street Associates, LLC</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own a non-managing 25% membership interest in 205-209 East 57th Street Associates, LLC a limited liability company formed to redevelop our former cinema site at 205 East 57th Street in Manhattan.</w:t>
      </w:r>
    </w:p>
    <w:p>
      <w:pPr>
        <w:spacing w:after="0" w:line="122"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During 2012, as a consequence of a purchaser’s dispute, a condominium which was previously sold was repurchased, renovated, and resold for a small gain resulting in additional earnings to us of $27,000. We do not anticipate any further income or expense from this investment.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Mt. Gravatt</w:t>
      </w:r>
    </w:p>
    <w:p>
      <w:pPr>
        <w:spacing w:after="0" w:line="157"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We own an undivided 33.3% interest in Mt. Gravatt, an unincorporated joint venture that owns and operates a 16-screen multiplex cinema in Australia. The condensed balance sheets and statements of operations of Mt. Gravatt are as follows (dollars in thousands):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Mt. Gravatt Condensed Balance Sheet Information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720" w:type="dxa"/>
            <w:vAlign w:val="bottom"/>
            <w:tcBorders>
              <w:bottom w:val="single" w:sz="8" w:color="auto"/>
            </w:tcBorders>
          </w:tcPr>
          <w:p>
            <w:pPr>
              <w:spacing w:after="0"/>
              <w:rPr>
                <w:sz w:val="17"/>
                <w:szCs w:val="17"/>
                <w:color w:val="auto"/>
              </w:rPr>
            </w:pPr>
          </w:p>
        </w:tc>
      </w:tr>
      <w:tr>
        <w:trPr>
          <w:trHeight w:val="195"/>
        </w:trPr>
        <w:tc>
          <w:tcPr>
            <w:tcW w:w="5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2013</w:t>
            </w: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060" w:type="dxa"/>
            <w:vAlign w:val="bottom"/>
            <w:gridSpan w:val="2"/>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903</w:t>
            </w:r>
          </w:p>
        </w:tc>
        <w:tc>
          <w:tcPr>
            <w:tcW w:w="4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23"/>
        </w:trPr>
        <w:tc>
          <w:tcPr>
            <w:tcW w:w="5400" w:type="dxa"/>
            <w:vAlign w:val="bottom"/>
          </w:tcPr>
          <w:p>
            <w:pPr>
              <w:spacing w:after="0"/>
              <w:rPr>
                <w:sz w:val="20"/>
                <w:szCs w:val="20"/>
                <w:color w:val="auto"/>
              </w:rPr>
            </w:pPr>
            <w:r>
              <w:rPr>
                <w:rFonts w:ascii="Arial" w:cs="Arial" w:eastAsia="Arial" w:hAnsi="Arial"/>
                <w:sz w:val="16"/>
                <w:szCs w:val="16"/>
                <w:color w:val="auto"/>
              </w:rPr>
              <w:t>Noncurrent assets</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w w:val="94"/>
              </w:rPr>
              <w:t>2,621</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3,288</w:t>
            </w:r>
          </w:p>
        </w:tc>
      </w:tr>
      <w:tr>
        <w:trPr>
          <w:trHeight w:val="224"/>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753</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23"/>
        </w:trPr>
        <w:tc>
          <w:tcPr>
            <w:tcW w:w="540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68</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4"/>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4"/>
              </w:rPr>
              <w:t>2,703</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w:t>
            </w:r>
          </w:p>
        </w:tc>
      </w:tr>
      <w:tr>
        <w:trPr>
          <w:trHeight w:val="375"/>
        </w:trPr>
        <w:tc>
          <w:tcPr>
            <w:tcW w:w="5400" w:type="dxa"/>
            <w:vAlign w:val="bottom"/>
          </w:tcPr>
          <w:p>
            <w:pPr>
              <w:spacing w:after="0"/>
              <w:rPr>
                <w:sz w:val="20"/>
                <w:szCs w:val="20"/>
                <w:color w:val="auto"/>
              </w:rPr>
            </w:pPr>
            <w:r>
              <w:rPr>
                <w:rFonts w:ascii="Arial" w:cs="Arial" w:eastAsia="Arial" w:hAnsi="Arial"/>
                <w:sz w:val="16"/>
                <w:szCs w:val="16"/>
                <w:b w:val="1"/>
                <w:bCs w:val="1"/>
                <w:color w:val="auto"/>
              </w:rPr>
              <w:t>Mt. Gravatt Condensed Statements of Operations Information</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4"/>
              </w:rPr>
              <w:t>December 31,</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5"/>
        </w:trPr>
        <w:tc>
          <w:tcPr>
            <w:tcW w:w="3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2012</w:t>
            </w:r>
          </w:p>
        </w:tc>
      </w:tr>
      <w:tr>
        <w:trPr>
          <w:trHeight w:val="211"/>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10,503</w:t>
            </w: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12,949</w:t>
            </w:r>
          </w:p>
        </w:tc>
        <w:tc>
          <w:tcPr>
            <w:tcW w:w="3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15,236</w:t>
            </w:r>
          </w:p>
        </w:tc>
      </w:tr>
      <w:tr>
        <w:trPr>
          <w:trHeight w:val="222"/>
        </w:trPr>
        <w:tc>
          <w:tcPr>
            <w:tcW w:w="3100" w:type="dxa"/>
            <w:vAlign w:val="bottom"/>
          </w:tcPr>
          <w:p>
            <w:pPr>
              <w:spacing w:after="0"/>
              <w:rPr>
                <w:sz w:val="20"/>
                <w:szCs w:val="20"/>
                <w:color w:val="auto"/>
              </w:rPr>
            </w:pPr>
            <w:r>
              <w:rPr>
                <w:rFonts w:ascii="Arial" w:cs="Arial" w:eastAsia="Arial" w:hAnsi="Arial"/>
                <w:sz w:val="16"/>
                <w:szCs w:val="16"/>
                <w:color w:val="auto"/>
              </w:rPr>
              <w:t>Net income</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1,775</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2,923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3,513</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Malulani Investments, Limited</w:t>
      </w:r>
    </w:p>
    <w:p>
      <w:pPr>
        <w:spacing w:after="0" w:line="168" w:lineRule="exact"/>
        <w:rPr>
          <w:sz w:val="20"/>
          <w:szCs w:val="20"/>
          <w:color w:val="auto"/>
        </w:rPr>
      </w:pPr>
    </w:p>
    <w:p>
      <w:pPr>
        <w:jc w:val="both"/>
        <w:ind w:firstLine="564"/>
        <w:spacing w:after="0" w:line="310" w:lineRule="auto"/>
        <w:rPr>
          <w:sz w:val="20"/>
          <w:szCs w:val="20"/>
          <w:color w:val="auto"/>
        </w:rPr>
      </w:pPr>
      <w:r>
        <w:rPr>
          <w:rFonts w:ascii="Arial" w:cs="Arial" w:eastAsia="Arial" w:hAnsi="Arial"/>
          <w:sz w:val="13"/>
          <w:szCs w:val="13"/>
          <w:color w:val="auto"/>
        </w:rPr>
        <w:t>On June 26, 2006, we acquired for $1.8 million, an 18.4% interest in a private real estate company. On July 2, 2009, Magoon Acquisition and Development, LLC (“Magoon LLC”) and we entered into a settlement agreement (the “Settlement Terms”) with respect to a lawsuit against certain officers and directors of Malulani Investments, Limited (“MIL”). Under the Settlement Terms, Magoon LLC and we received $2.5 million in cash, a $6.8 million three-year 6.25% secured promissory note issued by The Malulani Group (“TMG”), and a ten-year “tail interest” in MIL and TMG in exchange for the transfer of all ownership interests in MIL and TMG held by both Magoon, LLC and RDI and for the release of all claims against the defendants in this matter. A gain on the transfer of our ownership interest in MIL of $268,000 was recognized during 2009 as a result of this transaction. The tail interest allows us to participate in certain distributions made or received by MIL, TMG, and in certain cases, the shareholders of TMG. The tail interest, however, continues only for a period of ten years and we cannot assure that we will receive any distributions from this tail interest. During 2012, we received $191,000 in interest on the promissory note, and, on June 14, 2011, we received $6.8 million of principal and interest owed on this note. We believe that further amounts are owed under the note and we have begun litigation to collect such amounts. Any further collections will be recognized when received.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Combined Condensed Financial Information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80" w:name="page81"/>
    <w:bookmarkEnd w:id="80"/>
    <w:p>
      <w:pPr>
        <w:jc w:val="both"/>
        <w:ind w:firstLine="564"/>
        <w:spacing w:after="0" w:line="265" w:lineRule="auto"/>
        <w:rPr>
          <w:sz w:val="20"/>
          <w:szCs w:val="20"/>
          <w:color w:val="auto"/>
        </w:rPr>
      </w:pPr>
      <w:r>
        <w:rPr>
          <w:rFonts w:ascii="Arial" w:cs="Arial" w:eastAsia="Arial" w:hAnsi="Arial"/>
          <w:sz w:val="16"/>
          <w:szCs w:val="16"/>
          <w:color w:val="auto"/>
        </w:rPr>
        <w:t>The combined condensed financial information for all of the above unconsolidated joint ventures and entities accounted for under the equity method is as follows; therefore, these financials only exclude Rialto Distribution (dollars in thousands):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Balance Sheet Information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720" w:type="dxa"/>
            <w:vAlign w:val="bottom"/>
            <w:tcBorders>
              <w:bottom w:val="single" w:sz="8" w:color="auto"/>
            </w:tcBorders>
          </w:tcPr>
          <w:p>
            <w:pPr>
              <w:spacing w:after="0"/>
              <w:rPr>
                <w:sz w:val="17"/>
                <w:szCs w:val="17"/>
                <w:color w:val="auto"/>
              </w:rPr>
            </w:pPr>
          </w:p>
        </w:tc>
      </w:tr>
      <w:tr>
        <w:trPr>
          <w:trHeight w:val="195"/>
        </w:trPr>
        <w:tc>
          <w:tcPr>
            <w:tcW w:w="4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2013</w:t>
            </w: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500" w:type="dxa"/>
            <w:vAlign w:val="bottom"/>
            <w:gridSpan w:val="2"/>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4"/>
              </w:rPr>
              <w:t>3,146</w:t>
            </w:r>
          </w:p>
        </w:tc>
        <w:tc>
          <w:tcPr>
            <w:tcW w:w="4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w:t>
            </w:r>
          </w:p>
        </w:tc>
      </w:tr>
      <w:tr>
        <w:trPr>
          <w:trHeight w:val="223"/>
        </w:trPr>
        <w:tc>
          <w:tcPr>
            <w:tcW w:w="4960" w:type="dxa"/>
            <w:vAlign w:val="bottom"/>
          </w:tcPr>
          <w:p>
            <w:pPr>
              <w:spacing w:after="0"/>
              <w:rPr>
                <w:sz w:val="20"/>
                <w:szCs w:val="20"/>
                <w:color w:val="auto"/>
              </w:rPr>
            </w:pPr>
            <w:r>
              <w:rPr>
                <w:rFonts w:ascii="Arial" w:cs="Arial" w:eastAsia="Arial" w:hAnsi="Arial"/>
                <w:sz w:val="16"/>
                <w:szCs w:val="16"/>
                <w:color w:val="auto"/>
              </w:rPr>
              <w:t>Noncurrent assets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w w:val="94"/>
              </w:rPr>
              <w:t>5,128</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5,934</w:t>
            </w:r>
          </w:p>
        </w:tc>
      </w:tr>
      <w:tr>
        <w:trPr>
          <w:trHeight w:val="224"/>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4"/>
              </w:rPr>
              <w:t>2,427</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w:t>
            </w:r>
          </w:p>
        </w:tc>
      </w:tr>
      <w:tr>
        <w:trPr>
          <w:trHeight w:val="223"/>
        </w:trPr>
        <w:tc>
          <w:tcPr>
            <w:tcW w:w="496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673</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24"/>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4"/>
              </w:rPr>
              <w:t>5,174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w:t>
            </w:r>
          </w:p>
        </w:tc>
      </w:tr>
      <w:tr>
        <w:trPr>
          <w:trHeight w:val="269"/>
        </w:trPr>
        <w:tc>
          <w:tcPr>
            <w:tcW w:w="4960" w:type="dxa"/>
            <w:vAlign w:val="bottom"/>
          </w:tcPr>
          <w:p>
            <w:pPr>
              <w:spacing w:after="0"/>
              <w:rPr>
                <w:sz w:val="20"/>
                <w:szCs w:val="20"/>
                <w:color w:val="auto"/>
              </w:rPr>
            </w:pPr>
            <w:r>
              <w:rPr>
                <w:rFonts w:ascii="Arial" w:cs="Arial" w:eastAsia="Arial" w:hAnsi="Arial"/>
                <w:sz w:val="16"/>
                <w:szCs w:val="16"/>
                <w:b w:val="1"/>
                <w:bCs w:val="1"/>
                <w:color w:val="auto"/>
              </w:rPr>
              <w:t>Condensed Statements of Operations Information</w:t>
            </w:r>
          </w:p>
        </w:tc>
        <w:tc>
          <w:tcPr>
            <w:tcW w:w="1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8"/>
              </w:rPr>
              <w:t>December 31,</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5"/>
        </w:trPr>
        <w:tc>
          <w:tcPr>
            <w:tcW w:w="1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2012</w:t>
            </w:r>
          </w:p>
        </w:tc>
      </w:tr>
      <w:tr>
        <w:trPr>
          <w:trHeight w:val="211"/>
        </w:trPr>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6"/>
                <w:szCs w:val="16"/>
                <w:color w:val="auto"/>
              </w:rPr>
              <w:t>21,036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23,070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26,138</w:t>
            </w:r>
          </w:p>
        </w:tc>
      </w:tr>
      <w:tr>
        <w:trPr>
          <w:trHeight w:val="222"/>
        </w:trPr>
        <w:tc>
          <w:tcPr>
            <w:tcW w:w="26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rPr>
              <w:t>2,774</w:t>
            </w:r>
          </w:p>
        </w:tc>
        <w:tc>
          <w:tcPr>
            <w:tcW w:w="2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6"/>
                <w:szCs w:val="16"/>
                <w:color w:val="auto"/>
              </w:rPr>
              <w:t>3,598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4,590</w:t>
            </w:r>
          </w:p>
        </w:tc>
      </w:tr>
      <w:tr>
        <w:trPr>
          <w:trHeight w:val="553"/>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Note 12 - Notes Payable</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67"/>
        </w:trPr>
        <w:tc>
          <w:tcPr>
            <w:tcW w:w="5220" w:type="dxa"/>
            <w:vAlign w:val="bottom"/>
            <w:gridSpan w:val="4"/>
          </w:tcPr>
          <w:p>
            <w:pPr>
              <w:ind w:left="560"/>
              <w:spacing w:after="0"/>
              <w:rPr>
                <w:sz w:val="20"/>
                <w:szCs w:val="20"/>
                <w:color w:val="auto"/>
              </w:rPr>
            </w:pPr>
            <w:r>
              <w:rPr>
                <w:rFonts w:ascii="Arial" w:cs="Arial" w:eastAsia="Arial" w:hAnsi="Arial"/>
                <w:sz w:val="16"/>
                <w:szCs w:val="16"/>
                <w:color w:val="auto"/>
              </w:rPr>
              <w:t>Notes payable are summarized as follows (dollars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39"/>
        </w:trPr>
        <w:tc>
          <w:tcPr>
            <w:tcW w:w="266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w w:val="99"/>
              </w:rPr>
              <w:t>Name of Note Payable or Security</w:t>
            </w: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w w:val="88"/>
              </w:rPr>
              <w:t>December 31, 2014</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3"/>
              </w:rPr>
              <w:t>December 31, 2013</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2"/>
              </w:rPr>
              <w:t>Maturity Date</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7"/>
              </w:rPr>
              <w:t>December 31, 2014</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0"/>
              </w:rPr>
              <w:t>December 31, 2013</w:t>
            </w:r>
          </w:p>
        </w:tc>
      </w:tr>
      <w:tr>
        <w:trPr>
          <w:trHeight w:val="211"/>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Trust Preferred Securities</w:t>
            </w:r>
          </w:p>
        </w:tc>
        <w:tc>
          <w:tcPr>
            <w:tcW w:w="13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w w:val="86"/>
              </w:rPr>
              <w:t>4.23%</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4.24%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2"/>
              </w:rPr>
              <w:t>April 30, 2027</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27,913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27,914</w:t>
            </w:r>
          </w:p>
        </w:tc>
      </w:tr>
      <w:tr>
        <w:trPr>
          <w:trHeight w:val="223"/>
        </w:trPr>
        <w:tc>
          <w:tcPr>
            <w:tcW w:w="2660" w:type="dxa"/>
            <w:vAlign w:val="bottom"/>
            <w:gridSpan w:val="2"/>
          </w:tcPr>
          <w:p>
            <w:pPr>
              <w:spacing w:after="0"/>
              <w:rPr>
                <w:sz w:val="20"/>
                <w:szCs w:val="20"/>
                <w:color w:val="auto"/>
              </w:rPr>
            </w:pPr>
            <w:r>
              <w:rPr>
                <w:rFonts w:ascii="Arial" w:cs="Arial" w:eastAsia="Arial" w:hAnsi="Arial"/>
                <w:sz w:val="13"/>
                <w:szCs w:val="13"/>
                <w:color w:val="auto"/>
              </w:rPr>
              <w:t>Australian NAB Corporate Term Loan</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5.04%</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5.09%</w:t>
            </w:r>
          </w:p>
        </w:tc>
        <w:tc>
          <w:tcPr>
            <w:tcW w:w="200" w:type="dxa"/>
            <w:vAlign w:val="bottom"/>
          </w:tcPr>
          <w:p>
            <w:pPr>
              <w:spacing w:after="0"/>
              <w:rPr>
                <w:sz w:val="19"/>
                <w:szCs w:val="19"/>
                <w:color w:val="auto"/>
              </w:rPr>
            </w:pPr>
          </w:p>
        </w:tc>
        <w:tc>
          <w:tcPr>
            <w:tcW w:w="1060" w:type="dxa"/>
            <w:vAlign w:val="bottom"/>
          </w:tcPr>
          <w:p>
            <w:pPr>
              <w:jc w:val="center"/>
              <w:ind w:right="93"/>
              <w:spacing w:after="0"/>
              <w:rPr>
                <w:sz w:val="20"/>
                <w:szCs w:val="20"/>
                <w:color w:val="auto"/>
              </w:rPr>
            </w:pPr>
            <w:r>
              <w:rPr>
                <w:rFonts w:ascii="Arial" w:cs="Arial" w:eastAsia="Arial" w:hAnsi="Arial"/>
                <w:sz w:val="13"/>
                <w:szCs w:val="13"/>
                <w:color w:val="auto"/>
                <w:w w:val="84"/>
              </w:rPr>
              <w:t>June 30, 2019</w:t>
            </w:r>
          </w:p>
        </w:tc>
        <w:tc>
          <w:tcPr>
            <w:tcW w:w="2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47,403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56,699</w:t>
            </w:r>
          </w:p>
        </w:tc>
      </w:tr>
      <w:tr>
        <w:trPr>
          <w:trHeight w:val="223"/>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Australian NAB Corporate Revolver</w:t>
            </w:r>
          </w:p>
        </w:tc>
        <w:tc>
          <w:tcPr>
            <w:tcW w:w="13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w w:val="86"/>
              </w:rPr>
              <w:t>5.04%</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5.09%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84"/>
              </w:rPr>
              <w:t>June 30, 2019</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8,173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2660" w:type="dxa"/>
            <w:vAlign w:val="bottom"/>
            <w:gridSpan w:val="2"/>
          </w:tcPr>
          <w:p>
            <w:pPr>
              <w:spacing w:after="0"/>
              <w:rPr>
                <w:sz w:val="20"/>
                <w:szCs w:val="20"/>
                <w:color w:val="auto"/>
              </w:rPr>
            </w:pPr>
            <w:r>
              <w:rPr>
                <w:rFonts w:ascii="Arial" w:cs="Arial" w:eastAsia="Arial" w:hAnsi="Arial"/>
                <w:sz w:val="13"/>
                <w:szCs w:val="13"/>
                <w:color w:val="auto"/>
              </w:rPr>
              <w:t>Australian Shopping Center Loans</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91"/>
              </w:rPr>
              <w:t>--</w:t>
            </w:r>
          </w:p>
        </w:tc>
        <w:tc>
          <w:tcPr>
            <w:tcW w:w="11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60" w:type="dxa"/>
            <w:vAlign w:val="bottom"/>
            <w:gridSpan w:val="2"/>
          </w:tcPr>
          <w:p>
            <w:pPr>
              <w:jc w:val="center"/>
              <w:spacing w:after="0"/>
              <w:rPr>
                <w:sz w:val="20"/>
                <w:szCs w:val="20"/>
                <w:color w:val="auto"/>
              </w:rPr>
            </w:pPr>
            <w:r>
              <w:rPr>
                <w:rFonts w:ascii="Arial" w:cs="Arial" w:eastAsia="Arial" w:hAnsi="Arial"/>
                <w:sz w:val="13"/>
                <w:szCs w:val="13"/>
                <w:color w:val="auto"/>
                <w:w w:val="87"/>
              </w:rPr>
              <w:t>November 1, 2014</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223"/>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Zealand Corporate Credit Facility</w:t>
            </w:r>
          </w:p>
        </w:tc>
        <w:tc>
          <w:tcPr>
            <w:tcW w:w="13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w w:val="86"/>
              </w:rPr>
              <w:t>5.80%</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4.80%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73"/>
              <w:spacing w:after="0"/>
              <w:rPr>
                <w:sz w:val="20"/>
                <w:szCs w:val="20"/>
                <w:color w:val="auto"/>
              </w:rPr>
            </w:pPr>
            <w:r>
              <w:rPr>
                <w:rFonts w:ascii="Arial" w:cs="Arial" w:eastAsia="Arial" w:hAnsi="Arial"/>
                <w:sz w:val="13"/>
                <w:szCs w:val="13"/>
                <w:color w:val="auto"/>
                <w:w w:val="88"/>
              </w:rPr>
              <w:t>March 31, 2015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21,829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23,041</w:t>
            </w:r>
          </w:p>
        </w:tc>
      </w:tr>
      <w:tr>
        <w:trPr>
          <w:trHeight w:val="223"/>
        </w:trPr>
        <w:tc>
          <w:tcPr>
            <w:tcW w:w="2660" w:type="dxa"/>
            <w:vAlign w:val="bottom"/>
            <w:gridSpan w:val="2"/>
          </w:tcPr>
          <w:p>
            <w:pPr>
              <w:spacing w:after="0"/>
              <w:rPr>
                <w:sz w:val="20"/>
                <w:szCs w:val="20"/>
                <w:color w:val="auto"/>
              </w:rPr>
            </w:pPr>
            <w:r>
              <w:rPr>
                <w:rFonts w:ascii="Arial" w:cs="Arial" w:eastAsia="Arial" w:hAnsi="Arial"/>
                <w:sz w:val="13"/>
                <w:szCs w:val="13"/>
                <w:color w:val="auto"/>
              </w:rPr>
              <w:t>US Bank of America Credit Facility</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2.67%</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2.67%</w:t>
            </w:r>
          </w:p>
        </w:tc>
        <w:tc>
          <w:tcPr>
            <w:tcW w:w="1260" w:type="dxa"/>
            <w:vAlign w:val="bottom"/>
            <w:gridSpan w:val="2"/>
          </w:tcPr>
          <w:p>
            <w:pPr>
              <w:jc w:val="center"/>
              <w:spacing w:after="0"/>
              <w:rPr>
                <w:sz w:val="20"/>
                <w:szCs w:val="20"/>
                <w:color w:val="auto"/>
              </w:rPr>
            </w:pPr>
            <w:r>
              <w:rPr>
                <w:rFonts w:ascii="Arial" w:cs="Arial" w:eastAsia="Arial" w:hAnsi="Arial"/>
                <w:sz w:val="13"/>
                <w:szCs w:val="13"/>
                <w:color w:val="auto"/>
                <w:w w:val="85"/>
              </w:rPr>
              <w:t>December 1, 2019</w:t>
            </w:r>
          </w:p>
        </w:tc>
        <w:tc>
          <w:tcPr>
            <w:tcW w:w="2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29,750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31,500</w:t>
            </w:r>
          </w:p>
        </w:tc>
      </w:tr>
      <w:tr>
        <w:trPr>
          <w:trHeight w:val="223"/>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Bank of America Line of Credit</w:t>
            </w:r>
          </w:p>
        </w:tc>
        <w:tc>
          <w:tcPr>
            <w:tcW w:w="13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w w:val="86"/>
              </w:rPr>
              <w:t>3.17%</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73"/>
              <w:spacing w:after="0"/>
              <w:rPr>
                <w:sz w:val="20"/>
                <w:szCs w:val="20"/>
                <w:color w:val="auto"/>
              </w:rPr>
            </w:pPr>
            <w:r>
              <w:rPr>
                <w:rFonts w:ascii="Arial" w:cs="Arial" w:eastAsia="Arial" w:hAnsi="Arial"/>
                <w:sz w:val="13"/>
                <w:szCs w:val="13"/>
                <w:color w:val="auto"/>
                <w:w w:val="87"/>
              </w:rPr>
              <w:t>October 31, 2017</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2660" w:type="dxa"/>
            <w:vAlign w:val="bottom"/>
            <w:gridSpan w:val="2"/>
          </w:tcPr>
          <w:p>
            <w:pPr>
              <w:spacing w:after="0"/>
              <w:rPr>
                <w:sz w:val="20"/>
                <w:szCs w:val="20"/>
                <w:color w:val="auto"/>
              </w:rPr>
            </w:pPr>
            <w:r>
              <w:rPr>
                <w:rFonts w:ascii="Arial" w:cs="Arial" w:eastAsia="Arial" w:hAnsi="Arial"/>
                <w:sz w:val="13"/>
                <w:szCs w:val="13"/>
                <w:color w:val="auto"/>
              </w:rPr>
              <w:t>US Cinema 1, 2, 3 Term Loan</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3.69%</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5.21%</w:t>
            </w:r>
          </w:p>
        </w:tc>
        <w:tc>
          <w:tcPr>
            <w:tcW w:w="200" w:type="dxa"/>
            <w:vAlign w:val="bottom"/>
          </w:tcPr>
          <w:p>
            <w:pPr>
              <w:spacing w:after="0"/>
              <w:rPr>
                <w:sz w:val="19"/>
                <w:szCs w:val="19"/>
                <w:color w:val="auto"/>
              </w:rPr>
            </w:pPr>
          </w:p>
        </w:tc>
        <w:tc>
          <w:tcPr>
            <w:tcW w:w="1060" w:type="dxa"/>
            <w:vAlign w:val="bottom"/>
          </w:tcPr>
          <w:p>
            <w:pPr>
              <w:jc w:val="center"/>
              <w:ind w:right="93"/>
              <w:spacing w:after="0"/>
              <w:rPr>
                <w:sz w:val="20"/>
                <w:szCs w:val="20"/>
                <w:color w:val="auto"/>
              </w:rPr>
            </w:pPr>
            <w:r>
              <w:rPr>
                <w:rFonts w:ascii="Arial" w:cs="Arial" w:eastAsia="Arial" w:hAnsi="Arial"/>
                <w:sz w:val="13"/>
                <w:szCs w:val="13"/>
                <w:color w:val="auto"/>
                <w:w w:val="88"/>
              </w:rPr>
              <w:t>July 1, 2016</w:t>
            </w:r>
          </w:p>
        </w:tc>
        <w:tc>
          <w:tcPr>
            <w:tcW w:w="2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15,000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15,000</w:t>
            </w:r>
          </w:p>
        </w:tc>
      </w:tr>
      <w:tr>
        <w:trPr>
          <w:trHeight w:val="223"/>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Minetta &amp; Orpheum Theatres Loan</w:t>
            </w:r>
          </w:p>
        </w:tc>
        <w:tc>
          <w:tcPr>
            <w:tcW w:w="1380" w:type="dxa"/>
            <w:vAlign w:val="bottom"/>
            <w:shd w:val="clear" w:color="auto" w:fill="CCEEFF"/>
          </w:tcPr>
          <w:p>
            <w:pPr>
              <w:jc w:val="center"/>
              <w:ind w:left="197"/>
              <w:spacing w:after="0"/>
              <w:rPr>
                <w:sz w:val="20"/>
                <w:szCs w:val="20"/>
                <w:color w:val="auto"/>
              </w:rPr>
            </w:pPr>
            <w:r>
              <w:rPr>
                <w:rFonts w:ascii="Arial" w:cs="Arial" w:eastAsia="Arial" w:hAnsi="Arial"/>
                <w:sz w:val="13"/>
                <w:szCs w:val="13"/>
                <w:color w:val="auto"/>
                <w:w w:val="86"/>
              </w:rPr>
              <w:t>2.94%</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2.91%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73"/>
              <w:spacing w:after="0"/>
              <w:rPr>
                <w:sz w:val="20"/>
                <w:szCs w:val="20"/>
                <w:color w:val="auto"/>
              </w:rPr>
            </w:pPr>
            <w:r>
              <w:rPr>
                <w:rFonts w:ascii="Arial" w:cs="Arial" w:eastAsia="Arial" w:hAnsi="Arial"/>
                <w:sz w:val="13"/>
                <w:szCs w:val="13"/>
                <w:color w:val="auto"/>
                <w:w w:val="85"/>
              </w:rPr>
              <w:t>June 1, 2018</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7,500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r>
      <w:tr>
        <w:trPr>
          <w:trHeight w:val="223"/>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US Union Square Theatre Term Loan</w:t>
            </w:r>
          </w:p>
        </w:tc>
        <w:tc>
          <w:tcPr>
            <w:tcW w:w="138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color w:val="auto"/>
                <w:w w:val="86"/>
              </w:rPr>
              <w:t>5.92%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5.92%</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w w:val="89"/>
              </w:rPr>
              <w:t>May 1, 2015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6,468</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6,717</w:t>
            </w:r>
          </w:p>
        </w:tc>
      </w:tr>
      <w:tr>
        <w:trPr>
          <w:trHeight w:val="195"/>
        </w:trPr>
        <w:tc>
          <w:tcPr>
            <w:tcW w:w="2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164,036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168,460</w:t>
            </w: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Trust Preferred Securities</w:t>
      </w:r>
    </w:p>
    <w:p>
      <w:pPr>
        <w:spacing w:after="0" w:line="15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On February 5, 2007, we issued $51.5 million in 20-year fully subordinated notes to a trust that we control,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 Effective May 1, 2012, the interest rate on our Trust Preferred Securities changed from a fixed rate of 9.22%, which was in effect for five years, to a variable rate of three month LIBOR plus 4.00%, which will reset each quarter through the end of the loan unless we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81" w:name="page82"/>
    <w:bookmarkEnd w:id="81"/>
    <w:p>
      <w:pPr>
        <w:jc w:val="both"/>
        <w:spacing w:after="0" w:line="312" w:lineRule="auto"/>
        <w:rPr>
          <w:sz w:val="20"/>
          <w:szCs w:val="20"/>
          <w:color w:val="auto"/>
        </w:rPr>
      </w:pPr>
      <w:r>
        <w:rPr>
          <w:rFonts w:ascii="Arial" w:cs="Arial" w:eastAsia="Arial" w:hAnsi="Arial"/>
          <w:sz w:val="13"/>
          <w:szCs w:val="13"/>
          <w:color w:val="auto"/>
        </w:rPr>
        <w:t xml:space="preserve">exercise our right to re-fix the rate at the current market rate at that time. Effective October 28, 2013, we entered into a fixed interest rate swap of $27.9 million at 1.20% plus the 4.00% margin, expiring on October 31, 2017, see Note 13 – </w:t>
      </w:r>
      <w:r>
        <w:rPr>
          <w:rFonts w:ascii="Arial" w:cs="Arial" w:eastAsia="Arial" w:hAnsi="Arial"/>
          <w:sz w:val="13"/>
          <w:szCs w:val="13"/>
          <w:i w:val="1"/>
          <w:iCs w:val="1"/>
          <w:color w:val="auto"/>
        </w:rPr>
        <w:t>Derivative Instruments</w:t>
      </w:r>
      <w:r>
        <w:rPr>
          <w:rFonts w:ascii="Arial" w:cs="Arial" w:eastAsia="Arial" w:hAnsi="Arial"/>
          <w:sz w:val="13"/>
          <w:szCs w:val="13"/>
          <w:color w:val="auto"/>
        </w:rPr>
        <w:t>.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w:t>
      </w:r>
    </w:p>
    <w:p>
      <w:pPr>
        <w:spacing w:after="0" w:line="301"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 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13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During the years ended December 31, 2014, 2013, and 2012, we paid $1.4 million, $1.2 million, and $1.9 million, respectively, in preferred dividends to the unrelated investors that are included in interest expense. At December 31, 2014 and 2013, we had preferred dividends payable of $194,000 and $191,000, respectively. Interest payments for this loan are required every three months.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Australia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Australian NAB Corporate Term Loan and Revolver</w:t>
      </w:r>
    </w:p>
    <w:p>
      <w:pPr>
        <w:spacing w:after="0" w:line="157"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On June 27, 2014, we refinanced our existing three-tiered credit facility with NAB. It is comprised of (1) the Bank Bill Discount Facility with a facility limit of AUS$61.3 million, an interest rate of 2.35% above the BBSY, and amortization at AUS$2.0 million per year; (2) the Bill Discount Facility – Revolving with a facility limit of AUS$10.0 million and an interest rate of 1.50% above the BBSY on any undrawn portion. As of December 31, 2014, the revolver has been fully drawn; and (3) the Bank Guarantee Facility with a facility limit of AUS$5.0 million. All three have an expiry date of June 30, 2019. The modification of this particular term loan was not considered to be substantial as defined by ASC 740.</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Australian Shopping Center Loans</w:t>
      </w:r>
    </w:p>
    <w:p>
      <w:pPr>
        <w:spacing w:after="0" w:line="168"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In July 2004, as part of the acquisition of the Anderson Cinema Circuit, we assumed the three loans on the Epping, Rhodes, and West Lakes properties. The total amount assumed on the transaction date was $1.5 million (AUS$2.1 million) and the loans carry no interest as long as we make timely principal payments of approximately $82,000 (AUS$100,000) per year. Early repayment is possible without penalty. The only recourse on default of these loans is the security on the properties. The last of the three loans (Rhodes) was paid in full in November of 2014.</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New Zealand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Zealand Corporate Credit Facility</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On February 8, 2012, we received an approved amendment from Westpac renewing our existing $36.9 million (NZ$45.0 million) New Zealand credit facility with a 3-year credit facility with a due date of March 31, 2015.</w:t>
      </w:r>
    </w:p>
    <w:p>
      <w:pPr>
        <w:spacing w:after="0" w:line="12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facility called for a decrease in the overall facility by $4.1 million (NZ$5.0 million) to $32.8 million (NZ$40.0 million), an increase in the facility margin of 0.55% to 2.00%, and the line of credit charge increase from 0.30% to 0.40%. The facility is secured by substantially all of our New Zealand assets, but has not been guaranteed by any entity other than several of our New Zealand subsidiaries. The facility includes various affirmative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82" w:name="page83"/>
    <w:bookmarkEnd w:id="82"/>
    <w:p>
      <w:pPr>
        <w:jc w:val="both"/>
        <w:spacing w:after="0" w:line="299" w:lineRule="auto"/>
        <w:rPr>
          <w:sz w:val="20"/>
          <w:szCs w:val="20"/>
          <w:color w:val="auto"/>
        </w:rPr>
      </w:pPr>
      <w:r>
        <w:rPr>
          <w:rFonts w:ascii="Arial" w:cs="Arial" w:eastAsia="Arial" w:hAnsi="Arial"/>
          <w:sz w:val="15"/>
          <w:szCs w:val="15"/>
          <w:color w:val="auto"/>
        </w:rPr>
        <w:t>negative financial covenants designed to protect the bank’s security regarding capital expenditures and the repatriation of funds out of New Zealand. Also included in the restrictive covenants of the facility is the restriction of transferring funds from subsidiary to parent.</w:t>
      </w:r>
    </w:p>
    <w:p>
      <w:pPr>
        <w:spacing w:after="0" w:line="11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As indicated above this credit facility matures on March 31, 2015. Accordingly the outstanding balance of this debt of $21.8 million (NZ$28.0 million) is classified as current on our December 31, 2014 balance sheet. While no assurances can be given that we will be successful, we are currently in the process of renewing this loan at similar or better terms to the existing credit facility and anticipate that the refinancing will be completed before the loan matures.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Bank of America Revolver</w:t>
      </w:r>
    </w:p>
    <w:p>
      <w:pPr>
        <w:spacing w:after="0" w:line="168"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On November 28, 2014 our Bank of America revolver was refinanced from $35.0 million to $55.0 million with no loan amortization required during the term. As of December 31, 2014 we have drawn $29.8 million on the new revolver. The loan has a 5 year term maturing on December 1, 2019. Interest rate at LIBOR plus applicable margin rate (ranging from 3.0% to 2.5%) adjusted quarterly.</w:t>
      </w:r>
    </w:p>
    <w:p>
      <w:pPr>
        <w:spacing w:after="0" w:line="14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March 25, 2013, Bank of America extended the borrowing limit on our BofA Revolver from $30.0 million to $35.0 million and we borrowed $5.0 million on this revolver. On April 1, 2013, we used $2.3 million of the revolver proceeds to partially repay our US Liberty Theaters Term Loan.</w:t>
      </w:r>
    </w:p>
    <w:p>
      <w:pPr>
        <w:spacing w:after="0" w:line="13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As part of the negotiations of the BofA Revolver, we entered into a master operating equipment lease financing agreement with Banc of America Leasing &amp; Capital, LLC to finance the acquisition of up to $15.5 million in digital projection equipment for our U.S. cinema operations. See Note 17 – </w:t>
      </w:r>
      <w:r>
        <w:rPr>
          <w:rFonts w:ascii="Arial" w:cs="Arial" w:eastAsia="Arial" w:hAnsi="Arial"/>
          <w:sz w:val="16"/>
          <w:szCs w:val="16"/>
          <w:i w:val="1"/>
          <w:iCs w:val="1"/>
          <w:color w:val="auto"/>
        </w:rPr>
        <w:t>Lease Agreements</w:t>
      </w:r>
      <w:r>
        <w:rPr>
          <w:rFonts w:ascii="Arial" w:cs="Arial" w:eastAsia="Arial" w:hAnsi="Arial"/>
          <w:sz w:val="16"/>
          <w:szCs w:val="16"/>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Bank of America Line of Credit</w:t>
      </w:r>
    </w:p>
    <w:p>
      <w:pPr>
        <w:spacing w:after="0" w:line="168"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On October 31, 2012, Bank of America renewed and increased our existing $3.0 million line of credit to $5.0 million. The LOC carries an interest rate equal to BBA LIBOR floating plus a 3.50% margin and an unused line fee of 0.03%. The agreement is in effect till October 31, 2017 and is potentially renewable at that date. The undrawn balance of this LOC is $5.0 million at December 31, 2014.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Cinemas 1, 2, 3 Term Loan</w:t>
      </w:r>
    </w:p>
    <w:p>
      <w:pPr>
        <w:spacing w:after="0" w:line="15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On June 26, 2014, our controlled subsidiary Sutton Hill Properties, LLC, entered into an agreement with Sovereign Bank, refinancing the current loan on the property and providing an additional $6.0 million for the acquisition of air rights to add additional density to any redevelopment of the property (“air rights”).We replaced an existing term loan of $15.0 million that was scheduled to mature on the following day. The new loan has a 2-year term, payable interest only, commencing June 27, 2014, all principal and unpaid interest due and payable on maturity. The loan is collateralized by our Cinemas 1,2,3 property (including any air rights that we may acquire). The loan has an interest rate of 3.50% over the 30-day LIBOR. The modification of this particular term loan was not considered to be substantial as defined by ASC 740.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Minetta and Orpheum Theatres Loan</w:t>
      </w:r>
    </w:p>
    <w:p>
      <w:pPr>
        <w:spacing w:after="0" w:line="157"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 xml:space="preserve">On May 29, 2013, we refinanced our Liberty Theaters loan with a $7.5 million loan secured by our Minetta and Orpheum theatres, thus releasing the Royal George from the security and leaving it unencumbered. This new loan has a maturity date of June 1, 2018, and an interest rate of LIBOR plus a 2.75% margin with a LIBOR rate cap of 4.00% plus the 2.75% margin. See Note 13 – </w:t>
      </w:r>
      <w:r>
        <w:rPr>
          <w:rFonts w:ascii="Arial" w:cs="Arial" w:eastAsia="Arial" w:hAnsi="Arial"/>
          <w:sz w:val="13"/>
          <w:szCs w:val="13"/>
          <w:i w:val="1"/>
          <w:iCs w:val="1"/>
          <w:color w:val="auto"/>
        </w:rPr>
        <w:t>Derivative Instruments</w:t>
      </w:r>
      <w:r>
        <w:rPr>
          <w:rFonts w:ascii="Arial" w:cs="Arial" w:eastAsia="Arial" w:hAnsi="Arial"/>
          <w:sz w:val="13"/>
          <w:szCs w:val="13"/>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Union Square Theatre Term Loan</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April 30, 2010, we refinanced the loan secured by our Union Square property with another lender. The new loan for $7.5 million has a five-year term with a maturity date of May 1, 2015, with a fixed interest rate of 5.92% per annum and an amortization payment schedule of 20 years with a balloon payment of approximately $6.5 million at the end of the loan term.</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83" w:name="page84"/>
    <w:bookmarkEnd w:id="83"/>
    <w:p>
      <w:pPr>
        <w:jc w:val="both"/>
        <w:ind w:firstLine="564"/>
        <w:spacing w:after="0" w:line="251" w:lineRule="auto"/>
        <w:rPr>
          <w:sz w:val="20"/>
          <w:szCs w:val="20"/>
          <w:color w:val="auto"/>
        </w:rPr>
      </w:pPr>
      <w:r>
        <w:rPr>
          <w:rFonts w:ascii="Arial" w:cs="Arial" w:eastAsia="Arial" w:hAnsi="Arial"/>
          <w:sz w:val="16"/>
          <w:szCs w:val="16"/>
          <w:color w:val="auto"/>
        </w:rPr>
        <w:t>As indicated above this credit facility matures on May 1, 2015. Accordingly the outstanding balance of this debt of $6.5 million is classified as current on our December 31, 2014 balance sheet. While no assurances can be given that we will be successful, we are currently in the process of renewing this loan at similar or better terms to the existing loan and anticipate that the refinancing will be completed at the latest by March 31, 2015.</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Sutton Hill Capital Note-Related Party</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On June 18, 2013, we repaid the SHC Note 2 for $9.0 million. As the debtor on this note was Sutton Hill Properties, LLC, in which we have a 75% interest, the note was, in effect, paid $6.75 million by us and $2.25 million by our co-investor.</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Summary of Notes Payable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aggregate future principal loan payments are as follows (dollars in thousands):</w:t>
      </w:r>
    </w:p>
    <w:p>
      <w:pPr>
        <w:spacing w:after="0" w:line="25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2015</w:t>
            </w:r>
          </w:p>
        </w:tc>
        <w:tc>
          <w:tcPr>
            <w:tcW w:w="2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38,104</w:t>
            </w:r>
          </w:p>
        </w:tc>
        <w:tc>
          <w:tcPr>
            <w:tcW w:w="720" w:type="dxa"/>
            <w:vAlign w:val="bottom"/>
            <w:tcBorders>
              <w:top w:val="single" w:sz="8" w:color="CCEEFF"/>
            </w:tcBorders>
            <w:shd w:val="clear" w:color="auto" w:fill="CCEEFF"/>
          </w:tcPr>
          <w:p>
            <w:pPr>
              <w:spacing w:after="0"/>
              <w:rPr>
                <w:sz w:val="18"/>
                <w:szCs w:val="18"/>
                <w:color w:val="auto"/>
              </w:rPr>
            </w:pPr>
          </w:p>
        </w:tc>
      </w:tr>
      <w:tr>
        <w:trPr>
          <w:trHeight w:val="223"/>
        </w:trPr>
        <w:tc>
          <w:tcPr>
            <w:tcW w:w="5200" w:type="dxa"/>
            <w:vAlign w:val="bottom"/>
            <w:gridSpan w:val="2"/>
          </w:tcPr>
          <w:p>
            <w:pPr>
              <w:ind w:left="820"/>
              <w:spacing w:after="0"/>
              <w:rPr>
                <w:sz w:val="20"/>
                <w:szCs w:val="20"/>
                <w:color w:val="auto"/>
              </w:rPr>
            </w:pPr>
            <w:r>
              <w:rPr>
                <w:rFonts w:ascii="Arial" w:cs="Arial" w:eastAsia="Arial" w:hAnsi="Arial"/>
                <w:sz w:val="16"/>
                <w:szCs w:val="16"/>
                <w:color w:val="auto"/>
              </w:rPr>
              <w:t>2016</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16,635</w:t>
            </w:r>
          </w:p>
        </w:tc>
        <w:tc>
          <w:tcPr>
            <w:tcW w:w="720" w:type="dxa"/>
            <w:vAlign w:val="bottom"/>
          </w:tcPr>
          <w:p>
            <w:pPr>
              <w:spacing w:after="0"/>
              <w:rPr>
                <w:sz w:val="19"/>
                <w:szCs w:val="19"/>
                <w:color w:val="auto"/>
              </w:rPr>
            </w:pPr>
          </w:p>
        </w:tc>
      </w:tr>
      <w:tr>
        <w:trPr>
          <w:trHeight w:val="224"/>
        </w:trPr>
        <w:tc>
          <w:tcPr>
            <w:tcW w:w="5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2017</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720" w:type="dxa"/>
            <w:vAlign w:val="bottom"/>
            <w:shd w:val="clear" w:color="auto" w:fill="CCEEFF"/>
          </w:tcPr>
          <w:p>
            <w:pPr>
              <w:spacing w:after="0"/>
              <w:rPr>
                <w:sz w:val="19"/>
                <w:szCs w:val="19"/>
                <w:color w:val="auto"/>
              </w:rPr>
            </w:pPr>
          </w:p>
        </w:tc>
      </w:tr>
      <w:tr>
        <w:trPr>
          <w:trHeight w:val="223"/>
        </w:trPr>
        <w:tc>
          <w:tcPr>
            <w:tcW w:w="5200" w:type="dxa"/>
            <w:vAlign w:val="bottom"/>
            <w:gridSpan w:val="2"/>
          </w:tcPr>
          <w:p>
            <w:pPr>
              <w:ind w:left="820"/>
              <w:spacing w:after="0"/>
              <w:rPr>
                <w:sz w:val="20"/>
                <w:szCs w:val="20"/>
                <w:color w:val="auto"/>
              </w:rPr>
            </w:pPr>
            <w:r>
              <w:rPr>
                <w:rFonts w:ascii="Arial" w:cs="Arial" w:eastAsia="Arial" w:hAnsi="Arial"/>
                <w:sz w:val="16"/>
                <w:szCs w:val="16"/>
                <w:color w:val="auto"/>
              </w:rPr>
              <w:t>2018</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9,135</w:t>
            </w:r>
          </w:p>
        </w:tc>
        <w:tc>
          <w:tcPr>
            <w:tcW w:w="720" w:type="dxa"/>
            <w:vAlign w:val="bottom"/>
          </w:tcPr>
          <w:p>
            <w:pPr>
              <w:spacing w:after="0"/>
              <w:rPr>
                <w:sz w:val="19"/>
                <w:szCs w:val="19"/>
                <w:color w:val="auto"/>
              </w:rPr>
            </w:pPr>
          </w:p>
        </w:tc>
      </w:tr>
      <w:tr>
        <w:trPr>
          <w:trHeight w:val="224"/>
        </w:trPr>
        <w:tc>
          <w:tcPr>
            <w:tcW w:w="5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2019</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70,615</w:t>
            </w:r>
          </w:p>
        </w:tc>
        <w:tc>
          <w:tcPr>
            <w:tcW w:w="720" w:type="dxa"/>
            <w:vAlign w:val="bottom"/>
            <w:shd w:val="clear" w:color="auto" w:fill="CCEEFF"/>
          </w:tcPr>
          <w:p>
            <w:pPr>
              <w:spacing w:after="0"/>
              <w:rPr>
                <w:sz w:val="19"/>
                <w:szCs w:val="19"/>
                <w:color w:val="auto"/>
              </w:rPr>
            </w:pPr>
          </w:p>
        </w:tc>
      </w:tr>
      <w:tr>
        <w:trPr>
          <w:trHeight w:val="223"/>
        </w:trPr>
        <w:tc>
          <w:tcPr>
            <w:tcW w:w="720" w:type="dxa"/>
            <w:vAlign w:val="bottom"/>
            <w:tcBorders>
              <w:bottom w:val="single" w:sz="8" w:color="CCEEFF"/>
            </w:tcBorders>
          </w:tcPr>
          <w:p>
            <w:pPr>
              <w:spacing w:after="0"/>
              <w:rPr>
                <w:sz w:val="19"/>
                <w:szCs w:val="19"/>
                <w:color w:val="auto"/>
              </w:rPr>
            </w:pPr>
          </w:p>
        </w:tc>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Thereafter</w:t>
            </w:r>
          </w:p>
        </w:tc>
        <w:tc>
          <w:tcPr>
            <w:tcW w:w="2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27,912</w:t>
            </w:r>
          </w:p>
        </w:tc>
        <w:tc>
          <w:tcPr>
            <w:tcW w:w="720" w:type="dxa"/>
            <w:vAlign w:val="bottom"/>
            <w:tcBorders>
              <w:bottom w:val="single" w:sz="8" w:color="CCEEFF"/>
            </w:tcBorders>
          </w:tcPr>
          <w:p>
            <w:pPr>
              <w:spacing w:after="0"/>
              <w:rPr>
                <w:sz w:val="19"/>
                <w:szCs w:val="19"/>
                <w:color w:val="auto"/>
              </w:rPr>
            </w:pPr>
          </w:p>
        </w:tc>
      </w:tr>
      <w:tr>
        <w:trPr>
          <w:trHeight w:val="195"/>
        </w:trPr>
        <w:tc>
          <w:tcPr>
            <w:tcW w:w="720" w:type="dxa"/>
            <w:vAlign w:val="bottom"/>
            <w:tcBorders>
              <w:bottom w:val="single" w:sz="8" w:color="CCEEFF"/>
            </w:tcBorders>
            <w:shd w:val="clear" w:color="auto" w:fill="CCEEFF"/>
          </w:tcPr>
          <w:p>
            <w:pPr>
              <w:spacing w:after="0"/>
              <w:rPr>
                <w:sz w:val="16"/>
                <w:szCs w:val="16"/>
                <w:color w:val="auto"/>
              </w:rPr>
            </w:pPr>
          </w:p>
        </w:tc>
        <w:tc>
          <w:tcPr>
            <w:tcW w:w="4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Total future principal loan payments</w:t>
            </w:r>
          </w:p>
        </w:tc>
        <w:tc>
          <w:tcPr>
            <w:tcW w:w="240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164,036</w:t>
            </w:r>
          </w:p>
        </w:tc>
        <w:tc>
          <w:tcPr>
            <w:tcW w:w="720" w:type="dxa"/>
            <w:vAlign w:val="bottom"/>
            <w:tcBorders>
              <w:bottom w:val="single" w:sz="8" w:color="CCEEFF"/>
            </w:tcBorders>
            <w:shd w:val="clear" w:color="auto" w:fill="CCEEFF"/>
          </w:tcPr>
          <w:p>
            <w:pPr>
              <w:spacing w:after="0"/>
              <w:rPr>
                <w:sz w:val="16"/>
                <w:szCs w:val="16"/>
                <w:color w:val="auto"/>
              </w:rPr>
            </w:pPr>
          </w:p>
        </w:tc>
      </w:tr>
    </w:tbl>
    <w:p>
      <w:pPr>
        <w:spacing w:after="0" w:line="175"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Since approximately $77.4 million of our total debt of $164.0 million at December 31, 2014 consisted of debt denominated in Australian and New Zealand dollars, the U.S dollar amounts of these repayments will fluctuate in accordance with the relative values of these currencies.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13 – Derivative Instruments</w:t>
      </w:r>
    </w:p>
    <w:p>
      <w:pPr>
        <w:spacing w:after="0" w:line="17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variable rate debt to a fixed rate over the term of the interest rate swap.</w:t>
      </w:r>
    </w:p>
    <w:p>
      <w:pPr>
        <w:spacing w:after="0" w:line="135"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For our Australian borrowings, we were required to swap no less than 75% of our drawdowns under our Australian Corporate Credit Facility into fixed interest rate obligations. Under the June 27, 2014 refinancing the 75% of the loan balance be swapped into fixed rate obligations was no longer required. In conjunction with the NAB Credit Facility, we entered into a five-year interest swap agreement, which swaps more than 100% of our variable rate term loan based on BBSY for a 5.50% fixed rate loan which steps down commensurate with the payments of the loan balance. At the time of entering into this NAB swap, our existing BOSI swap was “in-the-money” by $160,000. In lieu of a cash payment for the in-the-money BOSI swap, we negotiated a slightly lower fixed swap rate by 0.05% for our new NAB fixed rate swap.</w:t>
      </w:r>
    </w:p>
    <w:p>
      <w:pPr>
        <w:spacing w:after="0" w:line="96"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Although our Bank of America Revolver does not require a fixed interest swap agreement, effective December 31, 2013, we entered into an approximate three-year $28.0 million fixed interest rate swap that has a balance reduction schedule which matches the contraction amortization of the Bank of America Revolver.</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Effective October 28, 2013, we entered into a three-year $27.9 million fixed interest rate swap for our Trust Preferred Securities.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As a result of these swap and loan agreements, we pay a total fixed interest rate of 7.90% (5.50% swap contract rate plus a 2.40% margin under the loan) for our NAB Loan, a total fixed interest rate of 3.65% (1.15% swap contract rate plus a 2.50% margin under the loan) for our BofA Loan, and a total fixed interest rate of 5.20%</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84" w:name="page85"/>
    <w:bookmarkEnd w:id="84"/>
    <w:p>
      <w:pPr>
        <w:spacing w:after="0"/>
        <w:rPr>
          <w:sz w:val="20"/>
          <w:szCs w:val="20"/>
          <w:color w:val="auto"/>
        </w:rPr>
      </w:pPr>
      <w:r>
        <w:rPr>
          <w:rFonts w:ascii="Arial" w:cs="Arial" w:eastAsia="Arial" w:hAnsi="Arial"/>
          <w:sz w:val="13"/>
          <w:szCs w:val="13"/>
          <w:color w:val="auto"/>
        </w:rPr>
        <w:t>(1.20% swap contract rate plus a 4.00% margin under the loan) for our Trust Preferred Securities instead of the obligatorily disclosed loan rates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5.04%, 2.67%, and 4.23%, respectively, as indicated in Note 12 – Notes Payable.</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Finally, as part of our new US Minetta and Orpheum Theatres Loan, we entered into a five-year LIBOR rate cap of 4.00% with a loan margin of 2.75% (see Note 12 – Notes Payable).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terms of our interest rate swap derivative instruments at December 31, 2014:</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Type of Instrument</w:t>
            </w:r>
          </w:p>
        </w:tc>
        <w:tc>
          <w:tcPr>
            <w:tcW w:w="8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w w:val="88"/>
              </w:rPr>
              <w:t>Notional Amount</w:t>
            </w:r>
          </w:p>
        </w:tc>
        <w:tc>
          <w:tcPr>
            <w:tcW w:w="6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Pay Fixed Rate</w:t>
            </w:r>
          </w:p>
        </w:tc>
        <w:tc>
          <w:tcPr>
            <w:tcW w:w="220" w:type="dxa"/>
            <w:vAlign w:val="bottom"/>
          </w:tcPr>
          <w:p>
            <w:pPr>
              <w:spacing w:after="0"/>
              <w:rPr>
                <w:sz w:val="16"/>
                <w:szCs w:val="16"/>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Receive Variable Rate</w:t>
            </w:r>
          </w:p>
        </w:tc>
        <w:tc>
          <w:tcPr>
            <w:tcW w:w="1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Maturity Date</w:t>
            </w:r>
          </w:p>
        </w:tc>
      </w:tr>
      <w:tr>
        <w:trPr>
          <w:trHeight w:val="223"/>
        </w:trPr>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Interest rate swap</w:t>
            </w:r>
          </w:p>
        </w:tc>
        <w:tc>
          <w:tcPr>
            <w:tcW w:w="8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$49,446,650</w:t>
            </w:r>
          </w:p>
        </w:tc>
        <w:tc>
          <w:tcPr>
            <w:tcW w:w="6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5.500%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2.688%</w:t>
            </w: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June 30, 2016</w:t>
            </w:r>
          </w:p>
        </w:tc>
        <w:tc>
          <w:tcPr>
            <w:tcW w:w="400" w:type="dxa"/>
            <w:vAlign w:val="bottom"/>
            <w:tcBorders>
              <w:bottom w:val="single" w:sz="8" w:color="CCEEFF"/>
            </w:tcBorders>
            <w:shd w:val="clear" w:color="auto" w:fill="CCEEFF"/>
          </w:tcPr>
          <w:p>
            <w:pPr>
              <w:spacing w:after="0"/>
              <w:rPr>
                <w:sz w:val="19"/>
                <w:szCs w:val="19"/>
                <w:color w:val="auto"/>
              </w:rPr>
            </w:pPr>
          </w:p>
        </w:tc>
      </w:tr>
      <w:tr>
        <w:trPr>
          <w:trHeight w:val="200"/>
        </w:trPr>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6"/>
              </w:rPr>
              <w:t>Interest rate swap</w:t>
            </w:r>
          </w:p>
        </w:tc>
        <w:tc>
          <w:tcPr>
            <w:tcW w:w="1960" w:type="dxa"/>
            <w:vAlign w:val="bottom"/>
            <w:gridSpan w:val="2"/>
          </w:tcPr>
          <w:p>
            <w:pPr>
              <w:jc w:val="center"/>
              <w:ind w:left="742"/>
              <w:spacing w:after="0"/>
              <w:rPr>
                <w:sz w:val="20"/>
                <w:szCs w:val="20"/>
                <w:color w:val="auto"/>
              </w:rPr>
            </w:pPr>
            <w:r>
              <w:rPr>
                <w:rFonts w:ascii="Arial" w:cs="Arial" w:eastAsia="Arial" w:hAnsi="Arial"/>
                <w:sz w:val="16"/>
                <w:szCs w:val="16"/>
                <w:color w:val="auto"/>
                <w:w w:val="87"/>
              </w:rPr>
              <w:t>$28,000,000</w:t>
            </w:r>
          </w:p>
        </w:tc>
        <w:tc>
          <w:tcPr>
            <w:tcW w:w="1660" w:type="dxa"/>
            <w:vAlign w:val="bottom"/>
            <w:gridSpan w:val="2"/>
          </w:tcPr>
          <w:p>
            <w:pPr>
              <w:jc w:val="center"/>
              <w:ind w:left="542"/>
              <w:spacing w:after="0"/>
              <w:rPr>
                <w:sz w:val="20"/>
                <w:szCs w:val="20"/>
                <w:color w:val="auto"/>
              </w:rPr>
            </w:pPr>
            <w:r>
              <w:rPr>
                <w:rFonts w:ascii="Arial" w:cs="Arial" w:eastAsia="Arial" w:hAnsi="Arial"/>
                <w:sz w:val="16"/>
                <w:szCs w:val="16"/>
                <w:color w:val="auto"/>
                <w:w w:val="88"/>
              </w:rPr>
              <w:t>1.150%</w:t>
            </w:r>
          </w:p>
        </w:tc>
        <w:tc>
          <w:tcPr>
            <w:tcW w:w="220" w:type="dxa"/>
            <w:vAlign w:val="bottom"/>
          </w:tcPr>
          <w:p>
            <w:pPr>
              <w:spacing w:after="0"/>
              <w:rPr>
                <w:sz w:val="17"/>
                <w:szCs w:val="17"/>
                <w:color w:val="auto"/>
              </w:rPr>
            </w:pPr>
          </w:p>
        </w:tc>
        <w:tc>
          <w:tcPr>
            <w:tcW w:w="1680" w:type="dxa"/>
            <w:vAlign w:val="bottom"/>
            <w:gridSpan w:val="2"/>
          </w:tcPr>
          <w:p>
            <w:pPr>
              <w:jc w:val="center"/>
              <w:ind w:left="122"/>
              <w:spacing w:after="0"/>
              <w:rPr>
                <w:sz w:val="20"/>
                <w:szCs w:val="20"/>
                <w:color w:val="auto"/>
              </w:rPr>
            </w:pPr>
            <w:r>
              <w:rPr>
                <w:rFonts w:ascii="Arial" w:cs="Arial" w:eastAsia="Arial" w:hAnsi="Arial"/>
                <w:sz w:val="16"/>
                <w:szCs w:val="16"/>
                <w:color w:val="auto"/>
                <w:w w:val="88"/>
              </w:rPr>
              <w:t>0.169%</w:t>
            </w:r>
          </w:p>
        </w:tc>
        <w:tc>
          <w:tcPr>
            <w:tcW w:w="320" w:type="dxa"/>
            <w:vAlign w:val="bottom"/>
          </w:tcPr>
          <w:p>
            <w:pPr>
              <w:spacing w:after="0"/>
              <w:rPr>
                <w:sz w:val="17"/>
                <w:szCs w:val="17"/>
                <w:color w:val="auto"/>
              </w:rPr>
            </w:pPr>
          </w:p>
        </w:tc>
        <w:tc>
          <w:tcPr>
            <w:tcW w:w="1760" w:type="dxa"/>
            <w:vAlign w:val="bottom"/>
            <w:gridSpan w:val="3"/>
          </w:tcPr>
          <w:p>
            <w:pPr>
              <w:jc w:val="center"/>
              <w:spacing w:after="0"/>
              <w:rPr>
                <w:sz w:val="20"/>
                <w:szCs w:val="20"/>
                <w:color w:val="auto"/>
              </w:rPr>
            </w:pPr>
            <w:r>
              <w:rPr>
                <w:rFonts w:ascii="Arial" w:cs="Arial" w:eastAsia="Arial" w:hAnsi="Arial"/>
                <w:sz w:val="16"/>
                <w:szCs w:val="16"/>
                <w:color w:val="auto"/>
                <w:w w:val="87"/>
              </w:rPr>
              <w:t>October 31, 2017</w:t>
            </w:r>
          </w:p>
        </w:tc>
      </w:tr>
      <w:tr>
        <w:trPr>
          <w:trHeight w:val="35"/>
        </w:trPr>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15"/>
        </w:trPr>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Interest rate swap</w:t>
            </w:r>
          </w:p>
        </w:tc>
        <w:tc>
          <w:tcPr>
            <w:tcW w:w="1960" w:type="dxa"/>
            <w:vAlign w:val="bottom"/>
            <w:tcBorders>
              <w:bottom w:val="single" w:sz="8" w:color="CCEEFF"/>
            </w:tcBorders>
            <w:gridSpan w:val="2"/>
            <w:shd w:val="clear" w:color="auto" w:fill="CCEEFF"/>
          </w:tcPr>
          <w:p>
            <w:pPr>
              <w:jc w:val="center"/>
              <w:ind w:left="742"/>
              <w:spacing w:after="0"/>
              <w:rPr>
                <w:sz w:val="20"/>
                <w:szCs w:val="20"/>
                <w:color w:val="auto"/>
              </w:rPr>
            </w:pPr>
            <w:r>
              <w:rPr>
                <w:rFonts w:ascii="Arial" w:cs="Arial" w:eastAsia="Arial" w:hAnsi="Arial"/>
                <w:sz w:val="16"/>
                <w:szCs w:val="16"/>
                <w:color w:val="auto"/>
                <w:w w:val="87"/>
              </w:rPr>
              <w:t>$27,913,000</w:t>
            </w:r>
          </w:p>
        </w:tc>
        <w:tc>
          <w:tcPr>
            <w:tcW w:w="1660" w:type="dxa"/>
            <w:vAlign w:val="bottom"/>
            <w:tcBorders>
              <w:bottom w:val="single" w:sz="8" w:color="CCEEFF"/>
            </w:tcBorders>
            <w:gridSpan w:val="2"/>
            <w:shd w:val="clear" w:color="auto" w:fill="CCEEFF"/>
          </w:tcPr>
          <w:p>
            <w:pPr>
              <w:jc w:val="center"/>
              <w:ind w:left="542"/>
              <w:spacing w:after="0"/>
              <w:rPr>
                <w:sz w:val="20"/>
                <w:szCs w:val="20"/>
                <w:color w:val="auto"/>
              </w:rPr>
            </w:pPr>
            <w:r>
              <w:rPr>
                <w:rFonts w:ascii="Arial" w:cs="Arial" w:eastAsia="Arial" w:hAnsi="Arial"/>
                <w:sz w:val="16"/>
                <w:szCs w:val="16"/>
                <w:color w:val="auto"/>
                <w:w w:val="88"/>
              </w:rPr>
              <w:t>1.200%</w:t>
            </w:r>
          </w:p>
        </w:tc>
        <w:tc>
          <w:tcPr>
            <w:tcW w:w="2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center"/>
              <w:ind w:left="122"/>
              <w:spacing w:after="0"/>
              <w:rPr>
                <w:sz w:val="20"/>
                <w:szCs w:val="20"/>
                <w:color w:val="auto"/>
              </w:rPr>
            </w:pPr>
            <w:r>
              <w:rPr>
                <w:rFonts w:ascii="Arial" w:cs="Arial" w:eastAsia="Arial" w:hAnsi="Arial"/>
                <w:sz w:val="16"/>
                <w:szCs w:val="16"/>
                <w:color w:val="auto"/>
                <w:w w:val="88"/>
              </w:rPr>
              <w:t>0.233%</w:t>
            </w:r>
          </w:p>
        </w:tc>
        <w:tc>
          <w:tcPr>
            <w:tcW w:w="3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7"/>
              </w:rPr>
              <w:t>October 31, 2017</w:t>
            </w:r>
          </w:p>
        </w:tc>
      </w:tr>
      <w:tr>
        <w:trPr>
          <w:trHeight w:val="200"/>
        </w:trPr>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6"/>
              </w:rPr>
              <w:t>Interest rate cap</w:t>
            </w:r>
          </w:p>
        </w:tc>
        <w:tc>
          <w:tcPr>
            <w:tcW w:w="1960" w:type="dxa"/>
            <w:vAlign w:val="bottom"/>
            <w:gridSpan w:val="2"/>
          </w:tcPr>
          <w:p>
            <w:pPr>
              <w:jc w:val="center"/>
              <w:ind w:left="722"/>
              <w:spacing w:after="0"/>
              <w:rPr>
                <w:sz w:val="20"/>
                <w:szCs w:val="20"/>
                <w:color w:val="auto"/>
              </w:rPr>
            </w:pPr>
            <w:r>
              <w:rPr>
                <w:rFonts w:ascii="Arial" w:cs="Arial" w:eastAsia="Arial" w:hAnsi="Arial"/>
                <w:sz w:val="16"/>
                <w:szCs w:val="16"/>
                <w:color w:val="auto"/>
                <w:w w:val="89"/>
              </w:rPr>
              <w:t>$7,500,000</w:t>
            </w:r>
          </w:p>
        </w:tc>
        <w:tc>
          <w:tcPr>
            <w:tcW w:w="1660" w:type="dxa"/>
            <w:vAlign w:val="bottom"/>
            <w:gridSpan w:val="2"/>
          </w:tcPr>
          <w:p>
            <w:pPr>
              <w:jc w:val="center"/>
              <w:ind w:left="542"/>
              <w:spacing w:after="0"/>
              <w:rPr>
                <w:sz w:val="20"/>
                <w:szCs w:val="20"/>
                <w:color w:val="auto"/>
              </w:rPr>
            </w:pPr>
            <w:r>
              <w:rPr>
                <w:rFonts w:ascii="Arial" w:cs="Arial" w:eastAsia="Arial" w:hAnsi="Arial"/>
                <w:sz w:val="16"/>
                <w:szCs w:val="16"/>
                <w:color w:val="auto"/>
                <w:w w:val="88"/>
              </w:rPr>
              <w:t>4.000%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6"/>
                <w:szCs w:val="16"/>
                <w:color w:val="auto"/>
                <w:w w:val="80"/>
              </w:rPr>
              <w:t>n/a</w:t>
            </w:r>
          </w:p>
        </w:tc>
        <w:tc>
          <w:tcPr>
            <w:tcW w:w="40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color w:val="auto"/>
                <w:w w:val="86"/>
              </w:rPr>
              <w:t>June 1, 2018</w:t>
            </w:r>
          </w:p>
        </w:tc>
      </w:tr>
    </w:tbl>
    <w:p>
      <w:pPr>
        <w:spacing w:after="0" w:line="211"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In accordance with FASB ASC 815-20 – Derivatives and Hedging, we marked our interest swap instruments to market on the consolidated balance sheet resulting in a $1.0 million decrease to interest expense during 2014, a $2.0 million decrease to interest expense during 2013, and a $1.1 million increase to interest expense during 2012. At December 31, 2014 2013 and 2012 we recorded the fair market value of our interest rate swaps of $2.3 million, $3.3 million and $5.9 million respectively, as other long-term liabilities. In accordance with FASB ASC 815-20, we have not designated any of our current interest rate swap positions as financial reporting hedges.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14 - Income Taxes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80" w:type="dxa"/>
            <w:vAlign w:val="bottom"/>
          </w:tcPr>
          <w:p>
            <w:pPr>
              <w:ind w:left="560"/>
              <w:spacing w:after="0"/>
              <w:rPr>
                <w:sz w:val="20"/>
                <w:szCs w:val="20"/>
                <w:color w:val="auto"/>
              </w:rPr>
            </w:pPr>
            <w:r>
              <w:rPr>
                <w:rFonts w:ascii="Arial" w:cs="Arial" w:eastAsia="Arial" w:hAnsi="Arial"/>
                <w:sz w:val="16"/>
                <w:szCs w:val="16"/>
                <w:color w:val="auto"/>
                <w:w w:val="91"/>
              </w:rPr>
              <w:t>Income before income tax expense includes the following (dollars in thousands):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70"/>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r>
      <w:tr>
        <w:trPr>
          <w:trHeight w:val="207"/>
        </w:trPr>
        <w:tc>
          <w:tcPr>
            <w:tcW w:w="5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2012</w:t>
            </w:r>
          </w:p>
        </w:tc>
      </w:tr>
      <w:tr>
        <w:trPr>
          <w:trHeight w:val="22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2,778</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8,745</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27"/>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12,066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3,973</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5"/>
              </w:rPr>
              <w:t>Income before income tax expense and equity earnings of unconsolidated joint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04"/>
        </w:trPr>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ventures and entities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14,844</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12,718</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r>
      <w:tr>
        <w:trPr>
          <w:trHeight w:val="70"/>
        </w:trPr>
        <w:tc>
          <w:tcPr>
            <w:tcW w:w="5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235"/>
        </w:trPr>
        <w:tc>
          <w:tcPr>
            <w:tcW w:w="57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Net (income) expense attributable to noncontrolling interests</w:t>
            </w: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4"/>
        </w:trPr>
        <w:tc>
          <w:tcPr>
            <w:tcW w:w="5780" w:type="dxa"/>
            <w:vAlign w:val="bottom"/>
          </w:tcPr>
          <w:p>
            <w:pPr>
              <w:ind w:left="100"/>
              <w:spacing w:after="0"/>
              <w:rPr>
                <w:sz w:val="20"/>
                <w:szCs w:val="20"/>
                <w:color w:val="auto"/>
              </w:rPr>
            </w:pPr>
            <w:r>
              <w:rPr>
                <w:rFonts w:ascii="Arial" w:cs="Arial" w:eastAsia="Arial" w:hAnsi="Arial"/>
                <w:sz w:val="16"/>
                <w:szCs w:val="16"/>
                <w:color w:val="auto"/>
              </w:rPr>
              <w:t>United States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200</w:t>
            </w:r>
          </w:p>
        </w:tc>
        <w:tc>
          <w:tcPr>
            <w:tcW w:w="340" w:type="dxa"/>
            <w:vAlign w:val="bottom"/>
          </w:tcPr>
          <w:p>
            <w:pPr>
              <w:spacing w:after="0"/>
              <w:rPr>
                <w:sz w:val="20"/>
                <w:szCs w:val="20"/>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35"/>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(143)</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(128)</w:t>
            </w: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4"/>
        </w:trPr>
        <w:tc>
          <w:tcPr>
            <w:tcW w:w="5780" w:type="dxa"/>
            <w:vAlign w:val="bottom"/>
          </w:tcPr>
          <w:p>
            <w:pPr>
              <w:spacing w:after="0"/>
              <w:rPr>
                <w:sz w:val="20"/>
                <w:szCs w:val="20"/>
                <w:color w:val="auto"/>
              </w:rPr>
            </w:pPr>
            <w:r>
              <w:rPr>
                <w:rFonts w:ascii="Arial" w:cs="Arial" w:eastAsia="Arial" w:hAnsi="Arial"/>
                <w:sz w:val="16"/>
                <w:szCs w:val="16"/>
                <w:i w:val="1"/>
                <w:iCs w:val="1"/>
                <w:color w:val="auto"/>
              </w:rPr>
              <w:t>Equity earnings and gain on sale of unconsolidated subsidiary</w:t>
            </w: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5"/>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4"/>
        </w:trPr>
        <w:tc>
          <w:tcPr>
            <w:tcW w:w="5780" w:type="dxa"/>
            <w:vAlign w:val="bottom"/>
          </w:tcPr>
          <w:p>
            <w:pPr>
              <w:ind w:left="100"/>
              <w:spacing w:after="0"/>
              <w:rPr>
                <w:sz w:val="20"/>
                <w:szCs w:val="20"/>
                <w:color w:val="auto"/>
              </w:rPr>
            </w:pPr>
            <w:r>
              <w:rPr>
                <w:rFonts w:ascii="Arial" w:cs="Arial" w:eastAsia="Arial" w:hAnsi="Arial"/>
                <w:sz w:val="16"/>
                <w:szCs w:val="16"/>
                <w:color w:val="auto"/>
              </w:rPr>
              <w:t>Foreign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1,015</w:t>
            </w:r>
          </w:p>
        </w:tc>
        <w:tc>
          <w:tcPr>
            <w:tcW w:w="340" w:type="dxa"/>
            <w:vAlign w:val="bottom"/>
          </w:tcPr>
          <w:p>
            <w:pPr>
              <w:spacing w:after="0"/>
              <w:rPr>
                <w:sz w:val="20"/>
                <w:szCs w:val="20"/>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1,370</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1,594</w:t>
            </w:r>
          </w:p>
        </w:tc>
      </w:tr>
      <w:tr>
        <w:trPr>
          <w:trHeight w:val="235"/>
        </w:trPr>
        <w:tc>
          <w:tcPr>
            <w:tcW w:w="57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Gain on sale of discontinued operation:</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4"/>
        </w:trPr>
        <w:tc>
          <w:tcPr>
            <w:tcW w:w="5780" w:type="dxa"/>
            <w:vAlign w:val="bottom"/>
          </w:tcPr>
          <w:p>
            <w:pPr>
              <w:ind w:left="100"/>
              <w:spacing w:after="0"/>
              <w:rPr>
                <w:sz w:val="20"/>
                <w:szCs w:val="20"/>
                <w:color w:val="auto"/>
              </w:rPr>
            </w:pPr>
            <w:r>
              <w:rPr>
                <w:rFonts w:ascii="Arial" w:cs="Arial" w:eastAsia="Arial" w:hAnsi="Arial"/>
                <w:sz w:val="16"/>
                <w:szCs w:val="16"/>
                <w:color w:val="auto"/>
              </w:rPr>
              <w:t>United States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Foreign</w:t>
            </w: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07"/>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Income before income tax expense</w:t>
            </w:r>
          </w:p>
        </w:tc>
        <w:tc>
          <w:tcPr>
            <w:tcW w:w="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15,916</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13,983</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w:t>
            </w:r>
          </w:p>
        </w:tc>
      </w:tr>
    </w:tbl>
    <w:p>
      <w:pPr>
        <w:spacing w:after="0" w:line="3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Significant components of the provision for income taxes are as follows (dollars in thousands):</w:t>
      </w:r>
    </w:p>
    <w:p>
      <w:pPr>
        <w:spacing w:after="0" w:line="247" w:lineRule="exact"/>
        <w:rPr>
          <w:sz w:val="20"/>
          <w:szCs w:val="20"/>
          <w:color w:val="auto"/>
        </w:rPr>
      </w:pPr>
    </w:p>
    <w:p>
      <w:pPr>
        <w:ind w:left="63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42545</wp:posOffset>
            </wp:positionV>
            <wp:extent cx="24612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61260" cy="762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7"/>
        </w:trPr>
        <w:tc>
          <w:tcPr>
            <w:tcW w:w="38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213"/>
        </w:trPr>
        <w:tc>
          <w:tcPr>
            <w:tcW w:w="3880" w:type="dxa"/>
            <w:vAlign w:val="bottom"/>
          </w:tcPr>
          <w:p>
            <w:pPr>
              <w:spacing w:after="0"/>
              <w:rPr>
                <w:sz w:val="20"/>
                <w:szCs w:val="20"/>
                <w:color w:val="auto"/>
              </w:rPr>
            </w:pPr>
            <w:r>
              <w:rPr>
                <w:rFonts w:ascii="Arial" w:cs="Arial" w:eastAsia="Arial" w:hAnsi="Arial"/>
                <w:sz w:val="16"/>
                <w:szCs w:val="16"/>
                <w:b w:val="1"/>
                <w:bCs w:val="1"/>
                <w:color w:val="auto"/>
              </w:rPr>
              <w:t>Current income tax expense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3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Federal</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827</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1,121</w:t>
            </w:r>
          </w:p>
        </w:tc>
        <w:tc>
          <w:tcPr>
            <w:tcW w:w="4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34"/>
        </w:trPr>
        <w:tc>
          <w:tcPr>
            <w:tcW w:w="3880" w:type="dxa"/>
            <w:vAlign w:val="bottom"/>
          </w:tcPr>
          <w:p>
            <w:pPr>
              <w:ind w:left="100"/>
              <w:spacing w:after="0"/>
              <w:rPr>
                <w:sz w:val="20"/>
                <w:szCs w:val="20"/>
                <w:color w:val="auto"/>
              </w:rPr>
            </w:pPr>
            <w:r>
              <w:rPr>
                <w:rFonts w:ascii="Arial" w:cs="Arial" w:eastAsia="Arial" w:hAnsi="Arial"/>
                <w:sz w:val="16"/>
                <w:szCs w:val="16"/>
                <w:color w:val="auto"/>
              </w:rPr>
              <w:t>State</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511</w:t>
            </w:r>
          </w:p>
        </w:tc>
        <w:tc>
          <w:tcPr>
            <w:tcW w:w="38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432</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35"/>
        </w:trPr>
        <w:tc>
          <w:tcPr>
            <w:tcW w:w="38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1,251</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1,283</w:t>
            </w: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r>
      <w:tr>
        <w:trPr>
          <w:trHeight w:val="215"/>
        </w:trPr>
        <w:tc>
          <w:tcPr>
            <w:tcW w:w="38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2,589</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2,836</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w:t>
            </w:r>
          </w:p>
        </w:tc>
      </w:tr>
      <w:tr>
        <w:trPr>
          <w:trHeight w:val="215"/>
        </w:trPr>
        <w:tc>
          <w:tcPr>
            <w:tcW w:w="3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income tax expense (benefit)</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4"/>
        </w:trPr>
        <w:tc>
          <w:tcPr>
            <w:tcW w:w="3880" w:type="dxa"/>
            <w:vAlign w:val="bottom"/>
          </w:tcPr>
          <w:p>
            <w:pPr>
              <w:ind w:left="100"/>
              <w:spacing w:after="0"/>
              <w:rPr>
                <w:sz w:val="20"/>
                <w:szCs w:val="20"/>
                <w:color w:val="auto"/>
              </w:rPr>
            </w:pPr>
            <w:r>
              <w:rPr>
                <w:rFonts w:ascii="Arial" w:cs="Arial" w:eastAsia="Arial" w:hAnsi="Arial"/>
                <w:sz w:val="16"/>
                <w:szCs w:val="16"/>
                <w:color w:val="auto"/>
              </w:rPr>
              <w:t>Federal</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(14,341)</w:t>
            </w:r>
          </w:p>
        </w:tc>
        <w:tc>
          <w:tcPr>
            <w:tcW w:w="380" w:type="dxa"/>
            <w:vAlign w:val="bottom"/>
          </w:tcPr>
          <w:p>
            <w:pPr>
              <w:spacing w:after="0"/>
              <w:rPr>
                <w:sz w:val="20"/>
                <w:szCs w:val="20"/>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State</w:t>
            </w:r>
          </w:p>
        </w:tc>
        <w:tc>
          <w:tcPr>
            <w:tcW w:w="1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(1,234)</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3,201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2,106</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w:t>
            </w:r>
          </w:p>
        </w:tc>
      </w:tr>
      <w:tr>
        <w:trPr>
          <w:trHeight w:val="215"/>
        </w:trPr>
        <w:tc>
          <w:tcPr>
            <w:tcW w:w="3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(12,374)</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2,106</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207"/>
        </w:trPr>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income tax expense (benefit)</w:t>
            </w:r>
          </w:p>
        </w:tc>
        <w:tc>
          <w:tcPr>
            <w:tcW w:w="1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(9,785)</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4,942</w:t>
            </w:r>
          </w:p>
        </w:tc>
        <w:tc>
          <w:tcPr>
            <w:tcW w:w="4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w:t>
            </w:r>
          </w:p>
        </w:tc>
      </w:tr>
    </w:tbl>
    <w:p>
      <w:pPr>
        <w:spacing w:after="0" w:line="17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7"/>
                <w:szCs w:val="17"/>
                <w:color w:val="auto"/>
              </w:rPr>
            </w:pPr>
          </w:p>
        </w:tc>
      </w:tr>
      <w:tr>
        <w:trPr>
          <w:trHeight w:val="48"/>
        </w:trPr>
        <w:tc>
          <w:tcPr>
            <w:tcW w:w="47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07"/>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Components of Deferred Tax Assets</w:t>
            </w:r>
          </w:p>
        </w:tc>
        <w:tc>
          <w:tcPr>
            <w:tcW w:w="1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95"/>
              </w:rPr>
              <w:t>2013</w:t>
            </w:r>
          </w:p>
        </w:tc>
      </w:tr>
      <w:tr>
        <w:trPr>
          <w:trHeight w:val="223"/>
        </w:trPr>
        <w:tc>
          <w:tcPr>
            <w:tcW w:w="4780" w:type="dxa"/>
            <w:vAlign w:val="bottom"/>
          </w:tcPr>
          <w:p>
            <w:pPr>
              <w:spacing w:after="0"/>
              <w:rPr>
                <w:sz w:val="20"/>
                <w:szCs w:val="20"/>
                <w:color w:val="auto"/>
              </w:rPr>
            </w:pPr>
            <w:r>
              <w:rPr>
                <w:rFonts w:ascii="Arial" w:cs="Arial" w:eastAsia="Arial" w:hAnsi="Arial"/>
                <w:sz w:val="16"/>
                <w:szCs w:val="16"/>
                <w:color w:val="auto"/>
              </w:rPr>
              <w:t>Deferred Tax Assets: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5"/>
        </w:trPr>
        <w:tc>
          <w:tcPr>
            <w:tcW w:w="4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operating loss carry-forwards</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9,902</w:t>
            </w:r>
          </w:p>
        </w:tc>
        <w:tc>
          <w:tcPr>
            <w:tcW w:w="5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21,228</w:t>
            </w:r>
          </w:p>
        </w:tc>
      </w:tr>
      <w:tr>
        <w:trPr>
          <w:trHeight w:val="234"/>
        </w:trPr>
        <w:tc>
          <w:tcPr>
            <w:tcW w:w="4780" w:type="dxa"/>
            <w:vAlign w:val="bottom"/>
          </w:tcPr>
          <w:p>
            <w:pPr>
              <w:ind w:left="100"/>
              <w:spacing w:after="0"/>
              <w:rPr>
                <w:sz w:val="20"/>
                <w:szCs w:val="20"/>
                <w:color w:val="auto"/>
              </w:rPr>
            </w:pPr>
            <w:r>
              <w:rPr>
                <w:rFonts w:ascii="Arial" w:cs="Arial" w:eastAsia="Arial" w:hAnsi="Arial"/>
                <w:sz w:val="16"/>
                <w:szCs w:val="16"/>
                <w:color w:val="auto"/>
              </w:rPr>
              <w:t>Impairment reserves</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2,967</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2,915</w:t>
            </w:r>
          </w:p>
        </w:tc>
      </w:tr>
      <w:tr>
        <w:trPr>
          <w:trHeight w:val="235"/>
        </w:trPr>
        <w:tc>
          <w:tcPr>
            <w:tcW w:w="4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Alternative minimum tax credit carry-forwards</w:t>
            </w:r>
          </w:p>
        </w:tc>
        <w:tc>
          <w:tcPr>
            <w:tcW w:w="1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3,546</w:t>
            </w: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w:t>
            </w:r>
          </w:p>
        </w:tc>
      </w:tr>
      <w:tr>
        <w:trPr>
          <w:trHeight w:val="234"/>
        </w:trPr>
        <w:tc>
          <w:tcPr>
            <w:tcW w:w="4780" w:type="dxa"/>
            <w:vAlign w:val="bottom"/>
          </w:tcPr>
          <w:p>
            <w:pPr>
              <w:ind w:left="100"/>
              <w:spacing w:after="0"/>
              <w:rPr>
                <w:sz w:val="20"/>
                <w:szCs w:val="20"/>
                <w:color w:val="auto"/>
              </w:rPr>
            </w:pPr>
            <w:r>
              <w:rPr>
                <w:rFonts w:ascii="Arial" w:cs="Arial" w:eastAsia="Arial" w:hAnsi="Arial"/>
                <w:sz w:val="16"/>
                <w:szCs w:val="16"/>
                <w:color w:val="auto"/>
              </w:rPr>
              <w:t>Compensation and employee benefits</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2,560</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3,867</w:t>
            </w:r>
          </w:p>
        </w:tc>
      </w:tr>
      <w:tr>
        <w:trPr>
          <w:trHeight w:val="235"/>
        </w:trPr>
        <w:tc>
          <w:tcPr>
            <w:tcW w:w="4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revenue and expense</w:t>
            </w:r>
          </w:p>
        </w:tc>
        <w:tc>
          <w:tcPr>
            <w:tcW w:w="1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3,970</w:t>
            </w: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w:t>
            </w:r>
          </w:p>
        </w:tc>
      </w:tr>
      <w:tr>
        <w:trPr>
          <w:trHeight w:val="234"/>
        </w:trPr>
        <w:tc>
          <w:tcPr>
            <w:tcW w:w="4780" w:type="dxa"/>
            <w:vAlign w:val="bottom"/>
          </w:tcPr>
          <w:p>
            <w:pPr>
              <w:ind w:left="100"/>
              <w:spacing w:after="0"/>
              <w:rPr>
                <w:sz w:val="20"/>
                <w:szCs w:val="20"/>
                <w:color w:val="auto"/>
              </w:rPr>
            </w:pPr>
            <w:r>
              <w:rPr>
                <w:rFonts w:ascii="Arial" w:cs="Arial" w:eastAsia="Arial" w:hAnsi="Arial"/>
                <w:sz w:val="16"/>
                <w:szCs w:val="16"/>
                <w:color w:val="auto"/>
              </w:rPr>
              <w:t>Land, tangible assets, and option real properties</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11,461</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5,477</w:t>
            </w:r>
          </w:p>
        </w:tc>
      </w:tr>
      <w:tr>
        <w:trPr>
          <w:trHeight w:val="235"/>
        </w:trPr>
        <w:tc>
          <w:tcPr>
            <w:tcW w:w="4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7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4,696</w:t>
            </w:r>
          </w:p>
        </w:tc>
        <w:tc>
          <w:tcPr>
            <w:tcW w:w="5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3,685</w:t>
            </w:r>
          </w:p>
        </w:tc>
      </w:tr>
      <w:tr>
        <w:trPr>
          <w:trHeight w:val="215"/>
        </w:trPr>
        <w:tc>
          <w:tcPr>
            <w:tcW w:w="4780" w:type="dxa"/>
            <w:vAlign w:val="bottom"/>
          </w:tcPr>
          <w:p>
            <w:pPr>
              <w:spacing w:after="0"/>
              <w:rPr>
                <w:sz w:val="20"/>
                <w:szCs w:val="20"/>
                <w:color w:val="auto"/>
              </w:rPr>
            </w:pPr>
            <w:r>
              <w:rPr>
                <w:rFonts w:ascii="Arial" w:cs="Arial" w:eastAsia="Arial" w:hAnsi="Arial"/>
                <w:sz w:val="16"/>
                <w:szCs w:val="16"/>
                <w:color w:val="auto"/>
              </w:rPr>
              <w:t>Total Deferred Tax Assets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39,102</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42,861</w:t>
            </w:r>
          </w:p>
        </w:tc>
      </w:tr>
      <w:tr>
        <w:trPr>
          <w:trHeight w:val="235"/>
        </w:trPr>
        <w:tc>
          <w:tcPr>
            <w:tcW w:w="4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Valuation allowance</w:t>
            </w:r>
          </w:p>
        </w:tc>
        <w:tc>
          <w:tcPr>
            <w:tcW w:w="17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(16,835)</w:t>
            </w:r>
          </w:p>
        </w:tc>
        <w:tc>
          <w:tcPr>
            <w:tcW w:w="5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(34,022)</w:t>
            </w:r>
          </w:p>
        </w:tc>
      </w:tr>
      <w:tr>
        <w:trPr>
          <w:trHeight w:val="207"/>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deferred tax asset</w:t>
            </w:r>
          </w:p>
        </w:tc>
        <w:tc>
          <w:tcPr>
            <w:tcW w:w="2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22,267</w:t>
            </w:r>
          </w:p>
        </w:tc>
        <w:tc>
          <w:tcPr>
            <w:tcW w:w="5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8,839</w:t>
            </w:r>
          </w:p>
        </w:tc>
      </w:tr>
    </w:tbl>
    <w:p>
      <w:pPr>
        <w:spacing w:after="0" w:line="175"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 xml:space="preserve">In accordance with FASB ASC 740-10 –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(“ASC 740-10”), 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ASC 740-10 presumes that a valuation allowance is required when there is substantial negative evidence about realization of deferred tax assets, such as a pattern of losses in recent years, coupled with facts that suggest such losses may continue. Because of such negative evidence available for Puerto Rico and New Zealand, as of December 31, 2014, we recorded a valuation allowance of $16.8 million.</w:t>
      </w:r>
    </w:p>
    <w:p>
      <w:pPr>
        <w:spacing w:after="0" w:line="96"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After consideration of a number of factors for the Reading U.S. group, including its recent history of financial income its expected future earnings, increase in the market value of its underlying real estate assets and its ability to continue to refinance operations as needed, the Company determined as of December 31, 2014 that it was more likely than not that deferred tax assets of the Reading U.S. group will be realized. Accordingly we reversed the full valuation allowance in the U.S. resulting in an overall net deferred tax asset of $22.3 million as of December 31, 2014, with approximately $6.3 million classified as current and $16.0 million classified as non-current.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0" w:right="1359" w:bottom="1440" w:gutter="0" w:footer="0" w:header="0"/>
        </w:sectPr>
      </w:pPr>
    </w:p>
    <w:bookmarkStart w:id="86" w:name="page87"/>
    <w:bookmarkEnd w:id="86"/>
    <w:p>
      <w:pPr>
        <w:ind w:firstLine="564"/>
        <w:spacing w:after="0" w:line="381" w:lineRule="auto"/>
        <w:rPr>
          <w:sz w:val="20"/>
          <w:szCs w:val="20"/>
          <w:color w:val="auto"/>
        </w:rPr>
      </w:pPr>
      <w:r>
        <w:rPr>
          <w:rFonts w:ascii="Arial" w:cs="Arial" w:eastAsia="Arial" w:hAnsi="Arial"/>
          <w:sz w:val="13"/>
          <w:szCs w:val="13"/>
          <w:color w:val="auto"/>
        </w:rPr>
        <w:t>As of December 31, 2014, we had U.S. net operating loss carry-forwards of $700,000, expiring in 2031. In addition to the above net operating loss carry-forwards having expiration dates, we have the following carry-forwards that have no expiration date at December 31, 2014:</w:t>
      </w:r>
    </w:p>
    <w:p>
      <w:pPr>
        <w:spacing w:after="0" w:line="66" w:lineRule="exact"/>
        <w:rPr>
          <w:sz w:val="20"/>
          <w:szCs w:val="20"/>
          <w:color w:val="auto"/>
        </w:rPr>
      </w:pPr>
    </w:p>
    <w:p>
      <w:pPr>
        <w:ind w:left="360" w:hanging="77"/>
        <w:spacing w:after="0"/>
        <w:tabs>
          <w:tab w:leader="none" w:pos="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approximately $3.5  million in U.S. alternative minimum tax credit carry-forwards;</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approximately $3.8 million in Australia loss carry-forwards</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approximately $11.3 million in New Zealand loss carry-forwards.</w:t>
      </w:r>
    </w:p>
    <w:p>
      <w:pPr>
        <w:spacing w:after="0" w:line="14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disposed of our Puerto Rico operations during 2005 and plan no further investment in Puerto Rico for the foreseeable future. We have approximately $14.1 million in Puerto Rico loss carry-forwards expiring no later than 2018. No material future tax benefits from Puerto Rico loss carry-forwards can be recognized by the Company unless it re-enters the Puerto Rico market for which the Company has no current plans.</w:t>
      </w:r>
    </w:p>
    <w:p>
      <w:pPr>
        <w:spacing w:after="0" w:line="13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expect no other substantial limitations on the future use of U.S. or foreign loss carry-forwards except as may occur for certain losses occurring in New Zealand related to the Landplan operations, which may only be used to offset income and gains from those particular activities, and cannot be shared with their respective consolidated group.</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provision for income taxes is different from amounts computed by applying U.S. statutory rates to consolidated losses before taxes.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reason for these differences follows (dollars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6"/>
                <w:szCs w:val="16"/>
                <w:b w:val="1"/>
                <w:bCs w:val="1"/>
                <w:color w:val="auto"/>
                <w:w w:val="87"/>
              </w:rPr>
              <w:t>Year Ended December 31,</w:t>
            </w:r>
          </w:p>
        </w:tc>
        <w:tc>
          <w:tcPr>
            <w:tcW w:w="960" w:type="dxa"/>
            <w:vAlign w:val="bottom"/>
            <w:tcBorders>
              <w:bottom w:val="single" w:sz="8" w:color="auto"/>
            </w:tcBorders>
          </w:tcPr>
          <w:p>
            <w:pPr>
              <w:spacing w:after="0"/>
              <w:rPr>
                <w:sz w:val="17"/>
                <w:szCs w:val="17"/>
                <w:color w:val="auto"/>
              </w:rPr>
            </w:pPr>
          </w:p>
        </w:tc>
      </w:tr>
      <w:tr>
        <w:trPr>
          <w:trHeight w:val="207"/>
        </w:trPr>
        <w:tc>
          <w:tcPr>
            <w:tcW w:w="4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2012</w:t>
            </w:r>
          </w:p>
        </w:tc>
      </w:tr>
      <w:tr>
        <w:trPr>
          <w:trHeight w:val="223"/>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Expected tax provision (benefit)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w:t>
            </w:r>
          </w:p>
        </w:tc>
        <w:tc>
          <w:tcPr>
            <w:tcW w:w="5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4,894</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r>
      <w:tr>
        <w:trPr>
          <w:trHeight w:val="234"/>
        </w:trPr>
        <w:tc>
          <w:tcPr>
            <w:tcW w:w="4060" w:type="dxa"/>
            <w:vAlign w:val="bottom"/>
          </w:tcPr>
          <w:p>
            <w:pPr>
              <w:spacing w:after="0"/>
              <w:rPr>
                <w:sz w:val="20"/>
                <w:szCs w:val="20"/>
                <w:color w:val="auto"/>
              </w:rPr>
            </w:pPr>
            <w:r>
              <w:rPr>
                <w:rFonts w:ascii="Arial" w:cs="Arial" w:eastAsia="Arial" w:hAnsi="Arial"/>
                <w:sz w:val="16"/>
                <w:szCs w:val="16"/>
                <w:i w:val="1"/>
                <w:iCs w:val="1"/>
                <w:color w:val="auto"/>
              </w:rPr>
              <w:t>Increase (decrease) in tax expense resulting from:</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5"/>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valuation allowance</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(17,187)</w:t>
            </w: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(3,882)</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34"/>
        </w:trPr>
        <w:tc>
          <w:tcPr>
            <w:tcW w:w="4060" w:type="dxa"/>
            <w:vAlign w:val="bottom"/>
          </w:tcPr>
          <w:p>
            <w:pPr>
              <w:ind w:left="100"/>
              <w:spacing w:after="0"/>
              <w:rPr>
                <w:sz w:val="20"/>
                <w:szCs w:val="20"/>
                <w:color w:val="auto"/>
              </w:rPr>
            </w:pPr>
            <w:r>
              <w:rPr>
                <w:rFonts w:ascii="Arial" w:cs="Arial" w:eastAsia="Arial" w:hAnsi="Arial"/>
                <w:sz w:val="16"/>
                <w:szCs w:val="16"/>
                <w:color w:val="auto"/>
              </w:rPr>
              <w:t>Foreign tax provision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1,252</w:t>
            </w:r>
          </w:p>
        </w:tc>
        <w:tc>
          <w:tcPr>
            <w:tcW w:w="500" w:type="dxa"/>
            <w:vAlign w:val="bottom"/>
          </w:tcPr>
          <w:p>
            <w:pPr>
              <w:spacing w:after="0"/>
              <w:rPr>
                <w:sz w:val="20"/>
                <w:szCs w:val="20"/>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3,389</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3,356</w:t>
            </w:r>
          </w:p>
        </w:tc>
      </w:tr>
      <w:tr>
        <w:trPr>
          <w:trHeight w:val="235"/>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 effect of foreign tax rates on current income</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(294)</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34"/>
        </w:trPr>
        <w:tc>
          <w:tcPr>
            <w:tcW w:w="4060" w:type="dxa"/>
            <w:vAlign w:val="bottom"/>
          </w:tcPr>
          <w:p>
            <w:pPr>
              <w:ind w:left="100"/>
              <w:spacing w:after="0"/>
              <w:rPr>
                <w:sz w:val="20"/>
                <w:szCs w:val="20"/>
                <w:color w:val="auto"/>
              </w:rPr>
            </w:pPr>
            <w:r>
              <w:rPr>
                <w:rFonts w:ascii="Arial" w:cs="Arial" w:eastAsia="Arial" w:hAnsi="Arial"/>
                <w:sz w:val="16"/>
                <w:szCs w:val="16"/>
                <w:color w:val="auto"/>
              </w:rPr>
              <w:t>State and local tax provision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w:t>
            </w:r>
          </w:p>
        </w:tc>
        <w:tc>
          <w:tcPr>
            <w:tcW w:w="500" w:type="dxa"/>
            <w:vAlign w:val="bottom"/>
          </w:tcPr>
          <w:p>
            <w:pPr>
              <w:spacing w:after="0"/>
              <w:rPr>
                <w:sz w:val="20"/>
                <w:szCs w:val="20"/>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296</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35"/>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Tax/Audit Litigation Settlement</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1,140</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r>
      <w:tr>
        <w:trPr>
          <w:trHeight w:val="234"/>
        </w:trPr>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items</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(601)</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r>
      <w:tr>
        <w:trPr>
          <w:trHeight w:val="207"/>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Actual tax provision (benefit)</w:t>
            </w: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(9,785)</w:t>
            </w:r>
          </w:p>
        </w:tc>
        <w:tc>
          <w:tcPr>
            <w:tcW w:w="5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4,942</w:t>
            </w:r>
          </w:p>
        </w:tc>
        <w:tc>
          <w:tcPr>
            <w:tcW w:w="4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4,904</w:t>
            </w:r>
          </w:p>
        </w:tc>
      </w:tr>
    </w:tbl>
    <w:p>
      <w:pPr>
        <w:spacing w:after="0" w:line="175"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U.S. income taxes have not been recognized on the temporary differences between book value and tax basis of investment which is permanently invested in foreign subsidiaries. These differences become taxable upon a sale of the subsidiary or upon distribution of assets from the subsidiary to U.S. shareholders. We expect neither of these events will occur in the foreseeable future for any of our foreign subsidiaries.</w:t>
      </w:r>
    </w:p>
    <w:p>
      <w:pPr>
        <w:spacing w:after="0" w:line="79"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Pursuant to ASC 740-10, a provision should be made for the tax effect of earnings of foreign subsidiaries that are not permanently invested outside the United States. Our intent is that earnings of our foreign subsidiaries are not permanently invested outside the United States. Cumulative earnings were available for distribution in the Reading Australia consolidated group of subsidiaries as of December 31, 2014. We have provided approximately $3.1 million in tax in connection with these earnings as of December 31, 2014. There is no withholding tax on dividends paid by an Australian company to its 80% or more U.S. public company shareholder, thus we have not provided foreign withholding taxes for these retained earnings.</w:t>
      </w:r>
    </w:p>
    <w:p>
      <w:pPr>
        <w:spacing w:after="0" w:line="147"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 xml:space="preserve">We have accrued $16.0 million in income tax liabilities as of December 31, 2014, of which $6.0 million has been classified as current taxes payable and $10.0 million have been classified as non-current tax liabilities. As part of current taxes payable, we have accrued $3.5 million in connection with federal and state liabilities arising from the “Tax/Audit Litigation” matter which has now been settled (see Note 19 –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As part of noncurrent tax liabilities, we have accrued an additional $8.8 million related to the “Tax</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Audit/Litigation” matter. Amounts assessed by the IRS in connection with the “Tax Audit/Litigation” matter are no longer recorded under the cumulative probability approach prescribed by FASB ASC 740-10-25 –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 </w:t>
      </w:r>
      <w:r>
        <w:rPr>
          <w:rFonts w:ascii="Arial" w:cs="Arial" w:eastAsia="Arial" w:hAnsi="Arial"/>
          <w:sz w:val="15"/>
          <w:szCs w:val="15"/>
          <w:i w:val="1"/>
          <w:iCs w:val="1"/>
          <w:color w:val="auto"/>
        </w:rPr>
        <w:t>Uncertain Tax Positions</w:t>
      </w:r>
      <w:r>
        <w:rPr>
          <w:rFonts w:ascii="Arial" w:cs="Arial" w:eastAsia="Arial" w:hAnsi="Arial"/>
          <w:sz w:val="15"/>
          <w:szCs w:val="15"/>
          <w:color w:val="auto"/>
        </w:rPr>
        <w:t xml:space="preserve"> (“ASC 740-10-25”) but are recorded as a fixed and determinable liability. As of December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87" w:name="page88"/>
    <w:bookmarkEnd w:id="87"/>
    <w:p>
      <w:pPr>
        <w:jc w:val="both"/>
        <w:spacing w:after="0" w:line="255" w:lineRule="auto"/>
        <w:rPr>
          <w:sz w:val="20"/>
          <w:szCs w:val="20"/>
          <w:color w:val="auto"/>
        </w:rPr>
      </w:pPr>
      <w:r>
        <w:rPr>
          <w:rFonts w:ascii="Arial" w:cs="Arial" w:eastAsia="Arial" w:hAnsi="Arial"/>
          <w:sz w:val="16"/>
          <w:szCs w:val="16"/>
          <w:color w:val="auto"/>
        </w:rPr>
        <w:t>31, 2014, amounts which may be assessed by state income tax agencies in connection with the “Tax Audit/Litigation” matter are recorded under the cumulative probability approach prescribed by FASB ASC 740-10-25. We believe the $16.0 million in tax liabilities represents an adequate provision for our income tax exposures.</w:t>
      </w:r>
    </w:p>
    <w:p>
      <w:pPr>
        <w:spacing w:after="0" w:line="14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following table is a summary of the activity related to unrecognized tax benefits, excluding interest and penalties, for the years ending December 31, 2014, December 31, 2013, and December 31, 2012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jc w:val="center"/>
              <w:ind w:right="122"/>
              <w:spacing w:after="0"/>
              <w:rPr>
                <w:sz w:val="20"/>
                <w:szCs w:val="20"/>
                <w:color w:val="auto"/>
              </w:rPr>
            </w:pPr>
            <w:r>
              <w:rPr>
                <w:rFonts w:ascii="Arial" w:cs="Arial" w:eastAsia="Arial" w:hAnsi="Arial"/>
                <w:sz w:val="16"/>
                <w:szCs w:val="16"/>
                <w:b w:val="1"/>
                <w:bCs w:val="1"/>
                <w:color w:val="auto"/>
                <w:w w:val="88"/>
              </w:rPr>
              <w:t>Year Ended</w:t>
            </w:r>
          </w:p>
        </w:tc>
        <w:tc>
          <w:tcPr>
            <w:tcW w:w="320" w:type="dxa"/>
            <w:vAlign w:val="bottom"/>
          </w:tcPr>
          <w:p>
            <w:pPr>
              <w:spacing w:after="0"/>
              <w:rPr>
                <w:sz w:val="17"/>
                <w:szCs w:val="17"/>
                <w:color w:val="auto"/>
              </w:rPr>
            </w:pPr>
          </w:p>
        </w:tc>
        <w:tc>
          <w:tcPr>
            <w:tcW w:w="132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Year Ended</w:t>
            </w:r>
          </w:p>
        </w:tc>
        <w:tc>
          <w:tcPr>
            <w:tcW w:w="300" w:type="dxa"/>
            <w:vAlign w:val="bottom"/>
          </w:tcPr>
          <w:p>
            <w:pPr>
              <w:spacing w:after="0"/>
              <w:rPr>
                <w:sz w:val="17"/>
                <w:szCs w:val="17"/>
                <w:color w:val="auto"/>
              </w:rPr>
            </w:pPr>
          </w:p>
        </w:tc>
        <w:tc>
          <w:tcPr>
            <w:tcW w:w="1220" w:type="dxa"/>
            <w:vAlign w:val="bottom"/>
          </w:tcPr>
          <w:p>
            <w:pPr>
              <w:jc w:val="center"/>
              <w:ind w:right="22"/>
              <w:spacing w:after="0"/>
              <w:rPr>
                <w:sz w:val="20"/>
                <w:szCs w:val="20"/>
                <w:color w:val="auto"/>
              </w:rPr>
            </w:pPr>
            <w:r>
              <w:rPr>
                <w:rFonts w:ascii="Arial" w:cs="Arial" w:eastAsia="Arial" w:hAnsi="Arial"/>
                <w:sz w:val="16"/>
                <w:szCs w:val="16"/>
                <w:b w:val="1"/>
                <w:bCs w:val="1"/>
                <w:color w:val="auto"/>
                <w:w w:val="90"/>
              </w:rPr>
              <w:t>Year Ended</w:t>
            </w:r>
          </w:p>
        </w:tc>
      </w:tr>
      <w:tr>
        <w:trPr>
          <w:trHeight w:val="235"/>
        </w:trPr>
        <w:tc>
          <w:tcPr>
            <w:tcW w:w="3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jc w:val="center"/>
              <w:ind w:right="102"/>
              <w:spacing w:after="0"/>
              <w:rPr>
                <w:sz w:val="20"/>
                <w:szCs w:val="20"/>
                <w:color w:val="auto"/>
              </w:rPr>
            </w:pPr>
            <w:r>
              <w:rPr>
                <w:rFonts w:ascii="Arial" w:cs="Arial" w:eastAsia="Arial" w:hAnsi="Arial"/>
                <w:sz w:val="16"/>
                <w:szCs w:val="16"/>
                <w:b w:val="1"/>
                <w:bCs w:val="1"/>
                <w:color w:val="auto"/>
                <w:w w:val="88"/>
              </w:rPr>
              <w:t>December 31,</w:t>
            </w:r>
          </w:p>
        </w:tc>
        <w:tc>
          <w:tcPr>
            <w:tcW w:w="320" w:type="dxa"/>
            <w:vAlign w:val="bottom"/>
          </w:tcPr>
          <w:p>
            <w:pPr>
              <w:spacing w:after="0"/>
              <w:rPr>
                <w:sz w:val="20"/>
                <w:szCs w:val="20"/>
                <w:color w:val="auto"/>
              </w:rPr>
            </w:pPr>
          </w:p>
        </w:tc>
        <w:tc>
          <w:tcPr>
            <w:tcW w:w="132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December 31,</w:t>
            </w:r>
          </w:p>
        </w:tc>
        <w:tc>
          <w:tcPr>
            <w:tcW w:w="300" w:type="dxa"/>
            <w:vAlign w:val="bottom"/>
          </w:tcPr>
          <w:p>
            <w:pPr>
              <w:spacing w:after="0"/>
              <w:rPr>
                <w:sz w:val="20"/>
                <w:szCs w:val="20"/>
                <w:color w:val="auto"/>
              </w:rPr>
            </w:pPr>
          </w:p>
        </w:tc>
        <w:tc>
          <w:tcPr>
            <w:tcW w:w="1220" w:type="dxa"/>
            <w:vAlign w:val="bottom"/>
          </w:tcPr>
          <w:p>
            <w:pPr>
              <w:jc w:val="center"/>
              <w:ind w:right="22"/>
              <w:spacing w:after="0"/>
              <w:rPr>
                <w:sz w:val="20"/>
                <w:szCs w:val="20"/>
                <w:color w:val="auto"/>
              </w:rPr>
            </w:pPr>
            <w:r>
              <w:rPr>
                <w:rFonts w:ascii="Arial" w:cs="Arial" w:eastAsia="Arial" w:hAnsi="Arial"/>
                <w:sz w:val="16"/>
                <w:szCs w:val="16"/>
                <w:b w:val="1"/>
                <w:bCs w:val="1"/>
                <w:color w:val="auto"/>
                <w:w w:val="88"/>
              </w:rPr>
              <w:t>December 31,</w:t>
            </w:r>
          </w:p>
        </w:tc>
      </w:tr>
      <w:tr>
        <w:trPr>
          <w:trHeight w:val="235"/>
        </w:trPr>
        <w:tc>
          <w:tcPr>
            <w:tcW w:w="3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jc w:val="center"/>
              <w:ind w:right="102"/>
              <w:spacing w:after="0"/>
              <w:rPr>
                <w:sz w:val="20"/>
                <w:szCs w:val="20"/>
                <w:color w:val="auto"/>
              </w:rPr>
            </w:pPr>
            <w:r>
              <w:rPr>
                <w:rFonts w:ascii="Arial" w:cs="Arial" w:eastAsia="Arial" w:hAnsi="Arial"/>
                <w:sz w:val="16"/>
                <w:szCs w:val="16"/>
                <w:b w:val="1"/>
                <w:bCs w:val="1"/>
                <w:color w:val="auto"/>
                <w:w w:val="89"/>
              </w:rPr>
              <w:t>2014</w:t>
            </w:r>
          </w:p>
        </w:tc>
        <w:tc>
          <w:tcPr>
            <w:tcW w:w="320" w:type="dxa"/>
            <w:vAlign w:val="bottom"/>
          </w:tcPr>
          <w:p>
            <w:pPr>
              <w:spacing w:after="0"/>
              <w:rPr>
                <w:sz w:val="20"/>
                <w:szCs w:val="20"/>
                <w:color w:val="auto"/>
              </w:rPr>
            </w:pPr>
          </w:p>
        </w:tc>
        <w:tc>
          <w:tcPr>
            <w:tcW w:w="1320" w:type="dxa"/>
            <w:vAlign w:val="bottom"/>
          </w:tcPr>
          <w:p>
            <w:pPr>
              <w:jc w:val="center"/>
              <w:ind w:right="142"/>
              <w:spacing w:after="0"/>
              <w:rPr>
                <w:sz w:val="20"/>
                <w:szCs w:val="20"/>
                <w:color w:val="auto"/>
              </w:rPr>
            </w:pPr>
            <w:r>
              <w:rPr>
                <w:rFonts w:ascii="Arial" w:cs="Arial" w:eastAsia="Arial" w:hAnsi="Arial"/>
                <w:sz w:val="16"/>
                <w:szCs w:val="16"/>
                <w:b w:val="1"/>
                <w:bCs w:val="1"/>
                <w:color w:val="auto"/>
                <w:w w:val="84"/>
              </w:rPr>
              <w:t>2013</w:t>
            </w:r>
          </w:p>
        </w:tc>
        <w:tc>
          <w:tcPr>
            <w:tcW w:w="300" w:type="dxa"/>
            <w:vAlign w:val="bottom"/>
          </w:tcPr>
          <w:p>
            <w:pPr>
              <w:spacing w:after="0"/>
              <w:rPr>
                <w:sz w:val="20"/>
                <w:szCs w:val="20"/>
                <w:color w:val="auto"/>
              </w:rPr>
            </w:pPr>
          </w:p>
        </w:tc>
        <w:tc>
          <w:tcPr>
            <w:tcW w:w="1220" w:type="dxa"/>
            <w:vAlign w:val="bottom"/>
          </w:tcPr>
          <w:p>
            <w:pPr>
              <w:jc w:val="center"/>
              <w:ind w:right="22"/>
              <w:spacing w:after="0"/>
              <w:rPr>
                <w:sz w:val="20"/>
                <w:szCs w:val="20"/>
                <w:color w:val="auto"/>
              </w:rPr>
            </w:pPr>
            <w:r>
              <w:rPr>
                <w:rFonts w:ascii="Arial" w:cs="Arial" w:eastAsia="Arial" w:hAnsi="Arial"/>
                <w:sz w:val="16"/>
                <w:szCs w:val="16"/>
                <w:b w:val="1"/>
                <w:bCs w:val="1"/>
                <w:color w:val="auto"/>
                <w:w w:val="89"/>
              </w:rPr>
              <w:t>2012</w:t>
            </w:r>
          </w:p>
        </w:tc>
      </w:tr>
      <w:tr>
        <w:trPr>
          <w:trHeight w:val="40"/>
        </w:trPr>
        <w:tc>
          <w:tcPr>
            <w:tcW w:w="39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Unrecognized tax benefits – gross beginning balance</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2,160</w:t>
            </w:r>
          </w:p>
        </w:tc>
        <w:tc>
          <w:tcPr>
            <w:tcW w:w="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2,171</w:t>
            </w:r>
          </w:p>
        </w:tc>
        <w:tc>
          <w:tcPr>
            <w:tcW w:w="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r>
      <w:tr>
        <w:trPr>
          <w:trHeight w:val="234"/>
        </w:trPr>
        <w:tc>
          <w:tcPr>
            <w:tcW w:w="3920" w:type="dxa"/>
            <w:vAlign w:val="bottom"/>
          </w:tcPr>
          <w:p>
            <w:pPr>
              <w:spacing w:after="0"/>
              <w:rPr>
                <w:sz w:val="20"/>
                <w:szCs w:val="20"/>
                <w:color w:val="auto"/>
              </w:rPr>
            </w:pPr>
            <w:r>
              <w:rPr>
                <w:rFonts w:ascii="Arial" w:cs="Arial" w:eastAsia="Arial" w:hAnsi="Arial"/>
                <w:sz w:val="16"/>
                <w:szCs w:val="16"/>
                <w:color w:val="auto"/>
              </w:rPr>
              <w:t>Gross increases – prior period tax provisions</w:t>
            </w:r>
          </w:p>
        </w:tc>
        <w:tc>
          <w:tcPr>
            <w:tcW w:w="8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1,600</w:t>
            </w:r>
          </w:p>
        </w:tc>
        <w:tc>
          <w:tcPr>
            <w:tcW w:w="32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35"/>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Gross increases – current period tax positions</w:t>
            </w:r>
          </w:p>
        </w:tc>
        <w:tc>
          <w:tcPr>
            <w:tcW w:w="8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3920" w:type="dxa"/>
            <w:vAlign w:val="bottom"/>
          </w:tcPr>
          <w:p>
            <w:pPr>
              <w:spacing w:after="0"/>
              <w:rPr>
                <w:sz w:val="20"/>
                <w:szCs w:val="20"/>
                <w:color w:val="auto"/>
              </w:rPr>
            </w:pPr>
            <w:r>
              <w:rPr>
                <w:rFonts w:ascii="Arial" w:cs="Arial" w:eastAsia="Arial" w:hAnsi="Arial"/>
                <w:sz w:val="16"/>
                <w:szCs w:val="16"/>
                <w:color w:val="auto"/>
              </w:rPr>
              <w:t>Settlements</w:t>
            </w:r>
          </w:p>
        </w:tc>
        <w:tc>
          <w:tcPr>
            <w:tcW w:w="800" w:type="dxa"/>
            <w:vAlign w:val="bottom"/>
          </w:tcPr>
          <w:p>
            <w:pPr>
              <w:spacing w:after="0"/>
              <w:rPr>
                <w:sz w:val="20"/>
                <w:szCs w:val="20"/>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Statute of limitations lapse</w:t>
            </w:r>
          </w:p>
        </w:tc>
        <w:tc>
          <w:tcPr>
            <w:tcW w:w="8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Unrecognized tax benefits – gross ending balance</w:t>
            </w: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3,760</w:t>
            </w:r>
          </w:p>
        </w:tc>
        <w:tc>
          <w:tcPr>
            <w:tcW w:w="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2,160</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w:t>
            </w:r>
          </w:p>
        </w:tc>
      </w:tr>
    </w:tbl>
    <w:p>
      <w:pPr>
        <w:spacing w:after="0" w:line="32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accordance with FASB ASC 740-10-25 we elected to record interest and penalties related to income tax matters as part of income tax</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expense.</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We had approximately $10.8 million and $11.4 million of gross tax benefits as of the adoption date and December 31, 2007, respectively, plus $1.7 million and $2.3 million of tax interest unrecognized on the financial statements as of each date, respectively. The gross tax benefits mostly reflect operating loss carry-forwards and the IRS Tax Audit/Litigation case described below.</w:t>
      </w:r>
    </w:p>
    <w:p>
      <w:pPr>
        <w:spacing w:after="0" w:line="111"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7"/>
          <w:szCs w:val="17"/>
          <w:color w:val="auto"/>
        </w:rPr>
        <w:t>During the period January 1, 2012 to December 31, 2012 we recorded an increase of $200,000 to our gross unrecognized tax benefits and an increase to tax interest of $1.1 million, resulting in a total balance of $5.3 million consisting of $2.1 million in tax and $3.2 million in interest. Of the $5.3 million gross unrecognized tax benefit at December 31, 2012, approximately $4.3 million would impact the effective rate if recognized. During the period January 1, 2013 to December 31, 2013 we recorded no material change to our gross unrecognized tax benefits and a decrease to tax interest of approximately $1.4 million, resulting in a total balance of $3.9 million consisting of $2.1 million in tax and $1.8 million in interest. Of the $3.9 million gross unrecognized tax benefit at December 31, 2013, $2.9 million would impact the effective rate if recognized. During the period January 1, 2014 to December 31, 2014 we recorded an increase of $1.6 million to our gross unrecognized tax benefits and an increase to tax interest of $3.6 million, resulting in a total balance of $9.2 million consisting of $3.7 million in tax and $5.4 million in interest. Of the $9.2 million gross unrecognized tax benefit at December 31, 2014, approximately $8.1 million would impact the effective rate if recognized.</w:t>
      </w:r>
    </w:p>
    <w:p>
      <w:pPr>
        <w:spacing w:after="0" w:line="129"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 to $1.5 million. The reasons for such change include but are not limited to tax positions expected to be taken during 2014, revaluation of current uncertain tax positions, and expiring statutes of limitations.</w:t>
      </w:r>
    </w:p>
    <w:p>
      <w:pPr>
        <w:spacing w:after="0" w:line="12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company and subsidiaries are subject to U.S. federal income tax, income tax in various U.S. states, and income tax in Australia, New Zealand, and Puerto Rico.</w:t>
      </w:r>
    </w:p>
    <w:p>
      <w:pPr>
        <w:spacing w:after="0" w:line="12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 xml:space="preserve">Generally, changes to our federal and most state income tax returns for the calendar year 2010 and earlier are barred by statutes of limitations. Certain U.S.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“Tax Audit/Litigation,” Note 19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Our income tax returns for Australia filed since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88" w:name="page89"/>
    <w:bookmarkEnd w:id="88"/>
    <w:p>
      <w:pPr>
        <w:jc w:val="both"/>
        <w:spacing w:after="0" w:line="265" w:lineRule="auto"/>
        <w:rPr>
          <w:sz w:val="20"/>
          <w:szCs w:val="20"/>
          <w:color w:val="auto"/>
        </w:rPr>
      </w:pPr>
      <w:r>
        <w:rPr>
          <w:rFonts w:ascii="Arial" w:cs="Arial" w:eastAsia="Arial" w:hAnsi="Arial"/>
          <w:sz w:val="16"/>
          <w:szCs w:val="16"/>
          <w:color w:val="auto"/>
        </w:rPr>
        <w:t>inception in 1995 are generally open for examination. The income tax returns filed in New Zealand and Puerto Rico for calendar year 2009 and afterward remain open for examination as of December 31, 2014.</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15 – Other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80" w:type="dxa"/>
            <w:vAlign w:val="bottom"/>
          </w:tcPr>
          <w:p>
            <w:pPr>
              <w:ind w:left="560"/>
              <w:spacing w:after="0"/>
              <w:rPr>
                <w:sz w:val="20"/>
                <w:szCs w:val="20"/>
                <w:color w:val="auto"/>
              </w:rPr>
            </w:pPr>
            <w:r>
              <w:rPr>
                <w:rFonts w:ascii="Arial" w:cs="Arial" w:eastAsia="Arial" w:hAnsi="Arial"/>
                <w:sz w:val="16"/>
                <w:szCs w:val="16"/>
                <w:color w:val="auto"/>
              </w:rPr>
              <w:t>Other liabilities are summarized as follows (dollars in thousands):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9"/>
        </w:trPr>
        <w:tc>
          <w:tcPr>
            <w:tcW w:w="5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207"/>
        </w:trPr>
        <w:tc>
          <w:tcPr>
            <w:tcW w:w="5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2014</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2013</w:t>
            </w:r>
          </w:p>
        </w:tc>
      </w:tr>
      <w:tr>
        <w:trPr>
          <w:trHeight w:val="223"/>
        </w:trPr>
        <w:tc>
          <w:tcPr>
            <w:tcW w:w="52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5"/>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5,900</w:t>
            </w:r>
          </w:p>
        </w:tc>
        <w:tc>
          <w:tcPr>
            <w:tcW w:w="6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r>
      <w:tr>
        <w:trPr>
          <w:trHeight w:val="234"/>
        </w:trPr>
        <w:tc>
          <w:tcPr>
            <w:tcW w:w="5280" w:type="dxa"/>
            <w:vAlign w:val="bottom"/>
          </w:tcPr>
          <w:p>
            <w:pPr>
              <w:spacing w:after="0"/>
              <w:rPr>
                <w:sz w:val="20"/>
                <w:szCs w:val="20"/>
                <w:color w:val="auto"/>
              </w:rPr>
            </w:pPr>
            <w:r>
              <w:rPr>
                <w:rFonts w:ascii="Arial" w:cs="Arial" w:eastAsia="Arial" w:hAnsi="Arial"/>
                <w:sz w:val="16"/>
                <w:szCs w:val="16"/>
                <w:color w:val="auto"/>
              </w:rPr>
              <w:t>Accrued pension</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855</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Security deposit payable</w:t>
            </w:r>
          </w:p>
        </w:tc>
        <w:tc>
          <w:tcPr>
            <w:tcW w:w="6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202</w:t>
            </w: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34"/>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w:t>
            </w: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1620" w:type="dxa"/>
            <w:vAlign w:val="bottom"/>
            <w:tcBorders>
              <w:bottom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6,969</w:t>
            </w:r>
          </w:p>
        </w:tc>
        <w:tc>
          <w:tcPr>
            <w:tcW w:w="6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6,155</w:t>
            </w:r>
          </w:p>
        </w:tc>
      </w:tr>
      <w:tr>
        <w:trPr>
          <w:trHeight w:val="223"/>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5"/>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Foreign withholding taxes</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7,016</w:t>
            </w:r>
          </w:p>
        </w:tc>
        <w:tc>
          <w:tcPr>
            <w:tcW w:w="6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6,748</w:t>
            </w:r>
          </w:p>
        </w:tc>
      </w:tr>
      <w:tr>
        <w:trPr>
          <w:trHeight w:val="234"/>
        </w:trPr>
        <w:tc>
          <w:tcPr>
            <w:tcW w:w="5280" w:type="dxa"/>
            <w:vAlign w:val="bottom"/>
          </w:tcPr>
          <w:p>
            <w:pPr>
              <w:spacing w:after="0"/>
              <w:rPr>
                <w:sz w:val="20"/>
                <w:szCs w:val="20"/>
                <w:color w:val="auto"/>
              </w:rPr>
            </w:pPr>
            <w:r>
              <w:rPr>
                <w:rFonts w:ascii="Arial" w:cs="Arial" w:eastAsia="Arial" w:hAnsi="Arial"/>
                <w:sz w:val="16"/>
                <w:szCs w:val="16"/>
                <w:color w:val="auto"/>
              </w:rPr>
              <w:t>Straight-line rent liability</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9,246</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9,259</w:t>
            </w:r>
          </w:p>
        </w:tc>
      </w:tr>
      <w:tr>
        <w:trPr>
          <w:trHeight w:val="235"/>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Environmental reserve</w:t>
            </w:r>
          </w:p>
        </w:tc>
        <w:tc>
          <w:tcPr>
            <w:tcW w:w="6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1,656</w:t>
            </w: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234"/>
        </w:trPr>
        <w:tc>
          <w:tcPr>
            <w:tcW w:w="5280" w:type="dxa"/>
            <w:vAlign w:val="bottom"/>
          </w:tcPr>
          <w:p>
            <w:pPr>
              <w:spacing w:after="0"/>
              <w:rPr>
                <w:sz w:val="20"/>
                <w:szCs w:val="20"/>
                <w:color w:val="auto"/>
              </w:rPr>
            </w:pPr>
            <w:r>
              <w:rPr>
                <w:rFonts w:ascii="Arial" w:cs="Arial" w:eastAsia="Arial" w:hAnsi="Arial"/>
                <w:sz w:val="16"/>
                <w:szCs w:val="16"/>
                <w:color w:val="auto"/>
              </w:rPr>
              <w:t>Accrued pension</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6,740</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8,527</w:t>
            </w:r>
          </w:p>
        </w:tc>
      </w:tr>
      <w:tr>
        <w:trPr>
          <w:trHeight w:val="235"/>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6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2,177</w:t>
            </w: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r>
      <w:tr>
        <w:trPr>
          <w:trHeight w:val="234"/>
        </w:trPr>
        <w:tc>
          <w:tcPr>
            <w:tcW w:w="5280" w:type="dxa"/>
            <w:vAlign w:val="bottom"/>
          </w:tcPr>
          <w:p>
            <w:pPr>
              <w:spacing w:after="0"/>
              <w:rPr>
                <w:sz w:val="20"/>
                <w:szCs w:val="20"/>
                <w:color w:val="auto"/>
              </w:rPr>
            </w:pPr>
            <w:r>
              <w:rPr>
                <w:rFonts w:ascii="Arial" w:cs="Arial" w:eastAsia="Arial" w:hAnsi="Arial"/>
                <w:sz w:val="16"/>
                <w:szCs w:val="16"/>
                <w:color w:val="auto"/>
              </w:rPr>
              <w:t>Acquired leases</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1,265</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35"/>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Other payable</w:t>
            </w:r>
          </w:p>
        </w:tc>
        <w:tc>
          <w:tcPr>
            <w:tcW w:w="6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484</w:t>
            </w: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34"/>
        </w:trPr>
        <w:tc>
          <w:tcPr>
            <w:tcW w:w="5280" w:type="dxa"/>
            <w:vAlign w:val="bottom"/>
          </w:tcPr>
          <w:p>
            <w:pPr>
              <w:spacing w:after="0"/>
              <w:rPr>
                <w:sz w:val="20"/>
                <w:szCs w:val="20"/>
                <w:color w:val="auto"/>
              </w:rPr>
            </w:pPr>
            <w:r>
              <w:rPr>
                <w:rFonts w:ascii="Arial" w:cs="Arial" w:eastAsia="Arial" w:hAnsi="Arial"/>
                <w:sz w:val="16"/>
                <w:szCs w:val="16"/>
                <w:color w:val="auto"/>
              </w:rPr>
              <w:t>Other</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6,910</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235"/>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Deferred Revenue - Real Estate (Burwood sale deposit)</w:t>
            </w:r>
          </w:p>
        </w:tc>
        <w:tc>
          <w:tcPr>
            <w:tcW w:w="6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5,083</w:t>
            </w:r>
          </w:p>
        </w:tc>
        <w:tc>
          <w:tcPr>
            <w:tcW w:w="6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liabilities</w:t>
            </w:r>
          </w:p>
        </w:tc>
        <w:tc>
          <w:tcPr>
            <w:tcW w:w="162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93"/>
              </w:rPr>
              <w:t>40,577</w:t>
            </w:r>
          </w:p>
        </w:tc>
        <w:tc>
          <w:tcPr>
            <w:tcW w:w="6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32,749</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Village East Purchase Option</w:t>
      </w:r>
    </w:p>
    <w:p>
      <w:pPr>
        <w:spacing w:after="0" w:line="157" w:lineRule="exact"/>
        <w:rPr>
          <w:sz w:val="20"/>
          <w:szCs w:val="20"/>
          <w:color w:val="auto"/>
        </w:rPr>
      </w:pPr>
    </w:p>
    <w:p>
      <w:pPr>
        <w:jc w:val="both"/>
        <w:ind w:firstLine="564"/>
        <w:spacing w:after="0" w:line="309" w:lineRule="auto"/>
        <w:rPr>
          <w:sz w:val="20"/>
          <w:szCs w:val="20"/>
          <w:color w:val="auto"/>
        </w:rPr>
      </w:pPr>
      <w:r>
        <w:rPr>
          <w:rFonts w:ascii="Arial" w:cs="Arial" w:eastAsia="Arial" w:hAnsi="Arial"/>
          <w:sz w:val="13"/>
          <w:szCs w:val="13"/>
          <w:color w:val="auto"/>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June 1,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late Chairman, Chief Executive Officer, and controlling shareholder, Mr. James J. Cotter, Sr. was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$5.9 million presented under other liabilities which accreted up to the $5.9 million liability till July 1, 2013 (see Note 25 – </w:t>
      </w:r>
      <w:r>
        <w:rPr>
          <w:rFonts w:ascii="Arial" w:cs="Arial" w:eastAsia="Arial" w:hAnsi="Arial"/>
          <w:sz w:val="13"/>
          <w:szCs w:val="13"/>
          <w:i w:val="1"/>
          <w:iCs w:val="1"/>
          <w:color w:val="auto"/>
        </w:rPr>
        <w:t>Related Parties and Transactions</w:t>
      </w:r>
      <w:r>
        <w:rPr>
          <w:rFonts w:ascii="Arial" w:cs="Arial" w:eastAsia="Arial" w:hAnsi="Arial"/>
          <w:sz w:val="13"/>
          <w:szCs w:val="13"/>
          <w:color w:val="auto"/>
        </w:rPr>
        <w:t>). As the option is able to be exercised starting on July 1, 2013, by SHC we classified the $5.9 million lease liability as a current liability.</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16 – Fair Value of Financial Instruments</w:t>
      </w:r>
    </w:p>
    <w:p>
      <w:pPr>
        <w:spacing w:after="0" w:line="1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ASC 820-10 applies to existing accounting pronouncements in which fair value measurements are already required and defines fair value, establishes a framework for measuring fair value in accordance with accounting principles generally accepted in the United States, and expands disclosures about fair value measurements.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89" w:name="page90"/>
    <w:bookmarkEnd w:id="89"/>
    <w:p>
      <w:pPr>
        <w:jc w:val="both"/>
        <w:ind w:right="20" w:firstLine="564"/>
        <w:spacing w:after="0" w:line="255" w:lineRule="auto"/>
        <w:rPr>
          <w:sz w:val="20"/>
          <w:szCs w:val="20"/>
          <w:color w:val="auto"/>
        </w:rPr>
      </w:pPr>
      <w:r>
        <w:rPr>
          <w:rFonts w:ascii="Arial" w:cs="Arial" w:eastAsia="Arial" w:hAnsi="Arial"/>
          <w:sz w:val="16"/>
          <w:szCs w:val="16"/>
          <w:color w:val="auto"/>
        </w:rPr>
        <w:t>ASC 820-10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establishes a fair value hierarchy that prioritizes the inputs to valuation techniques used to measure fair value. The statement requires that assets and liabilities carried at fair value be classified and disclosed in one of the following three categories: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1: Quoted market prices in active markets for identical assets or liabilities.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2: Observable market based inputs or unobservable inputs that are corroborated by market data.</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 Unobservable inputs that are not corroborated by market data.</w:t>
      </w:r>
    </w:p>
    <w:p>
      <w:pPr>
        <w:spacing w:after="0" w:line="168" w:lineRule="exact"/>
        <w:rPr>
          <w:sz w:val="20"/>
          <w:szCs w:val="20"/>
          <w:color w:val="auto"/>
        </w:rPr>
      </w:pPr>
    </w:p>
    <w:p>
      <w:pPr>
        <w:jc w:val="both"/>
        <w:ind w:right="20" w:firstLine="564"/>
        <w:spacing w:after="0" w:line="299" w:lineRule="auto"/>
        <w:rPr>
          <w:sz w:val="20"/>
          <w:szCs w:val="20"/>
          <w:color w:val="auto"/>
        </w:rPr>
      </w:pPr>
      <w:r>
        <w:rPr>
          <w:rFonts w:ascii="Arial" w:cs="Arial" w:eastAsia="Arial" w:hAnsi="Arial"/>
          <w:sz w:val="15"/>
          <w:szCs w:val="15"/>
          <w:color w:val="auto"/>
        </w:rPr>
        <w:t>We use appropriate valuation techniques based on the available inputs to measure the fair values of our assets and liabilities. When available, we measure fair value using Level 1 inputs because they generally provide the most reliable evidence of fair value.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 Fair Value Measurements</w:t>
      </w:r>
      <w:r>
        <w:rPr>
          <w:rFonts w:ascii="Arial" w:cs="Arial" w:eastAsia="Arial" w:hAnsi="Arial"/>
          <w:sz w:val="16"/>
          <w:szCs w:val="16"/>
          <w:color w:val="auto"/>
        </w:rPr>
        <w:t xml:space="preserve"> – are based on market quotes of our marketable securities.</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u w:val="single" w:color="auto"/>
          <w:color w:val="auto"/>
        </w:rPr>
        <w:t>Level 2 Fair Value Measurements</w:t>
      </w:r>
      <w:r>
        <w:rPr>
          <w:rFonts w:ascii="Arial" w:cs="Arial" w:eastAsia="Arial" w:hAnsi="Arial"/>
          <w:sz w:val="16"/>
          <w:szCs w:val="16"/>
          <w:color w:val="auto"/>
        </w:rPr>
        <w:t xml:space="preserve"> – </w:t>
      </w:r>
      <w:r>
        <w:rPr>
          <w:rFonts w:ascii="Arial" w:cs="Arial" w:eastAsia="Arial" w:hAnsi="Arial"/>
          <w:sz w:val="16"/>
          <w:szCs w:val="16"/>
          <w:i w:val="1"/>
          <w:iCs w:val="1"/>
          <w:color w:val="auto"/>
        </w:rPr>
        <w:t>Interest Rate Swaps and cap</w:t>
      </w:r>
      <w:r>
        <w:rPr>
          <w:rFonts w:ascii="Arial" w:cs="Arial" w:eastAsia="Arial" w:hAnsi="Arial"/>
          <w:sz w:val="16"/>
          <w:szCs w:val="16"/>
          <w:color w:val="auto"/>
        </w:rPr>
        <w:t xml:space="preserve"> – The fair value of interest rate swaps and cap are estimated using internal discounted cash flow calculations based upon forward interest rate curves, which are corroborated by market data, and quotes obtained from counterparties to the agreements.</w:t>
      </w:r>
    </w:p>
    <w:p>
      <w:pPr>
        <w:spacing w:after="0" w:line="142" w:lineRule="exact"/>
        <w:rPr>
          <w:sz w:val="20"/>
          <w:szCs w:val="20"/>
          <w:color w:val="auto"/>
        </w:rPr>
      </w:pPr>
    </w:p>
    <w:p>
      <w:pPr>
        <w:jc w:val="both"/>
        <w:ind w:right="20"/>
        <w:spacing w:after="0" w:line="317" w:lineRule="auto"/>
        <w:rPr>
          <w:sz w:val="20"/>
          <w:szCs w:val="20"/>
          <w:color w:val="auto"/>
        </w:rPr>
      </w:pPr>
      <w:r>
        <w:rPr>
          <w:rFonts w:ascii="Arial" w:cs="Arial" w:eastAsia="Arial" w:hAnsi="Arial"/>
          <w:sz w:val="13"/>
          <w:szCs w:val="13"/>
          <w:u w:val="single" w:color="auto"/>
          <w:color w:val="auto"/>
        </w:rPr>
        <w:t>Level 3 Fair Value Measurements</w:t>
      </w:r>
      <w:r>
        <w:rPr>
          <w:rFonts w:ascii="Arial" w:cs="Arial" w:eastAsia="Arial" w:hAnsi="Arial"/>
          <w:sz w:val="13"/>
          <w:szCs w:val="13"/>
          <w:color w:val="auto"/>
        </w:rPr>
        <w:t xml:space="preserve"> – </w:t>
      </w:r>
      <w:r>
        <w:rPr>
          <w:rFonts w:ascii="Arial" w:cs="Arial" w:eastAsia="Arial" w:hAnsi="Arial"/>
          <w:sz w:val="13"/>
          <w:szCs w:val="13"/>
          <w:i w:val="1"/>
          <w:iCs w:val="1"/>
          <w:color w:val="auto"/>
        </w:rPr>
        <w:t>Impaired Property</w:t>
      </w:r>
      <w:r>
        <w:rPr>
          <w:rFonts w:ascii="Arial" w:cs="Arial" w:eastAsia="Arial" w:hAnsi="Arial"/>
          <w:sz w:val="13"/>
          <w:szCs w:val="13"/>
          <w:color w:val="auto"/>
        </w:rPr>
        <w:t xml:space="preserve"> – For assets measured on a non-recurring basis, such as real estate assets that are required to be recorded at fair value as a result of an impairment, our estimates of fair value are based on management’s best estimate derived from evaluating market sales data for comparable properties developed by a third party appraiser and arriving at management’s estimate of fair value based on such comparable data primarily based on properties with similar characteristics. For the year ended December 31, 2012, the fair value of our impaired properties was estimated to be $4.1 million, which we used to record our impairment expense and was based on level 3 inputs in developing management’s estimate of fair value. We did not record an impairment charge for our properties during 2014 and 2013.</w:t>
      </w:r>
    </w:p>
    <w:p>
      <w:pPr>
        <w:spacing w:after="0" w:line="96" w:lineRule="exact"/>
        <w:rPr>
          <w:sz w:val="20"/>
          <w:szCs w:val="20"/>
          <w:color w:val="auto"/>
        </w:rPr>
      </w:pPr>
    </w:p>
    <w:p>
      <w:pPr>
        <w:jc w:val="both"/>
        <w:ind w:right="20" w:firstLine="564"/>
        <w:spacing w:after="0" w:line="341" w:lineRule="auto"/>
        <w:rPr>
          <w:sz w:val="20"/>
          <w:szCs w:val="20"/>
          <w:color w:val="auto"/>
        </w:rPr>
      </w:pPr>
      <w:r>
        <w:rPr>
          <w:rFonts w:ascii="Arial" w:cs="Arial" w:eastAsia="Arial" w:hAnsi="Arial"/>
          <w:sz w:val="13"/>
          <w:szCs w:val="13"/>
          <w:color w:val="auto"/>
        </w:rPr>
        <w:t>As of December 31, 2014, we held certain items that are required to be measured at fair value on a recurring basis. These included available for sale securities and interest rate derivative contracts. Derivative instruments are related to our economic hedge of interest rates. Our available-for-sale securities primarily consist of investments associated with the ownership of marketable securities in Australia.</w:t>
      </w:r>
    </w:p>
    <w:p>
      <w:pPr>
        <w:spacing w:after="0" w:line="79" w:lineRule="exact"/>
        <w:rPr>
          <w:sz w:val="20"/>
          <w:szCs w:val="20"/>
          <w:color w:val="auto"/>
        </w:rPr>
      </w:pPr>
    </w:p>
    <w:p>
      <w:pPr>
        <w:jc w:val="both"/>
        <w:ind w:right="20" w:firstLine="564"/>
        <w:spacing w:after="0" w:line="309" w:lineRule="auto"/>
        <w:rPr>
          <w:sz w:val="20"/>
          <w:szCs w:val="20"/>
          <w:color w:val="auto"/>
        </w:rPr>
      </w:pPr>
      <w:r>
        <w:rPr>
          <w:rFonts w:ascii="Arial" w:cs="Arial" w:eastAsia="Arial" w:hAnsi="Arial"/>
          <w:sz w:val="13"/>
          <w:szCs w:val="13"/>
          <w:color w:val="auto"/>
        </w:rPr>
        <w:t>The fair values of the interest rate swap and cap agreements are determined using the market standard methodology of discounting the future expected cash receipts or payments that would occur if the variable interest rate fell above or below the strike rate of the interest rate swap and cap agreements. The variable interest rates used in the calculation of projected receipts or payments on the interest rate swap and cap agreements are based on an expectation of future interest rates derived from observable market interest rate curves and volatilities. To comply with the provisions of ASC 820-10, we incorporate credit valuation adjustments to appropriately reflect both our own nonperformance risk and the respective counterparty's nonperformance risk in the fair value measurements. 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However, as of December 31, 2014, we have assessed the significance of the impact of the credit valuation adjustments on the overall valuation and determined that the credit valuation adjustments are not significant to the overall valuation of our derivatives. As a result, we have determined that our derivative valuations in their entirety are classified in Level 2 of the fair value hierarchy. We have consistently applied these valuation techniques in all periods presented and believe we have obtained the most accurate information available for the types of derivative contracts we hold.</w:t>
      </w:r>
    </w:p>
    <w:p>
      <w:pPr>
        <w:spacing w:after="0" w:line="302"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On a recurring basis, we used the above methods and assumptions on the following items to measure fair value subject to the disclosure requirements of ASC 820-10 at December 31, 2014 and 2013, respectively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4763"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3" cy="762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gridSpan w:val="3"/>
          </w:tcPr>
          <w:p>
            <w:pPr>
              <w:ind w:left="420"/>
              <w:spacing w:after="0"/>
              <w:rPr>
                <w:sz w:val="20"/>
                <w:szCs w:val="20"/>
                <w:color w:val="auto"/>
              </w:rPr>
            </w:pPr>
            <w:r>
              <w:rPr>
                <w:rFonts w:ascii="Arial" w:cs="Arial" w:eastAsia="Arial" w:hAnsi="Arial"/>
                <w:sz w:val="16"/>
                <w:szCs w:val="16"/>
                <w:b w:val="1"/>
                <w:bCs w:val="1"/>
                <w:color w:val="auto"/>
              </w:rPr>
              <w:t>Book Value</w:t>
            </w:r>
          </w:p>
        </w:tc>
        <w:tc>
          <w:tcPr>
            <w:tcW w:w="1640" w:type="dxa"/>
            <w:vAlign w:val="bottom"/>
            <w:gridSpan w:val="2"/>
          </w:tcPr>
          <w:p>
            <w:pPr>
              <w:jc w:val="right"/>
              <w:ind w:right="382"/>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7"/>
                <w:szCs w:val="17"/>
                <w:color w:val="auto"/>
              </w:rPr>
            </w:pPr>
          </w:p>
        </w:tc>
      </w:tr>
      <w:tr>
        <w:trPr>
          <w:trHeight w:val="207"/>
        </w:trPr>
        <w:tc>
          <w:tcPr>
            <w:tcW w:w="2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Financial Instrument</w:t>
            </w:r>
          </w:p>
        </w:tc>
        <w:tc>
          <w:tcPr>
            <w:tcW w:w="27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Level</w:t>
            </w:r>
          </w:p>
        </w:tc>
        <w:tc>
          <w:tcPr>
            <w:tcW w:w="8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2014</w:t>
            </w:r>
          </w:p>
        </w:tc>
        <w:tc>
          <w:tcPr>
            <w:tcW w:w="8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2013</w:t>
            </w:r>
          </w:p>
        </w:tc>
        <w:tc>
          <w:tcPr>
            <w:tcW w:w="26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2014</w:t>
            </w:r>
          </w:p>
        </w:tc>
        <w:tc>
          <w:tcPr>
            <w:tcW w:w="8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18"/>
                <w:szCs w:val="18"/>
                <w:color w:val="auto"/>
              </w:rPr>
            </w:pPr>
          </w:p>
        </w:tc>
      </w:tr>
      <w:tr>
        <w:trPr>
          <w:trHeight w:val="715"/>
        </w:trPr>
        <w:tc>
          <w:tcPr>
            <w:tcW w:w="2960" w:type="dxa"/>
            <w:vAlign w:val="bottom"/>
          </w:tcPr>
          <w:p>
            <w:pPr>
              <w:spacing w:after="0"/>
              <w:rPr>
                <w:sz w:val="24"/>
                <w:szCs w:val="24"/>
                <w:color w:val="auto"/>
              </w:rPr>
            </w:pPr>
          </w:p>
        </w:tc>
        <w:tc>
          <w:tcPr>
            <w:tcW w:w="2700" w:type="dxa"/>
            <w:vAlign w:val="bottom"/>
          </w:tcPr>
          <w:p>
            <w:pPr>
              <w:jc w:val="right"/>
              <w:ind w:right="902"/>
              <w:spacing w:after="0"/>
              <w:rPr>
                <w:sz w:val="20"/>
                <w:szCs w:val="20"/>
                <w:color w:val="auto"/>
              </w:rPr>
            </w:pPr>
            <w:r>
              <w:rPr>
                <w:rFonts w:ascii="Arial" w:cs="Arial" w:eastAsia="Arial" w:hAnsi="Arial"/>
                <w:sz w:val="16"/>
                <w:szCs w:val="16"/>
                <w:color w:val="auto"/>
              </w:rPr>
              <w:t>90</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2960" w:type="dxa"/>
            <w:vAlign w:val="bottom"/>
            <w:tcBorders>
              <w:bottom w:val="single" w:sz="8" w:color="9A9A9A"/>
            </w:tcBorders>
          </w:tcPr>
          <w:p>
            <w:pPr>
              <w:spacing w:after="0"/>
              <w:rPr>
                <w:sz w:val="11"/>
                <w:szCs w:val="11"/>
                <w:color w:val="auto"/>
              </w:rPr>
            </w:pPr>
          </w:p>
        </w:tc>
        <w:tc>
          <w:tcPr>
            <w:tcW w:w="270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2960" w:type="dxa"/>
            <w:vAlign w:val="bottom"/>
            <w:tcBorders>
              <w:bottom w:val="single" w:sz="8" w:color="EEEEEE"/>
            </w:tcBorders>
          </w:tcPr>
          <w:p>
            <w:pPr>
              <w:spacing w:after="0" w:line="20" w:lineRule="exact"/>
              <w:rPr>
                <w:sz w:val="1"/>
                <w:szCs w:val="1"/>
                <w:color w:val="auto"/>
              </w:rPr>
            </w:pPr>
          </w:p>
        </w:tc>
        <w:tc>
          <w:tcPr>
            <w:tcW w:w="27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7" w:right="1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3"/>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Investment in marketable securities</w:t>
            </w:r>
          </w:p>
        </w:tc>
        <w:tc>
          <w:tcPr>
            <w:tcW w:w="20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w:t>
            </w:r>
          </w:p>
        </w:tc>
        <w:tc>
          <w:tcPr>
            <w:tcW w:w="4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54</w:t>
            </w:r>
          </w:p>
        </w:tc>
        <w:tc>
          <w:tcPr>
            <w:tcW w:w="3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w:t>
            </w:r>
          </w:p>
        </w:tc>
        <w:tc>
          <w:tcPr>
            <w:tcW w:w="3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54</w:t>
            </w:r>
          </w:p>
        </w:tc>
        <w:tc>
          <w:tcPr>
            <w:tcW w:w="3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9"/>
                <w:szCs w:val="19"/>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6"/>
                <w:szCs w:val="16"/>
                <w:color w:val="auto"/>
              </w:rPr>
              <w:t>Interest rate cap asset</w:t>
            </w:r>
          </w:p>
        </w:tc>
        <w:tc>
          <w:tcPr>
            <w:tcW w:w="2020" w:type="dxa"/>
            <w:vAlign w:val="bottom"/>
          </w:tcPr>
          <w:p>
            <w:pPr>
              <w:jc w:val="right"/>
              <w:ind w:right="142"/>
              <w:spacing w:after="0"/>
              <w:rPr>
                <w:sz w:val="20"/>
                <w:szCs w:val="20"/>
                <w:color w:val="auto"/>
              </w:rPr>
            </w:pPr>
            <w:r>
              <w:rPr>
                <w:rFonts w:ascii="Arial" w:cs="Arial" w:eastAsia="Arial" w:hAnsi="Arial"/>
                <w:sz w:val="16"/>
                <w:szCs w:val="16"/>
                <w:color w:val="auto"/>
              </w:rPr>
              <w:t>2</w:t>
            </w:r>
          </w:p>
        </w:tc>
        <w:tc>
          <w:tcPr>
            <w:tcW w:w="4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75</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9"/>
                <w:szCs w:val="19"/>
                <w:color w:val="auto"/>
              </w:rPr>
            </w:pPr>
          </w:p>
        </w:tc>
      </w:tr>
      <w:tr>
        <w:trPr>
          <w:trHeight w:val="224"/>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 liabilities</w:t>
            </w:r>
          </w:p>
        </w:tc>
        <w:tc>
          <w:tcPr>
            <w:tcW w:w="20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2,177</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3,288</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2,177</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20" w:type="dxa"/>
            <w:vAlign w:val="bottom"/>
          </w:tcPr>
          <w:p>
            <w:pPr>
              <w:spacing w:after="0"/>
              <w:rPr>
                <w:sz w:val="19"/>
                <w:szCs w:val="19"/>
                <w:color w:val="auto"/>
              </w:rPr>
            </w:pPr>
          </w:p>
        </w:tc>
      </w:tr>
      <w:tr>
        <w:trPr>
          <w:trHeight w:val="915"/>
        </w:trPr>
        <w:tc>
          <w:tcPr>
            <w:tcW w:w="3360" w:type="dxa"/>
            <w:vAlign w:val="bottom"/>
          </w:tcPr>
          <w:p>
            <w:pPr>
              <w:spacing w:after="0"/>
              <w:rPr>
                <w:sz w:val="24"/>
                <w:szCs w:val="24"/>
                <w:color w:val="auto"/>
              </w:rPr>
            </w:pPr>
          </w:p>
        </w:tc>
        <w:tc>
          <w:tcPr>
            <w:tcW w:w="2020" w:type="dxa"/>
            <w:vAlign w:val="bottom"/>
          </w:tcPr>
          <w:p>
            <w:pPr>
              <w:jc w:val="right"/>
              <w:ind w:right="622"/>
              <w:spacing w:after="0"/>
              <w:rPr>
                <w:sz w:val="20"/>
                <w:szCs w:val="20"/>
                <w:color w:val="auto"/>
              </w:rPr>
            </w:pPr>
            <w:r>
              <w:rPr>
                <w:rFonts w:ascii="Arial" w:cs="Arial" w:eastAsia="Arial" w:hAnsi="Arial"/>
                <w:sz w:val="16"/>
                <w:szCs w:val="16"/>
                <w:color w:val="auto"/>
              </w:rPr>
              <w:t>91</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360" w:type="dxa"/>
            <w:vAlign w:val="bottom"/>
            <w:tcBorders>
              <w:bottom w:val="single" w:sz="8" w:color="9A9A9A"/>
            </w:tcBorders>
          </w:tcPr>
          <w:p>
            <w:pPr>
              <w:spacing w:after="0"/>
              <w:rPr>
                <w:sz w:val="11"/>
                <w:szCs w:val="11"/>
                <w:color w:val="auto"/>
              </w:rPr>
            </w:pPr>
          </w:p>
        </w:tc>
        <w:tc>
          <w:tcPr>
            <w:tcW w:w="20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360" w:type="dxa"/>
            <w:vAlign w:val="bottom"/>
            <w:tcBorders>
              <w:bottom w:val="single" w:sz="8" w:color="EEEEEE"/>
            </w:tcBorders>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0" w:right="1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auto"/>
        </w:rPr>
        <w:t>Financial Instruments Disclosed at Fair Value</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following table sets forth the carrying value and the fair value of our financial assets and liabilities at December 31, 2014 and 2013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6"/>
                <w:szCs w:val="16"/>
                <w:b w:val="1"/>
                <w:bCs w:val="1"/>
                <w:color w:val="auto"/>
              </w:rPr>
              <w:t>Book Value</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6"/>
                <w:szCs w:val="16"/>
                <w:b w:val="1"/>
                <w:bCs w:val="1"/>
                <w:color w:val="auto"/>
              </w:rPr>
              <w:t>Fair Value</w:t>
            </w:r>
          </w:p>
        </w:tc>
        <w:tc>
          <w:tcPr>
            <w:tcW w:w="760" w:type="dxa"/>
            <w:vAlign w:val="bottom"/>
            <w:tcBorders>
              <w:bottom w:val="single" w:sz="8" w:color="auto"/>
            </w:tcBorders>
          </w:tcPr>
          <w:p>
            <w:pPr>
              <w:spacing w:after="0"/>
              <w:rPr>
                <w:sz w:val="17"/>
                <w:szCs w:val="17"/>
                <w:color w:val="auto"/>
              </w:rPr>
            </w:pPr>
          </w:p>
        </w:tc>
      </w:tr>
      <w:tr>
        <w:trPr>
          <w:trHeight w:val="207"/>
        </w:trPr>
        <w:tc>
          <w:tcPr>
            <w:tcW w:w="2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Financial Instrument</w:t>
            </w:r>
          </w:p>
        </w:tc>
        <w:tc>
          <w:tcPr>
            <w:tcW w:w="1180" w:type="dxa"/>
            <w:vAlign w:val="bottom"/>
            <w:tcBorders>
              <w:bottom w:val="single" w:sz="8" w:color="auto"/>
            </w:tcBorders>
          </w:tcPr>
          <w:p>
            <w:pPr>
              <w:jc w:val="center"/>
              <w:ind w:left="567"/>
              <w:spacing w:after="0"/>
              <w:rPr>
                <w:sz w:val="20"/>
                <w:szCs w:val="20"/>
                <w:color w:val="auto"/>
              </w:rPr>
            </w:pPr>
            <w:r>
              <w:rPr>
                <w:rFonts w:ascii="Arial" w:cs="Arial" w:eastAsia="Arial" w:hAnsi="Arial"/>
                <w:sz w:val="16"/>
                <w:szCs w:val="16"/>
                <w:b w:val="1"/>
                <w:bCs w:val="1"/>
                <w:color w:val="auto"/>
                <w:w w:val="92"/>
              </w:rPr>
              <w:t>Level</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2014</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2013</w:t>
            </w:r>
          </w:p>
        </w:tc>
      </w:tr>
      <w:tr>
        <w:trPr>
          <w:trHeight w:val="22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180" w:type="dxa"/>
            <w:vAlign w:val="bottom"/>
            <w:shd w:val="clear" w:color="auto" w:fill="CCEEFF"/>
          </w:tcPr>
          <w:p>
            <w:pPr>
              <w:jc w:val="center"/>
              <w:ind w:left="567"/>
              <w:spacing w:after="0"/>
              <w:rPr>
                <w:sz w:val="20"/>
                <w:szCs w:val="20"/>
                <w:color w:val="auto"/>
              </w:rPr>
            </w:pPr>
            <w:r>
              <w:rPr>
                <w:rFonts w:ascii="Arial" w:cs="Arial" w:eastAsia="Arial" w:hAnsi="Arial"/>
                <w:sz w:val="15"/>
                <w:szCs w:val="15"/>
                <w:color w:val="auto"/>
                <w:w w:val="71"/>
              </w:rPr>
              <w:t>1</w:t>
            </w: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50,248</w:t>
            </w:r>
          </w:p>
        </w:tc>
        <w:tc>
          <w:tcPr>
            <w:tcW w:w="4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37,696</w:t>
            </w:r>
          </w:p>
        </w:tc>
        <w:tc>
          <w:tcPr>
            <w:tcW w:w="4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50,248</w:t>
            </w:r>
          </w:p>
        </w:tc>
        <w:tc>
          <w:tcPr>
            <w:tcW w:w="4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37,696</w:t>
            </w:r>
          </w:p>
        </w:tc>
      </w:tr>
      <w:tr>
        <w:trPr>
          <w:trHeight w:val="234"/>
        </w:trPr>
        <w:tc>
          <w:tcPr>
            <w:tcW w:w="2680" w:type="dxa"/>
            <w:vAlign w:val="bottom"/>
          </w:tcPr>
          <w:p>
            <w:pPr>
              <w:spacing w:after="0"/>
              <w:rPr>
                <w:sz w:val="20"/>
                <w:szCs w:val="20"/>
                <w:color w:val="auto"/>
              </w:rPr>
            </w:pPr>
            <w:r>
              <w:rPr>
                <w:rFonts w:ascii="Arial" w:cs="Arial" w:eastAsia="Arial" w:hAnsi="Arial"/>
                <w:sz w:val="16"/>
                <w:szCs w:val="16"/>
                <w:color w:val="auto"/>
              </w:rPr>
              <w:t>Accounts receivable</w:t>
            </w:r>
          </w:p>
        </w:tc>
        <w:tc>
          <w:tcPr>
            <w:tcW w:w="1180" w:type="dxa"/>
            <w:vAlign w:val="bottom"/>
          </w:tcPr>
          <w:p>
            <w:pPr>
              <w:jc w:val="center"/>
              <w:ind w:left="567"/>
              <w:spacing w:after="0"/>
              <w:rPr>
                <w:sz w:val="20"/>
                <w:szCs w:val="20"/>
                <w:color w:val="auto"/>
              </w:rPr>
            </w:pPr>
            <w:r>
              <w:rPr>
                <w:rFonts w:ascii="Arial" w:cs="Arial" w:eastAsia="Arial" w:hAnsi="Arial"/>
                <w:sz w:val="15"/>
                <w:szCs w:val="15"/>
                <w:color w:val="auto"/>
                <w:w w:val="71"/>
              </w:rPr>
              <w:t>1</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11,348</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9,087</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11,348</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9,087</w:t>
            </w:r>
          </w:p>
        </w:tc>
      </w:tr>
      <w:tr>
        <w:trPr>
          <w:trHeight w:val="235"/>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180" w:type="dxa"/>
            <w:vAlign w:val="bottom"/>
            <w:shd w:val="clear" w:color="auto" w:fill="CCEEFF"/>
          </w:tcPr>
          <w:p>
            <w:pPr>
              <w:jc w:val="center"/>
              <w:ind w:left="567"/>
              <w:spacing w:after="0"/>
              <w:rPr>
                <w:sz w:val="20"/>
                <w:szCs w:val="20"/>
                <w:color w:val="auto"/>
              </w:rPr>
            </w:pPr>
            <w:r>
              <w:rPr>
                <w:rFonts w:ascii="Arial" w:cs="Arial" w:eastAsia="Arial" w:hAnsi="Arial"/>
                <w:sz w:val="15"/>
                <w:szCs w:val="15"/>
                <w:color w:val="auto"/>
                <w:w w:val="71"/>
              </w:rPr>
              <w:t>1</w:t>
            </w: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1,433</w:t>
            </w:r>
          </w:p>
        </w:tc>
        <w:tc>
          <w:tcPr>
            <w:tcW w:w="4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782</w:t>
            </w:r>
          </w:p>
        </w:tc>
        <w:tc>
          <w:tcPr>
            <w:tcW w:w="4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1,433</w:t>
            </w:r>
          </w:p>
        </w:tc>
        <w:tc>
          <w:tcPr>
            <w:tcW w:w="4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r>
      <w:tr>
        <w:trPr>
          <w:trHeight w:val="234"/>
        </w:trPr>
        <w:tc>
          <w:tcPr>
            <w:tcW w:w="2680" w:type="dxa"/>
            <w:vAlign w:val="bottom"/>
          </w:tcPr>
          <w:p>
            <w:pPr>
              <w:spacing w:after="0"/>
              <w:rPr>
                <w:sz w:val="20"/>
                <w:szCs w:val="20"/>
                <w:color w:val="auto"/>
              </w:rPr>
            </w:pPr>
            <w:r>
              <w:rPr>
                <w:rFonts w:ascii="Arial" w:cs="Arial" w:eastAsia="Arial" w:hAnsi="Arial"/>
                <w:sz w:val="16"/>
                <w:szCs w:val="16"/>
                <w:color w:val="auto"/>
              </w:rPr>
              <w:t>Accounts and film rent payable</w:t>
            </w:r>
          </w:p>
        </w:tc>
        <w:tc>
          <w:tcPr>
            <w:tcW w:w="1180" w:type="dxa"/>
            <w:vAlign w:val="bottom"/>
          </w:tcPr>
          <w:p>
            <w:pPr>
              <w:jc w:val="center"/>
              <w:ind w:left="567"/>
              <w:spacing w:after="0"/>
              <w:rPr>
                <w:sz w:val="20"/>
                <w:szCs w:val="20"/>
                <w:color w:val="auto"/>
              </w:rPr>
            </w:pPr>
            <w:r>
              <w:rPr>
                <w:rFonts w:ascii="Arial" w:cs="Arial" w:eastAsia="Arial" w:hAnsi="Arial"/>
                <w:sz w:val="15"/>
                <w:szCs w:val="15"/>
                <w:color w:val="auto"/>
                <w:w w:val="71"/>
              </w:rPr>
              <w:t>1</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27,435</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25,046</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27,435</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25,046</w:t>
            </w:r>
          </w:p>
        </w:tc>
      </w:tr>
      <w:tr>
        <w:trPr>
          <w:trHeight w:val="235"/>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180" w:type="dxa"/>
            <w:vAlign w:val="bottom"/>
            <w:shd w:val="clear" w:color="auto" w:fill="CCEEFF"/>
          </w:tcPr>
          <w:p>
            <w:pPr>
              <w:jc w:val="center"/>
              <w:ind w:left="567"/>
              <w:spacing w:after="0"/>
              <w:rPr>
                <w:sz w:val="20"/>
                <w:szCs w:val="20"/>
                <w:color w:val="auto"/>
              </w:rPr>
            </w:pPr>
            <w:r>
              <w:rPr>
                <w:rFonts w:ascii="Arial" w:cs="Arial" w:eastAsia="Arial" w:hAnsi="Arial"/>
                <w:sz w:val="15"/>
                <w:szCs w:val="15"/>
                <w:color w:val="auto"/>
                <w:w w:val="71"/>
              </w:rPr>
              <w:t>3</w:t>
            </w: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136,123</w:t>
            </w:r>
          </w:p>
        </w:tc>
        <w:tc>
          <w:tcPr>
            <w:tcW w:w="4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140,547</w:t>
            </w:r>
          </w:p>
        </w:tc>
        <w:tc>
          <w:tcPr>
            <w:tcW w:w="4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116,115</w:t>
            </w:r>
          </w:p>
        </w:tc>
        <w:tc>
          <w:tcPr>
            <w:tcW w:w="4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121,411</w:t>
            </w:r>
          </w:p>
        </w:tc>
      </w:tr>
      <w:tr>
        <w:trPr>
          <w:trHeight w:val="234"/>
        </w:trPr>
        <w:tc>
          <w:tcPr>
            <w:tcW w:w="2680" w:type="dxa"/>
            <w:vAlign w:val="bottom"/>
          </w:tcPr>
          <w:p>
            <w:pPr>
              <w:spacing w:after="0"/>
              <w:rPr>
                <w:sz w:val="20"/>
                <w:szCs w:val="20"/>
                <w:color w:val="auto"/>
              </w:rPr>
            </w:pPr>
            <w:r>
              <w:rPr>
                <w:rFonts w:ascii="Arial" w:cs="Arial" w:eastAsia="Arial" w:hAnsi="Arial"/>
                <w:sz w:val="16"/>
                <w:szCs w:val="16"/>
                <w:color w:val="auto"/>
              </w:rPr>
              <w:t>Subordinated debt</w:t>
            </w:r>
          </w:p>
        </w:tc>
        <w:tc>
          <w:tcPr>
            <w:tcW w:w="1180" w:type="dxa"/>
            <w:vAlign w:val="bottom"/>
          </w:tcPr>
          <w:p>
            <w:pPr>
              <w:jc w:val="center"/>
              <w:ind w:left="567"/>
              <w:spacing w:after="0"/>
              <w:rPr>
                <w:sz w:val="20"/>
                <w:szCs w:val="20"/>
                <w:color w:val="auto"/>
              </w:rPr>
            </w:pPr>
            <w:r>
              <w:rPr>
                <w:rFonts w:ascii="Arial" w:cs="Arial" w:eastAsia="Arial" w:hAnsi="Arial"/>
                <w:sz w:val="15"/>
                <w:szCs w:val="15"/>
                <w:color w:val="auto"/>
                <w:w w:val="71"/>
              </w:rPr>
              <w:t>3</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27,913</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27,913</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10,096</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11,067</w:t>
            </w:r>
          </w:p>
        </w:tc>
      </w:tr>
    </w:tbl>
    <w:p>
      <w:pPr>
        <w:spacing w:after="0" w:line="176"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For purposes of this fair value disclosure, we based our fair value estimate for notes payable and subordinated debt on our internal valuation whereby we apply the discounted cash flow method to our expected cash flow payments due under our existing debt agreements based on a representative sample of our lenders’ market interest rate quotes as of December 31, 2014 and 2013, respectively, for debt with similar risk characteristics and maturities.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17 – Lease Agreements</w:t>
      </w:r>
    </w:p>
    <w:p>
      <w:pPr>
        <w:spacing w:after="0" w:line="172"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Most of our cinemas conduct their operations in leased facilities. Sixteen of our twenty operating multiplexes in Australia, three of our eight cinemas in New Zealand, and all but one of our cinemas in the United States are in leased facilities. These cinema leases have remaining terms inclusive of options of 1 to 37 years. Certain of our cinema leases provide for contingent rentals based upon a specified percentage of theater revenue with a guaranteed minimum. Substantially all of our leases require the payment of property taxes, insurance, and other costs applicable to the property. We also lease office space and equipment under non-cancelable operating leases. All of our leases are accounted for as operating leases and accordingly, we have no leases of facilities that require capitalization.</w:t>
      </w:r>
    </w:p>
    <w:p>
      <w:pPr>
        <w:spacing w:after="0" w:line="120"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We determine the annual base rent expense of our cinemas by amortizing total minimum lease obligations on a straight-line basis over the lease terms. Base rent expense and contingent rental expense under the operating leases totaled approximately $30.9 million and $1.2 million for 2014, respectively; $32.1 million and $1.3 million for 2013, respectively; and $32.6 million and $1.7 million for 2012, respectively. Future minimum lease payments by year and, in the aggregate, under non-cancelable operating leases consisted of the following at December 31, 2014 (dollars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tcPr>
          <w:p>
            <w:pPr>
              <w:jc w:val="right"/>
              <w:ind w:right="150"/>
              <w:spacing w:after="0"/>
              <w:rPr>
                <w:sz w:val="20"/>
                <w:szCs w:val="20"/>
                <w:color w:val="auto"/>
              </w:rPr>
            </w:pPr>
            <w:r>
              <w:rPr>
                <w:rFonts w:ascii="Arial" w:cs="Arial" w:eastAsia="Arial" w:hAnsi="Arial"/>
                <w:sz w:val="14"/>
                <w:szCs w:val="14"/>
                <w:b w:val="1"/>
                <w:bCs w:val="1"/>
                <w:color w:val="auto"/>
              </w:rPr>
              <w:t>Minimum Ground</w:t>
            </w:r>
          </w:p>
        </w:tc>
        <w:tc>
          <w:tcPr>
            <w:tcW w:w="280" w:type="dxa"/>
            <w:vAlign w:val="bottom"/>
          </w:tcPr>
          <w:p>
            <w:pPr>
              <w:spacing w:after="0"/>
              <w:rPr>
                <w:sz w:val="15"/>
                <w:szCs w:val="15"/>
                <w:color w:val="auto"/>
              </w:rPr>
            </w:pPr>
          </w:p>
        </w:tc>
        <w:tc>
          <w:tcPr>
            <w:tcW w:w="1540" w:type="dxa"/>
            <w:vAlign w:val="bottom"/>
          </w:tcPr>
          <w:p>
            <w:pPr>
              <w:jc w:val="right"/>
              <w:ind w:right="190"/>
              <w:spacing w:after="0"/>
              <w:rPr>
                <w:sz w:val="20"/>
                <w:szCs w:val="20"/>
                <w:color w:val="auto"/>
              </w:rPr>
            </w:pPr>
            <w:r>
              <w:rPr>
                <w:rFonts w:ascii="Arial" w:cs="Arial" w:eastAsia="Arial" w:hAnsi="Arial"/>
                <w:sz w:val="14"/>
                <w:szCs w:val="14"/>
                <w:b w:val="1"/>
                <w:bCs w:val="1"/>
                <w:color w:val="auto"/>
                <w:w w:val="98"/>
              </w:rPr>
              <w:t>Minimum Premises</w:t>
            </w:r>
          </w:p>
        </w:tc>
        <w:tc>
          <w:tcPr>
            <w:tcW w:w="280" w:type="dxa"/>
            <w:vAlign w:val="bottom"/>
          </w:tcPr>
          <w:p>
            <w:pPr>
              <w:spacing w:after="0"/>
              <w:rPr>
                <w:sz w:val="15"/>
                <w:szCs w:val="15"/>
                <w:color w:val="auto"/>
              </w:rPr>
            </w:pPr>
          </w:p>
        </w:tc>
        <w:tc>
          <w:tcPr>
            <w:tcW w:w="1400" w:type="dxa"/>
            <w:vAlign w:val="bottom"/>
          </w:tcPr>
          <w:p>
            <w:pPr>
              <w:jc w:val="right"/>
              <w:ind w:right="390"/>
              <w:spacing w:after="0"/>
              <w:rPr>
                <w:sz w:val="20"/>
                <w:szCs w:val="20"/>
                <w:color w:val="auto"/>
              </w:rPr>
            </w:pPr>
            <w:r>
              <w:rPr>
                <w:rFonts w:ascii="Arial" w:cs="Arial" w:eastAsia="Arial" w:hAnsi="Arial"/>
                <w:sz w:val="14"/>
                <w:szCs w:val="14"/>
                <w:b w:val="1"/>
                <w:bCs w:val="1"/>
                <w:color w:val="auto"/>
              </w:rPr>
              <w:t>Equipment</w:t>
            </w:r>
          </w:p>
        </w:tc>
        <w:tc>
          <w:tcPr>
            <w:tcW w:w="280" w:type="dxa"/>
            <w:vAlign w:val="bottom"/>
          </w:tcPr>
          <w:p>
            <w:pPr>
              <w:spacing w:after="0"/>
              <w:rPr>
                <w:sz w:val="15"/>
                <w:szCs w:val="15"/>
                <w:color w:val="auto"/>
              </w:rPr>
            </w:pPr>
          </w:p>
        </w:tc>
        <w:tc>
          <w:tcPr>
            <w:tcW w:w="1300" w:type="dxa"/>
            <w:vAlign w:val="bottom"/>
          </w:tcPr>
          <w:p>
            <w:pPr>
              <w:jc w:val="right"/>
              <w:ind w:right="170"/>
              <w:spacing w:after="0"/>
              <w:rPr>
                <w:sz w:val="20"/>
                <w:szCs w:val="20"/>
                <w:color w:val="auto"/>
              </w:rPr>
            </w:pPr>
            <w:r>
              <w:rPr>
                <w:rFonts w:ascii="Arial" w:cs="Arial" w:eastAsia="Arial" w:hAnsi="Arial"/>
                <w:sz w:val="14"/>
                <w:szCs w:val="14"/>
                <w:b w:val="1"/>
                <w:bCs w:val="1"/>
                <w:color w:val="auto"/>
              </w:rPr>
              <w:t>Total Minimum</w:t>
            </w:r>
          </w:p>
        </w:tc>
      </w:tr>
      <w:tr>
        <w:trPr>
          <w:trHeight w:val="232"/>
        </w:trPr>
        <w:tc>
          <w:tcPr>
            <w:tcW w:w="2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8"/>
              </w:rPr>
              <w:t>Lease Payments</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Lease Payments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96"/>
              </w:rPr>
              <w:t>Lease Payments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6"/>
              </w:rPr>
              <w:t>Lease Payments</w:t>
            </w:r>
          </w:p>
        </w:tc>
      </w:tr>
      <w:tr>
        <w:trPr>
          <w:trHeight w:val="223"/>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2015</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3,490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27,597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2,703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33,790</w:t>
            </w:r>
          </w:p>
        </w:tc>
      </w:tr>
      <w:tr>
        <w:trPr>
          <w:trHeight w:val="232"/>
        </w:trPr>
        <w:tc>
          <w:tcPr>
            <w:tcW w:w="2160" w:type="dxa"/>
            <w:vAlign w:val="bottom"/>
          </w:tcPr>
          <w:p>
            <w:pPr>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3,526</w:t>
            </w:r>
          </w:p>
        </w:tc>
        <w:tc>
          <w:tcPr>
            <w:tcW w:w="280" w:type="dxa"/>
            <w:vAlign w:val="bottom"/>
          </w:tcPr>
          <w:p>
            <w:pPr>
              <w:spacing w:after="0"/>
              <w:rPr>
                <w:sz w:val="20"/>
                <w:szCs w:val="20"/>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23,724</w:t>
            </w:r>
          </w:p>
        </w:tc>
        <w:tc>
          <w:tcPr>
            <w:tcW w:w="28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4"/>
                <w:szCs w:val="14"/>
                <w:color w:val="auto"/>
              </w:rPr>
              <w:t>2,694</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29,944</w:t>
            </w:r>
          </w:p>
        </w:tc>
      </w:tr>
      <w:tr>
        <w:trPr>
          <w:trHeight w:val="237"/>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2017</w:t>
            </w:r>
          </w:p>
        </w:tc>
        <w:tc>
          <w:tcPr>
            <w:tcW w:w="5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3,621</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20,730</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2,665</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27,016</w:t>
            </w:r>
          </w:p>
        </w:tc>
      </w:tr>
      <w:tr>
        <w:trPr>
          <w:trHeight w:val="232"/>
        </w:trPr>
        <w:tc>
          <w:tcPr>
            <w:tcW w:w="2160" w:type="dxa"/>
            <w:vAlign w:val="bottom"/>
          </w:tcPr>
          <w:p>
            <w:pPr>
              <w:spacing w:after="0"/>
              <w:rPr>
                <w:sz w:val="20"/>
                <w:szCs w:val="20"/>
                <w:color w:val="auto"/>
              </w:rPr>
            </w:pPr>
            <w:r>
              <w:rPr>
                <w:rFonts w:ascii="Arial" w:cs="Arial" w:eastAsia="Arial" w:hAnsi="Arial"/>
                <w:sz w:val="14"/>
                <w:szCs w:val="14"/>
                <w:color w:val="auto"/>
              </w:rPr>
              <w:t>2018</w:t>
            </w:r>
          </w:p>
        </w:tc>
        <w:tc>
          <w:tcPr>
            <w:tcW w:w="54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3,629</w:t>
            </w:r>
          </w:p>
        </w:tc>
        <w:tc>
          <w:tcPr>
            <w:tcW w:w="280" w:type="dxa"/>
            <w:vAlign w:val="bottom"/>
          </w:tcPr>
          <w:p>
            <w:pPr>
              <w:spacing w:after="0"/>
              <w:rPr>
                <w:sz w:val="20"/>
                <w:szCs w:val="20"/>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16,811</w:t>
            </w:r>
          </w:p>
        </w:tc>
        <w:tc>
          <w:tcPr>
            <w:tcW w:w="28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20,440</w:t>
            </w:r>
          </w:p>
        </w:tc>
      </w:tr>
      <w:tr>
        <w:trPr>
          <w:trHeight w:val="237"/>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3,691</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12,903</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16,594</w:t>
            </w:r>
          </w:p>
        </w:tc>
      </w:tr>
      <w:tr>
        <w:trPr>
          <w:trHeight w:val="232"/>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Thereafter</w:t>
            </w: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12,758</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51,666</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64,424</w:t>
            </w:r>
          </w:p>
        </w:tc>
      </w:tr>
      <w:tr>
        <w:trPr>
          <w:trHeight w:val="209"/>
        </w:trPr>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minimum lease payments</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30,715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153,431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8,062</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192,208</w:t>
            </w:r>
          </w:p>
        </w:tc>
      </w:tr>
    </w:tbl>
    <w:p>
      <w:pPr>
        <w:spacing w:after="0" w:line="17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Since approximately $62.5 million of our total minimum lease payments of $192.2 million as of December 31, 2014 consisted of lease obligations denominated in Australian and New Zealand dollars, the U.S dollar amounts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92" w:name="page93"/>
    <w:bookmarkEnd w:id="92"/>
    <w:p>
      <w:pPr>
        <w:jc w:val="both"/>
        <w:spacing w:after="0" w:line="265" w:lineRule="auto"/>
        <w:rPr>
          <w:sz w:val="20"/>
          <w:szCs w:val="20"/>
          <w:color w:val="auto"/>
        </w:rPr>
      </w:pPr>
      <w:r>
        <w:rPr>
          <w:rFonts w:ascii="Arial" w:cs="Arial" w:eastAsia="Arial" w:hAnsi="Arial"/>
          <w:sz w:val="16"/>
          <w:szCs w:val="16"/>
          <w:color w:val="auto"/>
        </w:rPr>
        <w:t xml:space="preserve">of these obligations will fluctuate in accordance with the relative values of these currencies. See Note 25 – </w:t>
      </w:r>
      <w:r>
        <w:rPr>
          <w:rFonts w:ascii="Arial" w:cs="Arial" w:eastAsia="Arial" w:hAnsi="Arial"/>
          <w:sz w:val="16"/>
          <w:szCs w:val="16"/>
          <w:i w:val="1"/>
          <w:iCs w:val="1"/>
          <w:color w:val="auto"/>
        </w:rPr>
        <w:t>Related Parties and Transactions</w:t>
      </w:r>
      <w:r>
        <w:rPr>
          <w:rFonts w:ascii="Arial" w:cs="Arial" w:eastAsia="Arial" w:hAnsi="Arial"/>
          <w:sz w:val="16"/>
          <w:szCs w:val="16"/>
          <w:color w:val="auto"/>
        </w:rPr>
        <w:t xml:space="preserve"> for the amount of leases associated with any related party leases.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Digital Projection Equipment Lease</w:t>
      </w:r>
    </w:p>
    <w:p>
      <w:pPr>
        <w:spacing w:after="0" w:line="157"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Effective December 1, 2012, we entered into a 5-year digital projection equipment lease obligation with Banc of America Leasing &amp; Capital, LLC enabling us to convert substantially all of our U.S. cinemas to digital projection. The equipment lease agreement requires that we make lease payments of $218,000 per month for the next 60 months after which we can either purchase the equipment at a market price or renew the lease for an undetermined length of time. This lease qualifies as an operating lease and is recorded accordingly.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18 – Pension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Executive Retirement Plan</w:t>
      </w:r>
    </w:p>
    <w:p>
      <w:pPr>
        <w:spacing w:after="0" w:line="15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March 1, 2007, the Board of Directors of Reading International, Inc. (“Reading”) approved a Supplemental Executive Retirement Plan (“SERP”) pursuant to which Reading agreed to provide James J. Cotter, Sr., its then Chief Executive Officer and Chairman of the Board of Directors, supplemental retirement benefits effective March 1, 2007. Under the SERP, Mr. James J. Cotter, Sr. receives guaranteed 180 monthly payments following his separation from service with Reading. Following his death, this passes to his designated beneficiaries. The benefits under the SERP are fully vested as of March 1, 2007.</w:t>
      </w:r>
    </w:p>
    <w:p>
      <w:pPr>
        <w:spacing w:after="0" w:line="134"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On August 7</w:t>
      </w:r>
      <w:r>
        <w:rPr>
          <w:rFonts w:ascii="Arial" w:cs="Arial" w:eastAsia="Arial" w:hAnsi="Arial"/>
          <w:sz w:val="6"/>
          <w:szCs w:val="6"/>
          <w:color w:val="auto"/>
        </w:rPr>
        <w:t>th</w:t>
      </w:r>
      <w:r>
        <w:rPr>
          <w:rFonts w:ascii="Arial" w:cs="Arial" w:eastAsia="Arial" w:hAnsi="Arial"/>
          <w:sz w:val="13"/>
          <w:szCs w:val="13"/>
          <w:color w:val="auto"/>
        </w:rPr>
        <w:t xml:space="preserve"> 2014 Mr. James J. Cotter, Sr. announced his retirement from the Company due to failing health and subsequently, on September 13</w:t>
      </w:r>
      <w:r>
        <w:rPr>
          <w:rFonts w:ascii="Arial" w:cs="Arial" w:eastAsia="Arial" w:hAnsi="Arial"/>
          <w:sz w:val="6"/>
          <w:szCs w:val="6"/>
          <w:color w:val="auto"/>
        </w:rPr>
        <w:t>th</w:t>
      </w:r>
      <w:r>
        <w:rPr>
          <w:rFonts w:ascii="Arial" w:cs="Arial" w:eastAsia="Arial" w:hAnsi="Arial"/>
          <w:sz w:val="13"/>
          <w:szCs w:val="13"/>
          <w:color w:val="auto"/>
        </w:rPr>
        <w:t xml:space="preserve"> 2014, he passed away. According to the SERP agreement, he was entitled to the higher of either a guaranteed $25,000 a month, or 40% of the average monthly earnings over the highest consecutive 36-month period of earnings (period ending August 2014). 40% of the average monthly earnings over the highest consecutive 36-month period of earnings calculated to $56,944 per month. Accordingly the guaranteed 180 month period obligation is $10.2 million. Using a discount rate of 4.25%, the Company recorded a $7.5 million liability; simultaneously releasing a $7.6 million accrued pension liability at August 31</w:t>
      </w:r>
      <w:r>
        <w:rPr>
          <w:rFonts w:ascii="Arial" w:cs="Arial" w:eastAsia="Arial" w:hAnsi="Arial"/>
          <w:sz w:val="6"/>
          <w:szCs w:val="6"/>
          <w:color w:val="auto"/>
        </w:rPr>
        <w:t>st</w:t>
      </w:r>
      <w:r>
        <w:rPr>
          <w:rFonts w:ascii="Arial" w:cs="Arial" w:eastAsia="Arial" w:hAnsi="Arial"/>
          <w:sz w:val="13"/>
          <w:szCs w:val="13"/>
          <w:color w:val="auto"/>
        </w:rPr>
        <w:t xml:space="preserve"> 2014. The resulting $58,000 over accrual reduced amounts not yet recognized as a component of net periodic pension cost (the unamortized actuarial loss) to $3.1 million at August 31</w:t>
      </w:r>
      <w:r>
        <w:rPr>
          <w:rFonts w:ascii="Arial" w:cs="Arial" w:eastAsia="Arial" w:hAnsi="Arial"/>
          <w:sz w:val="6"/>
          <w:szCs w:val="6"/>
          <w:color w:val="auto"/>
        </w:rPr>
        <w:t>st</w:t>
      </w:r>
      <w:r>
        <w:rPr>
          <w:rFonts w:ascii="Arial" w:cs="Arial" w:eastAsia="Arial" w:hAnsi="Arial"/>
          <w:sz w:val="13"/>
          <w:szCs w:val="13"/>
          <w:color w:val="auto"/>
        </w:rPr>
        <w:t xml:space="preserve"> 2014.</w:t>
      </w:r>
    </w:p>
    <w:p>
      <w:pPr>
        <w:spacing w:after="0" w:line="10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change in the SERP pension benefit obligation and the funded status for the year ending December 31, 2014 and 2013 are as follows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80" w:type="dxa"/>
            <w:vAlign w:val="bottom"/>
          </w:tcPr>
          <w:p>
            <w:pPr>
              <w:jc w:val="right"/>
              <w:ind w:right="362"/>
              <w:spacing w:after="0"/>
              <w:rPr>
                <w:sz w:val="20"/>
                <w:szCs w:val="20"/>
                <w:color w:val="auto"/>
              </w:rPr>
            </w:pPr>
            <w:r>
              <w:rPr>
                <w:rFonts w:ascii="Arial" w:cs="Arial" w:eastAsia="Arial" w:hAnsi="Arial"/>
                <w:sz w:val="16"/>
                <w:szCs w:val="16"/>
                <w:b w:val="1"/>
                <w:bCs w:val="1"/>
                <w:color w:val="auto"/>
              </w:rPr>
              <w:t>For the year ending</w:t>
            </w:r>
          </w:p>
        </w:tc>
      </w:tr>
      <w:tr>
        <w:trPr>
          <w:trHeight w:val="228"/>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Change in Benefit Obligation</w:t>
            </w:r>
          </w:p>
        </w:tc>
        <w:tc>
          <w:tcPr>
            <w:tcW w:w="2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December 31, 2014</w:t>
            </w:r>
          </w:p>
        </w:tc>
      </w:tr>
      <w:tr>
        <w:trPr>
          <w:trHeight w:val="22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Benefit obligation at January 1, 2014</w:t>
            </w:r>
          </w:p>
        </w:tc>
        <w:tc>
          <w:tcPr>
            <w:tcW w:w="24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7,398</w:t>
            </w:r>
          </w:p>
        </w:tc>
      </w:tr>
      <w:tr>
        <w:trPr>
          <w:trHeight w:val="234"/>
        </w:trPr>
        <w:tc>
          <w:tcPr>
            <w:tcW w:w="4740" w:type="dxa"/>
            <w:vAlign w:val="bottom"/>
          </w:tcPr>
          <w:p>
            <w:pPr>
              <w:spacing w:after="0"/>
              <w:rPr>
                <w:sz w:val="20"/>
                <w:szCs w:val="20"/>
                <w:color w:val="auto"/>
              </w:rPr>
            </w:pPr>
            <w:r>
              <w:rPr>
                <w:rFonts w:ascii="Arial" w:cs="Arial" w:eastAsia="Arial" w:hAnsi="Arial"/>
                <w:sz w:val="16"/>
                <w:szCs w:val="16"/>
                <w:color w:val="auto"/>
              </w:rPr>
              <w:t>Interest cost</w:t>
            </w:r>
          </w:p>
        </w:tc>
        <w:tc>
          <w:tcPr>
            <w:tcW w:w="24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35"/>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Actuarial gain</w:t>
            </w:r>
          </w:p>
        </w:tc>
        <w:tc>
          <w:tcPr>
            <w:tcW w:w="246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Benefit obligation at December 31, 2014</w:t>
            </w:r>
          </w:p>
        </w:tc>
        <w:tc>
          <w:tcPr>
            <w:tcW w:w="2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7,595</w:t>
            </w:r>
          </w:p>
        </w:tc>
      </w:tr>
      <w:tr>
        <w:trPr>
          <w:trHeight w:val="207"/>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Funded status at December 31, 2014</w:t>
            </w:r>
          </w:p>
        </w:tc>
        <w:tc>
          <w:tcPr>
            <w:tcW w:w="24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(7,595)</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362"/>
              <w:spacing w:after="0"/>
              <w:rPr>
                <w:sz w:val="20"/>
                <w:szCs w:val="20"/>
                <w:color w:val="auto"/>
              </w:rPr>
            </w:pPr>
            <w:r>
              <w:rPr>
                <w:rFonts w:ascii="Arial" w:cs="Arial" w:eastAsia="Arial" w:hAnsi="Arial"/>
                <w:sz w:val="16"/>
                <w:szCs w:val="16"/>
                <w:b w:val="1"/>
                <w:bCs w:val="1"/>
                <w:color w:val="auto"/>
              </w:rPr>
              <w:t>For the year ending</w:t>
            </w:r>
          </w:p>
        </w:tc>
      </w:tr>
      <w:tr>
        <w:trPr>
          <w:trHeight w:val="227"/>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Change in Benefit Obligation</w:t>
            </w:r>
          </w:p>
        </w:tc>
        <w:tc>
          <w:tcPr>
            <w:tcW w:w="2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December 31, 2013</w:t>
            </w:r>
          </w:p>
        </w:tc>
      </w:tr>
      <w:tr>
        <w:trPr>
          <w:trHeight w:val="22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Benefit obligation at January 1, 2013</w:t>
            </w:r>
          </w:p>
        </w:tc>
        <w:tc>
          <w:tcPr>
            <w:tcW w:w="24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w:t>
            </w:r>
          </w:p>
        </w:tc>
      </w:tr>
      <w:tr>
        <w:trPr>
          <w:trHeight w:val="234"/>
        </w:trPr>
        <w:tc>
          <w:tcPr>
            <w:tcW w:w="4740" w:type="dxa"/>
            <w:vAlign w:val="bottom"/>
          </w:tcPr>
          <w:p>
            <w:pPr>
              <w:spacing w:after="0"/>
              <w:rPr>
                <w:sz w:val="20"/>
                <w:szCs w:val="20"/>
                <w:color w:val="auto"/>
              </w:rPr>
            </w:pPr>
            <w:r>
              <w:rPr>
                <w:rFonts w:ascii="Arial" w:cs="Arial" w:eastAsia="Arial" w:hAnsi="Arial"/>
                <w:sz w:val="16"/>
                <w:szCs w:val="16"/>
                <w:color w:val="auto"/>
              </w:rPr>
              <w:t>Interest cost</w:t>
            </w:r>
          </w:p>
        </w:tc>
        <w:tc>
          <w:tcPr>
            <w:tcW w:w="24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35"/>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Actuarial gain</w:t>
            </w:r>
          </w:p>
        </w:tc>
        <w:tc>
          <w:tcPr>
            <w:tcW w:w="246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w:t>
            </w:r>
          </w:p>
        </w:tc>
      </w:tr>
      <w:tr>
        <w:trPr>
          <w:trHeight w:val="215"/>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Benefit obligation at December 31, 2013</w:t>
            </w:r>
          </w:p>
        </w:tc>
        <w:tc>
          <w:tcPr>
            <w:tcW w:w="2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7,398</w:t>
            </w:r>
          </w:p>
        </w:tc>
      </w:tr>
      <w:tr>
        <w:trPr>
          <w:trHeight w:val="207"/>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Funded status at December 31, 2013</w:t>
            </w:r>
          </w:p>
        </w:tc>
        <w:tc>
          <w:tcPr>
            <w:tcW w:w="24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(7,398)</w:t>
            </w:r>
          </w:p>
        </w:tc>
      </w:tr>
    </w:tbl>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Amount recognized in balance sheet consists of (dollars in thousands):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8"/>
        </w:trPr>
        <w:tc>
          <w:tcPr>
            <w:tcW w:w="3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1"/>
              </w:rPr>
              <w:t>At December 31, 2014</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0"/>
              </w:rPr>
              <w:t>At December 31, 2013</w:t>
            </w:r>
          </w:p>
        </w:tc>
      </w:tr>
      <w:tr>
        <w:trPr>
          <w:trHeight w:val="210"/>
        </w:trPr>
        <w:tc>
          <w:tcPr>
            <w:tcW w:w="3380" w:type="dxa"/>
            <w:vAlign w:val="bottom"/>
          </w:tcPr>
          <w:p>
            <w:pPr>
              <w:spacing w:after="0"/>
              <w:rPr>
                <w:sz w:val="20"/>
                <w:szCs w:val="20"/>
                <w:color w:val="auto"/>
              </w:rPr>
            </w:pPr>
            <w:r>
              <w:rPr>
                <w:rFonts w:ascii="Arial" w:cs="Arial" w:eastAsia="Arial" w:hAnsi="Arial"/>
                <w:sz w:val="16"/>
                <w:szCs w:val="16"/>
                <w:color w:val="auto"/>
              </w:rPr>
              <w:t>Current liabilities</w:t>
            </w:r>
          </w:p>
        </w:tc>
        <w:tc>
          <w:tcPr>
            <w:tcW w:w="2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855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3"/>
        </w:trPr>
        <w:tc>
          <w:tcPr>
            <w:tcW w:w="3380" w:type="dxa"/>
            <w:vAlign w:val="bottom"/>
          </w:tcPr>
          <w:p>
            <w:pPr>
              <w:spacing w:after="0"/>
              <w:rPr>
                <w:sz w:val="20"/>
                <w:szCs w:val="20"/>
                <w:color w:val="auto"/>
              </w:rPr>
            </w:pPr>
            <w:r>
              <w:rPr>
                <w:rFonts w:ascii="Arial" w:cs="Arial" w:eastAsia="Arial" w:hAnsi="Arial"/>
                <w:sz w:val="16"/>
                <w:szCs w:val="16"/>
                <w:color w:val="auto"/>
              </w:rPr>
              <w:t>Noncurrent liabilities</w:t>
            </w:r>
          </w:p>
        </w:tc>
        <w:tc>
          <w:tcPr>
            <w:tcW w:w="2180" w:type="dxa"/>
            <w:vAlign w:val="bottom"/>
          </w:tcPr>
          <w:p>
            <w:pPr>
              <w:spacing w:after="0"/>
              <w:rPr>
                <w:sz w:val="19"/>
                <w:szCs w:val="19"/>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6,740</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7,383</w:t>
            </w:r>
          </w:p>
        </w:tc>
      </w:tr>
    </w:tbl>
    <w:p>
      <w:pPr>
        <w:spacing w:after="0" w:line="200" w:lineRule="exact"/>
        <w:rPr>
          <w:sz w:val="20"/>
          <w:szCs w:val="20"/>
          <w:color w:val="auto"/>
        </w:rPr>
      </w:pPr>
    </w:p>
    <w:p>
      <w:pPr>
        <w:spacing w:after="0" w:line="2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Items not yet recognized as a component of net periodic pension cost consist of (dollars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1"/>
              </w:rPr>
              <w:t>At December 31, 2014</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0"/>
              </w:rPr>
              <w:t>At December 31, 2013</w:t>
            </w: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Unamortized actuarial loss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3,055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w:t>
            </w:r>
          </w:p>
        </w:tc>
      </w:tr>
      <w:tr>
        <w:trPr>
          <w:trHeight w:val="22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Prior service costs</w:t>
            </w:r>
          </w:p>
        </w:tc>
        <w:tc>
          <w:tcPr>
            <w:tcW w:w="16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r>
      <w:tr>
        <w:trPr>
          <w:trHeight w:val="195"/>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62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3,055</w:t>
            </w:r>
          </w:p>
        </w:tc>
        <w:tc>
          <w:tcPr>
            <w:tcW w:w="2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r>
    </w:tbl>
    <w:p>
      <w:pPr>
        <w:spacing w:after="0" w:line="17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components of the net periodic benefit cost and other amounts recognized in other comprehensive income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202"/>
              <w:spacing w:after="0"/>
              <w:rPr>
                <w:sz w:val="20"/>
                <w:szCs w:val="20"/>
                <w:color w:val="auto"/>
              </w:rPr>
            </w:pPr>
            <w:r>
              <w:rPr>
                <w:rFonts w:ascii="Arial" w:cs="Arial" w:eastAsia="Arial" w:hAnsi="Arial"/>
                <w:sz w:val="16"/>
                <w:szCs w:val="16"/>
                <w:b w:val="1"/>
                <w:bCs w:val="1"/>
                <w:color w:val="auto"/>
                <w:w w:val="94"/>
              </w:rPr>
              <w:t>For the year ending</w:t>
            </w:r>
          </w:p>
        </w:tc>
        <w:tc>
          <w:tcPr>
            <w:tcW w:w="280" w:type="dxa"/>
            <w:vAlign w:val="bottom"/>
          </w:tcPr>
          <w:p>
            <w:pPr>
              <w:spacing w:after="0"/>
              <w:rPr>
                <w:sz w:val="16"/>
                <w:szCs w:val="16"/>
                <w:color w:val="auto"/>
              </w:rPr>
            </w:pPr>
          </w:p>
        </w:tc>
        <w:tc>
          <w:tcPr>
            <w:tcW w:w="1600" w:type="dxa"/>
            <w:vAlign w:val="bottom"/>
          </w:tcPr>
          <w:p>
            <w:pPr>
              <w:jc w:val="right"/>
              <w:ind w:right="102"/>
              <w:spacing w:after="0"/>
              <w:rPr>
                <w:sz w:val="20"/>
                <w:szCs w:val="20"/>
                <w:color w:val="auto"/>
              </w:rPr>
            </w:pPr>
            <w:r>
              <w:rPr>
                <w:rFonts w:ascii="Arial" w:cs="Arial" w:eastAsia="Arial" w:hAnsi="Arial"/>
                <w:sz w:val="16"/>
                <w:szCs w:val="16"/>
                <w:b w:val="1"/>
                <w:bCs w:val="1"/>
                <w:color w:val="auto"/>
                <w:w w:val="94"/>
              </w:rPr>
              <w:t>For the year ending</w:t>
            </w:r>
          </w:p>
        </w:tc>
      </w:tr>
      <w:tr>
        <w:trPr>
          <w:trHeight w:val="208"/>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periodic benefit cost</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4"/>
              </w:rPr>
              <w:t>December 31, 2014</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5"/>
              </w:rPr>
              <w:t>December 31, 2013</w:t>
            </w: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209</w:t>
            </w: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23"/>
        </w:trPr>
        <w:tc>
          <w:tcPr>
            <w:tcW w:w="5320" w:type="dxa"/>
            <w:vAlign w:val="bottom"/>
          </w:tcPr>
          <w:p>
            <w:pPr>
              <w:spacing w:after="0"/>
              <w:rPr>
                <w:sz w:val="20"/>
                <w:szCs w:val="20"/>
                <w:color w:val="auto"/>
              </w:rPr>
            </w:pPr>
            <w:r>
              <w:rPr>
                <w:rFonts w:ascii="Arial" w:cs="Arial" w:eastAsia="Arial" w:hAnsi="Arial"/>
                <w:sz w:val="16"/>
                <w:szCs w:val="16"/>
                <w:color w:val="auto"/>
              </w:rPr>
              <w:t>Amortization of prior service costs</w:t>
            </w:r>
          </w:p>
        </w:tc>
        <w:tc>
          <w:tcPr>
            <w:tcW w:w="280" w:type="dxa"/>
            <w:vAlign w:val="bottom"/>
          </w:tcPr>
          <w:p>
            <w:pPr>
              <w:spacing w:after="0"/>
              <w:rPr>
                <w:sz w:val="19"/>
                <w:szCs w:val="19"/>
                <w:color w:val="auto"/>
              </w:rPr>
            </w:pPr>
          </w:p>
        </w:tc>
        <w:tc>
          <w:tcPr>
            <w:tcW w:w="1700" w:type="dxa"/>
            <w:vAlign w:val="bottom"/>
          </w:tcPr>
          <w:p>
            <w:pPr>
              <w:jc w:val="right"/>
              <w:ind w:right="62"/>
              <w:spacing w:after="0"/>
              <w:rPr>
                <w:sz w:val="20"/>
                <w:szCs w:val="20"/>
                <w:color w:val="auto"/>
              </w:rPr>
            </w:pPr>
            <w:r>
              <w:rPr>
                <w:rFonts w:ascii="Arial" w:cs="Arial" w:eastAsia="Arial" w:hAnsi="Arial"/>
                <w:sz w:val="16"/>
                <w:szCs w:val="16"/>
                <w:color w:val="auto"/>
              </w:rPr>
              <w:t>254</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23"/>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Amortization of net gain</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426</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03"/>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periodic benefit cost</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889</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r>
      <w:tr>
        <w:trPr>
          <w:trHeight w:val="133"/>
        </w:trPr>
        <w:tc>
          <w:tcPr>
            <w:tcW w:w="5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406"/>
        </w:trPr>
        <w:tc>
          <w:tcPr>
            <w:tcW w:w="5320" w:type="dxa"/>
            <w:vAlign w:val="bottom"/>
          </w:tcPr>
          <w:p>
            <w:pPr>
              <w:spacing w:after="0"/>
              <w:rPr>
                <w:sz w:val="20"/>
                <w:szCs w:val="20"/>
                <w:color w:val="auto"/>
              </w:rPr>
            </w:pPr>
            <w:r>
              <w:rPr>
                <w:rFonts w:ascii="Arial" w:cs="Arial" w:eastAsia="Arial" w:hAnsi="Arial"/>
                <w:sz w:val="16"/>
                <w:szCs w:val="16"/>
                <w:b w:val="1"/>
                <w:bCs w:val="1"/>
                <w:color w:val="auto"/>
                <w:w w:val="95"/>
              </w:rPr>
              <w:t>Other changes in plan assets and benefit obligations recognized in other</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w:t>
            </w:r>
          </w:p>
        </w:tc>
        <w:tc>
          <w:tcPr>
            <w:tcW w:w="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23"/>
        </w:trPr>
        <w:tc>
          <w:tcPr>
            <w:tcW w:w="532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19"/>
                <w:szCs w:val="19"/>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(254)</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23"/>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Amortization of net loss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(426)</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195"/>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recognized in other comprehensive income</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(738)</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r>
      <w:tr>
        <w:trPr>
          <w:trHeight w:val="200"/>
        </w:trPr>
        <w:tc>
          <w:tcPr>
            <w:tcW w:w="5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520"/>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Total recognized in net periodic benefit cost and other comprehensive income</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151</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r>
    </w:tbl>
    <w:p>
      <w:pPr>
        <w:spacing w:after="0" w:line="152"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The estimated net loss and prior service cost, for the defined benefit pension plan that will be amortized from accumulated other comprehensive income into net periodic benefit cost over the next fiscal year will be $0 and $207,000, respectively.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792" w:right="1359" w:bottom="1440" w:gutter="0" w:footer="0" w:header="0"/>
        </w:sectPr>
      </w:pPr>
    </w:p>
    <w:bookmarkStart w:id="94" w:name="page95"/>
    <w:bookmarkEnd w:id="94"/>
    <w:p>
      <w:pPr>
        <w:ind w:left="560"/>
        <w:spacing w:after="0"/>
        <w:rPr>
          <w:sz w:val="20"/>
          <w:szCs w:val="20"/>
          <w:color w:val="auto"/>
        </w:rPr>
      </w:pPr>
      <w:r>
        <w:rPr>
          <w:rFonts w:ascii="Arial" w:cs="Arial" w:eastAsia="Arial" w:hAnsi="Arial"/>
          <w:sz w:val="13"/>
          <w:szCs w:val="13"/>
          <w:color w:val="auto"/>
        </w:rPr>
        <w:t>The following weighted average assumptions were used to determine the plan benefit obligations at December 31, 2014 and 2013:</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jc w:val="center"/>
              <w:ind w:left="1262"/>
              <w:spacing w:after="0"/>
              <w:rPr>
                <w:sz w:val="20"/>
                <w:szCs w:val="20"/>
                <w:color w:val="auto"/>
              </w:rPr>
            </w:pPr>
            <w:r>
              <w:rPr>
                <w:rFonts w:ascii="Arial" w:cs="Arial" w:eastAsia="Arial" w:hAnsi="Arial"/>
                <w:sz w:val="16"/>
                <w:szCs w:val="16"/>
                <w:b w:val="1"/>
                <w:bCs w:val="1"/>
                <w:color w:val="auto"/>
                <w:w w:val="89"/>
              </w:rPr>
              <w:t>2014</w:t>
            </w:r>
          </w:p>
        </w:tc>
        <w:tc>
          <w:tcPr>
            <w:tcW w:w="18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89"/>
              </w:rPr>
              <w:t>2013</w:t>
            </w:r>
          </w:p>
        </w:tc>
      </w:tr>
      <w:tr>
        <w:trPr>
          <w:trHeight w:val="210"/>
        </w:trPr>
        <w:tc>
          <w:tcPr>
            <w:tcW w:w="4040" w:type="dxa"/>
            <w:vAlign w:val="bottom"/>
          </w:tcPr>
          <w:p>
            <w:pPr>
              <w:spacing w:after="0"/>
              <w:rPr>
                <w:sz w:val="20"/>
                <w:szCs w:val="20"/>
                <w:color w:val="auto"/>
              </w:rPr>
            </w:pPr>
            <w:r>
              <w:rPr>
                <w:rFonts w:ascii="Arial" w:cs="Arial" w:eastAsia="Arial" w:hAnsi="Arial"/>
                <w:sz w:val="16"/>
                <w:szCs w:val="16"/>
                <w:color w:val="auto"/>
              </w:rPr>
              <w:t>Discount rate</w:t>
            </w:r>
          </w:p>
        </w:tc>
        <w:tc>
          <w:tcPr>
            <w:tcW w:w="3300" w:type="dxa"/>
            <w:vAlign w:val="bottom"/>
          </w:tcPr>
          <w:p>
            <w:pPr>
              <w:jc w:val="center"/>
              <w:ind w:left="1262"/>
              <w:spacing w:after="0"/>
              <w:rPr>
                <w:sz w:val="20"/>
                <w:szCs w:val="20"/>
                <w:color w:val="auto"/>
              </w:rPr>
            </w:pPr>
            <w:r>
              <w:rPr>
                <w:rFonts w:ascii="Arial" w:cs="Arial" w:eastAsia="Arial" w:hAnsi="Arial"/>
                <w:sz w:val="16"/>
                <w:szCs w:val="16"/>
                <w:color w:val="auto"/>
                <w:w w:val="88"/>
              </w:rPr>
              <w:t>4.25%</w:t>
            </w:r>
          </w:p>
        </w:tc>
        <w:tc>
          <w:tcPr>
            <w:tcW w:w="1840" w:type="dxa"/>
            <w:vAlign w:val="bottom"/>
          </w:tcPr>
          <w:p>
            <w:pPr>
              <w:jc w:val="center"/>
              <w:ind w:left="82"/>
              <w:spacing w:after="0"/>
              <w:rPr>
                <w:sz w:val="20"/>
                <w:szCs w:val="20"/>
                <w:color w:val="auto"/>
              </w:rPr>
            </w:pPr>
            <w:r>
              <w:rPr>
                <w:rFonts w:ascii="Arial" w:cs="Arial" w:eastAsia="Arial" w:hAnsi="Arial"/>
                <w:sz w:val="16"/>
                <w:szCs w:val="16"/>
                <w:color w:val="auto"/>
                <w:w w:val="88"/>
              </w:rPr>
              <w:t>4.25%</w:t>
            </w:r>
          </w:p>
        </w:tc>
      </w:tr>
      <w:tr>
        <w:trPr>
          <w:trHeight w:val="223"/>
        </w:trPr>
        <w:tc>
          <w:tcPr>
            <w:tcW w:w="4040" w:type="dxa"/>
            <w:vAlign w:val="bottom"/>
          </w:tcPr>
          <w:p>
            <w:pPr>
              <w:spacing w:after="0"/>
              <w:rPr>
                <w:sz w:val="20"/>
                <w:szCs w:val="20"/>
                <w:color w:val="auto"/>
              </w:rPr>
            </w:pPr>
            <w:r>
              <w:rPr>
                <w:rFonts w:ascii="Arial" w:cs="Arial" w:eastAsia="Arial" w:hAnsi="Arial"/>
                <w:sz w:val="16"/>
                <w:szCs w:val="16"/>
                <w:color w:val="auto"/>
              </w:rPr>
              <w:t>Rate of compensation increase</w:t>
            </w:r>
          </w:p>
        </w:tc>
        <w:tc>
          <w:tcPr>
            <w:tcW w:w="3300" w:type="dxa"/>
            <w:vAlign w:val="bottom"/>
          </w:tcPr>
          <w:p>
            <w:pPr>
              <w:jc w:val="center"/>
              <w:ind w:left="1262"/>
              <w:spacing w:after="0"/>
              <w:rPr>
                <w:sz w:val="20"/>
                <w:szCs w:val="20"/>
                <w:color w:val="auto"/>
              </w:rPr>
            </w:pPr>
            <w:r>
              <w:rPr>
                <w:rFonts w:ascii="Arial" w:cs="Arial" w:eastAsia="Arial" w:hAnsi="Arial"/>
                <w:sz w:val="16"/>
                <w:szCs w:val="16"/>
                <w:color w:val="auto"/>
                <w:w w:val="88"/>
              </w:rPr>
              <w:t>0.00%</w:t>
            </w:r>
          </w:p>
        </w:tc>
        <w:tc>
          <w:tcPr>
            <w:tcW w:w="1840" w:type="dxa"/>
            <w:vAlign w:val="bottom"/>
          </w:tcPr>
          <w:p>
            <w:pPr>
              <w:jc w:val="center"/>
              <w:ind w:left="82"/>
              <w:spacing w:after="0"/>
              <w:rPr>
                <w:sz w:val="20"/>
                <w:szCs w:val="20"/>
                <w:color w:val="auto"/>
              </w:rPr>
            </w:pPr>
            <w:r>
              <w:rPr>
                <w:rFonts w:ascii="Arial" w:cs="Arial" w:eastAsia="Arial" w:hAnsi="Arial"/>
                <w:sz w:val="16"/>
                <w:szCs w:val="16"/>
                <w:color w:val="auto"/>
                <w:w w:val="88"/>
              </w:rPr>
              <w:t>7.50%</w:t>
            </w:r>
          </w:p>
        </w:tc>
      </w:tr>
    </w:tbl>
    <w:p>
      <w:pPr>
        <w:spacing w:after="0" w:line="47"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following weighted-average assumptions were used to determine net periodic benefit cost for the year ended December 31, 2014 and 2013: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jc w:val="center"/>
              <w:ind w:left="942"/>
              <w:spacing w:after="0"/>
              <w:rPr>
                <w:sz w:val="20"/>
                <w:szCs w:val="20"/>
                <w:color w:val="auto"/>
              </w:rPr>
            </w:pPr>
            <w:r>
              <w:rPr>
                <w:rFonts w:ascii="Arial" w:cs="Arial" w:eastAsia="Arial" w:hAnsi="Arial"/>
                <w:sz w:val="16"/>
                <w:szCs w:val="16"/>
                <w:b w:val="1"/>
                <w:bCs w:val="1"/>
                <w:color w:val="auto"/>
                <w:w w:val="89"/>
              </w:rPr>
              <w:t>2014</w:t>
            </w:r>
          </w:p>
        </w:tc>
        <w:tc>
          <w:tcPr>
            <w:tcW w:w="18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89"/>
              </w:rPr>
              <w:t>2013</w:t>
            </w: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Discount rate</w:t>
            </w:r>
          </w:p>
        </w:tc>
        <w:tc>
          <w:tcPr>
            <w:tcW w:w="2980" w:type="dxa"/>
            <w:vAlign w:val="bottom"/>
            <w:shd w:val="clear" w:color="auto" w:fill="CCEEFF"/>
          </w:tcPr>
          <w:p>
            <w:pPr>
              <w:jc w:val="center"/>
              <w:ind w:left="942"/>
              <w:spacing w:after="0"/>
              <w:rPr>
                <w:sz w:val="20"/>
                <w:szCs w:val="20"/>
                <w:color w:val="auto"/>
              </w:rPr>
            </w:pPr>
            <w:r>
              <w:rPr>
                <w:rFonts w:ascii="Arial" w:cs="Arial" w:eastAsia="Arial" w:hAnsi="Arial"/>
                <w:sz w:val="16"/>
                <w:szCs w:val="16"/>
                <w:color w:val="auto"/>
                <w:w w:val="88"/>
              </w:rPr>
              <w:t>4.25%</w:t>
            </w:r>
          </w:p>
        </w:tc>
        <w:tc>
          <w:tcPr>
            <w:tcW w:w="1840" w:type="dxa"/>
            <w:vAlign w:val="bottom"/>
            <w:shd w:val="clear" w:color="auto" w:fill="CCEEFF"/>
          </w:tcPr>
          <w:p>
            <w:pPr>
              <w:jc w:val="center"/>
              <w:ind w:left="82"/>
              <w:spacing w:after="0"/>
              <w:rPr>
                <w:sz w:val="20"/>
                <w:szCs w:val="20"/>
                <w:color w:val="auto"/>
              </w:rPr>
            </w:pPr>
            <w:r>
              <w:rPr>
                <w:rFonts w:ascii="Arial" w:cs="Arial" w:eastAsia="Arial" w:hAnsi="Arial"/>
                <w:sz w:val="16"/>
                <w:szCs w:val="16"/>
                <w:color w:val="auto"/>
                <w:w w:val="88"/>
              </w:rPr>
              <w:t>3.40%</w:t>
            </w:r>
          </w:p>
        </w:tc>
      </w:tr>
      <w:tr>
        <w:trPr>
          <w:trHeight w:val="223"/>
        </w:trPr>
        <w:tc>
          <w:tcPr>
            <w:tcW w:w="4360" w:type="dxa"/>
            <w:vAlign w:val="bottom"/>
          </w:tcPr>
          <w:p>
            <w:pPr>
              <w:spacing w:after="0"/>
              <w:rPr>
                <w:sz w:val="20"/>
                <w:szCs w:val="20"/>
                <w:color w:val="auto"/>
              </w:rPr>
            </w:pPr>
            <w:r>
              <w:rPr>
                <w:rFonts w:ascii="Arial" w:cs="Arial" w:eastAsia="Arial" w:hAnsi="Arial"/>
                <w:sz w:val="16"/>
                <w:szCs w:val="16"/>
                <w:color w:val="auto"/>
              </w:rPr>
              <w:t>Expected long-term return on plan assets</w:t>
            </w:r>
          </w:p>
        </w:tc>
        <w:tc>
          <w:tcPr>
            <w:tcW w:w="2980" w:type="dxa"/>
            <w:vAlign w:val="bottom"/>
          </w:tcPr>
          <w:p>
            <w:pPr>
              <w:jc w:val="center"/>
              <w:ind w:left="942"/>
              <w:spacing w:after="0"/>
              <w:rPr>
                <w:sz w:val="20"/>
                <w:szCs w:val="20"/>
                <w:color w:val="auto"/>
              </w:rPr>
            </w:pPr>
            <w:r>
              <w:rPr>
                <w:rFonts w:ascii="Arial" w:cs="Arial" w:eastAsia="Arial" w:hAnsi="Arial"/>
                <w:sz w:val="16"/>
                <w:szCs w:val="16"/>
                <w:color w:val="auto"/>
                <w:w w:val="88"/>
              </w:rPr>
              <w:t>0.00%</w:t>
            </w:r>
          </w:p>
        </w:tc>
        <w:tc>
          <w:tcPr>
            <w:tcW w:w="1840" w:type="dxa"/>
            <w:vAlign w:val="bottom"/>
          </w:tcPr>
          <w:p>
            <w:pPr>
              <w:jc w:val="center"/>
              <w:ind w:left="82"/>
              <w:spacing w:after="0"/>
              <w:rPr>
                <w:sz w:val="20"/>
                <w:szCs w:val="20"/>
                <w:color w:val="auto"/>
              </w:rPr>
            </w:pPr>
            <w:r>
              <w:rPr>
                <w:rFonts w:ascii="Arial" w:cs="Arial" w:eastAsia="Arial" w:hAnsi="Arial"/>
                <w:sz w:val="16"/>
                <w:szCs w:val="16"/>
                <w:color w:val="auto"/>
                <w:w w:val="88"/>
              </w:rPr>
              <w:t>0.00%</w:t>
            </w:r>
          </w:p>
        </w:tc>
      </w:tr>
      <w:tr>
        <w:trPr>
          <w:trHeight w:val="224"/>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Rate of compensation increase</w:t>
            </w:r>
          </w:p>
        </w:tc>
        <w:tc>
          <w:tcPr>
            <w:tcW w:w="2980" w:type="dxa"/>
            <w:vAlign w:val="bottom"/>
            <w:shd w:val="clear" w:color="auto" w:fill="CCEEFF"/>
          </w:tcPr>
          <w:p>
            <w:pPr>
              <w:jc w:val="center"/>
              <w:ind w:left="942"/>
              <w:spacing w:after="0"/>
              <w:rPr>
                <w:sz w:val="20"/>
                <w:szCs w:val="20"/>
                <w:color w:val="auto"/>
              </w:rPr>
            </w:pPr>
            <w:r>
              <w:rPr>
                <w:rFonts w:ascii="Arial" w:cs="Arial" w:eastAsia="Arial" w:hAnsi="Arial"/>
                <w:sz w:val="16"/>
                <w:szCs w:val="16"/>
                <w:color w:val="auto"/>
                <w:w w:val="88"/>
              </w:rPr>
              <w:t>0.00%</w:t>
            </w:r>
          </w:p>
        </w:tc>
        <w:tc>
          <w:tcPr>
            <w:tcW w:w="1840" w:type="dxa"/>
            <w:vAlign w:val="bottom"/>
            <w:shd w:val="clear" w:color="auto" w:fill="CCEEFF"/>
          </w:tcPr>
          <w:p>
            <w:pPr>
              <w:jc w:val="center"/>
              <w:ind w:left="82"/>
              <w:spacing w:after="0"/>
              <w:rPr>
                <w:sz w:val="20"/>
                <w:szCs w:val="20"/>
                <w:color w:val="auto"/>
              </w:rPr>
            </w:pPr>
            <w:r>
              <w:rPr>
                <w:rFonts w:ascii="Arial" w:cs="Arial" w:eastAsia="Arial" w:hAnsi="Arial"/>
                <w:sz w:val="16"/>
                <w:szCs w:val="16"/>
                <w:color w:val="auto"/>
                <w:w w:val="88"/>
              </w:rPr>
              <w:t>3.50%</w:t>
            </w: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benefit payments for all of our pensions, which reflect expected future service, as appropriate, are expected to be paid over the following periods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Pension Payments</w:t>
            </w:r>
          </w:p>
        </w:tc>
      </w:tr>
      <w:tr>
        <w:trPr>
          <w:trHeight w:val="211"/>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3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223"/>
        </w:trPr>
        <w:tc>
          <w:tcPr>
            <w:tcW w:w="4460" w:type="dxa"/>
            <w:vAlign w:val="bottom"/>
          </w:tcPr>
          <w:p>
            <w:pPr>
              <w:spacing w:after="0"/>
              <w:rPr>
                <w:sz w:val="20"/>
                <w:szCs w:val="20"/>
                <w:color w:val="auto"/>
              </w:rPr>
            </w:pPr>
            <w:r>
              <w:rPr>
                <w:rFonts w:ascii="Arial" w:cs="Arial" w:eastAsia="Arial" w:hAnsi="Arial"/>
                <w:sz w:val="16"/>
                <w:szCs w:val="16"/>
                <w:color w:val="auto"/>
              </w:rPr>
              <w:t>2016</w:t>
            </w:r>
          </w:p>
        </w:tc>
        <w:tc>
          <w:tcPr>
            <w:tcW w:w="3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24"/>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3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r>
      <w:tr>
        <w:trPr>
          <w:trHeight w:val="223"/>
        </w:trPr>
        <w:tc>
          <w:tcPr>
            <w:tcW w:w="4460" w:type="dxa"/>
            <w:vAlign w:val="bottom"/>
          </w:tcPr>
          <w:p>
            <w:pPr>
              <w:spacing w:after="0"/>
              <w:rPr>
                <w:sz w:val="20"/>
                <w:szCs w:val="20"/>
                <w:color w:val="auto"/>
              </w:rPr>
            </w:pPr>
            <w:r>
              <w:rPr>
                <w:rFonts w:ascii="Arial" w:cs="Arial" w:eastAsia="Arial" w:hAnsi="Arial"/>
                <w:sz w:val="16"/>
                <w:szCs w:val="16"/>
                <w:color w:val="auto"/>
              </w:rPr>
              <w:t>2018</w:t>
            </w:r>
          </w:p>
        </w:tc>
        <w:tc>
          <w:tcPr>
            <w:tcW w:w="3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24"/>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3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r>
      <w:tr>
        <w:trPr>
          <w:trHeight w:val="223"/>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3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r>
      <w:tr>
        <w:trPr>
          <w:trHeight w:val="195"/>
        </w:trPr>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pension payments</w:t>
            </w:r>
          </w:p>
        </w:tc>
        <w:tc>
          <w:tcPr>
            <w:tcW w:w="3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7,595</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19 - Commitments and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Unconsolidated Joint Venture Loans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following section describes any loans associated with our investments in unconsolidated joint ventures. As these investments are unconsolidated, any associated bank loans are not reflected in our Consolidated Balance Sheet at December 31, 2014. Each loan is without recourse to any assets other than our interests in the individual joint venture.</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Rialto Distribution. </w:t>
      </w:r>
      <w:r>
        <w:rPr>
          <w:rFonts w:ascii="Arial" w:cs="Arial" w:eastAsia="Arial" w:hAnsi="Arial"/>
          <w:sz w:val="16"/>
          <w:szCs w:val="16"/>
          <w:color w:val="auto"/>
        </w:rPr>
        <w:t>We are the 33.3% co-owners of the assets of Rialto Distribution. At December 31, 2014 and 2013, Rialto Distribution had a</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of $1.6 million (NZ$2.0 million) and $1.6 million (NZ$2.0 million), respectively, and had an outstanding balance of $592,000 (NZ$760,000) and $634,000 (NZ$770,000), respectively. This loan is guaranteed by one of our subsidiaries to the extent of our ownership percentage.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Audit/Litigation</w:t>
      </w:r>
    </w:p>
    <w:p>
      <w:pPr>
        <w:spacing w:after="0" w:line="16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Internal Revenue Service (the “IRS”) has examined the tax return of Reading Entertainment Inc. (“RDGE”) for its tax years ended December 31, 1996 through December 31, 1999 and the tax return of Craig Corporation (“CRG”), a Nevada Corporation with no operating assets, for its tax year ended June 30, 1997. These companies are both now wholly owned subsidiaries of the Company, but for the time periods under audit, were not consolidated with the Company for tax purposes.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95" w:name="page96"/>
    <w:bookmarkEnd w:id="95"/>
    <w:p>
      <w:pPr>
        <w:jc w:val="both"/>
        <w:ind w:firstLine="564"/>
        <w:spacing w:after="0" w:line="310" w:lineRule="auto"/>
        <w:rPr>
          <w:sz w:val="20"/>
          <w:szCs w:val="20"/>
          <w:color w:val="auto"/>
        </w:rPr>
      </w:pPr>
      <w:r>
        <w:rPr>
          <w:rFonts w:ascii="Arial" w:cs="Arial" w:eastAsia="Arial" w:hAnsi="Arial"/>
          <w:sz w:val="13"/>
          <w:szCs w:val="13"/>
          <w:color w:val="auto"/>
        </w:rPr>
        <w:t>CRG and the IRS agreed to compromise the claims made by the IRS against CRG and the Tax Court’s order was entered on January 6, 2011. In the settlement, the IRS conceded 70% of its claimed adjustment to income. Instead of a claim for unpaid taxes of $20.9 million plus interest, the effect of settlement on the Reading consolidated group was to require a total federal income tax obligation of $5.4 million, reduced by a federal tax refund of $800,000 and increased by interest of $9.3 million, for a net federal tax liability of $13.9 million as of January 6, 2011. On October 26, 2011, CRG reached an agreement with the IRS for an installment plan to pay off this federal tax liability, including additional interest accruals at the prescribed IRS floating rate. The agreement requires monthly payments of $290,000 over a period of approximately five years. As of December 31, 2014 and 2013, after the payments made during 2014 and 2013, respectively, the remaining federal tax obligation was $5.3 million and $8.3 million, respectively, in tax and interest. Of the $5.3 million owed to the IRS as of December 31, 2014, $3.5 million was recorded as current taxes payable, with the remaining balance being recorded as non-current tax liability. Of the $8.3 million owed to the IRS as of December 31, 2013, $3.5 million was recorded as current taxes payable, with the remaining balance being recorded as non-current tax liability.</w:t>
      </w:r>
    </w:p>
    <w:p>
      <w:pPr>
        <w:spacing w:after="0" w:line="113"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impact of the settlement upon the state taxes of the Reading consolidated group, if the adjustment to income agreed with the IRS were reflected on state returns, would be an obligation of approximately $1.4 million in tax plus interest. As of December 31, 2014, no deficiency has been asserted by the State of California, and we have made no final decision as to the course of action to be followed if a deficiency is asserted.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Environmental and Asbestos Claims</w:t>
      </w:r>
    </w:p>
    <w:p>
      <w:pPr>
        <w:spacing w:after="0" w:line="15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0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auto"/>
        </w:rPr>
        <w:t>Note 20 – Noncontrolling interests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2014, the noncontrolling interests in our consolidated subsidiaries are comprised of the following:</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·25% noncontrolling interest in Australian Country Cinemas by Panorama Group International Pty, Ltd;</w:t>
      </w:r>
    </w:p>
    <w:p>
      <w:pPr>
        <w:spacing w:after="0" w:line="16" w:lineRule="exact"/>
        <w:rPr>
          <w:sz w:val="20"/>
          <w:szCs w:val="20"/>
          <w:color w:val="auto"/>
        </w:rPr>
      </w:pPr>
    </w:p>
    <w:p>
      <w:pPr>
        <w:ind w:left="280" w:right="1600"/>
        <w:spacing w:after="0" w:line="282" w:lineRule="auto"/>
        <w:rPr>
          <w:sz w:val="20"/>
          <w:szCs w:val="20"/>
          <w:color w:val="auto"/>
        </w:rPr>
      </w:pPr>
      <w:r>
        <w:rPr>
          <w:rFonts w:ascii="Arial" w:cs="Arial" w:eastAsia="Arial" w:hAnsi="Arial"/>
          <w:sz w:val="15"/>
          <w:szCs w:val="15"/>
          <w:color w:val="auto"/>
        </w:rPr>
        <w:t>·50% noncontrolling membership interest in Shadow View Land and Farming, LLC owned by the Cotter Estate; and ·25% noncontrolling interest in the Sutton Hill Properties, LLC owned by Sutton Hill Capital, LLC.</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noncontrolling interest are as follows (dollars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254"/>
        </w:trPr>
        <w:tc>
          <w:tcPr>
            <w:tcW w:w="45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2013</w:t>
            </w:r>
          </w:p>
        </w:tc>
      </w:tr>
      <w:tr>
        <w:trPr>
          <w:trHeight w:val="270"/>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AFC LLC</w:t>
            </w:r>
          </w:p>
        </w:tc>
        <w:tc>
          <w:tcPr>
            <w:tcW w:w="234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1"/>
        </w:trPr>
        <w:tc>
          <w:tcPr>
            <w:tcW w:w="4560" w:type="dxa"/>
            <w:vAlign w:val="bottom"/>
          </w:tcPr>
          <w:p>
            <w:pPr>
              <w:spacing w:after="0"/>
              <w:rPr>
                <w:sz w:val="20"/>
                <w:szCs w:val="20"/>
                <w:color w:val="auto"/>
              </w:rPr>
            </w:pPr>
            <w:r>
              <w:rPr>
                <w:rFonts w:ascii="Arial" w:cs="Arial" w:eastAsia="Arial" w:hAnsi="Arial"/>
                <w:sz w:val="16"/>
                <w:szCs w:val="16"/>
                <w:color w:val="auto"/>
              </w:rPr>
              <w:t>Australian Country Cinemas</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410</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82"/>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Shadow View Land and Farming, LLC</w:t>
            </w:r>
          </w:p>
        </w:tc>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2,000</w:t>
            </w:r>
          </w:p>
        </w:tc>
        <w:tc>
          <w:tcPr>
            <w:tcW w:w="6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w:t>
            </w:r>
          </w:p>
        </w:tc>
      </w:tr>
      <w:tr>
        <w:trPr>
          <w:trHeight w:val="281"/>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Sutton Hill Properties</w:t>
            </w: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2,202</w:t>
            </w: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r>
      <w:tr>
        <w:trPr>
          <w:trHeight w:val="254"/>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Noncontrolling interests in consolidated subsidiaries</w:t>
            </w:r>
          </w:p>
        </w:tc>
        <w:tc>
          <w:tcPr>
            <w:tcW w:w="2340" w:type="dxa"/>
            <w:vAlign w:val="bottom"/>
            <w:tcBorders>
              <w:bottom w:val="single" w:sz="8" w:color="auto"/>
            </w:tcBorders>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4,612</w:t>
            </w:r>
          </w:p>
        </w:tc>
        <w:tc>
          <w:tcPr>
            <w:tcW w:w="68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4,607</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components of income attributable to noncontrolling interests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4763"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3" cy="762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60" w:type="dxa"/>
            <w:vAlign w:val="bottom"/>
            <w:gridSpan w:val="4"/>
          </w:tcPr>
          <w:p>
            <w:pPr>
              <w:jc w:val="right"/>
              <w:ind w:right="102"/>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7"/>
                <w:szCs w:val="17"/>
                <w:color w:val="auto"/>
              </w:rPr>
            </w:pPr>
          </w:p>
        </w:tc>
      </w:tr>
      <w:tr>
        <w:trPr>
          <w:trHeight w:val="275"/>
        </w:trPr>
        <w:tc>
          <w:tcPr>
            <w:tcW w:w="43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235"/>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AFC LLC</w:t>
            </w:r>
          </w:p>
        </w:tc>
        <w:tc>
          <w:tcPr>
            <w:tcW w:w="168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173</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46"/>
        </w:trPr>
        <w:tc>
          <w:tcPr>
            <w:tcW w:w="4360" w:type="dxa"/>
            <w:vAlign w:val="bottom"/>
          </w:tcPr>
          <w:p>
            <w:pPr>
              <w:spacing w:after="0"/>
              <w:rPr>
                <w:sz w:val="20"/>
                <w:szCs w:val="20"/>
                <w:color w:val="auto"/>
              </w:rPr>
            </w:pPr>
            <w:r>
              <w:rPr>
                <w:rFonts w:ascii="Arial" w:cs="Arial" w:eastAsia="Arial" w:hAnsi="Arial"/>
                <w:sz w:val="16"/>
                <w:szCs w:val="16"/>
                <w:color w:val="auto"/>
              </w:rPr>
              <w:t>Australian Country Cinemas</w:t>
            </w:r>
          </w:p>
        </w:tc>
        <w:tc>
          <w:tcPr>
            <w:tcW w:w="1680" w:type="dxa"/>
            <w:vAlign w:val="bottom"/>
          </w:tcPr>
          <w:p>
            <w:pPr>
              <w:spacing w:after="0"/>
              <w:rPr>
                <w:sz w:val="21"/>
                <w:szCs w:val="21"/>
                <w:color w:val="auto"/>
              </w:rPr>
            </w:pPr>
          </w:p>
        </w:tc>
        <w:tc>
          <w:tcPr>
            <w:tcW w:w="480" w:type="dxa"/>
            <w:vAlign w:val="bottom"/>
          </w:tcPr>
          <w:p>
            <w:pPr>
              <w:jc w:val="right"/>
              <w:ind w:right="62"/>
              <w:spacing w:after="0"/>
              <w:rPr>
                <w:sz w:val="20"/>
                <w:szCs w:val="20"/>
                <w:color w:val="auto"/>
              </w:rPr>
            </w:pPr>
            <w:r>
              <w:rPr>
                <w:rFonts w:ascii="Arial" w:cs="Arial" w:eastAsia="Arial" w:hAnsi="Arial"/>
                <w:sz w:val="16"/>
                <w:szCs w:val="16"/>
                <w:color w:val="auto"/>
              </w:rPr>
              <w:t>143</w:t>
            </w:r>
          </w:p>
        </w:tc>
        <w:tc>
          <w:tcPr>
            <w:tcW w:w="38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129</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47"/>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Shadow View Land and Farming, LLC</w:t>
            </w:r>
          </w:p>
        </w:tc>
        <w:tc>
          <w:tcPr>
            <w:tcW w:w="16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(64)</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246"/>
        </w:trPr>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Sutton Hill Properties</w:t>
            </w:r>
          </w:p>
        </w:tc>
        <w:tc>
          <w:tcPr>
            <w:tcW w:w="16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6"/>
              </w:rPr>
              <w:t>(136)</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(148)</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r>
      <w:tr>
        <w:trPr>
          <w:trHeight w:val="219"/>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 interest</w:t>
            </w:r>
          </w:p>
        </w:tc>
        <w:tc>
          <w:tcPr>
            <w:tcW w:w="168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(57)</w:t>
            </w:r>
          </w:p>
        </w:tc>
        <w:tc>
          <w:tcPr>
            <w:tcW w:w="3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104</w:t>
            </w:r>
          </w:p>
        </w:tc>
        <w:tc>
          <w:tcPr>
            <w:tcW w:w="4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AFC LLC Acquisition of Noncontrolling Interest</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June 28, 2013, we acquired the interest in AFC LLC that we did not already own in consideration of the release of certain claims we held against the owner of that interest under a guaranty agreement. The removal of the AFC LLC noncontrolling interest balance of $101,000 was reflected as a change in our additional paid in capital pursuant to FASB ASC 810-10-45.</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Sutton Hill Properties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On June 18, 2013, our co-investor, having a 25% interest in our Sutton Hill Properties subsidiary, contributed $2.25 million toward the payoff of our SHC Note 2 for $9.0 million resulting in a $2.25 million contribution of capital to Sutton Hill Properties (See Note 12 –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Payable</w:t>
      </w:r>
      <w:r>
        <w:rPr>
          <w:rFonts w:ascii="Arial" w:cs="Arial" w:eastAsia="Arial" w:hAnsi="Arial"/>
          <w:sz w:val="16"/>
          <w:szCs w:val="16"/>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Shadow View Land and Farming, LLC</w:t>
      </w:r>
    </w:p>
    <w:p>
      <w:pPr>
        <w:spacing w:after="0" w:line="168"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During the 2012, Mr. James J. Cotter Sr., our then Chairman, Chief Executive Officer and controlling shareholder, contributed $2.5 million of cash and $255,000 of his 2011 bonus as his 50% share of the purchase price of a land parcel in Coachella, California and to cover his 50% share of certain costs associated with that acquisition. This land is held in Shadow View Land and Farming, LLC, in which the Cotter Estate now owns a 50% interest. We are the managing member of Shadow View Land and Farming, LLC. However, as Mr. James J. Cotter, Sr. was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87" w:right="1359" w:bottom="1440" w:gutter="0" w:footer="0" w:header="0"/>
        </w:sectPr>
      </w:pPr>
    </w:p>
    <w:bookmarkStart w:id="97" w:name="page98"/>
    <w:bookmarkEnd w:id="97"/>
    <w:p>
      <w:pPr>
        <w:jc w:val="both"/>
        <w:spacing w:after="0" w:line="255" w:lineRule="auto"/>
        <w:rPr>
          <w:sz w:val="20"/>
          <w:szCs w:val="20"/>
          <w:color w:val="auto"/>
        </w:rPr>
      </w:pPr>
      <w:r>
        <w:rPr>
          <w:rFonts w:ascii="Arial" w:cs="Arial" w:eastAsia="Arial" w:hAnsi="Arial"/>
          <w:sz w:val="16"/>
          <w:szCs w:val="16"/>
          <w:color w:val="auto"/>
        </w:rPr>
        <w:t xml:space="preserve">at that time considered to be our then controlling shareholder, pursuant to FASB ASC 810-10-05, we have consolidated the Cotter Estate’s interest in the property and its expenses with that of our interest and shown his interest as a noncontrolling interest. Note 8 – </w:t>
      </w:r>
      <w:r>
        <w:rPr>
          <w:rFonts w:ascii="Arial" w:cs="Arial" w:eastAsia="Arial" w:hAnsi="Arial"/>
          <w:sz w:val="16"/>
          <w:szCs w:val="16"/>
          <w:i w:val="1"/>
          <w:iCs w:val="1"/>
          <w:color w:val="auto"/>
        </w:rPr>
        <w:t>Acquisitions, Disposals, and</w:t>
      </w:r>
      <w:r>
        <w:rPr>
          <w:rFonts w:ascii="Arial" w:cs="Arial" w:eastAsia="Arial" w:hAnsi="Arial"/>
          <w:sz w:val="16"/>
          <w:szCs w:val="16"/>
          <w:color w:val="auto"/>
        </w:rPr>
        <w:t xml:space="preserve"> </w:t>
      </w:r>
      <w:r>
        <w:rPr>
          <w:rFonts w:ascii="Arial" w:cs="Arial" w:eastAsia="Arial" w:hAnsi="Arial"/>
          <w:sz w:val="16"/>
          <w:szCs w:val="16"/>
          <w:i w:val="1"/>
          <w:iCs w:val="1"/>
          <w:color w:val="auto"/>
        </w:rPr>
        <w:t>Assets Held for Sale</w:t>
      </w:r>
      <w:r>
        <w:rPr>
          <w:rFonts w:ascii="Arial" w:cs="Arial" w:eastAsia="Arial" w:hAnsi="Arial"/>
          <w:sz w:val="16"/>
          <w:szCs w:val="16"/>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21 – Total Reading International, Inc. Stockholders’ Equity</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Our common stock trades on the NASDAQ under the symbols RDI and RDIB which are our Class A (non-voting) and Class B (voting) stock, respectively. Our Class A (non-voting) has preference over our Class B (voting) shares upon liquidation. No dividends have ever been issued for either share class.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2014 Common Stock Activity</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2014, we issued 125,209 of Class A Stock to an executive employee associated with his prior years’ stock grants.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2014, we purchased 432,252 of Class A Stock on the open market for $4,069,756.</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During 2014, 157,600 options were exercised having an intrinsic value of $374,022; for which we received $978,000 of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2013 Common Stock Activity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2013, we issued 217,890 of Class A Stock to an executive employee associated with his prior years’ stock grant.</w:t>
      </w:r>
    </w:p>
    <w:p>
      <w:pPr>
        <w:spacing w:after="0" w:line="15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62,500 options were exercised during 2013 having an intrinsic value of $133,000 for which we received $248,000 of cash. Additionally, 75,000 options were exercised during 2013 having a realized value of $124,000 for which we did not receive any cash but the employee elected to exchange for 53,136 personally owned shares of the company at a market price of $5.66 per share for the 75,000 shares based on an exercise price of $4.01 for the related options.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2012 Common Stock Activity</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During 2012, we issued 155,925 of Class A Stock to certain executive employee associated with his prior years’ stock grant, and during 2012, we issued 9,680 as a one-time stock grant of Class A Stock to our employees valued at $44,000 which we accounted for as compensation expense.</w:t>
      </w:r>
    </w:p>
    <w:p>
      <w:pPr>
        <w:spacing w:after="0" w:line="130"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95,000 options were exercised during 2012 having an intrinsic value of $321,200 for which we received $308,000 of cash. Additionally, 41,000 options were exercised during 2012 having a realized value of $103,000 for which we did not receive any cash but the employee elected to receive the net incremental number of in-the-money shares of 15,822 based on an option price of $4.01 a market price of $6.53 per share.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98" w:name="page99"/>
    <w:bookmarkEnd w:id="98"/>
    <w:p>
      <w:pPr>
        <w:spacing w:after="0"/>
        <w:rPr>
          <w:sz w:val="20"/>
          <w:szCs w:val="20"/>
          <w:color w:val="auto"/>
        </w:rPr>
      </w:pPr>
      <w:r>
        <w:rPr>
          <w:rFonts w:ascii="Arial" w:cs="Arial" w:eastAsia="Arial" w:hAnsi="Arial"/>
          <w:sz w:val="16"/>
          <w:szCs w:val="16"/>
          <w:i w:val="1"/>
          <w:iCs w:val="1"/>
          <w:color w:val="auto"/>
        </w:rPr>
        <w:t>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92"/>
              </w:rPr>
              <w:t>Unrealized Gain</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left="30"/>
              <w:spacing w:after="0"/>
              <w:rPr>
                <w:sz w:val="20"/>
                <w:szCs w:val="20"/>
                <w:color w:val="auto"/>
              </w:rPr>
            </w:pPr>
            <w:r>
              <w:rPr>
                <w:rFonts w:ascii="Arial" w:cs="Arial" w:eastAsia="Arial" w:hAnsi="Arial"/>
                <w:sz w:val="14"/>
                <w:szCs w:val="14"/>
                <w:b w:val="1"/>
                <w:bCs w:val="1"/>
                <w:color w:val="auto"/>
                <w:w w:val="85"/>
              </w:rPr>
              <w:t>and Losses on</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5"/>
                <w:szCs w:val="15"/>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91"/>
              </w:rPr>
              <w:t>Available-for-</w:t>
            </w:r>
          </w:p>
        </w:tc>
        <w:tc>
          <w:tcPr>
            <w:tcW w:w="160" w:type="dxa"/>
            <w:vAlign w:val="bottom"/>
          </w:tcPr>
          <w:p>
            <w:pPr>
              <w:spacing w:after="0"/>
              <w:rPr>
                <w:sz w:val="15"/>
                <w:szCs w:val="15"/>
                <w:color w:val="auto"/>
              </w:rPr>
            </w:pPr>
          </w:p>
        </w:tc>
        <w:tc>
          <w:tcPr>
            <w:tcW w:w="1400" w:type="dxa"/>
            <w:vAlign w:val="bottom"/>
          </w:tcPr>
          <w:p>
            <w:pPr>
              <w:jc w:val="center"/>
              <w:ind w:right="150"/>
              <w:spacing w:after="0"/>
              <w:rPr>
                <w:sz w:val="20"/>
                <w:szCs w:val="20"/>
                <w:color w:val="auto"/>
              </w:rPr>
            </w:pPr>
            <w:r>
              <w:rPr>
                <w:rFonts w:ascii="Arial" w:cs="Arial" w:eastAsia="Arial" w:hAnsi="Arial"/>
                <w:sz w:val="14"/>
                <w:szCs w:val="14"/>
                <w:b w:val="1"/>
                <w:bCs w:val="1"/>
                <w:color w:val="auto"/>
                <w:w w:val="89"/>
              </w:rPr>
              <w:t>Accrued Pension</w:t>
            </w:r>
          </w:p>
        </w:tc>
        <w:tc>
          <w:tcPr>
            <w:tcW w:w="820" w:type="dxa"/>
            <w:vAlign w:val="bottom"/>
          </w:tcPr>
          <w:p>
            <w:pPr>
              <w:spacing w:after="0"/>
              <w:rPr>
                <w:sz w:val="15"/>
                <w:szCs w:val="15"/>
                <w:color w:val="auto"/>
              </w:rPr>
            </w:pPr>
          </w:p>
        </w:tc>
      </w:tr>
      <w:tr>
        <w:trPr>
          <w:trHeight w:val="192"/>
        </w:trPr>
        <w:tc>
          <w:tcPr>
            <w:tcW w:w="3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Currency Items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9"/>
              </w:rPr>
              <w:t>Sale Investments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86"/>
              </w:rPr>
              <w:t>Service Costs</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590"/>
              <w:spacing w:after="0"/>
              <w:rPr>
                <w:sz w:val="20"/>
                <w:szCs w:val="20"/>
                <w:color w:val="auto"/>
              </w:rPr>
            </w:pPr>
            <w:r>
              <w:rPr>
                <w:rFonts w:ascii="Arial" w:cs="Arial" w:eastAsia="Arial" w:hAnsi="Arial"/>
                <w:sz w:val="14"/>
                <w:szCs w:val="14"/>
                <w:color w:val="auto"/>
                <w:w w:val="93"/>
              </w:rPr>
              <w:t>45,299</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(3,793)$</w:t>
            </w:r>
          </w:p>
        </w:tc>
        <w:tc>
          <w:tcPr>
            <w:tcW w:w="820" w:type="dxa"/>
            <w:vAlign w:val="bottom"/>
            <w:shd w:val="clear" w:color="auto" w:fill="CCEEFF"/>
          </w:tcPr>
          <w:p>
            <w:pPr>
              <w:jc w:val="center"/>
              <w:ind w:left="310"/>
              <w:spacing w:after="0"/>
              <w:rPr>
                <w:sz w:val="20"/>
                <w:szCs w:val="20"/>
                <w:color w:val="auto"/>
              </w:rPr>
            </w:pPr>
            <w:r>
              <w:rPr>
                <w:rFonts w:ascii="Arial" w:cs="Arial" w:eastAsia="Arial" w:hAnsi="Arial"/>
                <w:sz w:val="14"/>
                <w:szCs w:val="14"/>
                <w:color w:val="auto"/>
                <w:w w:val="93"/>
              </w:rPr>
              <w:t>41,515</w:t>
            </w:r>
          </w:p>
        </w:tc>
      </w:tr>
      <w:tr>
        <w:trPr>
          <w:trHeight w:val="232"/>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current-period other comprehensive income</w:t>
            </w: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4"/>
                <w:szCs w:val="14"/>
                <w:color w:val="auto"/>
                <w:w w:val="91"/>
              </w:rPr>
              <w:t>(14,215)</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738</w:t>
            </w:r>
          </w:p>
        </w:tc>
        <w:tc>
          <w:tcPr>
            <w:tcW w:w="820" w:type="dxa"/>
            <w:vAlign w:val="bottom"/>
            <w:tcBorders>
              <w:bottom w:val="single" w:sz="8" w:color="auto"/>
            </w:tcBorders>
          </w:tcPr>
          <w:p>
            <w:pPr>
              <w:jc w:val="center"/>
              <w:ind w:left="270"/>
              <w:spacing w:after="0"/>
              <w:rPr>
                <w:sz w:val="20"/>
                <w:szCs w:val="20"/>
                <w:color w:val="auto"/>
              </w:rPr>
            </w:pPr>
            <w:r>
              <w:rPr>
                <w:rFonts w:ascii="Arial" w:cs="Arial" w:eastAsia="Arial" w:hAnsi="Arial"/>
                <w:sz w:val="14"/>
                <w:szCs w:val="14"/>
                <w:color w:val="auto"/>
                <w:w w:val="91"/>
              </w:rPr>
              <w:t>(13,476)</w:t>
            </w:r>
          </w:p>
        </w:tc>
      </w:tr>
      <w:tr>
        <w:trPr>
          <w:trHeight w:val="256"/>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9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4"/>
                <w:szCs w:val="14"/>
                <w:color w:val="auto"/>
                <w:w w:val="93"/>
              </w:rPr>
              <w:t>31,084</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(3,055)</w:t>
            </w:r>
          </w:p>
        </w:tc>
        <w:tc>
          <w:tcPr>
            <w:tcW w:w="8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4"/>
                <w:szCs w:val="14"/>
                <w:color w:val="auto"/>
                <w:w w:val="93"/>
              </w:rPr>
              <w:t>28,039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22 – Business Segments and Geographic Area Information</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table below sets forth certain information concerning our cinema operations and our real estate operations (which includes information relating to both our real estate development, retail rental and live theater rental activities) for the three years ended December 31, 2014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2014</w:t>
            </w: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Cinema Exhibition</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5"/>
              </w:rPr>
              <w:t>Real Estate</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35"/>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237,861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254,748</w:t>
            </w:r>
          </w:p>
        </w:tc>
      </w:tr>
      <w:tr>
        <w:trPr>
          <w:trHeight w:val="244"/>
        </w:trPr>
        <w:tc>
          <w:tcPr>
            <w:tcW w:w="3100" w:type="dxa"/>
            <w:vAlign w:val="bottom"/>
          </w:tcPr>
          <w:p>
            <w:pPr>
              <w:spacing w:after="0"/>
              <w:rPr>
                <w:sz w:val="20"/>
                <w:szCs w:val="20"/>
                <w:color w:val="auto"/>
              </w:rPr>
            </w:pPr>
            <w:r>
              <w:rPr>
                <w:rFonts w:ascii="Arial" w:cs="Arial" w:eastAsia="Arial" w:hAnsi="Arial"/>
                <w:sz w:val="14"/>
                <w:szCs w:val="14"/>
                <w:color w:val="auto"/>
              </w:rPr>
              <w:t>Operating expense</w:t>
            </w:r>
          </w:p>
        </w:tc>
        <w:tc>
          <w:tcPr>
            <w:tcW w:w="1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195,896</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9,770</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(7,461)</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198,205</w:t>
            </w:r>
          </w:p>
        </w:tc>
      </w:tr>
      <w:tr>
        <w:trPr>
          <w:trHeight w:val="249"/>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11,047</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15,108</w:t>
            </w:r>
          </w:p>
        </w:tc>
      </w:tr>
      <w:tr>
        <w:trPr>
          <w:trHeight w:val="244"/>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General and administrative expense</w:t>
            </w:r>
          </w:p>
        </w:tc>
        <w:tc>
          <w:tcPr>
            <w:tcW w:w="1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w:t>
            </w:r>
          </w:p>
        </w:tc>
      </w:tr>
      <w:tr>
        <w:trPr>
          <w:trHeight w:val="221"/>
        </w:trPr>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Segment operating income</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36,818</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2013</w:t>
            </w: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Cinema Exhibition</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5"/>
              </w:rPr>
              <w:t>Real Estate</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35"/>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26,456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(7,653)</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258,221</w:t>
            </w:r>
          </w:p>
        </w:tc>
      </w:tr>
      <w:tr>
        <w:trPr>
          <w:trHeight w:val="244"/>
        </w:trPr>
        <w:tc>
          <w:tcPr>
            <w:tcW w:w="3100" w:type="dxa"/>
            <w:vAlign w:val="bottom"/>
          </w:tcPr>
          <w:p>
            <w:pPr>
              <w:spacing w:after="0"/>
              <w:rPr>
                <w:sz w:val="20"/>
                <w:szCs w:val="20"/>
                <w:color w:val="auto"/>
              </w:rPr>
            </w:pPr>
            <w:r>
              <w:rPr>
                <w:rFonts w:ascii="Arial" w:cs="Arial" w:eastAsia="Arial" w:hAnsi="Arial"/>
                <w:sz w:val="14"/>
                <w:szCs w:val="14"/>
                <w:color w:val="auto"/>
              </w:rPr>
              <w:t>Operating expense</w:t>
            </w:r>
          </w:p>
        </w:tc>
        <w:tc>
          <w:tcPr>
            <w:tcW w:w="1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200,859</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10,830</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(7,653)</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204,036</w:t>
            </w:r>
          </w:p>
        </w:tc>
      </w:tr>
      <w:tr>
        <w:trPr>
          <w:trHeight w:val="249"/>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10,741</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14,764</w:t>
            </w:r>
          </w:p>
        </w:tc>
      </w:tr>
      <w:tr>
        <w:trPr>
          <w:trHeight w:val="244"/>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General and administrative expense</w:t>
            </w:r>
          </w:p>
        </w:tc>
        <w:tc>
          <w:tcPr>
            <w:tcW w:w="1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3,273</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w:t>
            </w:r>
          </w:p>
        </w:tc>
      </w:tr>
      <w:tr>
        <w:trPr>
          <w:trHeight w:val="221"/>
        </w:trPr>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Segment operating income</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35,504</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2012</w:t>
            </w:r>
          </w:p>
        </w:tc>
        <w:tc>
          <w:tcPr>
            <w:tcW w:w="2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Cinema Exhibition</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5"/>
              </w:rPr>
              <w:t>Real Estate</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35"/>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234,703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(7,529)</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254,430</w:t>
            </w:r>
          </w:p>
        </w:tc>
      </w:tr>
      <w:tr>
        <w:trPr>
          <w:trHeight w:val="244"/>
        </w:trPr>
        <w:tc>
          <w:tcPr>
            <w:tcW w:w="3100" w:type="dxa"/>
            <w:vAlign w:val="bottom"/>
          </w:tcPr>
          <w:p>
            <w:pPr>
              <w:spacing w:after="0"/>
              <w:rPr>
                <w:sz w:val="20"/>
                <w:szCs w:val="20"/>
                <w:color w:val="auto"/>
              </w:rPr>
            </w:pPr>
            <w:r>
              <w:rPr>
                <w:rFonts w:ascii="Arial" w:cs="Arial" w:eastAsia="Arial" w:hAnsi="Arial"/>
                <w:sz w:val="14"/>
                <w:szCs w:val="14"/>
                <w:color w:val="auto"/>
              </w:rPr>
              <w:t>Operating expense</w:t>
            </w:r>
          </w:p>
        </w:tc>
        <w:tc>
          <w:tcPr>
            <w:tcW w:w="15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198,040</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11,163</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(7,529)</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201,674</w:t>
            </w:r>
          </w:p>
        </w:tc>
      </w:tr>
      <w:tr>
        <w:trPr>
          <w:trHeight w:val="249"/>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11,154</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4,441</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15,595</w:t>
            </w:r>
          </w:p>
        </w:tc>
      </w:tr>
      <w:tr>
        <w:trPr>
          <w:trHeight w:val="244"/>
        </w:trPr>
        <w:tc>
          <w:tcPr>
            <w:tcW w:w="3100" w:type="dxa"/>
            <w:vAlign w:val="bottom"/>
          </w:tcPr>
          <w:p>
            <w:pPr>
              <w:spacing w:after="0"/>
              <w:rPr>
                <w:sz w:val="20"/>
                <w:szCs w:val="20"/>
                <w:color w:val="auto"/>
              </w:rPr>
            </w:pPr>
            <w:r>
              <w:rPr>
                <w:rFonts w:ascii="Arial" w:cs="Arial" w:eastAsia="Arial" w:hAnsi="Arial"/>
                <w:sz w:val="14"/>
                <w:szCs w:val="14"/>
                <w:color w:val="auto"/>
              </w:rPr>
              <w:t>General and administrative expense</w:t>
            </w:r>
          </w:p>
        </w:tc>
        <w:tc>
          <w:tcPr>
            <w:tcW w:w="15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2,598</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718</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3,316</w:t>
            </w:r>
          </w:p>
        </w:tc>
      </w:tr>
      <w:tr>
        <w:trPr>
          <w:trHeight w:val="247"/>
        </w:trPr>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Impairment expense</w:t>
            </w:r>
          </w:p>
        </w:tc>
        <w:tc>
          <w:tcPr>
            <w:tcW w:w="1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r>
      <w:tr>
        <w:trPr>
          <w:trHeight w:val="22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operating income</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22,911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20"/>
                <w:szCs w:val="20"/>
                <w:color w:val="auto"/>
              </w:rPr>
            </w:pPr>
            <w:r>
              <w:rPr>
                <w:rFonts w:ascii="Arial" w:cs="Arial" w:eastAsia="Arial" w:hAnsi="Arial"/>
                <w:sz w:val="14"/>
                <w:szCs w:val="14"/>
                <w:b w:val="1"/>
                <w:bCs w:val="1"/>
                <w:color w:val="auto"/>
              </w:rPr>
              <w:t>Reconciliation to net income attributable</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 Reading International, Inc. shareholders:</w:t>
            </w:r>
          </w:p>
        </w:tc>
        <w:tc>
          <w:tcPr>
            <w:tcW w:w="9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2012</w:t>
            </w:r>
          </w:p>
        </w:tc>
      </w:tr>
      <w:tr>
        <w:trPr>
          <w:trHeight w:val="235"/>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Total segment operating income</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36,818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35,504</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32,382</w:t>
            </w:r>
          </w:p>
        </w:tc>
      </w:tr>
      <w:tr>
        <w:trPr>
          <w:trHeight w:val="244"/>
        </w:trPr>
        <w:tc>
          <w:tcPr>
            <w:tcW w:w="4820" w:type="dxa"/>
            <w:vAlign w:val="bottom"/>
          </w:tcPr>
          <w:p>
            <w:pPr>
              <w:ind w:left="100"/>
              <w:spacing w:after="0"/>
              <w:rPr>
                <w:sz w:val="20"/>
                <w:szCs w:val="20"/>
                <w:color w:val="auto"/>
              </w:rPr>
            </w:pPr>
            <w:r>
              <w:rPr>
                <w:rFonts w:ascii="Arial" w:cs="Arial" w:eastAsia="Arial" w:hAnsi="Arial"/>
                <w:sz w:val="14"/>
                <w:szCs w:val="14"/>
                <w:color w:val="auto"/>
              </w:rPr>
              <w:t>Non-segment:</w:t>
            </w: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9"/>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 expense</w:t>
            </w: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360</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433</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r>
      <w:tr>
        <w:trPr>
          <w:trHeight w:val="244"/>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and administrative expense</w:t>
            </w:r>
          </w:p>
        </w:tc>
        <w:tc>
          <w:tcPr>
            <w:tcW w:w="9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14,285</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14,136</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12,801</w:t>
            </w: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9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22,173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20,935</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19,127</w:t>
            </w:r>
          </w:p>
        </w:tc>
      </w:tr>
      <w:tr>
        <w:trPr>
          <w:trHeight w:val="244"/>
        </w:trPr>
        <w:tc>
          <w:tcPr>
            <w:tcW w:w="4820" w:type="dxa"/>
            <w:vAlign w:val="bottom"/>
          </w:tcPr>
          <w:p>
            <w:pPr>
              <w:ind w:left="100"/>
              <w:spacing w:after="0"/>
              <w:rPr>
                <w:sz w:val="20"/>
                <w:szCs w:val="20"/>
                <w:color w:val="auto"/>
              </w:rPr>
            </w:pPr>
            <w:r>
              <w:rPr>
                <w:rFonts w:ascii="Arial" w:cs="Arial" w:eastAsia="Arial" w:hAnsi="Arial"/>
                <w:sz w:val="14"/>
                <w:szCs w:val="14"/>
                <w:color w:val="auto"/>
              </w:rPr>
              <w:t>Interest expense, net</w:t>
            </w:r>
          </w:p>
        </w:tc>
        <w:tc>
          <w:tcPr>
            <w:tcW w:w="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(9,000)</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(10,037)</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(16,426)</w:t>
            </w:r>
          </w:p>
        </w:tc>
      </w:tr>
      <w:tr>
        <w:trPr>
          <w:trHeight w:val="249"/>
        </w:trPr>
        <w:tc>
          <w:tcPr>
            <w:tcW w:w="4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income (loss)</w:t>
            </w: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1,646</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1,876</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r>
      <w:tr>
        <w:trPr>
          <w:trHeight w:val="244"/>
        </w:trPr>
        <w:tc>
          <w:tcPr>
            <w:tcW w:w="4820" w:type="dxa"/>
            <w:vAlign w:val="bottom"/>
          </w:tcPr>
          <w:p>
            <w:pPr>
              <w:ind w:left="100"/>
              <w:spacing w:after="0"/>
              <w:rPr>
                <w:sz w:val="20"/>
                <w:szCs w:val="20"/>
                <w:color w:val="auto"/>
              </w:rPr>
            </w:pPr>
            <w:r>
              <w:rPr>
                <w:rFonts w:ascii="Arial" w:cs="Arial" w:eastAsia="Arial" w:hAnsi="Arial"/>
                <w:sz w:val="14"/>
                <w:szCs w:val="14"/>
                <w:color w:val="auto"/>
              </w:rPr>
              <w:t>Gain (loss) on sale of assets</w:t>
            </w:r>
          </w:p>
        </w:tc>
        <w:tc>
          <w:tcPr>
            <w:tcW w:w="9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49"/>
        </w:trPr>
        <w:tc>
          <w:tcPr>
            <w:tcW w:w="4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 benefit (expense)</w:t>
            </w: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9,785</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w:t>
            </w:r>
          </w:p>
        </w:tc>
      </w:tr>
      <w:tr>
        <w:trPr>
          <w:trHeight w:val="503"/>
        </w:trPr>
        <w:tc>
          <w:tcPr>
            <w:tcW w:w="4820" w:type="dxa"/>
            <w:vAlign w:val="bottom"/>
          </w:tcPr>
          <w:p>
            <w:pPr>
              <w:ind w:left="100"/>
              <w:spacing w:after="0"/>
              <w:rPr>
                <w:sz w:val="20"/>
                <w:szCs w:val="20"/>
                <w:color w:val="auto"/>
              </w:rPr>
            </w:pPr>
            <w:r>
              <w:rPr>
                <w:rFonts w:ascii="Arial" w:cs="Arial" w:eastAsia="Arial" w:hAnsi="Arial"/>
                <w:sz w:val="14"/>
                <w:szCs w:val="14"/>
                <w:color w:val="auto"/>
              </w:rPr>
              <w:t>Equity earnings of unconsolidated joint ventures and entities</w:t>
            </w:r>
          </w:p>
        </w:tc>
        <w:tc>
          <w:tcPr>
            <w:tcW w:w="9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1,015</w:t>
            </w: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1,369</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1,621</w:t>
            </w:r>
          </w:p>
        </w:tc>
      </w:tr>
      <w:tr>
        <w:trPr>
          <w:trHeight w:val="249"/>
        </w:trPr>
        <w:tc>
          <w:tcPr>
            <w:tcW w:w="4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(loss) from discontinued operations</w:t>
            </w:r>
          </w:p>
        </w:tc>
        <w:tc>
          <w:tcPr>
            <w:tcW w:w="9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44"/>
        </w:trPr>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Gain (loss) on sale of discontinued operation</w:t>
            </w:r>
          </w:p>
        </w:tc>
        <w:tc>
          <w:tcPr>
            <w:tcW w:w="9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25,644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9,145</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r>
      <w:tr>
        <w:trPr>
          <w:trHeight w:val="550"/>
        </w:trPr>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(income) loss attributable to noncontrolling interests</w:t>
            </w: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57</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r>
      <w:tr>
        <w:trPr>
          <w:trHeight w:val="291"/>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Reading International, Inc. common</w:t>
            </w:r>
          </w:p>
        </w:tc>
        <w:tc>
          <w:tcPr>
            <w:tcW w:w="9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88"/>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shareholders</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25,701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9,041</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December 31,</w:t>
            </w: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2"/>
        </w:trPr>
        <w:tc>
          <w:tcPr>
            <w:tcW w:w="3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Summary of assets:</w:t>
            </w:r>
          </w:p>
        </w:tc>
        <w:tc>
          <w:tcPr>
            <w:tcW w:w="20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2013</w:t>
            </w: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6"/>
                <w:szCs w:val="16"/>
                <w:b w:val="1"/>
                <w:bCs w:val="1"/>
                <w:color w:val="auto"/>
              </w:rPr>
              <w:t>2012</w:t>
            </w:r>
          </w:p>
        </w:tc>
      </w:tr>
      <w:tr>
        <w:trPr>
          <w:trHeight w:val="22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2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327,432</w:t>
            </w:r>
          </w:p>
        </w:tc>
        <w:tc>
          <w:tcPr>
            <w:tcW w:w="3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347,637</w:t>
            </w:r>
          </w:p>
        </w:tc>
        <w:tc>
          <w:tcPr>
            <w:tcW w:w="4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408,667</w:t>
            </w:r>
          </w:p>
        </w:tc>
      </w:tr>
      <w:tr>
        <w:trPr>
          <w:trHeight w:val="234"/>
        </w:trPr>
        <w:tc>
          <w:tcPr>
            <w:tcW w:w="3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assets</w:t>
            </w:r>
          </w:p>
        </w:tc>
        <w:tc>
          <w:tcPr>
            <w:tcW w:w="2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74,154</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39,170</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19,921</w:t>
            </w:r>
          </w:p>
        </w:tc>
      </w:tr>
      <w:tr>
        <w:trPr>
          <w:trHeight w:val="207"/>
        </w:trPr>
        <w:tc>
          <w:tcPr>
            <w:tcW w:w="3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20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401,586</w:t>
            </w:r>
          </w:p>
        </w:tc>
        <w:tc>
          <w:tcPr>
            <w:tcW w:w="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386,807</w:t>
            </w:r>
          </w:p>
        </w:tc>
        <w:tc>
          <w:tcPr>
            <w:tcW w:w="4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428,588</w:t>
            </w: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December 31,</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2"/>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Summary of capital expenditures:</w:t>
            </w:r>
          </w:p>
        </w:tc>
        <w:tc>
          <w:tcPr>
            <w:tcW w:w="15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2013</w:t>
            </w:r>
          </w:p>
        </w:tc>
        <w:tc>
          <w:tcPr>
            <w:tcW w:w="2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2012</w:t>
            </w:r>
          </w:p>
        </w:tc>
      </w:tr>
      <w:tr>
        <w:trPr>
          <w:trHeight w:val="22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Segment capital expenditures</w:t>
            </w:r>
          </w:p>
        </w:tc>
        <w:tc>
          <w:tcPr>
            <w:tcW w:w="15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14,310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19,910</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13,390</w:t>
            </w:r>
          </w:p>
        </w:tc>
      </w:tr>
      <w:tr>
        <w:trPr>
          <w:trHeight w:val="234"/>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capital expenditures</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604</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172</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207"/>
        </w:trPr>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capital expenditures</w:t>
            </w:r>
          </w:p>
        </w:tc>
        <w:tc>
          <w:tcPr>
            <w:tcW w:w="15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14,914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20,082</w:t>
            </w:r>
          </w:p>
        </w:tc>
        <w:tc>
          <w:tcPr>
            <w:tcW w:w="4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13,723</w:t>
            </w:r>
          </w:p>
        </w:tc>
      </w:tr>
    </w:tbl>
    <w:p>
      <w:pPr>
        <w:spacing w:after="0" w:line="152"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The cinema results shown above include revenue and operating expense directly linked to our cinema assets. The real estate results include rental income from our properties and live theater venues and operating expense directly linked to our property assets.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book value of our operating property by geographical area (dollars in thousands):</w:t>
      </w:r>
    </w:p>
    <w:p>
      <w:pPr>
        <w:spacing w:after="0" w:line="223"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u w:val="single" w:color="auto"/>
          <w:color w:val="auto"/>
        </w:rPr>
        <w:t>December 31,</w:t>
      </w:r>
    </w:p>
    <w:p>
      <w:pPr>
        <w:spacing w:after="0" w:line="86" w:lineRule="exact"/>
        <w:rPr>
          <w:sz w:val="20"/>
          <w:szCs w:val="20"/>
          <w:color w:val="auto"/>
        </w:rPr>
      </w:pPr>
    </w:p>
    <w:p>
      <w:pPr>
        <w:ind w:left="6720"/>
        <w:spacing w:after="0"/>
        <w:tabs>
          <w:tab w:leader="none" w:pos="840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5832475"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32475" cy="146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679" w:right="1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5"/>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Australia</w:t>
            </w:r>
          </w:p>
        </w:tc>
        <w:tc>
          <w:tcPr>
            <w:tcW w:w="19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87,536</w:t>
            </w:r>
          </w:p>
        </w:tc>
        <w:tc>
          <w:tcPr>
            <w:tcW w:w="22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97,240</w:t>
            </w:r>
          </w:p>
        </w:tc>
      </w:tr>
      <w:tr>
        <w:trPr>
          <w:trHeight w:val="234"/>
        </w:trPr>
        <w:tc>
          <w:tcPr>
            <w:tcW w:w="3180" w:type="dxa"/>
            <w:vAlign w:val="bottom"/>
          </w:tcPr>
          <w:p>
            <w:pPr>
              <w:spacing w:after="0"/>
              <w:rPr>
                <w:sz w:val="20"/>
                <w:szCs w:val="20"/>
                <w:color w:val="auto"/>
              </w:rPr>
            </w:pPr>
            <w:r>
              <w:rPr>
                <w:rFonts w:ascii="Arial" w:cs="Arial" w:eastAsia="Arial" w:hAnsi="Arial"/>
                <w:sz w:val="16"/>
                <w:szCs w:val="16"/>
                <w:color w:val="auto"/>
              </w:rPr>
              <w:t>New Zealand</w:t>
            </w: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39,800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36,319</w:t>
            </w:r>
          </w:p>
        </w:tc>
      </w:tr>
      <w:tr>
        <w:trPr>
          <w:trHeight w:val="235"/>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9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59,553</w:t>
            </w:r>
          </w:p>
        </w:tc>
        <w:tc>
          <w:tcPr>
            <w:tcW w:w="2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58,101</w:t>
            </w:r>
          </w:p>
        </w:tc>
      </w:tr>
      <w:tr>
        <w:trPr>
          <w:trHeight w:val="207"/>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operating property</w:t>
            </w:r>
          </w:p>
        </w:tc>
        <w:tc>
          <w:tcPr>
            <w:tcW w:w="1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186,889</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191,660</w:t>
            </w:r>
          </w:p>
        </w:tc>
      </w:tr>
      <w:tr>
        <w:trPr>
          <w:trHeight w:val="375"/>
        </w:trPr>
        <w:tc>
          <w:tcPr>
            <w:tcW w:w="6120" w:type="dxa"/>
            <w:vAlign w:val="bottom"/>
            <w:gridSpan w:val="3"/>
          </w:tcPr>
          <w:p>
            <w:pPr>
              <w:ind w:left="560"/>
              <w:spacing w:after="0"/>
              <w:rPr>
                <w:sz w:val="20"/>
                <w:szCs w:val="20"/>
                <w:color w:val="auto"/>
              </w:rPr>
            </w:pPr>
            <w:r>
              <w:rPr>
                <w:rFonts w:ascii="Arial" w:cs="Arial" w:eastAsia="Arial" w:hAnsi="Arial"/>
                <w:sz w:val="16"/>
                <w:szCs w:val="16"/>
                <w:color w:val="auto"/>
                <w:w w:val="90"/>
              </w:rPr>
              <w:t>The following table sets forth our revenue by geographical area (dollars in thousands):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0"/>
        </w:trPr>
        <w:tc>
          <w:tcPr>
            <w:tcW w:w="3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4"/>
              </w:rPr>
              <w:t>December 31,</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9"/>
        </w:trPr>
        <w:tc>
          <w:tcPr>
            <w:tcW w:w="3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2014</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2012</w:t>
            </w:r>
          </w:p>
        </w:tc>
      </w:tr>
      <w:tr>
        <w:trPr>
          <w:trHeight w:val="40"/>
        </w:trPr>
        <w:tc>
          <w:tcPr>
            <w:tcW w:w="31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Australia</w:t>
            </w:r>
          </w:p>
        </w:tc>
        <w:tc>
          <w:tcPr>
            <w:tcW w:w="19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97,329</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100,399</w:t>
            </w:r>
          </w:p>
        </w:tc>
        <w:tc>
          <w:tcPr>
            <w:tcW w:w="4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108,320</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auto"/>
              </w:rPr>
              <w:t>New Zealand</w:t>
            </w:r>
          </w:p>
        </w:tc>
        <w:tc>
          <w:tcPr>
            <w:tcW w:w="19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26,572</w:t>
            </w:r>
          </w:p>
        </w:tc>
        <w:tc>
          <w:tcPr>
            <w:tcW w:w="400" w:type="dxa"/>
            <w:vAlign w:val="bottom"/>
          </w:tcPr>
          <w:p>
            <w:pPr>
              <w:spacing w:after="0"/>
              <w:rPr>
                <w:sz w:val="17"/>
                <w:szCs w:val="17"/>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6"/>
                <w:szCs w:val="16"/>
                <w:color w:val="auto"/>
              </w:rPr>
              <w:t>26,310</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24,608</w:t>
            </w:r>
          </w:p>
        </w:tc>
      </w:tr>
      <w:tr>
        <w:trPr>
          <w:trHeight w:val="35"/>
        </w:trPr>
        <w:tc>
          <w:tcPr>
            <w:tcW w:w="3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0"/>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9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130,847</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131,512</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121,502</w:t>
            </w:r>
          </w:p>
        </w:tc>
      </w:tr>
      <w:tr>
        <w:trPr>
          <w:trHeight w:val="207"/>
        </w:trPr>
        <w:tc>
          <w:tcPr>
            <w:tcW w:w="3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Total revenue</w:t>
            </w:r>
          </w:p>
        </w:tc>
        <w:tc>
          <w:tcPr>
            <w:tcW w:w="19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254,748</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258,221</w:t>
            </w:r>
          </w:p>
        </w:tc>
        <w:tc>
          <w:tcPr>
            <w:tcW w:w="4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254,430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0" w:right="13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u w:val="single" w:color="auto"/>
          <w:color w:val="auto"/>
        </w:rPr>
        <w:t>Note 23 – Unaudited Quarterly Financial Information (dollars in thousands, except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242"/>
              <w:spacing w:after="0"/>
              <w:rPr>
                <w:sz w:val="20"/>
                <w:szCs w:val="20"/>
                <w:color w:val="auto"/>
              </w:rPr>
            </w:pPr>
            <w:r>
              <w:rPr>
                <w:rFonts w:ascii="Arial" w:cs="Arial" w:eastAsia="Arial" w:hAnsi="Arial"/>
                <w:sz w:val="16"/>
                <w:szCs w:val="16"/>
                <w:b w:val="1"/>
                <w:bCs w:val="1"/>
                <w:color w:val="auto"/>
              </w:rPr>
              <w:t>First</w:t>
            </w:r>
          </w:p>
        </w:tc>
        <w:tc>
          <w:tcPr>
            <w:tcW w:w="200" w:type="dxa"/>
            <w:vAlign w:val="bottom"/>
          </w:tcPr>
          <w:p>
            <w:pPr>
              <w:spacing w:after="0"/>
              <w:rPr>
                <w:sz w:val="17"/>
                <w:szCs w:val="17"/>
                <w:color w:val="auto"/>
              </w:rPr>
            </w:pPr>
          </w:p>
        </w:tc>
        <w:tc>
          <w:tcPr>
            <w:tcW w:w="800" w:type="dxa"/>
            <w:vAlign w:val="bottom"/>
          </w:tcPr>
          <w:p>
            <w:pPr>
              <w:jc w:val="right"/>
              <w:ind w:right="142"/>
              <w:spacing w:after="0"/>
              <w:rPr>
                <w:sz w:val="20"/>
                <w:szCs w:val="20"/>
                <w:color w:val="auto"/>
              </w:rPr>
            </w:pPr>
            <w:r>
              <w:rPr>
                <w:rFonts w:ascii="Arial" w:cs="Arial" w:eastAsia="Arial" w:hAnsi="Arial"/>
                <w:sz w:val="16"/>
                <w:szCs w:val="16"/>
                <w:b w:val="1"/>
                <w:bCs w:val="1"/>
                <w:color w:val="auto"/>
                <w:w w:val="96"/>
              </w:rPr>
              <w:t>Second</w:t>
            </w:r>
          </w:p>
        </w:tc>
        <w:tc>
          <w:tcPr>
            <w:tcW w:w="220" w:type="dxa"/>
            <w:vAlign w:val="bottom"/>
          </w:tcPr>
          <w:p>
            <w:pPr>
              <w:spacing w:after="0"/>
              <w:rPr>
                <w:sz w:val="17"/>
                <w:szCs w:val="17"/>
                <w:color w:val="auto"/>
              </w:rPr>
            </w:pPr>
          </w:p>
        </w:tc>
        <w:tc>
          <w:tcPr>
            <w:tcW w:w="800" w:type="dxa"/>
            <w:vAlign w:val="bottom"/>
          </w:tcPr>
          <w:p>
            <w:pPr>
              <w:jc w:val="right"/>
              <w:ind w:right="182"/>
              <w:spacing w:after="0"/>
              <w:rPr>
                <w:sz w:val="20"/>
                <w:szCs w:val="20"/>
                <w:color w:val="auto"/>
              </w:rPr>
            </w:pPr>
            <w:r>
              <w:rPr>
                <w:rFonts w:ascii="Arial" w:cs="Arial" w:eastAsia="Arial" w:hAnsi="Arial"/>
                <w:sz w:val="16"/>
                <w:szCs w:val="16"/>
                <w:b w:val="1"/>
                <w:bCs w:val="1"/>
                <w:color w:val="auto"/>
              </w:rPr>
              <w:t>Third</w:t>
            </w:r>
          </w:p>
        </w:tc>
        <w:tc>
          <w:tcPr>
            <w:tcW w:w="240" w:type="dxa"/>
            <w:vAlign w:val="bottom"/>
          </w:tcPr>
          <w:p>
            <w:pPr>
              <w:spacing w:after="0"/>
              <w:rPr>
                <w:sz w:val="17"/>
                <w:szCs w:val="17"/>
                <w:color w:val="auto"/>
              </w:rPr>
            </w:pPr>
          </w:p>
        </w:tc>
        <w:tc>
          <w:tcPr>
            <w:tcW w:w="740" w:type="dxa"/>
            <w:vAlign w:val="bottom"/>
          </w:tcPr>
          <w:p>
            <w:pPr>
              <w:jc w:val="right"/>
              <w:ind w:right="82"/>
              <w:spacing w:after="0"/>
              <w:rPr>
                <w:sz w:val="20"/>
                <w:szCs w:val="20"/>
                <w:color w:val="auto"/>
              </w:rPr>
            </w:pPr>
            <w:r>
              <w:rPr>
                <w:rFonts w:ascii="Arial" w:cs="Arial" w:eastAsia="Arial" w:hAnsi="Arial"/>
                <w:sz w:val="16"/>
                <w:szCs w:val="16"/>
                <w:b w:val="1"/>
                <w:bCs w:val="1"/>
                <w:color w:val="auto"/>
              </w:rPr>
              <w:t>Fourth</w:t>
            </w:r>
          </w:p>
        </w:tc>
      </w:tr>
      <w:tr>
        <w:trPr>
          <w:trHeight w:val="228"/>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Quarter</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Quarter</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Quarter</w:t>
            </w:r>
          </w:p>
        </w:tc>
      </w:tr>
      <w:tr>
        <w:trPr>
          <w:trHeight w:val="22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58,053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69,922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65,031</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61,742</w:t>
            </w:r>
          </w:p>
        </w:tc>
      </w:tr>
      <w:tr>
        <w:trPr>
          <w:trHeight w:val="234"/>
        </w:trPr>
        <w:tc>
          <w:tcPr>
            <w:tcW w:w="4900" w:type="dxa"/>
            <w:vAlign w:val="bottom"/>
          </w:tcPr>
          <w:p>
            <w:pPr>
              <w:spacing w:after="0"/>
              <w:rPr>
                <w:sz w:val="20"/>
                <w:szCs w:val="20"/>
                <w:color w:val="auto"/>
              </w:rPr>
            </w:pPr>
            <w:r>
              <w:rPr>
                <w:rFonts w:ascii="Arial" w:cs="Arial" w:eastAsia="Arial" w:hAnsi="Arial"/>
                <w:sz w:val="16"/>
                <w:szCs w:val="16"/>
                <w:color w:val="auto"/>
              </w:rPr>
              <w:t>Net income (loss)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4,773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3,939</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17,183</w:t>
            </w:r>
          </w:p>
        </w:tc>
      </w:tr>
      <w:tr>
        <w:trPr>
          <w:trHeight w:val="470"/>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w w:val="94"/>
              </w:rPr>
              <w:t>Net income (loss) attributable to Reading International, Inc. shareholders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4,757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3,939</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17,220</w:t>
            </w:r>
          </w:p>
        </w:tc>
      </w:tr>
      <w:tr>
        <w:trPr>
          <w:trHeight w:val="234"/>
        </w:trPr>
        <w:tc>
          <w:tcPr>
            <w:tcW w:w="4900" w:type="dxa"/>
            <w:vAlign w:val="bottom"/>
          </w:tcPr>
          <w:p>
            <w:pPr>
              <w:spacing w:after="0"/>
              <w:rPr>
                <w:sz w:val="20"/>
                <w:szCs w:val="20"/>
                <w:color w:val="auto"/>
              </w:rPr>
            </w:pPr>
            <w:r>
              <w:rPr>
                <w:rFonts w:ascii="Arial" w:cs="Arial" w:eastAsia="Arial" w:hAnsi="Arial"/>
                <w:sz w:val="16"/>
                <w:szCs w:val="16"/>
                <w:color w:val="auto"/>
              </w:rPr>
              <w:t>Basic earnings (loss) per share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0.20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0.17</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0.74</w:t>
            </w:r>
          </w:p>
        </w:tc>
      </w:tr>
      <w:tr>
        <w:trPr>
          <w:trHeight w:val="235"/>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(loss) 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0.17</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94"/>
        </w:trPr>
        <w:tc>
          <w:tcPr>
            <w:tcW w:w="4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27"/>
        </w:trPr>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6"/>
                <w:szCs w:val="16"/>
                <w:color w:val="auto"/>
              </w:rPr>
              <w:t>Revenue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59,567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69,642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65,472</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63,540</w:t>
            </w:r>
          </w:p>
        </w:tc>
      </w:tr>
      <w:tr>
        <w:trPr>
          <w:trHeight w:val="235"/>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4,176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2,431</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w:t>
            </w:r>
          </w:p>
        </w:tc>
      </w:tr>
      <w:tr>
        <w:trPr>
          <w:trHeight w:val="200"/>
        </w:trPr>
        <w:tc>
          <w:tcPr>
            <w:tcW w:w="4900" w:type="dxa"/>
            <w:vAlign w:val="bottom"/>
          </w:tcPr>
          <w:p>
            <w:pPr>
              <w:spacing w:after="0"/>
              <w:rPr>
                <w:sz w:val="20"/>
                <w:szCs w:val="20"/>
                <w:color w:val="auto"/>
              </w:rPr>
            </w:pPr>
            <w:r>
              <w:rPr>
                <w:rFonts w:ascii="Arial" w:cs="Arial" w:eastAsia="Arial" w:hAnsi="Arial"/>
                <w:sz w:val="16"/>
                <w:szCs w:val="16"/>
                <w:color w:val="auto"/>
                <w:w w:val="94"/>
              </w:rPr>
              <w:t>Net income (loss) attributable to Reading International, Inc. shareholders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70"/>
        </w:trPr>
        <w:tc>
          <w:tcPr>
            <w:tcW w:w="49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4,135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2,393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3,181</w:t>
            </w:r>
          </w:p>
        </w:tc>
      </w:tr>
      <w:tr>
        <w:trPr>
          <w:trHeight w:val="235"/>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(loss) 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0.10</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34"/>
        </w:trPr>
        <w:tc>
          <w:tcPr>
            <w:tcW w:w="4900" w:type="dxa"/>
            <w:vAlign w:val="bottom"/>
          </w:tcPr>
          <w:p>
            <w:pPr>
              <w:spacing w:after="0"/>
              <w:rPr>
                <w:sz w:val="20"/>
                <w:szCs w:val="20"/>
                <w:color w:val="auto"/>
              </w:rPr>
            </w:pPr>
            <w:r>
              <w:rPr>
                <w:rFonts w:ascii="Arial" w:cs="Arial" w:eastAsia="Arial" w:hAnsi="Arial"/>
                <w:sz w:val="16"/>
                <w:szCs w:val="16"/>
                <w:color w:val="auto"/>
              </w:rPr>
              <w:t>Diluted earnings (loss) per share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0.18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0.10</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0.13</w:t>
            </w:r>
          </w:p>
        </w:tc>
      </w:tr>
    </w:tbl>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24 - Future Minimum Rental Income</w:t>
      </w:r>
    </w:p>
    <w:p>
      <w:pPr>
        <w:spacing w:after="0" w:line="161"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Real estate revenue amounted to $16.9 million, $18.8 million, and $19.7 million, for the years ended December 31, 2014, 2013, and 2012, respectively. Future minimum rental income under all contractual operating leases is summarized as follows (dollars in thousands):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2015</w:t>
            </w:r>
          </w:p>
        </w:tc>
        <w:tc>
          <w:tcPr>
            <w:tcW w:w="25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8,112</w:t>
            </w:r>
          </w:p>
        </w:tc>
        <w:tc>
          <w:tcPr>
            <w:tcW w:w="720" w:type="dxa"/>
            <w:vAlign w:val="bottom"/>
            <w:tcBorders>
              <w:top w:val="single" w:sz="8" w:color="CCEEFF"/>
            </w:tcBorders>
            <w:shd w:val="clear" w:color="auto" w:fill="CCEEFF"/>
          </w:tcPr>
          <w:p>
            <w:pPr>
              <w:spacing w:after="0"/>
              <w:rPr>
                <w:sz w:val="19"/>
                <w:szCs w:val="19"/>
                <w:color w:val="auto"/>
              </w:rPr>
            </w:pPr>
          </w:p>
        </w:tc>
      </w:tr>
      <w:tr>
        <w:trPr>
          <w:trHeight w:val="234"/>
        </w:trPr>
        <w:tc>
          <w:tcPr>
            <w:tcW w:w="5180" w:type="dxa"/>
            <w:vAlign w:val="bottom"/>
            <w:gridSpan w:val="2"/>
          </w:tcPr>
          <w:p>
            <w:pPr>
              <w:ind w:left="720"/>
              <w:spacing w:after="0"/>
              <w:rPr>
                <w:sz w:val="20"/>
                <w:szCs w:val="20"/>
                <w:color w:val="auto"/>
              </w:rPr>
            </w:pPr>
            <w:r>
              <w:rPr>
                <w:rFonts w:ascii="Arial" w:cs="Arial" w:eastAsia="Arial" w:hAnsi="Arial"/>
                <w:sz w:val="16"/>
                <w:szCs w:val="16"/>
                <w:color w:val="auto"/>
              </w:rPr>
              <w:t>2016</w:t>
            </w:r>
          </w:p>
        </w:tc>
        <w:tc>
          <w:tcPr>
            <w:tcW w:w="2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6,286</w:t>
            </w:r>
          </w:p>
        </w:tc>
        <w:tc>
          <w:tcPr>
            <w:tcW w:w="720" w:type="dxa"/>
            <w:vAlign w:val="bottom"/>
          </w:tcPr>
          <w:p>
            <w:pPr>
              <w:spacing w:after="0"/>
              <w:rPr>
                <w:sz w:val="20"/>
                <w:szCs w:val="20"/>
                <w:color w:val="auto"/>
              </w:rPr>
            </w:pPr>
          </w:p>
        </w:tc>
      </w:tr>
      <w:tr>
        <w:trPr>
          <w:trHeight w:val="235"/>
        </w:trPr>
        <w:tc>
          <w:tcPr>
            <w:tcW w:w="51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2017</w:t>
            </w:r>
          </w:p>
        </w:tc>
        <w:tc>
          <w:tcPr>
            <w:tcW w:w="25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720" w:type="dxa"/>
            <w:vAlign w:val="bottom"/>
            <w:shd w:val="clear" w:color="auto" w:fill="CCEEFF"/>
          </w:tcPr>
          <w:p>
            <w:pPr>
              <w:spacing w:after="0"/>
              <w:rPr>
                <w:sz w:val="20"/>
                <w:szCs w:val="20"/>
                <w:color w:val="auto"/>
              </w:rPr>
            </w:pPr>
          </w:p>
        </w:tc>
      </w:tr>
      <w:tr>
        <w:trPr>
          <w:trHeight w:val="234"/>
        </w:trPr>
        <w:tc>
          <w:tcPr>
            <w:tcW w:w="5180" w:type="dxa"/>
            <w:vAlign w:val="bottom"/>
            <w:gridSpan w:val="2"/>
          </w:tcPr>
          <w:p>
            <w:pPr>
              <w:ind w:left="720"/>
              <w:spacing w:after="0"/>
              <w:rPr>
                <w:sz w:val="20"/>
                <w:szCs w:val="20"/>
                <w:color w:val="auto"/>
              </w:rPr>
            </w:pPr>
            <w:r>
              <w:rPr>
                <w:rFonts w:ascii="Arial" w:cs="Arial" w:eastAsia="Arial" w:hAnsi="Arial"/>
                <w:sz w:val="16"/>
                <w:szCs w:val="16"/>
                <w:color w:val="auto"/>
              </w:rPr>
              <w:t>2018</w:t>
            </w:r>
          </w:p>
        </w:tc>
        <w:tc>
          <w:tcPr>
            <w:tcW w:w="2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3,857</w:t>
            </w:r>
          </w:p>
        </w:tc>
        <w:tc>
          <w:tcPr>
            <w:tcW w:w="720" w:type="dxa"/>
            <w:vAlign w:val="bottom"/>
          </w:tcPr>
          <w:p>
            <w:pPr>
              <w:spacing w:after="0"/>
              <w:rPr>
                <w:sz w:val="20"/>
                <w:szCs w:val="20"/>
                <w:color w:val="auto"/>
              </w:rPr>
            </w:pPr>
          </w:p>
        </w:tc>
      </w:tr>
      <w:tr>
        <w:trPr>
          <w:trHeight w:val="235"/>
        </w:trPr>
        <w:tc>
          <w:tcPr>
            <w:tcW w:w="51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2019</w:t>
            </w:r>
          </w:p>
        </w:tc>
        <w:tc>
          <w:tcPr>
            <w:tcW w:w="25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720" w:type="dxa"/>
            <w:vAlign w:val="bottom"/>
            <w:shd w:val="clear" w:color="auto" w:fill="CCEEFF"/>
          </w:tcPr>
          <w:p>
            <w:pPr>
              <w:spacing w:after="0"/>
              <w:rPr>
                <w:sz w:val="20"/>
                <w:szCs w:val="20"/>
                <w:color w:val="auto"/>
              </w:rPr>
            </w:pPr>
          </w:p>
        </w:tc>
      </w:tr>
      <w:tr>
        <w:trPr>
          <w:trHeight w:val="234"/>
        </w:trPr>
        <w:tc>
          <w:tcPr>
            <w:tcW w:w="720" w:type="dxa"/>
            <w:vAlign w:val="bottom"/>
            <w:tcBorders>
              <w:bottom w:val="single" w:sz="8" w:color="CCEEFF"/>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2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15,234</w:t>
            </w:r>
          </w:p>
        </w:tc>
        <w:tc>
          <w:tcPr>
            <w:tcW w:w="720" w:type="dxa"/>
            <w:vAlign w:val="bottom"/>
            <w:tcBorders>
              <w:bottom w:val="single" w:sz="8" w:color="CCEEFF"/>
            </w:tcBorders>
          </w:tcPr>
          <w:p>
            <w:pPr>
              <w:spacing w:after="0"/>
              <w:rPr>
                <w:sz w:val="20"/>
                <w:szCs w:val="20"/>
                <w:color w:val="auto"/>
              </w:rPr>
            </w:pPr>
          </w:p>
        </w:tc>
      </w:tr>
      <w:tr>
        <w:trPr>
          <w:trHeight w:val="207"/>
        </w:trPr>
        <w:tc>
          <w:tcPr>
            <w:tcW w:w="720" w:type="dxa"/>
            <w:vAlign w:val="bottom"/>
            <w:tcBorders>
              <w:bottom w:val="single" w:sz="8" w:color="CCEEFF"/>
            </w:tcBorders>
            <w:shd w:val="clear" w:color="auto" w:fill="CCEEFF"/>
          </w:tcPr>
          <w:p>
            <w:pPr>
              <w:spacing w:after="0"/>
              <w:rPr>
                <w:sz w:val="18"/>
                <w:szCs w:val="18"/>
                <w:color w:val="auto"/>
              </w:rPr>
            </w:pPr>
          </w:p>
        </w:tc>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future minimum rental income</w:t>
            </w:r>
          </w:p>
        </w:tc>
        <w:tc>
          <w:tcPr>
            <w:tcW w:w="25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41,335</w:t>
            </w:r>
          </w:p>
        </w:tc>
        <w:tc>
          <w:tcPr>
            <w:tcW w:w="720" w:type="dxa"/>
            <w:vAlign w:val="bottom"/>
            <w:tcBorders>
              <w:bottom w:val="single" w:sz="8" w:color="CCEEFF"/>
            </w:tcBorders>
            <w:shd w:val="clear" w:color="auto" w:fill="CCEEFF"/>
          </w:tcPr>
          <w:p>
            <w:pPr>
              <w:spacing w:after="0"/>
              <w:rPr>
                <w:sz w:val="18"/>
                <w:szCs w:val="18"/>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25 – Related Parties and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Sutton Hill Capital</w:t>
      </w:r>
    </w:p>
    <w:p>
      <w:pPr>
        <w:spacing w:after="0" w:line="15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In 2001, we entered into a transaction with Sutton Hill Capital, LLC (“SHC”) regarding the leasing with an option to purchase of certain cinemas located in Manhattan including our Village East and Cinemas 1, 2, 3 theaters.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the Cotter Estate and a third party and of which the Cotter Estate is the managing member. The Village East is the only cinema that remains subject to this lease and during 2014, 2013, and 2012, we paid rent to SHC for this cinema in the amount of $590,000, $590,000, and $590,000, respectively.</w:t>
      </w:r>
    </w:p>
    <w:p>
      <w:pPr>
        <w:spacing w:after="0" w:line="9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On June 29, 2010, we agreed to extend our existing lease from SHC of the Village East Cinema in New York City by 10 years, with a new termination date of June 30, 2020. The Village East lease includes a sub-lease of</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59" w:right="1359" w:bottom="1440" w:gutter="0" w:footer="0" w:header="0"/>
        </w:sectPr>
      </w:pPr>
    </w:p>
    <w:bookmarkStart w:id="102" w:name="page103"/>
    <w:bookmarkEnd w:id="102"/>
    <w:p>
      <w:pPr>
        <w:jc w:val="both"/>
        <w:spacing w:after="0" w:line="266" w:lineRule="auto"/>
        <w:rPr>
          <w:sz w:val="20"/>
          <w:szCs w:val="20"/>
          <w:color w:val="auto"/>
        </w:rPr>
      </w:pPr>
      <w:r>
        <w:rPr>
          <w:rFonts w:ascii="Arial" w:cs="Arial" w:eastAsia="Arial" w:hAnsi="Arial"/>
          <w:sz w:val="15"/>
          <w:szCs w:val="15"/>
          <w:color w:val="auto"/>
        </w:rPr>
        <w:t>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late Chairman, Chief Executive Officer, and controlling shareholder, Mr. James J. Cotter, Sr. was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capital lease liability of $5.9 million presented under other liabilities (see Note 15 – Other Liabilities).</w:t>
      </w:r>
    </w:p>
    <w:p>
      <w:pPr>
        <w:spacing w:after="0" w:line="135"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In 2005, we acquired from a third party the fee interest and from SHC its interest in the ground lease estate underlying and the improvements constituting the Cinemas 1, 2, 3. In connection with that transaction, we granted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Sutton Hill Properties, LLC’s (“SHP”) liabilities giving it a 25% non-managing membership interest in SHP.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OBI Management Agreement</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Pursuant to a Theater Management Agreement (the “Management Agreement”), our live theater operations are managed by Off Broadway Investments, LLC (“OBI Management”), which is wholly owned by Ms. Margaret Cotter who is the daughter of the late Mr. James J. Cotter, Sr. and a member of our Board of Directors.</w:t>
      </w:r>
    </w:p>
    <w:p>
      <w:pPr>
        <w:spacing w:after="0" w:line="14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The Management Agreement generally provides that we will pay OBI Management a combination of fixed and incentive fees, which historically have equated to approximately 21%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2014, OBI Management earned $397,000, which was 20.9% of net cash flows for the year. In 2013, OBI Management earned $401,000, which was 20.1% of net cash flows for the year. In 2012, OBI Management earned $390,000, which was 19.7% of net cash flows for the year. In each year, we reimbursed travel related expenses for OBI Management personnel with respect to travel between New York City and Chicago in connection with the management of the Royal George complex.</w:t>
      </w:r>
    </w:p>
    <w:p>
      <w:pPr>
        <w:spacing w:after="0" w:line="127"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Live Theater Play Investment</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From time to time, our officers and directors may invest in plays that lease our live theaters. The play STOMP has been playing in our Orpheum Theatre since prior to the time we acquired the theater in 2001. The Cotter Estate and Mr. Michael Forman own an approximately 5% interest in that play, an interest that they have held since prior to our acquisition of the theater.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Shadow View Land and Farming LLC</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2012, Mr. James J. Cotter, Sr., our then Chairman, Chief Executive Officer and controlling shareholder, contributed $2.5 million of cash and $255,000 of his 2011 bonus as his 50% share of the purchase price of a land parcel in Coachella, California and to cover his 50% share of certain costs associated with that acquisition. This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103" w:name="page104"/>
    <w:bookmarkEnd w:id="103"/>
    <w:p>
      <w:pPr>
        <w:jc w:val="both"/>
        <w:spacing w:after="0" w:line="265" w:lineRule="auto"/>
        <w:rPr>
          <w:sz w:val="20"/>
          <w:szCs w:val="20"/>
          <w:color w:val="auto"/>
        </w:rPr>
      </w:pPr>
      <w:r>
        <w:rPr>
          <w:rFonts w:ascii="Arial" w:cs="Arial" w:eastAsia="Arial" w:hAnsi="Arial"/>
          <w:sz w:val="16"/>
          <w:szCs w:val="16"/>
          <w:color w:val="auto"/>
        </w:rPr>
        <w:t xml:space="preserve">land is held in Shadow View Land and Farming, LLC, in which the Cotter Estate owns a 50% interest. We are the managing member of Shadow View Land and Farming, LLC (see Note 20 – </w:t>
      </w:r>
      <w:r>
        <w:rPr>
          <w:rFonts w:ascii="Arial" w:cs="Arial" w:eastAsia="Arial" w:hAnsi="Arial"/>
          <w:sz w:val="16"/>
          <w:szCs w:val="16"/>
          <w:i w:val="1"/>
          <w:iCs w:val="1"/>
          <w:color w:val="auto"/>
        </w:rPr>
        <w:t>Noncontrolling Interests</w:t>
      </w:r>
      <w:r>
        <w:rPr>
          <w:rFonts w:ascii="Arial" w:cs="Arial" w:eastAsia="Arial" w:hAnsi="Arial"/>
          <w:sz w:val="16"/>
          <w:szCs w:val="16"/>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26 – Casualty Loss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Wellington, New Zealand Parking Structure</w:t>
      </w:r>
    </w:p>
    <w:p>
      <w:pPr>
        <w:spacing w:after="0" w:line="157"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On July 21, 2013, Wellington, New Zealand experienced a strong earthquake that damaged our parking structure adjacent to our Courtenay Central ETRC. The parking structure reopened in November 2014. We estimate the cost to repair the structure will be approximately $1.9 million (NZ$2.5 million) of which our earthquake insurance will cover approximately $1.4 million (NZ$1.8 million) after our $554,000 (NZ$710,000) insurance deductible. For the year ended December 31, 2013, we recorded a casualty loss of $46,000 (NZ$59,000) based on the associated net book value of the property as an other income (expense) and a $1.4 million (NZ$1.8 million) insurance receivable in our current receivables at December 31, 2014 and December 31, 2013. Our reduction in operating income will also be offset somewhat by our business interruption insurance subject to the relevant deductible.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27 – Subsequent Events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Los Angeles Doheny Condominium</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As part of a rationalization of our office space, in early December 2014 we listed our Los Angeles Doheny Condominium for sale. At December 31, 2014, this property was classified as an Asset Held for Sale. On February 25, 2015, we consummated a sale contract for this property for a sale price of $3.0 million.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Union Square Property</w:t>
      </w:r>
    </w:p>
    <w:p>
      <w:pPr>
        <w:spacing w:after="0" w:line="145"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On March 10, 2015, the New York Landmark Preservation Society approved our design to the landmarked Union Square property allowing a new glass dome on the roof plus additional entrances, windows and signage adding over 23,000 square feet of rentable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382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w w:val="88"/>
              </w:rPr>
              <w:t>Schedule II – Valuation and Qualifying Accounts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Additions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Balance at</w:t>
            </w:r>
          </w:p>
        </w:tc>
        <w:tc>
          <w:tcPr>
            <w:tcW w:w="2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charged to</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87"/>
              </w:rPr>
              <w:t>beginning of</w:t>
            </w:r>
          </w:p>
        </w:tc>
        <w:tc>
          <w:tcPr>
            <w:tcW w:w="2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0"/>
              </w:rPr>
              <w:t>costs and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w w:val="86"/>
              </w:rPr>
              <w:t>Balance at end</w:t>
            </w:r>
          </w:p>
        </w:tc>
        <w:tc>
          <w:tcPr>
            <w:tcW w:w="0" w:type="dxa"/>
            <w:vAlign w:val="bottom"/>
          </w:tcPr>
          <w:p>
            <w:pPr>
              <w:spacing w:after="0"/>
              <w:rPr>
                <w:sz w:val="1"/>
                <w:szCs w:val="1"/>
                <w:color w:val="auto"/>
              </w:rPr>
            </w:pPr>
          </w:p>
        </w:tc>
      </w:tr>
      <w:tr>
        <w:trPr>
          <w:trHeight w:val="208"/>
        </w:trPr>
        <w:tc>
          <w:tcPr>
            <w:tcW w:w="4360" w:type="dxa"/>
            <w:vAlign w:val="bottom"/>
            <w:tcBorders>
              <w:bottom w:val="single" w:sz="8" w:color="auto"/>
            </w:tcBorders>
            <w:gridSpan w:val="2"/>
          </w:tcPr>
          <w:p>
            <w:pPr>
              <w:ind w:left="1800"/>
              <w:spacing w:after="0"/>
              <w:rPr>
                <w:sz w:val="20"/>
                <w:szCs w:val="20"/>
                <w:color w:val="auto"/>
              </w:rPr>
            </w:pPr>
            <w:r>
              <w:rPr>
                <w:rFonts w:ascii="Arial" w:cs="Arial" w:eastAsia="Arial" w:hAnsi="Arial"/>
                <w:sz w:val="16"/>
                <w:szCs w:val="16"/>
                <w:b w:val="1"/>
                <w:bCs w:val="1"/>
                <w:color w:val="auto"/>
              </w:rPr>
              <w:t>Description</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year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79"/>
              </w:rPr>
              <w:t>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1"/>
              </w:rPr>
              <w:t>Deductions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of year</w:t>
            </w:r>
          </w:p>
        </w:tc>
        <w:tc>
          <w:tcPr>
            <w:tcW w:w="0" w:type="dxa"/>
            <w:vAlign w:val="bottom"/>
          </w:tcPr>
          <w:p>
            <w:pPr>
              <w:spacing w:after="0"/>
              <w:rPr>
                <w:sz w:val="1"/>
                <w:szCs w:val="1"/>
                <w:color w:val="auto"/>
              </w:rPr>
            </w:pPr>
          </w:p>
        </w:tc>
      </w:tr>
      <w:tr>
        <w:trPr>
          <w:trHeight w:val="328"/>
        </w:trPr>
        <w:tc>
          <w:tcPr>
            <w:tcW w:w="4360" w:type="dxa"/>
            <w:vAlign w:val="bottom"/>
            <w:gridSpan w:val="2"/>
          </w:tcPr>
          <w:p>
            <w:pPr>
              <w:spacing w:after="0"/>
              <w:rPr>
                <w:sz w:val="20"/>
                <w:szCs w:val="20"/>
                <w:color w:val="auto"/>
              </w:rPr>
            </w:pPr>
            <w:r>
              <w:rPr>
                <w:rFonts w:ascii="Arial" w:cs="Arial" w:eastAsia="Arial" w:hAnsi="Arial"/>
                <w:sz w:val="16"/>
                <w:szCs w:val="16"/>
                <w:color w:val="auto"/>
              </w:rPr>
              <w:t>Allowance for doubtful accounts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Year-ended December 31, 2014 – Allowance for doubtful accounts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297</w:t>
            </w:r>
          </w:p>
        </w:tc>
        <w:tc>
          <w:tcPr>
            <w:tcW w:w="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493"/>
        </w:trPr>
        <w:tc>
          <w:tcPr>
            <w:tcW w:w="4360" w:type="dxa"/>
            <w:vAlign w:val="bottom"/>
            <w:gridSpan w:val="2"/>
          </w:tcPr>
          <w:p>
            <w:pPr>
              <w:ind w:left="100"/>
              <w:spacing w:after="0"/>
              <w:rPr>
                <w:sz w:val="20"/>
                <w:szCs w:val="20"/>
                <w:color w:val="auto"/>
              </w:rPr>
            </w:pPr>
            <w:r>
              <w:rPr>
                <w:rFonts w:ascii="Arial" w:cs="Arial" w:eastAsia="Arial" w:hAnsi="Arial"/>
                <w:sz w:val="16"/>
                <w:szCs w:val="16"/>
                <w:color w:val="auto"/>
                <w:w w:val="89"/>
              </w:rPr>
              <w:t>Year-ended December 31, 2013 – Allowance for doubtful accounts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209</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505</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494"/>
        </w:trPr>
        <w:tc>
          <w:tcPr>
            <w:tcW w:w="4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Year-ended December 31, 2012 – Allowance for doubtful accounts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367</w:t>
            </w:r>
          </w:p>
        </w:tc>
        <w:tc>
          <w:tcPr>
            <w:tcW w:w="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valuation allowance</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360" w:type="dxa"/>
            <w:vAlign w:val="bottom"/>
            <w:gridSpan w:val="2"/>
          </w:tcPr>
          <w:p>
            <w:pPr>
              <w:spacing w:after="0"/>
              <w:rPr>
                <w:sz w:val="20"/>
                <w:szCs w:val="20"/>
                <w:color w:val="auto"/>
              </w:rPr>
            </w:pPr>
            <w:r>
              <w:rPr>
                <w:rFonts w:ascii="Arial" w:cs="Arial" w:eastAsia="Arial" w:hAnsi="Arial"/>
                <w:sz w:val="16"/>
                <w:szCs w:val="16"/>
                <w:color w:val="auto"/>
              </w:rPr>
              <w:t>Year-ended December 31, 2014 – Tax valuation allowance</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34,022</w:t>
            </w:r>
          </w:p>
        </w:tc>
        <w:tc>
          <w:tcPr>
            <w:tcW w:w="2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17,187</w:t>
            </w:r>
          </w:p>
        </w:tc>
        <w:tc>
          <w:tcPr>
            <w:tcW w:w="1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16,835</w:t>
            </w: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4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Year-ended December 31, 2013 – Tax valuation allowance</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37,903</w:t>
            </w:r>
          </w:p>
        </w:tc>
        <w:tc>
          <w:tcPr>
            <w:tcW w:w="2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34,022</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360" w:type="dxa"/>
            <w:vAlign w:val="bottom"/>
            <w:gridSpan w:val="2"/>
          </w:tcPr>
          <w:p>
            <w:pPr>
              <w:spacing w:after="0"/>
              <w:rPr>
                <w:sz w:val="20"/>
                <w:szCs w:val="20"/>
                <w:color w:val="auto"/>
              </w:rPr>
            </w:pPr>
            <w:r>
              <w:rPr>
                <w:rFonts w:ascii="Arial" w:cs="Arial" w:eastAsia="Arial" w:hAnsi="Arial"/>
                <w:sz w:val="16"/>
                <w:szCs w:val="16"/>
                <w:color w:val="auto"/>
              </w:rPr>
              <w:t>Year-ended December 31, 2012 – Tax valuation allowance</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38,461</w:t>
            </w:r>
          </w:p>
        </w:tc>
        <w:tc>
          <w:tcPr>
            <w:tcW w:w="2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558</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37,903</w:t>
            </w: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672" w:right="1359" w:bottom="1440" w:gutter="0" w:footer="0" w:header="0"/>
        </w:sectPr>
      </w:pPr>
    </w:p>
    <w:bookmarkStart w:id="105" w:name="page106"/>
    <w:bookmarkEnd w:id="105"/>
    <w:p>
      <w:pPr>
        <w:jc w:val="center"/>
        <w:ind w:right="-100"/>
        <w:spacing w:after="0"/>
        <w:rPr>
          <w:sz w:val="20"/>
          <w:szCs w:val="20"/>
          <w:color w:val="auto"/>
        </w:rPr>
      </w:pPr>
      <w:r>
        <w:rPr>
          <w:rFonts w:ascii="Arial" w:cs="Arial" w:eastAsia="Arial" w:hAnsi="Arial"/>
          <w:sz w:val="13"/>
          <w:szCs w:val="13"/>
          <w:b w:val="1"/>
          <w:bCs w:val="1"/>
          <w:u w:val="single" w:color="auto"/>
          <w:color w:val="auto"/>
        </w:rPr>
        <w:t>Item 9 – Change in and Disagreements with Accountants on Accounting and Financial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464" w:right="1440" w:bottom="1440" w:gutter="0" w:footer="0" w:header="0"/>
        </w:sectPr>
      </w:pPr>
    </w:p>
    <w:bookmarkStart w:id="106" w:name="page107"/>
    <w:bookmarkEnd w:id="106"/>
    <w:p>
      <w:pPr>
        <w:ind w:left="3380"/>
        <w:spacing w:after="0"/>
        <w:rPr>
          <w:sz w:val="20"/>
          <w:szCs w:val="20"/>
          <w:color w:val="auto"/>
        </w:rPr>
      </w:pPr>
      <w:r>
        <w:rPr>
          <w:rFonts w:ascii="Arial" w:cs="Arial" w:eastAsia="Arial" w:hAnsi="Arial"/>
          <w:sz w:val="16"/>
          <w:szCs w:val="16"/>
          <w:b w:val="1"/>
          <w:bCs w:val="1"/>
          <w:u w:val="single" w:color="auto"/>
          <w:color w:val="auto"/>
        </w:rPr>
        <w:t>Item 9A — 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90"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55"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5" w:lineRule="exact"/>
        <w:rPr>
          <w:sz w:val="20"/>
          <w:szCs w:val="20"/>
          <w:color w:val="auto"/>
        </w:rPr>
      </w:pPr>
    </w:p>
    <w:p>
      <w:pPr>
        <w:ind w:right="20" w:firstLine="564"/>
        <w:spacing w:after="0" w:line="311" w:lineRule="auto"/>
        <w:rPr>
          <w:sz w:val="20"/>
          <w:szCs w:val="20"/>
          <w:color w:val="auto"/>
        </w:rPr>
      </w:pPr>
      <w:r>
        <w:rPr>
          <w:rFonts w:ascii="Arial" w:cs="Arial" w:eastAsia="Arial" w:hAnsi="Arial"/>
          <w:sz w:val="13"/>
          <w:szCs w:val="13"/>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criteria established in </w:t>
      </w:r>
      <w:r>
        <w:rPr>
          <w:rFonts w:ascii="Arial" w:cs="Arial" w:eastAsia="Arial" w:hAnsi="Arial"/>
          <w:sz w:val="13"/>
          <w:szCs w:val="13"/>
          <w:i w:val="1"/>
          <w:iCs w:val="1"/>
          <w:color w:val="auto"/>
        </w:rPr>
        <w:t>2013 Internal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Control—Integrated Framework </w:t>
      </w:r>
      <w:r>
        <w:rPr>
          <w:rFonts w:ascii="Arial" w:cs="Arial" w:eastAsia="Arial" w:hAnsi="Arial"/>
          <w:sz w:val="13"/>
          <w:szCs w:val="13"/>
          <w:color w:val="auto"/>
        </w:rPr>
        <w:t>issued by the Committee of Sponsoring Organizations (COSO) of the Treadway Commission. In our 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and as reported in our September 30, 2014 filing, our management, identified a material weakness in our internal control over financial reporting based on our discovery that our audited consolidated financial statements for the fiscal year ended December 31, 2013 and unaudited consolidated financial statements for the quarters ended March 31, 2014 and June 30, 2014 erroneously omitted a $1.4 million tax effect of a 2013 year-end transaction by one of our Reading Australia subsidiaries. Properly included, the tax effect would have resulted in an increase in our deferred tax asset and total assets and a corresponding increase in our other consolidated income and total liabilities and shareholders’ equity, but would not have had a material effect on our financial condition or results of operations as reflected in our prior financial statements.</w:t>
      </w:r>
    </w:p>
    <w:p>
      <w:pPr>
        <w:spacing w:after="0" w:line="136" w:lineRule="exact"/>
        <w:rPr>
          <w:sz w:val="20"/>
          <w:szCs w:val="20"/>
          <w:color w:val="auto"/>
        </w:rPr>
      </w:pPr>
    </w:p>
    <w:p>
      <w:pPr>
        <w:ind w:right="220" w:firstLine="564"/>
        <w:spacing w:after="0" w:line="250" w:lineRule="auto"/>
        <w:rPr>
          <w:sz w:val="20"/>
          <w:szCs w:val="20"/>
          <w:color w:val="auto"/>
        </w:rPr>
      </w:pPr>
      <w:r>
        <w:rPr>
          <w:rFonts w:ascii="Arial" w:cs="Arial" w:eastAsia="Arial" w:hAnsi="Arial"/>
          <w:sz w:val="16"/>
          <w:szCs w:val="16"/>
          <w:color w:val="auto"/>
        </w:rPr>
        <w:t>In light of the foregoing, as of December 31, 2014, our management concluded that our internal controls over financial reporting were not effective to ensure that the tax effect of transactions in our foreign jurisdictions was reported. As a means of remediating the material weakness and improving our controls and procedures, we determined to engage tax advisors to support our accounting for taxes in countries in which we have no employees experienced in tax matters. As the remediation efforts are ongoing, the material weakness disclosure remains in place until we have sufficient efficacy of such remediation.</w:t>
      </w:r>
    </w:p>
    <w:p>
      <w:pPr>
        <w:spacing w:after="0" w:line="169"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Our evaluation, carried out under the COSO framework of 2013, found no other instances where our internal control over financial reporting was ineffective as of December 31, 2014. The effectiveness of our internal control over financial reporting as of December 31, 2014 has been audited by Grant Thornton LLP, an independent registered public accounting firm, as stated in their report, which is included herein.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Disclosure Controls and Procedures</w:t>
      </w:r>
    </w:p>
    <w:p>
      <w:pPr>
        <w:spacing w:after="0" w:line="78"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07" w:name="page108"/>
    <w:bookmarkEnd w:id="107"/>
    <w:p>
      <w:pPr>
        <w:jc w:val="both"/>
        <w:spacing w:after="0" w:line="315" w:lineRule="auto"/>
        <w:rPr>
          <w:sz w:val="20"/>
          <w:szCs w:val="20"/>
          <w:color w:val="auto"/>
        </w:rPr>
      </w:pPr>
      <w:r>
        <w:rPr>
          <w:rFonts w:ascii="Arial" w:cs="Arial" w:eastAsia="Arial" w:hAnsi="Arial"/>
          <w:sz w:val="13"/>
          <w:szCs w:val="13"/>
          <w:color w:val="auto"/>
        </w:rPr>
        <w:t>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that evaluation, our Chief Executive Officer and Chief Financial Officer concluded that our disclosure controls and procedures were effective as required by the Securities Exchange Act Rule 13a-15(e) and 15d – 15(e) as of the end of the period covered by this report.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Changes in Internal Controls Over Financial Reporting</w:t>
      </w:r>
    </w:p>
    <w:p>
      <w:pPr>
        <w:spacing w:after="0" w:line="9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No changes in internal control over financial reporting occurred during the quarter ended December 31, 2014, except as to the remediation procedure mentioned above that have materially affected, or are likely to materially affect, our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Reading International, Inc.</w:t>
      </w:r>
    </w:p>
    <w:p>
      <w:pPr>
        <w:spacing w:after="0" w:line="263"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We have audited the internal control over financial reporting of Reading International, Inc. and subsidiaries (the “Company”) as of December 31, 2014, based on criteria established in the 2013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jc w:val="both"/>
        <w:ind w:firstLine="564"/>
        <w:spacing w:after="0" w:line="31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8"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83"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The Company identified a material weakness related to the inadequate design, implementation and operating effectiveness of internal controls over the accounting for income taxes. In our opinion, because of the effect of the material weakness described above on the achievement of the objectives of the control criteria, the Company has not maintained effective internal control over financial reporting as of December 31, 2014, based on criteria established in the 2013 Internal Control—Integrated Framework issued by COSO</w:t>
      </w:r>
    </w:p>
    <w:p>
      <w:pPr>
        <w:spacing w:after="0" w:line="46"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financial statements of the Company as of and for the year ended December 31, 2014, The material weakness identified above was considered in determining the nature, timing, and extent of audit tests applied in our audit of the 2014 consolidated financial statements, and this report does not affect our report dated March 16, 2015 which expressed an unqualified opinion on those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57" w:right="1359" w:bottom="1440" w:gutter="0" w:footer="0" w:header="0"/>
        </w:sectPr>
      </w:pPr>
    </w:p>
    <w:bookmarkStart w:id="109" w:name="page110"/>
    <w:bookmarkEnd w:id="109"/>
    <w:p>
      <w:pPr>
        <w:spacing w:after="0"/>
        <w:tabs>
          <w:tab w:leader="none" w:pos="28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3"/>
          <w:szCs w:val="13"/>
          <w:color w:val="auto"/>
        </w:rPr>
        <w:t>Grant Thornton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101600</wp:posOffset>
            </wp:positionV>
            <wp:extent cx="5872480" cy="47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468"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u w:val="single" w:color="auto"/>
          <w:color w:val="auto"/>
        </w:rPr>
        <w:t>PART III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Items 10, 11, 12, 13 and 14</w:t>
      </w:r>
    </w:p>
    <w:p>
      <w:pPr>
        <w:spacing w:after="0" w:line="9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Information required by Part II (Items 10, 11, 12, 13 and 14) of this From 10-K is hereby incorporated by reference from the Reading International, Inc.’s definitive Proxy Statement for its 2015 Annual Meeting of Stockholders, which will be filed with the Securities and Exchange Commission, pursuant to Regulation 14A, not later than 120 days after the end of the fiscal year.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11" w:name="page112"/>
    <w:bookmarkEnd w:id="111"/>
    <w:p>
      <w:pPr>
        <w:ind w:left="4280"/>
        <w:spacing w:after="0"/>
        <w:rPr>
          <w:sz w:val="20"/>
          <w:szCs w:val="20"/>
          <w:color w:val="auto"/>
        </w:rPr>
      </w:pPr>
      <w:r>
        <w:rPr>
          <w:rFonts w:ascii="Arial" w:cs="Arial" w:eastAsia="Arial" w:hAnsi="Arial"/>
          <w:sz w:val="16"/>
          <w:szCs w:val="16"/>
          <w:b w:val="1"/>
          <w:bCs w:val="1"/>
          <w:u w:val="single" w:color="auto"/>
          <w:color w:val="auto"/>
        </w:rPr>
        <w:t>PART IV</w:t>
      </w:r>
    </w:p>
    <w:p>
      <w:pPr>
        <w:spacing w:after="0" w:line="86" w:lineRule="exact"/>
        <w:rPr>
          <w:sz w:val="20"/>
          <w:szCs w:val="20"/>
          <w:color w:val="auto"/>
        </w:rPr>
      </w:pPr>
    </w:p>
    <w:p>
      <w:pPr>
        <w:ind w:left="2920"/>
        <w:spacing w:after="0"/>
        <w:rPr>
          <w:sz w:val="20"/>
          <w:szCs w:val="20"/>
          <w:color w:val="auto"/>
        </w:rPr>
      </w:pPr>
      <w:r>
        <w:rPr>
          <w:rFonts w:ascii="Arial" w:cs="Arial" w:eastAsia="Arial" w:hAnsi="Arial"/>
          <w:sz w:val="16"/>
          <w:szCs w:val="16"/>
          <w:b w:val="1"/>
          <w:bCs w:val="1"/>
          <w:u w:val="single" w:color="auto"/>
          <w:color w:val="auto"/>
        </w:rPr>
        <w:t>Item 15 – Exhibits,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The following documents are filed as a part of this report:</w:t>
      </w:r>
    </w:p>
    <w:p>
      <w:pPr>
        <w:spacing w:after="0" w:line="157" w:lineRule="exact"/>
        <w:rPr>
          <w:sz w:val="20"/>
          <w:szCs w:val="20"/>
          <w:color w:val="auto"/>
        </w:rPr>
      </w:pPr>
    </w:p>
    <w:p>
      <w:pPr>
        <w:ind w:left="840" w:hanging="557"/>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Financial Statements</w:t>
      </w:r>
    </w:p>
    <w:p>
      <w:pPr>
        <w:spacing w:after="0" w:line="86" w:lineRule="exact"/>
        <w:rPr>
          <w:sz w:val="20"/>
          <w:szCs w:val="20"/>
          <w:color w:val="auto"/>
        </w:rPr>
      </w:pPr>
    </w:p>
    <w:p>
      <w:pPr>
        <w:ind w:right="1039" w:firstLine="59"/>
        <w:spacing w:after="0" w:line="344" w:lineRule="auto"/>
        <w:rPr>
          <w:sz w:val="20"/>
          <w:szCs w:val="20"/>
          <w:color w:val="auto"/>
        </w:rPr>
      </w:pPr>
      <w:r>
        <w:rPr>
          <w:rFonts w:ascii="Arial" w:cs="Arial" w:eastAsia="Arial" w:hAnsi="Arial"/>
          <w:sz w:val="16"/>
          <w:szCs w:val="16"/>
          <w:color w:val="auto"/>
        </w:rPr>
        <w:t xml:space="preserve">The following financial statements are filed as part of this report under Item 8 –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Description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Reports of Independent Registered Accounting Firm (page 55)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as of December 31, 2014 and 2013 (Page 56)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for the Three Years Ended December 31, 2014 (Page 58)</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Comprehensive Income (Loss) for the Three Years Ended December 31, 2014 (page 59)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Stockholders’ Equity for the Three Years Ended December 31, 2014 (Page 60)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Cash Flows for the Three Years Ended December 31, 2014 (Page 61)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Notes to Consolidated Financial Statements (page 63)</w:t>
      </w:r>
    </w:p>
    <w:p>
      <w:pPr>
        <w:spacing w:after="0" w:line="239" w:lineRule="exact"/>
        <w:rPr>
          <w:sz w:val="20"/>
          <w:szCs w:val="20"/>
          <w:color w:val="auto"/>
        </w:rPr>
      </w:pPr>
    </w:p>
    <w:p>
      <w:pPr>
        <w:ind w:left="720" w:hanging="437"/>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Financial Statements and Schedules for the years ended December 31, 2014, 2013, and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40" w:hanging="557"/>
        <w:spacing w:after="0"/>
        <w:tabs>
          <w:tab w:leader="none" w:pos="84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Exhibits (Listed by numbers corresponding to Item 601 of Regulation S-K (page 132)</w:t>
      </w:r>
    </w:p>
    <w:p>
      <w:pPr>
        <w:spacing w:after="0" w:line="74" w:lineRule="exact"/>
        <w:rPr>
          <w:rFonts w:ascii="Arial" w:cs="Arial" w:eastAsia="Arial" w:hAnsi="Arial"/>
          <w:sz w:val="16"/>
          <w:szCs w:val="16"/>
          <w:color w:val="auto"/>
        </w:rPr>
      </w:pPr>
    </w:p>
    <w:p>
      <w:pPr>
        <w:ind w:left="220" w:hanging="218"/>
        <w:spacing w:after="0"/>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Exhibits Required by Item 601 of Regulation S-K</w:t>
      </w:r>
    </w:p>
    <w:p>
      <w:pPr>
        <w:spacing w:after="0" w:line="200" w:lineRule="exact"/>
        <w:rPr>
          <w:sz w:val="20"/>
          <w:szCs w:val="20"/>
          <w:color w:val="auto"/>
        </w:rPr>
      </w:pPr>
    </w:p>
    <w:p>
      <w:pPr>
        <w:spacing w:after="0" w:line="309" w:lineRule="exact"/>
        <w:rPr>
          <w:sz w:val="20"/>
          <w:szCs w:val="20"/>
          <w:color w:val="auto"/>
        </w:rPr>
      </w:pPr>
    </w:p>
    <w:p>
      <w:pPr>
        <w:ind w:right="7019" w:firstLine="2"/>
        <w:spacing w:after="0" w:line="627" w:lineRule="auto"/>
        <w:tabs>
          <w:tab w:leader="none" w:pos="213" w:val="left"/>
        </w:tabs>
        <w:numPr>
          <w:ilvl w:val="0"/>
          <w:numId w:val="40"/>
        </w:numPr>
        <w:rPr>
          <w:rFonts w:ascii="Arial" w:cs="Arial" w:eastAsia="Arial" w:hAnsi="Arial"/>
          <w:sz w:val="13"/>
          <w:szCs w:val="13"/>
          <w:color w:val="auto"/>
        </w:rPr>
      </w:pPr>
      <w:r>
        <w:rPr>
          <w:rFonts w:ascii="Arial" w:cs="Arial" w:eastAsia="Arial" w:hAnsi="Arial"/>
          <w:sz w:val="13"/>
          <w:szCs w:val="13"/>
          <w:color w:val="auto"/>
        </w:rPr>
        <w:t>Financial Statement Schedule See Item (a) 2. above.</w:t>
      </w: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463" w:right="1440" w:bottom="1440" w:gutter="0" w:footer="0" w:header="0"/>
        </w:sectPr>
      </w:pPr>
    </w:p>
    <w:bookmarkStart w:id="112" w:name="page113"/>
    <w:bookmarkEnd w:id="112"/>
    <w:p>
      <w:pPr>
        <w:jc w:val="both"/>
        <w:spacing w:after="0" w:line="255" w:lineRule="auto"/>
        <w:rPr>
          <w:sz w:val="20"/>
          <w:szCs w:val="20"/>
          <w:color w:val="auto"/>
        </w:rPr>
      </w:pPr>
      <w:r>
        <w:rPr>
          <w:rFonts w:ascii="Arial" w:cs="Arial" w:eastAsia="Arial" w:hAnsi="Arial"/>
          <w:sz w:val="16"/>
          <w:szCs w:val="16"/>
          <w:color w:val="auto"/>
        </w:rPr>
        <w:t>Following are financial statements and notes of Mt. Gravatt Cinemas Joint Venture for the periods indicated. We are required to include in our Report on Form 10-K audited financial statements for the year ended December 31, 2012. The financial statements for 2013 and 2014 are unaudited.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Comprehensive Income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2014, 2013 and 2012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6"/>
                <w:szCs w:val="16"/>
                <w:color w:val="auto"/>
              </w:rPr>
            </w:pPr>
          </w:p>
        </w:tc>
        <w:tc>
          <w:tcPr>
            <w:tcW w:w="1160" w:type="dxa"/>
            <w:vAlign w:val="bottom"/>
          </w:tcPr>
          <w:p>
            <w:pPr>
              <w:jc w:val="right"/>
              <w:ind w:right="462"/>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Note</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8"/>
              </w:rPr>
              <w:t>(unaudited)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6"/>
              </w:rPr>
              <w:t>(unaudited)</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2012</w:t>
            </w:r>
          </w:p>
        </w:tc>
      </w:tr>
      <w:tr>
        <w:trPr>
          <w:trHeight w:val="211"/>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Revenue from rendering services</w:t>
            </w:r>
          </w:p>
        </w:tc>
        <w:tc>
          <w:tcPr>
            <w:tcW w:w="124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89"/>
              </w:rPr>
              <w:t>5</w:t>
            </w: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8,297,767</w:t>
            </w:r>
          </w:p>
        </w:tc>
        <w:tc>
          <w:tcPr>
            <w:tcW w:w="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9,765,087</w:t>
            </w:r>
          </w:p>
        </w:tc>
        <w:tc>
          <w:tcPr>
            <w:tcW w:w="4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10,689,440</w:t>
            </w:r>
          </w:p>
        </w:tc>
      </w:tr>
      <w:tr>
        <w:trPr>
          <w:trHeight w:val="223"/>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Revenue from sale of concession</w:t>
            </w:r>
          </w:p>
        </w:tc>
        <w:tc>
          <w:tcPr>
            <w:tcW w:w="1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3,336,351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3,605,822</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4,015,329</w:t>
            </w:r>
          </w:p>
        </w:tc>
      </w:tr>
      <w:tr>
        <w:trPr>
          <w:trHeight w:val="203"/>
        </w:trPr>
        <w:tc>
          <w:tcPr>
            <w:tcW w:w="3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revenue</w:t>
            </w:r>
          </w:p>
        </w:tc>
        <w:tc>
          <w:tcPr>
            <w:tcW w:w="12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11,634,118</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13,370,909</w:t>
            </w: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14,704,769</w:t>
            </w:r>
          </w:p>
        </w:tc>
      </w:tr>
      <w:tr>
        <w:trPr>
          <w:trHeight w:val="145"/>
        </w:trPr>
        <w:tc>
          <w:tcPr>
            <w:tcW w:w="3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Film expenses</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(3,185,233)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(3,797,873)</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(4,311,436)</w:t>
            </w:r>
          </w:p>
        </w:tc>
      </w:tr>
      <w:tr>
        <w:trPr>
          <w:trHeight w:val="223"/>
        </w:trPr>
        <w:tc>
          <w:tcPr>
            <w:tcW w:w="3560" w:type="dxa"/>
            <w:vAlign w:val="bottom"/>
          </w:tcPr>
          <w:p>
            <w:pPr>
              <w:spacing w:after="0"/>
              <w:rPr>
                <w:sz w:val="20"/>
                <w:szCs w:val="20"/>
                <w:color w:val="auto"/>
              </w:rPr>
            </w:pPr>
            <w:r>
              <w:rPr>
                <w:rFonts w:ascii="Arial" w:cs="Arial" w:eastAsia="Arial" w:hAnsi="Arial"/>
                <w:sz w:val="16"/>
                <w:szCs w:val="16"/>
                <w:color w:val="auto"/>
              </w:rPr>
              <w:t>Personnel expenses</w:t>
            </w:r>
          </w:p>
        </w:tc>
        <w:tc>
          <w:tcPr>
            <w:tcW w:w="1240" w:type="dxa"/>
            <w:vAlign w:val="bottom"/>
          </w:tcPr>
          <w:p>
            <w:pPr>
              <w:jc w:val="center"/>
              <w:ind w:left="522"/>
              <w:spacing w:after="0"/>
              <w:rPr>
                <w:sz w:val="20"/>
                <w:szCs w:val="20"/>
                <w:color w:val="auto"/>
              </w:rPr>
            </w:pPr>
            <w:r>
              <w:rPr>
                <w:rFonts w:ascii="Arial" w:cs="Arial" w:eastAsia="Arial" w:hAnsi="Arial"/>
                <w:sz w:val="16"/>
                <w:szCs w:val="16"/>
                <w:color w:val="auto"/>
                <w:w w:val="89"/>
              </w:rPr>
              <w:t>6</w:t>
            </w:r>
          </w:p>
        </w:tc>
        <w:tc>
          <w:tcPr>
            <w:tcW w:w="380" w:type="dxa"/>
            <w:vAlign w:val="bottom"/>
          </w:tcPr>
          <w:p>
            <w:pPr>
              <w:spacing w:after="0"/>
              <w:rPr>
                <w:sz w:val="19"/>
                <w:szCs w:val="19"/>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(1,649,662)</w:t>
            </w:r>
          </w:p>
        </w:tc>
        <w:tc>
          <w:tcPr>
            <w:tcW w:w="320" w:type="dxa"/>
            <w:vAlign w:val="bottom"/>
          </w:tcPr>
          <w:p>
            <w:pPr>
              <w:spacing w:after="0"/>
              <w:rPr>
                <w:sz w:val="19"/>
                <w:szCs w:val="19"/>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(1,681,870)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(1,845,515)</w:t>
            </w:r>
          </w:p>
        </w:tc>
      </w:tr>
      <w:tr>
        <w:trPr>
          <w:trHeight w:val="224"/>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Occupancy expenses</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(1,627,915)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(1,603,302)</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(1,584,751)</w:t>
            </w:r>
          </w:p>
        </w:tc>
      </w:tr>
      <w:tr>
        <w:trPr>
          <w:trHeight w:val="223"/>
        </w:trPr>
        <w:tc>
          <w:tcPr>
            <w:tcW w:w="3560" w:type="dxa"/>
            <w:vAlign w:val="bottom"/>
          </w:tcPr>
          <w:p>
            <w:pPr>
              <w:spacing w:after="0"/>
              <w:rPr>
                <w:sz w:val="20"/>
                <w:szCs w:val="20"/>
                <w:color w:val="auto"/>
              </w:rPr>
            </w:pPr>
            <w:r>
              <w:rPr>
                <w:rFonts w:ascii="Arial" w:cs="Arial" w:eastAsia="Arial" w:hAnsi="Arial"/>
                <w:sz w:val="16"/>
                <w:szCs w:val="16"/>
                <w:color w:val="auto"/>
              </w:rPr>
              <w:t>House expenses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(1,220,587)</w:t>
            </w:r>
          </w:p>
        </w:tc>
        <w:tc>
          <w:tcPr>
            <w:tcW w:w="320" w:type="dxa"/>
            <w:vAlign w:val="bottom"/>
          </w:tcPr>
          <w:p>
            <w:pPr>
              <w:spacing w:after="0"/>
              <w:rPr>
                <w:sz w:val="19"/>
                <w:szCs w:val="19"/>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(1,174,667)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(1,260,328)</w:t>
            </w:r>
          </w:p>
        </w:tc>
      </w:tr>
      <w:tr>
        <w:trPr>
          <w:trHeight w:val="224"/>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Cost of concession</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(714,911)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(853,553)</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(944,355)</w:t>
            </w:r>
          </w:p>
        </w:tc>
      </w:tr>
      <w:tr>
        <w:trPr>
          <w:trHeight w:val="223"/>
        </w:trPr>
        <w:tc>
          <w:tcPr>
            <w:tcW w:w="356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1240" w:type="dxa"/>
            <w:vAlign w:val="bottom"/>
          </w:tcPr>
          <w:p>
            <w:pPr>
              <w:jc w:val="center"/>
              <w:ind w:left="542"/>
              <w:spacing w:after="0"/>
              <w:rPr>
                <w:sz w:val="20"/>
                <w:szCs w:val="20"/>
                <w:color w:val="auto"/>
              </w:rPr>
            </w:pPr>
            <w:r>
              <w:rPr>
                <w:rFonts w:ascii="Arial" w:cs="Arial" w:eastAsia="Arial" w:hAnsi="Arial"/>
                <w:sz w:val="16"/>
                <w:szCs w:val="16"/>
                <w:color w:val="auto"/>
                <w:w w:val="78"/>
              </w:rPr>
              <w:t>11</w:t>
            </w:r>
          </w:p>
        </w:tc>
        <w:tc>
          <w:tcPr>
            <w:tcW w:w="380" w:type="dxa"/>
            <w:vAlign w:val="bottom"/>
          </w:tcPr>
          <w:p>
            <w:pPr>
              <w:spacing w:after="0"/>
              <w:rPr>
                <w:sz w:val="19"/>
                <w:szCs w:val="19"/>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(510,627)</w:t>
            </w:r>
          </w:p>
        </w:tc>
        <w:tc>
          <w:tcPr>
            <w:tcW w:w="320" w:type="dxa"/>
            <w:vAlign w:val="bottom"/>
          </w:tcPr>
          <w:p>
            <w:pPr>
              <w:spacing w:after="0"/>
              <w:rPr>
                <w:sz w:val="19"/>
                <w:szCs w:val="19"/>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(544,271)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(597,349)</w:t>
            </w:r>
          </w:p>
        </w:tc>
      </w:tr>
      <w:tr>
        <w:trPr>
          <w:trHeight w:val="224"/>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Advertising and marketing costs</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(289,525)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(285,815)</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(313,791)</w:t>
            </w:r>
          </w:p>
        </w:tc>
      </w:tr>
      <w:tr>
        <w:trPr>
          <w:trHeight w:val="223"/>
        </w:trPr>
        <w:tc>
          <w:tcPr>
            <w:tcW w:w="3560" w:type="dxa"/>
            <w:vAlign w:val="bottom"/>
          </w:tcPr>
          <w:p>
            <w:pPr>
              <w:spacing w:after="0"/>
              <w:rPr>
                <w:sz w:val="20"/>
                <w:szCs w:val="20"/>
                <w:color w:val="auto"/>
              </w:rPr>
            </w:pPr>
            <w:r>
              <w:rPr>
                <w:rFonts w:ascii="Arial" w:cs="Arial" w:eastAsia="Arial" w:hAnsi="Arial"/>
                <w:sz w:val="16"/>
                <w:szCs w:val="16"/>
                <w:color w:val="auto"/>
              </w:rPr>
              <w:t>Management fees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(277,092)</w:t>
            </w:r>
          </w:p>
        </w:tc>
        <w:tc>
          <w:tcPr>
            <w:tcW w:w="320" w:type="dxa"/>
            <w:vAlign w:val="bottom"/>
          </w:tcPr>
          <w:p>
            <w:pPr>
              <w:spacing w:after="0"/>
              <w:rPr>
                <w:sz w:val="19"/>
                <w:szCs w:val="19"/>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(267,901)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(261,004)</w:t>
            </w:r>
          </w:p>
        </w:tc>
      </w:tr>
      <w:tr>
        <w:trPr>
          <w:trHeight w:val="223"/>
        </w:trPr>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Repairs and maintenance expense</w:t>
            </w: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(201,217)</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(155,198)</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(217,289)</w:t>
            </w:r>
          </w:p>
        </w:tc>
      </w:tr>
      <w:tr>
        <w:trPr>
          <w:trHeight w:val="203"/>
        </w:trPr>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Results for operating activities</w:t>
            </w: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1,957,349</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3,006,459</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3,368,951</w:t>
            </w:r>
          </w:p>
        </w:tc>
      </w:tr>
      <w:tr>
        <w:trPr>
          <w:trHeight w:val="145"/>
        </w:trPr>
        <w:tc>
          <w:tcPr>
            <w:tcW w:w="3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3"/>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Finance income</w:t>
            </w:r>
          </w:p>
        </w:tc>
        <w:tc>
          <w:tcPr>
            <w:tcW w:w="1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8,726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11,922</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21,256</w:t>
            </w:r>
          </w:p>
        </w:tc>
      </w:tr>
      <w:tr>
        <w:trPr>
          <w:trHeight w:val="203"/>
        </w:trPr>
        <w:tc>
          <w:tcPr>
            <w:tcW w:w="3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Net finance income</w:t>
            </w:r>
          </w:p>
        </w:tc>
        <w:tc>
          <w:tcPr>
            <w:tcW w:w="1240" w:type="dxa"/>
            <w:vAlign w:val="bottom"/>
            <w:tcBorders>
              <w:bottom w:val="single" w:sz="8" w:color="auto"/>
            </w:tcBorders>
            <w:shd w:val="clear" w:color="auto" w:fill="CCEEFF"/>
          </w:tcPr>
          <w:p>
            <w:pPr>
              <w:jc w:val="center"/>
              <w:ind w:left="522"/>
              <w:spacing w:after="0"/>
              <w:rPr>
                <w:sz w:val="20"/>
                <w:szCs w:val="20"/>
                <w:color w:val="auto"/>
              </w:rPr>
            </w:pPr>
            <w:r>
              <w:rPr>
                <w:rFonts w:ascii="Arial" w:cs="Arial" w:eastAsia="Arial" w:hAnsi="Arial"/>
                <w:sz w:val="16"/>
                <w:szCs w:val="16"/>
                <w:color w:val="auto"/>
                <w:w w:val="89"/>
              </w:rPr>
              <w:t>7</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8,726</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11,922</w:t>
            </w: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21,256</w:t>
            </w:r>
          </w:p>
        </w:tc>
      </w:tr>
      <w:tr>
        <w:trPr>
          <w:trHeight w:val="203"/>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1,966,075</w:t>
            </w: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3,018,381</w:t>
            </w:r>
          </w:p>
        </w:tc>
        <w:tc>
          <w:tcPr>
            <w:tcW w:w="4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3,390,207</w:t>
            </w:r>
          </w:p>
        </w:tc>
      </w:tr>
      <w:tr>
        <w:trPr>
          <w:trHeight w:val="145"/>
        </w:trPr>
        <w:tc>
          <w:tcPr>
            <w:tcW w:w="3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comprehensive income for the period</w:t>
            </w: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1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1,966,075</w:t>
            </w: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3,018,381</w:t>
            </w:r>
          </w:p>
        </w:tc>
        <w:tc>
          <w:tcPr>
            <w:tcW w:w="4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3,390,207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Changes in Equity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2014, 2013 and 2012</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2"/>
              <w:spacing w:after="0"/>
              <w:rPr>
                <w:sz w:val="20"/>
                <w:szCs w:val="20"/>
                <w:color w:val="auto"/>
              </w:rPr>
            </w:pPr>
            <w:r>
              <w:rPr>
                <w:rFonts w:ascii="Arial" w:cs="Arial" w:eastAsia="Arial" w:hAnsi="Arial"/>
                <w:sz w:val="16"/>
                <w:szCs w:val="16"/>
                <w:b w:val="1"/>
                <w:bCs w:val="1"/>
                <w:color w:val="auto"/>
                <w:w w:val="89"/>
              </w:rPr>
              <w:t>Village</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8"/>
        </w:trPr>
        <w:tc>
          <w:tcPr>
            <w:tcW w:w="3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center"/>
              <w:ind w:right="22"/>
              <w:spacing w:after="0"/>
              <w:rPr>
                <w:sz w:val="20"/>
                <w:szCs w:val="20"/>
                <w:color w:val="auto"/>
              </w:rPr>
            </w:pPr>
            <w:r>
              <w:rPr>
                <w:rFonts w:ascii="Arial" w:cs="Arial" w:eastAsia="Arial" w:hAnsi="Arial"/>
                <w:sz w:val="16"/>
                <w:szCs w:val="16"/>
                <w:b w:val="1"/>
                <w:bCs w:val="1"/>
                <w:color w:val="auto"/>
                <w:w w:val="92"/>
              </w:rPr>
              <w:t>Birch Carroll</w:t>
            </w:r>
          </w:p>
        </w:tc>
        <w:tc>
          <w:tcPr>
            <w:tcW w:w="160" w:type="dxa"/>
            <w:vAlign w:val="bottom"/>
          </w:tcPr>
          <w:p>
            <w:pPr>
              <w:spacing w:after="0"/>
              <w:rPr>
                <w:sz w:val="16"/>
                <w:szCs w:val="16"/>
                <w:color w:val="auto"/>
              </w:rPr>
            </w:pPr>
          </w:p>
        </w:tc>
        <w:tc>
          <w:tcPr>
            <w:tcW w:w="1120" w:type="dxa"/>
            <w:vAlign w:val="bottom"/>
          </w:tcPr>
          <w:p>
            <w:pPr>
              <w:jc w:val="center"/>
              <w:ind w:right="2"/>
              <w:spacing w:after="0"/>
              <w:rPr>
                <w:sz w:val="20"/>
                <w:szCs w:val="20"/>
                <w:color w:val="auto"/>
              </w:rPr>
            </w:pPr>
            <w:r>
              <w:rPr>
                <w:rFonts w:ascii="Arial" w:cs="Arial" w:eastAsia="Arial" w:hAnsi="Arial"/>
                <w:sz w:val="16"/>
                <w:szCs w:val="16"/>
                <w:b w:val="1"/>
                <w:bCs w:val="1"/>
                <w:color w:val="auto"/>
                <w:w w:val="88"/>
              </w:rPr>
              <w:t>Reading</w:t>
            </w:r>
          </w:p>
        </w:tc>
        <w:tc>
          <w:tcPr>
            <w:tcW w:w="160" w:type="dxa"/>
            <w:vAlign w:val="bottom"/>
          </w:tcPr>
          <w:p>
            <w:pPr>
              <w:spacing w:after="0"/>
              <w:rPr>
                <w:sz w:val="16"/>
                <w:szCs w:val="16"/>
                <w:color w:val="auto"/>
              </w:rPr>
            </w:pPr>
          </w:p>
        </w:tc>
        <w:tc>
          <w:tcPr>
            <w:tcW w:w="1100" w:type="dxa"/>
            <w:vAlign w:val="bottom"/>
          </w:tcPr>
          <w:p>
            <w:pPr>
              <w:jc w:val="center"/>
              <w:ind w:right="2"/>
              <w:spacing w:after="0"/>
              <w:rPr>
                <w:sz w:val="20"/>
                <w:szCs w:val="20"/>
                <w:color w:val="auto"/>
              </w:rPr>
            </w:pPr>
            <w:r>
              <w:rPr>
                <w:rFonts w:ascii="Arial" w:cs="Arial" w:eastAsia="Arial" w:hAnsi="Arial"/>
                <w:sz w:val="16"/>
                <w:szCs w:val="16"/>
                <w:b w:val="1"/>
                <w:bCs w:val="1"/>
                <w:color w:val="auto"/>
                <w:w w:val="86"/>
              </w:rPr>
              <w:t>Roadshow</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8"/>
        </w:trPr>
        <w:tc>
          <w:tcPr>
            <w:tcW w:w="3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center"/>
              <w:ind w:right="22"/>
              <w:spacing w:after="0"/>
              <w:rPr>
                <w:sz w:val="20"/>
                <w:szCs w:val="20"/>
                <w:color w:val="auto"/>
              </w:rPr>
            </w:pPr>
            <w:r>
              <w:rPr>
                <w:rFonts w:ascii="Arial" w:cs="Arial" w:eastAsia="Arial" w:hAnsi="Arial"/>
                <w:sz w:val="16"/>
                <w:szCs w:val="16"/>
                <w:b w:val="1"/>
                <w:bCs w:val="1"/>
                <w:color w:val="auto"/>
                <w:w w:val="90"/>
              </w:rPr>
              <w:t>&amp; Coyle</w:t>
            </w:r>
          </w:p>
        </w:tc>
        <w:tc>
          <w:tcPr>
            <w:tcW w:w="160" w:type="dxa"/>
            <w:vAlign w:val="bottom"/>
          </w:tcPr>
          <w:p>
            <w:pPr>
              <w:spacing w:after="0"/>
              <w:rPr>
                <w:sz w:val="16"/>
                <w:szCs w:val="16"/>
                <w:color w:val="auto"/>
              </w:rPr>
            </w:pPr>
          </w:p>
        </w:tc>
        <w:tc>
          <w:tcPr>
            <w:tcW w:w="1120" w:type="dxa"/>
            <w:vAlign w:val="bottom"/>
          </w:tcPr>
          <w:p>
            <w:pPr>
              <w:jc w:val="center"/>
              <w:ind w:right="2"/>
              <w:spacing w:after="0"/>
              <w:rPr>
                <w:sz w:val="20"/>
                <w:szCs w:val="20"/>
                <w:color w:val="auto"/>
              </w:rPr>
            </w:pPr>
            <w:r>
              <w:rPr>
                <w:rFonts w:ascii="Arial" w:cs="Arial" w:eastAsia="Arial" w:hAnsi="Arial"/>
                <w:sz w:val="16"/>
                <w:szCs w:val="16"/>
                <w:b w:val="1"/>
                <w:bCs w:val="1"/>
                <w:color w:val="auto"/>
                <w:w w:val="89"/>
              </w:rPr>
              <w:t>Exhibition Pty</w:t>
            </w:r>
          </w:p>
        </w:tc>
        <w:tc>
          <w:tcPr>
            <w:tcW w:w="160" w:type="dxa"/>
            <w:vAlign w:val="bottom"/>
          </w:tcPr>
          <w:p>
            <w:pPr>
              <w:spacing w:after="0"/>
              <w:rPr>
                <w:sz w:val="16"/>
                <w:szCs w:val="16"/>
                <w:color w:val="auto"/>
              </w:rPr>
            </w:pPr>
          </w:p>
        </w:tc>
        <w:tc>
          <w:tcPr>
            <w:tcW w:w="1100" w:type="dxa"/>
            <w:vAlign w:val="bottom"/>
          </w:tcPr>
          <w:p>
            <w:pPr>
              <w:jc w:val="center"/>
              <w:ind w:right="22"/>
              <w:spacing w:after="0"/>
              <w:rPr>
                <w:sz w:val="20"/>
                <w:szCs w:val="20"/>
                <w:color w:val="auto"/>
              </w:rPr>
            </w:pPr>
            <w:r>
              <w:rPr>
                <w:rFonts w:ascii="Arial" w:cs="Arial" w:eastAsia="Arial" w:hAnsi="Arial"/>
                <w:sz w:val="16"/>
                <w:szCs w:val="16"/>
                <w:b w:val="1"/>
                <w:bCs w:val="1"/>
                <w:color w:val="auto"/>
                <w:w w:val="89"/>
              </w:rPr>
              <w:t>Exhibition Pty</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4"/>
              </w:rPr>
              <w:t>Limited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96"/>
              </w:rPr>
              <w:t>Ltd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6"/>
              </w:rPr>
              <w:t>Ltd</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Total</w:t>
            </w:r>
          </w:p>
        </w:tc>
      </w:tr>
      <w:tr>
        <w:trPr>
          <w:trHeight w:val="215"/>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Members’ Equity at January 1, 2012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1,580,705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1,580,705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1,580,705</w:t>
            </w:r>
          </w:p>
        </w:tc>
        <w:tc>
          <w:tcPr>
            <w:tcW w:w="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4,742,115</w:t>
            </w:r>
          </w:p>
        </w:tc>
      </w:tr>
      <w:tr>
        <w:trPr>
          <w:trHeight w:val="223"/>
        </w:trPr>
        <w:tc>
          <w:tcPr>
            <w:tcW w:w="3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5"/>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Member distributions</w:t>
            </w: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(1,350,000)</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(1,350,000)</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(1,350,000)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(4,050,000)</w:t>
            </w:r>
          </w:p>
        </w:tc>
      </w:tr>
      <w:tr>
        <w:trPr>
          <w:trHeight w:val="234"/>
        </w:trPr>
        <w:tc>
          <w:tcPr>
            <w:tcW w:w="3860" w:type="dxa"/>
            <w:vAlign w:val="bottom"/>
          </w:tcPr>
          <w:p>
            <w:pPr>
              <w:spacing w:after="0"/>
              <w:rPr>
                <w:sz w:val="20"/>
                <w:szCs w:val="20"/>
                <w:color w:val="auto"/>
              </w:rPr>
            </w:pPr>
            <w:r>
              <w:rPr>
                <w:rFonts w:ascii="Arial" w:cs="Arial" w:eastAsia="Arial" w:hAnsi="Arial"/>
                <w:sz w:val="16"/>
                <w:szCs w:val="16"/>
                <w:color w:val="auto"/>
              </w:rPr>
              <w:t>Total other comprehensive income</w:t>
            </w:r>
          </w:p>
        </w:tc>
        <w:tc>
          <w:tcPr>
            <w:tcW w:w="5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5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1,130,069</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1,130,069</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1,130,069</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3,390,207</w:t>
            </w:r>
          </w:p>
        </w:tc>
      </w:tr>
      <w:tr>
        <w:trPr>
          <w:trHeight w:val="215"/>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for the period</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1,130,069</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1,130,069</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1,130,069</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3,390,207</w:t>
            </w:r>
          </w:p>
        </w:tc>
      </w:tr>
      <w:tr>
        <w:trPr>
          <w:trHeight w:val="207"/>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Members’ Equity at December 31, 2012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1,360,774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1,360,774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1,360,774</w:t>
            </w:r>
          </w:p>
        </w:tc>
        <w:tc>
          <w:tcPr>
            <w:tcW w:w="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4,082,322</w:t>
            </w:r>
          </w:p>
        </w:tc>
      </w:tr>
      <w:tr>
        <w:trPr>
          <w:trHeight w:val="223"/>
        </w:trPr>
        <w:tc>
          <w:tcPr>
            <w:tcW w:w="3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5"/>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Member distributions (unaudited)</w:t>
            </w: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(1,100,000)</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(1,100,000)</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(1,100,000)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(3,300,000)</w:t>
            </w:r>
          </w:p>
        </w:tc>
      </w:tr>
      <w:tr>
        <w:trPr>
          <w:trHeight w:val="234"/>
        </w:trPr>
        <w:tc>
          <w:tcPr>
            <w:tcW w:w="3860" w:type="dxa"/>
            <w:vAlign w:val="bottom"/>
          </w:tcPr>
          <w:p>
            <w:pPr>
              <w:spacing w:after="0"/>
              <w:rPr>
                <w:sz w:val="20"/>
                <w:szCs w:val="20"/>
                <w:color w:val="auto"/>
              </w:rPr>
            </w:pPr>
            <w:r>
              <w:rPr>
                <w:rFonts w:ascii="Arial" w:cs="Arial" w:eastAsia="Arial" w:hAnsi="Arial"/>
                <w:sz w:val="16"/>
                <w:szCs w:val="16"/>
                <w:color w:val="auto"/>
              </w:rPr>
              <w:t>Total other comprehensive income (unaudited)</w:t>
            </w:r>
          </w:p>
        </w:tc>
        <w:tc>
          <w:tcPr>
            <w:tcW w:w="5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Profit for the period (unaudited)</w:t>
            </w:r>
          </w:p>
        </w:tc>
        <w:tc>
          <w:tcPr>
            <w:tcW w:w="5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1,006,127</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1,006,127</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1,006,127</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3,018,381</w:t>
            </w:r>
          </w:p>
        </w:tc>
      </w:tr>
      <w:tr>
        <w:trPr>
          <w:trHeight w:val="532"/>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8"/>
              </w:rPr>
              <w:t>Total comprehensive income for the period (unaudited)</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1,006,127</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1,006,127</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1,006,127</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3,018,381</w:t>
            </w:r>
          </w:p>
        </w:tc>
      </w:tr>
      <w:tr>
        <w:trPr>
          <w:trHeight w:val="513"/>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9"/>
              </w:rPr>
              <w:t>Members’ Equity at December 31, 2013 (unaudited)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1,266,901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1,266,901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1,266,901</w:t>
            </w:r>
          </w:p>
        </w:tc>
        <w:tc>
          <w:tcPr>
            <w:tcW w:w="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3,800,703</w:t>
            </w:r>
          </w:p>
        </w:tc>
      </w:tr>
      <w:tr>
        <w:trPr>
          <w:trHeight w:val="223"/>
        </w:trPr>
        <w:tc>
          <w:tcPr>
            <w:tcW w:w="3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5"/>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Member distributions (unaudited)</w:t>
            </w: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(820,000)</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(820,000)</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(820,000)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(2,460,000)</w:t>
            </w:r>
          </w:p>
        </w:tc>
      </w:tr>
      <w:tr>
        <w:trPr>
          <w:trHeight w:val="234"/>
        </w:trPr>
        <w:tc>
          <w:tcPr>
            <w:tcW w:w="3860" w:type="dxa"/>
            <w:vAlign w:val="bottom"/>
          </w:tcPr>
          <w:p>
            <w:pPr>
              <w:spacing w:after="0"/>
              <w:rPr>
                <w:sz w:val="20"/>
                <w:szCs w:val="20"/>
                <w:color w:val="auto"/>
              </w:rPr>
            </w:pPr>
            <w:r>
              <w:rPr>
                <w:rFonts w:ascii="Arial" w:cs="Arial" w:eastAsia="Arial" w:hAnsi="Arial"/>
                <w:sz w:val="16"/>
                <w:szCs w:val="16"/>
                <w:color w:val="auto"/>
              </w:rPr>
              <w:t>Total other comprehensive income (unaudited)</w:t>
            </w:r>
          </w:p>
        </w:tc>
        <w:tc>
          <w:tcPr>
            <w:tcW w:w="5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Profit for the period (unaudited)</w:t>
            </w:r>
          </w:p>
        </w:tc>
        <w:tc>
          <w:tcPr>
            <w:tcW w:w="5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655,358</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655,358</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655,359</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1,966,075</w:t>
            </w:r>
          </w:p>
        </w:tc>
      </w:tr>
      <w:tr>
        <w:trPr>
          <w:trHeight w:val="485"/>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8"/>
              </w:rPr>
              <w:t>Total comprehensive income for the period (unaudited)</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655,358</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655,358</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655,359</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1,966,075</w:t>
            </w:r>
          </w:p>
        </w:tc>
      </w:tr>
      <w:tr>
        <w:trPr>
          <w:trHeight w:val="477"/>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9"/>
              </w:rPr>
              <w:t>Members’ Equity at December 31, 2014 (unaudited)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1,102,259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1,102,259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1,102,260</w:t>
            </w:r>
          </w:p>
        </w:tc>
        <w:tc>
          <w:tcPr>
            <w:tcW w:w="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3,306,778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Financial Position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at December 31, 2014 and 2013</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jc w:val="right"/>
              <w:ind w:right="702"/>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6"/>
                <w:szCs w:val="16"/>
                <w:color w:val="auto"/>
              </w:rPr>
            </w:pPr>
          </w:p>
        </w:tc>
        <w:tc>
          <w:tcPr>
            <w:tcW w:w="1000" w:type="dxa"/>
            <w:vAlign w:val="bottom"/>
          </w:tcPr>
          <w:p>
            <w:pPr>
              <w:jc w:val="right"/>
              <w:ind w:right="302"/>
              <w:spacing w:after="0"/>
              <w:rPr>
                <w:sz w:val="20"/>
                <w:szCs w:val="20"/>
                <w:color w:val="auto"/>
              </w:rPr>
            </w:pPr>
            <w:r>
              <w:rPr>
                <w:rFonts w:ascii="Arial" w:cs="Arial" w:eastAsia="Arial" w:hAnsi="Arial"/>
                <w:sz w:val="16"/>
                <w:szCs w:val="16"/>
                <w:b w:val="1"/>
                <w:bCs w:val="1"/>
                <w:color w:val="auto"/>
              </w:rPr>
              <w:t>2013</w:t>
            </w:r>
          </w:p>
        </w:tc>
      </w:tr>
      <w:tr>
        <w:trPr>
          <w:trHeight w:val="208"/>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22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Note</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w w:val="96"/>
              </w:rPr>
              <w:t>(unaudited)</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6"/>
              </w:rPr>
              <w:t>(unaudited)</w:t>
            </w:r>
          </w:p>
        </w:tc>
      </w:tr>
      <w:tr>
        <w:trPr>
          <w:trHeight w:val="211"/>
        </w:trPr>
        <w:tc>
          <w:tcPr>
            <w:tcW w:w="32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9"/>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20" w:type="dxa"/>
            <w:vAlign w:val="bottom"/>
            <w:shd w:val="clear" w:color="auto" w:fill="CCEEFF"/>
          </w:tcPr>
          <w:p>
            <w:pPr>
              <w:jc w:val="center"/>
              <w:ind w:left="742"/>
              <w:spacing w:after="0"/>
              <w:rPr>
                <w:sz w:val="20"/>
                <w:szCs w:val="20"/>
                <w:color w:val="auto"/>
              </w:rPr>
            </w:pPr>
            <w:r>
              <w:rPr>
                <w:rFonts w:ascii="Arial" w:cs="Arial" w:eastAsia="Arial" w:hAnsi="Arial"/>
                <w:sz w:val="16"/>
                <w:szCs w:val="16"/>
                <w:color w:val="auto"/>
                <w:w w:val="89"/>
              </w:rPr>
              <w:t>8</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880,026</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694,392</w:t>
            </w:r>
          </w:p>
        </w:tc>
      </w:tr>
      <w:tr>
        <w:trPr>
          <w:trHeight w:val="258"/>
        </w:trPr>
        <w:tc>
          <w:tcPr>
            <w:tcW w:w="3260" w:type="dxa"/>
            <w:vAlign w:val="bottom"/>
          </w:tcPr>
          <w:p>
            <w:pPr>
              <w:spacing w:after="0"/>
              <w:rPr>
                <w:sz w:val="20"/>
                <w:szCs w:val="20"/>
                <w:color w:val="auto"/>
              </w:rPr>
            </w:pPr>
            <w:r>
              <w:rPr>
                <w:rFonts w:ascii="Arial" w:cs="Arial" w:eastAsia="Arial" w:hAnsi="Arial"/>
                <w:sz w:val="16"/>
                <w:szCs w:val="16"/>
                <w:color w:val="auto"/>
              </w:rPr>
              <w:t>Trade receivables</w:t>
            </w:r>
          </w:p>
        </w:tc>
        <w:tc>
          <w:tcPr>
            <w:tcW w:w="2220" w:type="dxa"/>
            <w:vAlign w:val="bottom"/>
          </w:tcPr>
          <w:p>
            <w:pPr>
              <w:jc w:val="center"/>
              <w:ind w:left="742"/>
              <w:spacing w:after="0"/>
              <w:rPr>
                <w:sz w:val="20"/>
                <w:szCs w:val="20"/>
                <w:color w:val="auto"/>
              </w:rPr>
            </w:pPr>
            <w:r>
              <w:rPr>
                <w:rFonts w:ascii="Arial" w:cs="Arial" w:eastAsia="Arial" w:hAnsi="Arial"/>
                <w:sz w:val="16"/>
                <w:szCs w:val="16"/>
                <w:color w:val="auto"/>
                <w:w w:val="89"/>
              </w:rPr>
              <w:t>9</w:t>
            </w:r>
          </w:p>
        </w:tc>
        <w:tc>
          <w:tcPr>
            <w:tcW w:w="720" w:type="dxa"/>
            <w:vAlign w:val="bottom"/>
          </w:tcPr>
          <w:p>
            <w:pPr>
              <w:spacing w:after="0"/>
              <w:rPr>
                <w:sz w:val="22"/>
                <w:szCs w:val="22"/>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145,056</w:t>
            </w:r>
          </w:p>
        </w:tc>
        <w:tc>
          <w:tcPr>
            <w:tcW w:w="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172,293</w:t>
            </w:r>
          </w:p>
        </w:tc>
      </w:tr>
      <w:tr>
        <w:trPr>
          <w:trHeight w:val="258"/>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Inventories</w:t>
            </w:r>
          </w:p>
        </w:tc>
        <w:tc>
          <w:tcPr>
            <w:tcW w:w="2220" w:type="dxa"/>
            <w:vAlign w:val="bottom"/>
            <w:tcBorders>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89"/>
              </w:rPr>
              <w:t>10</w:t>
            </w:r>
          </w:p>
        </w:tc>
        <w:tc>
          <w:tcPr>
            <w:tcW w:w="7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79,809</w:t>
            </w:r>
          </w:p>
        </w:tc>
        <w:tc>
          <w:tcPr>
            <w:tcW w:w="5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126,947</w:t>
            </w:r>
          </w:p>
        </w:tc>
      </w:tr>
      <w:tr>
        <w:trPr>
          <w:trHeight w:val="238"/>
        </w:trPr>
        <w:tc>
          <w:tcPr>
            <w:tcW w:w="326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2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1,104,891</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993,632</w:t>
            </w:r>
          </w:p>
        </w:tc>
      </w:tr>
      <w:tr>
        <w:trPr>
          <w:trHeight w:val="258"/>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220" w:type="dxa"/>
            <w:vAlign w:val="bottom"/>
            <w:tcBorders>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89"/>
              </w:rPr>
              <w:t>11</w:t>
            </w:r>
          </w:p>
        </w:tc>
        <w:tc>
          <w:tcPr>
            <w:tcW w:w="7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3,207,150</w:t>
            </w:r>
          </w:p>
        </w:tc>
        <w:tc>
          <w:tcPr>
            <w:tcW w:w="5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3,681,951</w:t>
            </w:r>
          </w:p>
        </w:tc>
      </w:tr>
      <w:tr>
        <w:trPr>
          <w:trHeight w:val="238"/>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2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3,207,150</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3,681,951</w:t>
            </w:r>
          </w:p>
        </w:tc>
      </w:tr>
      <w:tr>
        <w:trPr>
          <w:trHeight w:val="231"/>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4,312,041</w:t>
            </w: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4,675,583</w:t>
            </w:r>
          </w:p>
        </w:tc>
      </w:tr>
      <w:tr>
        <w:trPr>
          <w:trHeight w:val="211"/>
        </w:trPr>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7"/>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w:t>
            </w:r>
          </w:p>
        </w:tc>
        <w:tc>
          <w:tcPr>
            <w:tcW w:w="2220" w:type="dxa"/>
            <w:vAlign w:val="bottom"/>
            <w:shd w:val="clear" w:color="auto" w:fill="CCEEFF"/>
          </w:tcPr>
          <w:p>
            <w:pPr>
              <w:jc w:val="center"/>
              <w:ind w:left="742"/>
              <w:spacing w:after="0"/>
              <w:rPr>
                <w:sz w:val="20"/>
                <w:szCs w:val="20"/>
                <w:color w:val="auto"/>
              </w:rPr>
            </w:pPr>
            <w:r>
              <w:rPr>
                <w:rFonts w:ascii="Arial" w:cs="Arial" w:eastAsia="Arial" w:hAnsi="Arial"/>
                <w:sz w:val="16"/>
                <w:szCs w:val="16"/>
                <w:color w:val="auto"/>
                <w:w w:val="89"/>
              </w:rPr>
              <w:t>12</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633,418</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636,832</w:t>
            </w:r>
          </w:p>
        </w:tc>
      </w:tr>
      <w:tr>
        <w:trPr>
          <w:trHeight w:val="246"/>
        </w:trPr>
        <w:tc>
          <w:tcPr>
            <w:tcW w:w="3260" w:type="dxa"/>
            <w:vAlign w:val="bottom"/>
          </w:tcPr>
          <w:p>
            <w:pPr>
              <w:spacing w:after="0"/>
              <w:rPr>
                <w:sz w:val="20"/>
                <w:szCs w:val="20"/>
                <w:color w:val="auto"/>
              </w:rPr>
            </w:pPr>
            <w:r>
              <w:rPr>
                <w:rFonts w:ascii="Arial" w:cs="Arial" w:eastAsia="Arial" w:hAnsi="Arial"/>
                <w:sz w:val="16"/>
                <w:szCs w:val="16"/>
                <w:color w:val="auto"/>
              </w:rPr>
              <w:t>Employee benefits</w:t>
            </w:r>
          </w:p>
        </w:tc>
        <w:tc>
          <w:tcPr>
            <w:tcW w:w="2220" w:type="dxa"/>
            <w:vAlign w:val="bottom"/>
          </w:tcPr>
          <w:p>
            <w:pPr>
              <w:jc w:val="center"/>
              <w:ind w:left="742"/>
              <w:spacing w:after="0"/>
              <w:rPr>
                <w:sz w:val="20"/>
                <w:szCs w:val="20"/>
                <w:color w:val="auto"/>
              </w:rPr>
            </w:pPr>
            <w:r>
              <w:rPr>
                <w:rFonts w:ascii="Arial" w:cs="Arial" w:eastAsia="Arial" w:hAnsi="Arial"/>
                <w:sz w:val="16"/>
                <w:szCs w:val="16"/>
                <w:color w:val="auto"/>
                <w:w w:val="89"/>
              </w:rPr>
              <w:t>13</w:t>
            </w:r>
          </w:p>
        </w:tc>
        <w:tc>
          <w:tcPr>
            <w:tcW w:w="720" w:type="dxa"/>
            <w:vAlign w:val="bottom"/>
          </w:tcPr>
          <w:p>
            <w:pPr>
              <w:spacing w:after="0"/>
              <w:rPr>
                <w:sz w:val="21"/>
                <w:szCs w:val="21"/>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184,102</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172,496</w:t>
            </w:r>
          </w:p>
        </w:tc>
      </w:tr>
      <w:tr>
        <w:trPr>
          <w:trHeight w:val="247"/>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220" w:type="dxa"/>
            <w:vAlign w:val="bottom"/>
            <w:tcBorders>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89"/>
              </w:rPr>
              <w:t>14</w:t>
            </w:r>
          </w:p>
        </w:tc>
        <w:tc>
          <w:tcPr>
            <w:tcW w:w="7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141,067</w:t>
            </w: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32,297</w:t>
            </w:r>
          </w:p>
        </w:tc>
      </w:tr>
      <w:tr>
        <w:trPr>
          <w:trHeight w:val="227"/>
        </w:trPr>
        <w:tc>
          <w:tcPr>
            <w:tcW w:w="326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958,587</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841,625</w:t>
            </w:r>
          </w:p>
        </w:tc>
      </w:tr>
      <w:tr>
        <w:trPr>
          <w:trHeight w:val="247"/>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Employee benefits</w:t>
            </w:r>
          </w:p>
        </w:tc>
        <w:tc>
          <w:tcPr>
            <w:tcW w:w="2220" w:type="dxa"/>
            <w:vAlign w:val="bottom"/>
            <w:tcBorders>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89"/>
              </w:rPr>
              <w:t>13</w:t>
            </w:r>
          </w:p>
        </w:tc>
        <w:tc>
          <w:tcPr>
            <w:tcW w:w="7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46,676</w:t>
            </w: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33,255</w:t>
            </w:r>
          </w:p>
        </w:tc>
      </w:tr>
      <w:tr>
        <w:trPr>
          <w:trHeight w:val="238"/>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2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46,676</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33,255</w:t>
            </w:r>
          </w:p>
        </w:tc>
      </w:tr>
      <w:tr>
        <w:trPr>
          <w:trHeight w:val="231"/>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2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1,005,263</w:t>
            </w:r>
          </w:p>
        </w:tc>
        <w:tc>
          <w:tcPr>
            <w:tcW w:w="5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874,880</w:t>
            </w:r>
          </w:p>
        </w:tc>
      </w:tr>
      <w:tr>
        <w:trPr>
          <w:trHeight w:val="211"/>
        </w:trPr>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assets</w:t>
            </w:r>
          </w:p>
        </w:tc>
        <w:tc>
          <w:tcPr>
            <w:tcW w:w="2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3,306,778</w:t>
            </w: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3,800,703</w:t>
            </w:r>
          </w:p>
        </w:tc>
      </w:tr>
      <w:tr>
        <w:trPr>
          <w:trHeight w:val="211"/>
        </w:trPr>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3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2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6"/>
                <w:szCs w:val="16"/>
                <w:color w:val="auto"/>
              </w:rPr>
              <w:t>Contributed equity</w:t>
            </w:r>
          </w:p>
        </w:tc>
        <w:tc>
          <w:tcPr>
            <w:tcW w:w="2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202,593</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202,593</w:t>
            </w:r>
          </w:p>
        </w:tc>
      </w:tr>
      <w:tr>
        <w:trPr>
          <w:trHeight w:val="223"/>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3,104,185</w:t>
            </w: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3,598,110</w:t>
            </w:r>
          </w:p>
        </w:tc>
      </w:tr>
      <w:tr>
        <w:trPr>
          <w:trHeight w:val="266"/>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equity</w:t>
            </w:r>
          </w:p>
        </w:tc>
        <w:tc>
          <w:tcPr>
            <w:tcW w:w="2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3,306,778</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3,800,703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2014, 2013 and 2012</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22"/>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6"/>
                <w:szCs w:val="16"/>
                <w:color w:val="auto"/>
              </w:rPr>
            </w:pPr>
          </w:p>
        </w:tc>
        <w:tc>
          <w:tcPr>
            <w:tcW w:w="1140" w:type="dxa"/>
            <w:vAlign w:val="bottom"/>
          </w:tcPr>
          <w:p>
            <w:pPr>
              <w:jc w:val="right"/>
              <w:ind w:right="42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Note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(unaudited)</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8"/>
              </w:rPr>
              <w:t>(unaudited)</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Cash receipts from customers</w:t>
            </w: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12,817,888</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14,986,613</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16,091,198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20"/>
                <w:szCs w:val="20"/>
                <w:color w:val="auto"/>
              </w:rPr>
            </w:pPr>
            <w:r>
              <w:rPr>
                <w:rFonts w:ascii="Arial" w:cs="Arial" w:eastAsia="Arial" w:hAnsi="Arial"/>
                <w:sz w:val="16"/>
                <w:szCs w:val="16"/>
                <w:color w:val="auto"/>
              </w:rPr>
              <w:t>Cash paid to suppliers and employees</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(10,145,154)</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(11,600,009)</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(11,971,304)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provided from operating activities</w:t>
            </w:r>
          </w:p>
        </w:tc>
        <w:tc>
          <w:tcPr>
            <w:tcW w:w="1060" w:type="dxa"/>
            <w:vAlign w:val="bottom"/>
            <w:tcBorders>
              <w:bottom w:val="single" w:sz="8" w:color="auto"/>
            </w:tcBorders>
            <w:shd w:val="clear" w:color="auto" w:fill="CCEEFF"/>
          </w:tcPr>
          <w:p>
            <w:pPr>
              <w:jc w:val="center"/>
              <w:ind w:left="422"/>
              <w:spacing w:after="0"/>
              <w:rPr>
                <w:sz w:val="20"/>
                <w:szCs w:val="20"/>
                <w:color w:val="auto"/>
              </w:rPr>
            </w:pPr>
            <w:r>
              <w:rPr>
                <w:rFonts w:ascii="Arial" w:cs="Arial" w:eastAsia="Arial" w:hAnsi="Arial"/>
                <w:sz w:val="16"/>
                <w:szCs w:val="16"/>
                <w:color w:val="auto"/>
                <w:w w:val="89"/>
              </w:rPr>
              <w:t>18</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2,672,734</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3,386,604</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Arial" w:cs="Arial" w:eastAsia="Arial" w:hAnsi="Arial"/>
                <w:sz w:val="16"/>
                <w:szCs w:val="16"/>
                <w:color w:val="auto"/>
              </w:rPr>
              <w:t>Acquisition of property, plant and equipment</w:t>
            </w:r>
          </w:p>
        </w:tc>
        <w:tc>
          <w:tcPr>
            <w:tcW w:w="1060" w:type="dxa"/>
            <w:vAlign w:val="bottom"/>
          </w:tcPr>
          <w:p>
            <w:pPr>
              <w:jc w:val="center"/>
              <w:ind w:left="442"/>
              <w:spacing w:after="0"/>
              <w:rPr>
                <w:sz w:val="20"/>
                <w:szCs w:val="20"/>
                <w:color w:val="auto"/>
              </w:rPr>
            </w:pPr>
            <w:r>
              <w:rPr>
                <w:rFonts w:ascii="Arial" w:cs="Arial" w:eastAsia="Arial" w:hAnsi="Arial"/>
                <w:sz w:val="16"/>
                <w:szCs w:val="16"/>
                <w:color w:val="auto"/>
                <w:w w:val="78"/>
              </w:rPr>
              <w:t>11</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(39,190)</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(1,225,676)</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(684,242)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Transfer out property, plant and equipment</w:t>
            </w:r>
          </w:p>
        </w:tc>
        <w:tc>
          <w:tcPr>
            <w:tcW w:w="1060" w:type="dxa"/>
            <w:vAlign w:val="bottom"/>
            <w:shd w:val="clear" w:color="auto" w:fill="CCEEFF"/>
          </w:tcPr>
          <w:p>
            <w:pPr>
              <w:jc w:val="center"/>
              <w:ind w:left="442"/>
              <w:spacing w:after="0"/>
              <w:rPr>
                <w:sz w:val="20"/>
                <w:szCs w:val="20"/>
                <w:color w:val="auto"/>
              </w:rPr>
            </w:pPr>
            <w:r>
              <w:rPr>
                <w:rFonts w:ascii="Arial" w:cs="Arial" w:eastAsia="Arial" w:hAnsi="Arial"/>
                <w:sz w:val="16"/>
                <w:szCs w:val="16"/>
                <w:color w:val="auto"/>
                <w:w w:val="78"/>
              </w:rPr>
              <w:t>11</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3,364</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923,325</w:t>
            </w: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received</w:t>
            </w:r>
          </w:p>
        </w:tc>
        <w:tc>
          <w:tcPr>
            <w:tcW w:w="1060" w:type="dxa"/>
            <w:vAlign w:val="bottom"/>
            <w:tcBorders>
              <w:bottom w:val="single" w:sz="8" w:color="auto"/>
            </w:tcBorders>
          </w:tcPr>
          <w:p>
            <w:pPr>
              <w:jc w:val="center"/>
              <w:ind w:left="422"/>
              <w:spacing w:after="0"/>
              <w:rPr>
                <w:sz w:val="20"/>
                <w:szCs w:val="20"/>
                <w:color w:val="auto"/>
              </w:rPr>
            </w:pPr>
            <w:r>
              <w:rPr>
                <w:rFonts w:ascii="Arial" w:cs="Arial" w:eastAsia="Arial" w:hAnsi="Arial"/>
                <w:sz w:val="16"/>
                <w:szCs w:val="16"/>
                <w:color w:val="auto"/>
                <w:w w:val="89"/>
              </w:rPr>
              <w:t>7</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8,726</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11,922</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(27,100)</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(290,429)</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20"/>
                <w:szCs w:val="20"/>
                <w:color w:val="auto"/>
              </w:rPr>
            </w:pPr>
            <w:r>
              <w:rPr>
                <w:rFonts w:ascii="Arial" w:cs="Arial" w:eastAsia="Arial" w:hAnsi="Arial"/>
                <w:sz w:val="16"/>
                <w:szCs w:val="16"/>
                <w:color w:val="auto"/>
              </w:rPr>
              <w:t>Distributions to Joint Venturers</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(2,460,000)</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(3,300,000)</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(2,460,000)</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(3,300,000)</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0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185,634</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(203,825)</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20"/>
                <w:szCs w:val="20"/>
                <w:color w:val="auto"/>
              </w:rPr>
            </w:pPr>
            <w:r>
              <w:rPr>
                <w:rFonts w:ascii="Arial" w:cs="Arial" w:eastAsia="Arial" w:hAnsi="Arial"/>
                <w:sz w:val="16"/>
                <w:szCs w:val="16"/>
                <w:color w:val="auto"/>
              </w:rPr>
              <w:t>Cash and cash equivalents at 1 January</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694,392</w:t>
            </w:r>
          </w:p>
        </w:tc>
        <w:tc>
          <w:tcPr>
            <w:tcW w:w="26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898,217</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1,590,333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31 December</w:t>
            </w:r>
          </w:p>
        </w:tc>
        <w:tc>
          <w:tcPr>
            <w:tcW w:w="1060" w:type="dxa"/>
            <w:vAlign w:val="bottom"/>
            <w:tcBorders>
              <w:bottom w:val="single" w:sz="8" w:color="auto"/>
            </w:tcBorders>
            <w:shd w:val="clear" w:color="auto" w:fill="CCEEFF"/>
          </w:tcPr>
          <w:p>
            <w:pPr>
              <w:jc w:val="center"/>
              <w:ind w:left="422"/>
              <w:spacing w:after="0"/>
              <w:rPr>
                <w:sz w:val="20"/>
                <w:szCs w:val="20"/>
                <w:color w:val="auto"/>
              </w:rPr>
            </w:pPr>
            <w:r>
              <w:rPr>
                <w:rFonts w:ascii="Arial" w:cs="Arial" w:eastAsia="Arial" w:hAnsi="Arial"/>
                <w:sz w:val="16"/>
                <w:szCs w:val="16"/>
                <w:color w:val="auto"/>
                <w:w w:val="89"/>
              </w:rPr>
              <w:t>8</w:t>
            </w:r>
          </w:p>
        </w:tc>
        <w:tc>
          <w:tcPr>
            <w:tcW w:w="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880,026</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694,392</w:t>
            </w:r>
          </w:p>
        </w:tc>
        <w:tc>
          <w:tcPr>
            <w:tcW w:w="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2014</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Reporting entity</w:t>
      </w:r>
    </w:p>
    <w:p>
      <w:pPr>
        <w:spacing w:after="0" w:line="17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Mt. Gravatt Cinemas Joint Venture (the “Joint Venture”) is a legal joint venture between Birch Carrol &amp; Coyle Ltd, Reading Exhibition Pty Ltd and Village Roadshow Exhibition Pty Ltd. The Joint Venture is domiciled and provides services solely in Australia. The address of the Joint Venture’s registered office is 227 Elizabeth Street, Sydney NSW 2000. The Joint Venture primarily is involved in the exhibition of motion pictures at one cinema site.</w:t>
      </w:r>
    </w:p>
    <w:p>
      <w:pPr>
        <w:spacing w:after="0" w:line="135"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joint venture is to continue in existence until the Joint Venture is terminated and associated underlying assets have been sold and the proceeds of sale distributed upon agreement of the members. All distributions of earnings are required to be agreed upon and distributed evenly to the three Joint Venturers. The three Joint Venturers will evenly contribute any future required contributions.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(a) Statement of compliance</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These financial statements are general purpose financial statements which have been prepared in accordance with the International Financial Reporting Standards (IFRSs) as issued by the International Accounting Standards Board.</w:t>
      </w:r>
    </w:p>
    <w:p>
      <w:pPr>
        <w:spacing w:after="0" w:line="12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financial year end of the Joint Venture is 30 June. For purposes of the use of these financial statements by one of the Joint Venturers, these financial statements have been prepared on a 12-month period basis ending on 31 December.</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(b) Basis of measurement</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financial statements have been prepared on the historical cost basis. The methods used to measure fair values are discussed further in Note 4, </w:t>
      </w:r>
      <w:r>
        <w:rPr>
          <w:rFonts w:ascii="Arial" w:cs="Arial" w:eastAsia="Arial" w:hAnsi="Arial"/>
          <w:sz w:val="16"/>
          <w:szCs w:val="16"/>
          <w:i w:val="1"/>
          <w:iCs w:val="1"/>
          <w:color w:val="auto"/>
        </w:rPr>
        <w:t>Determination of fair values</w:t>
      </w:r>
      <w:r>
        <w:rPr>
          <w:rFonts w:ascii="Arial" w:cs="Arial" w:eastAsia="Arial" w:hAnsi="Arial"/>
          <w:sz w:val="16"/>
          <w:szCs w:val="16"/>
          <w:color w:val="auto"/>
        </w:rPr>
        <w:t>.</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 Functional and presentation currency</w:t>
      </w:r>
    </w:p>
    <w:p>
      <w:pPr>
        <w:spacing w:after="0" w:line="17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These financial statements are presented in Australian dollars, which is also the Joint Venture’s functional currency. Amounts in the financial statements have been rounded to the nearest dollar, unless otherwise stated.</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 Use of estimates and judgments</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preparation of financial statements in accordance with IFRS requires management to make judgements, estimates and assumptions that affect the application of accounting policies and the reported amounts of assets, liabilities, income and expenses. Actual results may differ from these estimates.</w:t>
      </w:r>
    </w:p>
    <w:p>
      <w:pPr>
        <w:spacing w:after="0" w:line="14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Estimates and underlying assumptions are reviewed on an ongoing basis. Revisions to accounting estimates are recognised in the period in which the estimate is revised and in any future periods affected.</w:t>
      </w:r>
    </w:p>
    <w:p>
      <w:pPr>
        <w:spacing w:after="0" w:line="122"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 xml:space="preserve">In particular, information about significant areas of estimation uncertainty and critical judgements in applying accounting policies that have the most significant effect on the amount recognised in the financial statements are described in Note 15 </w:t>
      </w:r>
      <w:r>
        <w:rPr>
          <w:rFonts w:ascii="Arial" w:cs="Arial" w:eastAsia="Arial" w:hAnsi="Arial"/>
          <w:sz w:val="15"/>
          <w:szCs w:val="15"/>
          <w:i w:val="1"/>
          <w:iCs w:val="1"/>
          <w:color w:val="auto"/>
        </w:rPr>
        <w:t>Financial instruments</w:t>
      </w:r>
      <w:r>
        <w:rPr>
          <w:rFonts w:ascii="Arial" w:cs="Arial" w:eastAsia="Arial" w:hAnsi="Arial"/>
          <w:sz w:val="15"/>
          <w:szCs w:val="15"/>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Significant accounting policies</w:t>
      </w:r>
    </w:p>
    <w:p>
      <w:pPr>
        <w:spacing w:after="0" w:line="172" w:lineRule="exact"/>
        <w:rPr>
          <w:sz w:val="20"/>
          <w:szCs w:val="20"/>
          <w:color w:val="auto"/>
        </w:rPr>
      </w:pPr>
    </w:p>
    <w:p>
      <w:pPr>
        <w:ind w:left="560" w:right="940"/>
        <w:spacing w:after="0" w:line="454" w:lineRule="auto"/>
        <w:rPr>
          <w:sz w:val="20"/>
          <w:szCs w:val="20"/>
          <w:color w:val="auto"/>
        </w:rPr>
      </w:pPr>
      <w:r>
        <w:rPr>
          <w:rFonts w:ascii="Arial" w:cs="Arial" w:eastAsia="Arial" w:hAnsi="Arial"/>
          <w:sz w:val="16"/>
          <w:szCs w:val="16"/>
          <w:color w:val="auto"/>
        </w:rPr>
        <w:t xml:space="preserve">The accounting policies set out below have been applied consistently to all periods presented in these financial statements. The Joint Venture has not elected to early adopt any accounting standards and amendments. See Note 3(n). </w:t>
      </w:r>
      <w:r>
        <w:rPr>
          <w:rFonts w:ascii="Arial" w:cs="Arial" w:eastAsia="Arial" w:hAnsi="Arial"/>
          <w:sz w:val="16"/>
          <w:szCs w:val="16"/>
          <w:b w:val="1"/>
          <w:bCs w:val="1"/>
          <w:color w:val="auto"/>
        </w:rPr>
        <w:t>(a) Financial instruments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17" w:name="page118"/>
    <w:bookmarkEnd w:id="117"/>
    <w:p>
      <w:pPr>
        <w:ind w:left="560"/>
        <w:spacing w:after="0"/>
        <w:rPr>
          <w:sz w:val="20"/>
          <w:szCs w:val="20"/>
          <w:color w:val="auto"/>
        </w:rPr>
      </w:pPr>
      <w:r>
        <w:rPr>
          <w:rFonts w:ascii="Arial" w:cs="Arial" w:eastAsia="Arial" w:hAnsi="Arial"/>
          <w:sz w:val="16"/>
          <w:szCs w:val="16"/>
          <w:color w:val="auto"/>
        </w:rPr>
        <w:t>Non-derivative financial instruments comprise trade receivables, cash and cash equivalents, and trade payables.</w:t>
      </w:r>
    </w:p>
    <w:p>
      <w:pPr>
        <w:spacing w:after="0" w:line="168"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Non-derivative financial instruments are recognised initially at fair value plus, for instruments not at fair value through profit or loss, any directly attributable transaction costs. Subsequent to initial recognition non-derivative financial instruments are measured as described below.</w:t>
      </w:r>
    </w:p>
    <w:p>
      <w:pPr>
        <w:spacing w:after="0" w:line="54"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A financial instrument is recognised if the Joint Venture becomes a party to the contractual provisions of the instrument. Financial assets are derecognised if the Joint Venture’s contractual rights to the cash flows from the financial assets expire or if the Joint Venture transfers the financial asset to another party without retaining control or substantially all risks and rewards of the asset. Regular way purchases and sales of financial assets are accounted for at trade date, i.e., the date that the Joint Venture commits itself to purchase or sell the asset. Financial liabilities are derecognised if the Joint Venture’s obligations specified in the contract expire, are discharged or cancelled.</w:t>
      </w:r>
    </w:p>
    <w:p>
      <w:pPr>
        <w:spacing w:after="0" w:line="93"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Cash and cash equivalents comprise cash balances and call deposits. Bank overdrafts that are repayable on demand and form an integral part of the Joint Venture’s cash management are included as a component of cash and cash equivalents for the purpose of the statement of cash flows.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Accounting for finance income and expense is discussed in Note 3(k), </w:t>
      </w:r>
      <w:r>
        <w:rPr>
          <w:rFonts w:ascii="Arial" w:cs="Arial" w:eastAsia="Arial" w:hAnsi="Arial"/>
          <w:sz w:val="16"/>
          <w:szCs w:val="16"/>
          <w:i w:val="1"/>
          <w:iCs w:val="1"/>
          <w:color w:val="auto"/>
        </w:rPr>
        <w:t>Finance income</w:t>
      </w:r>
      <w:r>
        <w:rPr>
          <w:rFonts w:ascii="Arial" w:cs="Arial" w:eastAsia="Arial" w:hAnsi="Arial"/>
          <w:sz w:val="16"/>
          <w:szCs w:val="16"/>
          <w:color w:val="auto"/>
        </w:rPr>
        <w:t>.</w:t>
      </w:r>
    </w:p>
    <w:p>
      <w:pPr>
        <w:spacing w:after="0" w:line="153" w:lineRule="exact"/>
        <w:rPr>
          <w:sz w:val="20"/>
          <w:szCs w:val="20"/>
          <w:color w:val="auto"/>
        </w:rPr>
      </w:pPr>
    </w:p>
    <w:p>
      <w:pPr>
        <w:ind w:left="800" w:hanging="235"/>
        <w:spacing w:after="0"/>
        <w:tabs>
          <w:tab w:leader="none" w:pos="80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156" w:lineRule="exact"/>
        <w:rPr>
          <w:rFonts w:ascii="Arial" w:cs="Arial" w:eastAsia="Arial" w:hAnsi="Arial"/>
          <w:sz w:val="16"/>
          <w:szCs w:val="16"/>
          <w:b w:val="1"/>
          <w:bCs w:val="1"/>
          <w:color w:val="auto"/>
        </w:rPr>
      </w:pPr>
    </w:p>
    <w:p>
      <w:pPr>
        <w:ind w:left="1320" w:hanging="191"/>
        <w:spacing w:after="0"/>
        <w:tabs>
          <w:tab w:leader="none" w:pos="1320"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Recognition and measurement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Items of property, plant and equipment are measured at cost less accumulated depreciation.</w:t>
      </w:r>
    </w:p>
    <w:p>
      <w:pPr>
        <w:spacing w:after="0" w:line="15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Cost includes expenditures that are directly attributable to the acquisition of the asset. The cost of self-constructed assets includes the cost of materials and direct labour, any other costs directly attributable to bringing the asset to a working condition for its intended use. Costs also may include purchases of property, plant and equipment. Purchased software that is integral to the functionality of the related equipment is capitalised as part of that equipment. Borrowing costs related to the acquisition or construction of qualifying assets are capitalised as part of the cost of that asset.</w:t>
      </w:r>
    </w:p>
    <w:p>
      <w:pPr>
        <w:spacing w:after="0" w:line="134"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When parts of an item of property, plant and equipment have different useful lives, they are accounted for as separate items (major components) of property, plant and equipment.</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Subsequent costs</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cost of replacing part of an item of property, plant and equipment is recognised in the carrying amount of the item if it is probable that the future economic benefits embodied within the part will flow to the Joint Venture and its cost can be measured reliably. The carrying amount of the replaced part is derecognised. The costs of the day-to-day servicing of property, plant and equipment are recognised in profit or loss as incurred.</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(iii) Depreciation</w:t>
      </w:r>
    </w:p>
    <w:p>
      <w:pPr>
        <w:spacing w:after="0" w:line="172"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Depreciation is recognised in profit or loss on a straight-line basis over the estimated useful lives of each part of an item of property, plant and equipment. Leased assets are depreciated over the shorter of the lease term and their useful lives. Land is not depreciated.</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estimated useful lives for the current and comparative periods are as follows:</w:t>
      </w:r>
    </w:p>
    <w:p>
      <w:pPr>
        <w:spacing w:after="0" w:line="157" w:lineRule="exact"/>
        <w:rPr>
          <w:sz w:val="20"/>
          <w:szCs w:val="20"/>
          <w:color w:val="auto"/>
        </w:rPr>
      </w:pPr>
    </w:p>
    <w:p>
      <w:pPr>
        <w:ind w:left="560" w:right="3980"/>
        <w:spacing w:after="0" w:line="265" w:lineRule="auto"/>
        <w:rPr>
          <w:sz w:val="20"/>
          <w:szCs w:val="20"/>
          <w:color w:val="auto"/>
        </w:rPr>
      </w:pPr>
      <w:r>
        <w:rPr>
          <w:rFonts w:ascii="Arial" w:cs="Arial" w:eastAsia="Arial" w:hAnsi="Arial"/>
          <w:sz w:val="16"/>
          <w:szCs w:val="16"/>
          <w:color w:val="auto"/>
        </w:rPr>
        <w:t>Leasehold improvementsShorter of estimated useful life and term of lease Plant and equipment3 to 20 years</w:t>
      </w:r>
    </w:p>
    <w:p>
      <w:pPr>
        <w:spacing w:after="0" w:line="134" w:lineRule="exact"/>
        <w:rPr>
          <w:sz w:val="20"/>
          <w:szCs w:val="20"/>
          <w:color w:val="auto"/>
        </w:rPr>
      </w:pPr>
    </w:p>
    <w:p>
      <w:pPr>
        <w:ind w:left="560" w:right="960"/>
        <w:spacing w:after="0" w:line="464" w:lineRule="auto"/>
        <w:rPr>
          <w:sz w:val="20"/>
          <w:szCs w:val="20"/>
          <w:color w:val="auto"/>
        </w:rPr>
      </w:pPr>
      <w:r>
        <w:rPr>
          <w:rFonts w:ascii="Arial" w:cs="Arial" w:eastAsia="Arial" w:hAnsi="Arial"/>
          <w:sz w:val="16"/>
          <w:szCs w:val="16"/>
          <w:color w:val="auto"/>
        </w:rPr>
        <w:t xml:space="preserve">Depreciation methods, useful lives and residual values are reviewed at each financial year end and adjusted if appropriate. </w:t>
      </w:r>
      <w:r>
        <w:rPr>
          <w:rFonts w:ascii="Arial" w:cs="Arial" w:eastAsia="Arial" w:hAnsi="Arial"/>
          <w:sz w:val="16"/>
          <w:szCs w:val="16"/>
          <w:b w:val="1"/>
          <w:bCs w:val="1"/>
          <w:color w:val="auto"/>
        </w:rPr>
        <w:t>(c) Leased assets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118" w:name="page119"/>
    <w:bookmarkEnd w:id="118"/>
    <w:p>
      <w:pPr>
        <w:jc w:val="both"/>
        <w:ind w:firstLine="564"/>
        <w:spacing w:after="0" w:line="341" w:lineRule="auto"/>
        <w:rPr>
          <w:sz w:val="20"/>
          <w:szCs w:val="20"/>
          <w:color w:val="auto"/>
        </w:rPr>
      </w:pPr>
      <w:r>
        <w:rPr>
          <w:rFonts w:ascii="Arial" w:cs="Arial" w:eastAsia="Arial" w:hAnsi="Arial"/>
          <w:sz w:val="13"/>
          <w:szCs w:val="13"/>
          <w:color w:val="auto"/>
        </w:rPr>
        <w:t>Leases in which the Joint Venture assumes substantially all the risks and rewards of ownership are classified as finance leases. Upon initial recognition the leased asset is measured at an amount equal to the lower of its fair value and the present value of the minimum lease payments. Subsequent to initial recognition, the asset is accounted for in accordance with the accounting policy applicable to that asset.</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leases are operating leases and are not recognised on the Joint Venture’s statement of financial position.</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 Inventories</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Inventories are measured at the lower of cost and net realisable value. The cost of inventories is based on the first-in first-out principle, and includes expenditure incurred in acquiring the inventories, and other costs incurred in bringing them to their existing location and condition. Net realizable value is the estimated selling price in the ordinary course of business, less the estimated costs of completion and selling expenses.</w:t>
      </w:r>
    </w:p>
    <w:p>
      <w:pPr>
        <w:spacing w:after="0" w:line="142" w:lineRule="exact"/>
        <w:rPr>
          <w:sz w:val="20"/>
          <w:szCs w:val="20"/>
          <w:color w:val="auto"/>
        </w:rPr>
      </w:pPr>
    </w:p>
    <w:p>
      <w:pPr>
        <w:ind w:left="780" w:hanging="215"/>
        <w:spacing w:after="0"/>
        <w:tabs>
          <w:tab w:leader="none" w:pos="7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Impairment</w:t>
      </w:r>
    </w:p>
    <w:p>
      <w:pPr>
        <w:spacing w:after="0" w:line="156" w:lineRule="exact"/>
        <w:rPr>
          <w:rFonts w:ascii="Arial" w:cs="Arial" w:eastAsia="Arial" w:hAnsi="Arial"/>
          <w:sz w:val="16"/>
          <w:szCs w:val="16"/>
          <w:b w:val="1"/>
          <w:bCs w:val="1"/>
          <w:color w:val="auto"/>
        </w:rPr>
      </w:pPr>
    </w:p>
    <w:p>
      <w:pPr>
        <w:ind w:left="1320" w:hanging="191"/>
        <w:spacing w:after="0"/>
        <w:tabs>
          <w:tab w:leader="none" w:pos="1320"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assets</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 financial asset is assessed at each reporting date to determine whether there is any objective evidence that it is impaired. A financial asset is impaired if objective evidence indicates that a loss event has occurred after the initial recognition of the asset, and that loss event had a negative effect on the estimated future cash flows of that asset that can be estimated reliably.</w:t>
      </w:r>
    </w:p>
    <w:p>
      <w:pPr>
        <w:spacing w:after="0" w:line="14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An impairment loss in respect of a financial asset measured at amortised cost is calculated as the difference between its carrying amount, and the present value of the estimated future cash flows discounted at the original effective interest rate. Losses are recognised in profit or loss and reflected in an allowance against the relevant asset. When a subsequent event causes the amount of impairment loss to decrease, the decrease in impairment loss is reversed through profit or loss.</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Non-financial assets</w:t>
      </w:r>
    </w:p>
    <w:p>
      <w:pPr>
        <w:spacing w:after="0" w:line="161"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The carrying amounts of the Joint Venture’s non-financial assets, other than inventories, are reviewed at each reporting date to determine whether there is any indication of impairment. If any such indication exists then the asset’s recoverable amount is estimated.</w:t>
      </w:r>
    </w:p>
    <w:p>
      <w:pPr>
        <w:spacing w:after="0" w:line="11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w:t>
      </w:r>
    </w:p>
    <w:p>
      <w:pPr>
        <w:spacing w:after="0" w:line="13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An impairment loss is recognised if the carrying amount of an asset or its cash-generating unit exceeds its recoverable amount. Impairment losses are recognised in profit or loss.</w:t>
      </w:r>
    </w:p>
    <w:p>
      <w:pPr>
        <w:spacing w:after="0" w:line="122"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In respect of other assets, impairment losses recognised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amortisation, if no impairment loss had been recognised.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119" w:name="page120"/>
    <w:bookmarkEnd w:id="119"/>
    <w:p>
      <w:pPr>
        <w:ind w:left="560"/>
        <w:spacing w:after="0"/>
        <w:rPr>
          <w:sz w:val="20"/>
          <w:szCs w:val="20"/>
          <w:color w:val="auto"/>
        </w:rPr>
      </w:pPr>
      <w:r>
        <w:rPr>
          <w:rFonts w:ascii="Arial" w:cs="Arial" w:eastAsia="Arial" w:hAnsi="Arial"/>
          <w:sz w:val="16"/>
          <w:szCs w:val="16"/>
          <w:b w:val="1"/>
          <w:bCs w:val="1"/>
          <w:color w:val="auto"/>
        </w:rPr>
        <w:t>(f) Employee benefits</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 Long-term employee benefits</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Joint Venture’s net obligation in respect of long-term employee benefits is the amount of future benefit that employees have earned in return for their service in the current and prior periods plus related on-costs; that benefit is discounted to determine its present value and the fair value of any related assets is deducted.</w:t>
      </w:r>
    </w:p>
    <w:p>
      <w:pPr>
        <w:spacing w:after="0" w:line="12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Termination benefits</w:t>
      </w:r>
    </w:p>
    <w:p>
      <w:pPr>
        <w:spacing w:after="0" w:line="17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Termination benefits are recognised as an expense when the Joint Venture is demonstrably committed, without realistic possibility of withdrawal, to a formal detailed plan to either terminate employment before the normal retirement date, or to provide termination benefits as a result of an offer made to encourage voluntary redundancy. Termination benefits for voluntary redundancies are recognised as an expense if the Joint Venture has made an offer of voluntary redundancy, it is probable that the offer will be accepted, and the number of acceptances can be estimated reliably.</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(iii) Short-term benefits</w:t>
      </w:r>
    </w:p>
    <w:p>
      <w:pPr>
        <w:spacing w:after="0" w:line="161"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Liabilities for employee benefits for wages, salaries, and annual leave represent present obligations resulting from employees’ services provided to reporting date and are calculated at undiscounted amounts based on remuneration wage and salary rates that the Joint Venture expects to pay as at reporting date including related on-costs, such as workers compensation insurance and payroll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 Provisions</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A provision is recognised if, as a result of a past event, the Joint Venture has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(h) Contributed equity</w:t>
      </w:r>
    </w:p>
    <w:p>
      <w:pPr>
        <w:spacing w:after="0" w:line="1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Joint Venture is comprised of three parties who share an equal ownership over the Joint Venture. The Contributed Equity amount represents the initial investment in the partnership. Distribution to the partners are made on behalf of the Joint Venture and are recognised through retained earnings.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 Revenue</w:t>
      </w:r>
    </w:p>
    <w:p>
      <w:pPr>
        <w:spacing w:after="0" w:line="15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Rendering of service/sale of concessions</w:t>
      </w:r>
    </w:p>
    <w:p>
      <w:pPr>
        <w:spacing w:after="0" w:line="17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Revenue is measured at the fair value of the consideration received or receivable, net of returns, trade discounts and value rebates. Revenues are generated principally through admissions and concession sales with proceeds received in cash at the point of sale. Service revenue also includes product advertising and other ancillary revenues, such as booking fees, which are recognised as income in the period earned. The Joint Venture recognises payments received attributable to the advertising services provided by the Joint Venture under certain vendor programs as revenue in the period in which services are delivered.</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(j) Lease payments</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Payments made under operating leases are recognised in profit or loss on a straight-line basis over the term of the lease on a basis that is representative of the pattern of benefit derived from the leased property.</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 Finance income</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Finance income comprises interest income on cash held in financial institutions. Interest income is recognised as it accrues in profit or loss using the effective interest method.</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(l) Taxes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20" w:name="page121"/>
    <w:bookmarkEnd w:id="120"/>
    <w:p>
      <w:pPr>
        <w:ind w:left="1120"/>
        <w:spacing w:after="0"/>
        <w:rPr>
          <w:sz w:val="20"/>
          <w:szCs w:val="20"/>
          <w:color w:val="auto"/>
        </w:rPr>
      </w:pPr>
      <w:r>
        <w:rPr>
          <w:rFonts w:ascii="Arial" w:cs="Arial" w:eastAsia="Arial" w:hAnsi="Arial"/>
          <w:sz w:val="16"/>
          <w:szCs w:val="16"/>
          <w:b w:val="1"/>
          <w:bCs w:val="1"/>
          <w:color w:val="auto"/>
        </w:rPr>
        <w:t>(i) Goods and service tax</w:t>
      </w:r>
    </w:p>
    <w:p>
      <w:pPr>
        <w:spacing w:after="0" w:line="1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Revenue, expenses and assets are recognised net of the amount of goods and services tax (GST), except where the amount of GST incurred is not recoverable from the taxation authority. In these circumstances, the GST is recognised as part of the cost of acquisition of the asset or as part of the expense.</w:t>
      </w:r>
    </w:p>
    <w:p>
      <w:pPr>
        <w:spacing w:after="0" w:line="13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Receivables and payables are stated with the amount of GST included. The net amount of GST recoverable from, or payable to, the ATO is included as a current asset or liability in the balance sheet.</w:t>
      </w:r>
    </w:p>
    <w:p>
      <w:pPr>
        <w:spacing w:after="0" w:line="12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Cash flows are included in the statement of cash flows on a gross basis. The GST components of cash flows arising from investing and financing activities which are recoverable from, or payable to, the ATO are classified as operating cash flows.</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Income tax</w:t>
      </w:r>
    </w:p>
    <w:p>
      <w:pPr>
        <w:spacing w:after="0" w:line="161"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Under applicable Australian law, the Joint Venture is not subject to tax on earnings generated. Accordingly the Joint Venture does not recognise any income tax expense, or deferred tax balances. Earnings of the Joint Venture are taxed at the Joint Venturer level.</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(m) Film expense</w:t>
      </w:r>
    </w:p>
    <w:p>
      <w:pPr>
        <w:spacing w:after="0" w:line="17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Film expense is incurred based on a contracted percentage of box office results for each film. The Joint Venture negotiates terms with each film distributor on a film-by-film basis. Percentage terms are based on a sliding scale, with the Joint Venture subject to a higher percentage of box office results when the film is initially released and declining each subsequent week. Different films have different rates dependent upon the expected popularity of the film, and forecasted success.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 New standards and interpretations not yet adopted</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Joint Venture does not consider that any standards of interpretations issued by IASB or the IFRIC, either applicable in the current year or not yet applicable, have, or will have, a significant impact on the financial statements.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(o) Amounts paid or payable to the auditor</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amounts paid or payable to the auditor for the audit of these financial statements has been borne by one of the Joint Venturers for which these financial statements have been prepared. The auditor provided non-audit service in the current period to the value of $20,290 (unaudited).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380" w:type="dxa"/>
            <w:vAlign w:val="bottom"/>
          </w:tcPr>
          <w:p>
            <w:pPr>
              <w:jc w:val="right"/>
              <w:ind w:right="622"/>
              <w:spacing w:after="0"/>
              <w:rPr>
                <w:sz w:val="20"/>
                <w:szCs w:val="20"/>
                <w:color w:val="auto"/>
              </w:rPr>
            </w:pPr>
            <w:r>
              <w:rPr>
                <w:rFonts w:ascii="Arial" w:cs="Arial" w:eastAsia="Arial" w:hAnsi="Arial"/>
                <w:sz w:val="16"/>
                <w:szCs w:val="16"/>
                <w:b w:val="1"/>
                <w:bCs w:val="1"/>
                <w:color w:val="auto"/>
              </w:rPr>
              <w:t>2014</w:t>
            </w: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42"/>
              <w:spacing w:after="0"/>
              <w:rPr>
                <w:sz w:val="20"/>
                <w:szCs w:val="20"/>
                <w:color w:val="auto"/>
              </w:rPr>
            </w:pPr>
            <w:r>
              <w:rPr>
                <w:rFonts w:ascii="Arial" w:cs="Arial" w:eastAsia="Arial" w:hAnsi="Arial"/>
                <w:sz w:val="16"/>
                <w:szCs w:val="16"/>
                <w:b w:val="1"/>
                <w:bCs w:val="1"/>
                <w:color w:val="auto"/>
                <w:w w:val="89"/>
              </w:rPr>
              <w:t>(unaudited)</w:t>
            </w: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(unaudited)</w:t>
            </w:r>
          </w:p>
        </w:tc>
      </w:tr>
      <w:tr>
        <w:trPr>
          <w:trHeight w:val="222"/>
        </w:trPr>
        <w:tc>
          <w:tcPr>
            <w:tcW w:w="4300" w:type="dxa"/>
            <w:vAlign w:val="bottom"/>
          </w:tcPr>
          <w:p>
            <w:pPr>
              <w:spacing w:after="0"/>
              <w:rPr>
                <w:sz w:val="20"/>
                <w:szCs w:val="20"/>
                <w:color w:val="auto"/>
              </w:rPr>
            </w:pPr>
            <w:r>
              <w:rPr>
                <w:rFonts w:ascii="Arial" w:cs="Arial" w:eastAsia="Arial" w:hAnsi="Arial"/>
                <w:sz w:val="16"/>
                <w:szCs w:val="16"/>
                <w:color w:val="auto"/>
              </w:rPr>
              <w:t>Audit fees</w:t>
            </w:r>
          </w:p>
        </w:tc>
        <w:tc>
          <w:tcPr>
            <w:tcW w:w="2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4300" w:type="dxa"/>
            <w:vAlign w:val="bottom"/>
          </w:tcPr>
          <w:p>
            <w:pPr>
              <w:spacing w:after="0"/>
              <w:rPr>
                <w:sz w:val="20"/>
                <w:szCs w:val="20"/>
                <w:color w:val="auto"/>
              </w:rPr>
            </w:pPr>
            <w:r>
              <w:rPr>
                <w:rFonts w:ascii="Arial" w:cs="Arial" w:eastAsia="Arial" w:hAnsi="Arial"/>
                <w:sz w:val="16"/>
                <w:szCs w:val="16"/>
                <w:b w:val="1"/>
                <w:bCs w:val="1"/>
                <w:color w:val="auto"/>
              </w:rPr>
              <w:t>4. Determination of fair values</w:t>
            </w:r>
          </w:p>
        </w:tc>
        <w:tc>
          <w:tcPr>
            <w:tcW w:w="2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4763"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3" cy="7620"/>
                    </a:xfrm>
                    <a:prstGeom prst="rect">
                      <a:avLst/>
                    </a:prstGeom>
                    <a:noFill/>
                  </pic:spPr>
                </pic:pic>
              </a:graphicData>
            </a:graphic>
          </wp:anchor>
        </w:drawing>
      </w:r>
    </w:p>
    <w:p>
      <w:pPr>
        <w:spacing w:after="0" w:line="133" w:lineRule="exact"/>
        <w:rPr>
          <w:sz w:val="20"/>
          <w:szCs w:val="20"/>
          <w:color w:val="auto"/>
        </w:rPr>
      </w:pPr>
    </w:p>
    <w:p>
      <w:pPr>
        <w:jc w:val="both"/>
        <w:ind w:right="20" w:firstLine="564"/>
        <w:spacing w:after="0" w:line="251" w:lineRule="auto"/>
        <w:rPr>
          <w:sz w:val="20"/>
          <w:szCs w:val="20"/>
          <w:color w:val="auto"/>
        </w:rPr>
      </w:pPr>
      <w:r>
        <w:rPr>
          <w:rFonts w:ascii="Arial" w:cs="Arial" w:eastAsia="Arial" w:hAnsi="Arial"/>
          <w:sz w:val="16"/>
          <w:szCs w:val="16"/>
          <w:color w:val="auto"/>
        </w:rPr>
        <w:t>A number of the Joint Venture’s accounting policies and disclosures require the determination of fair value, for both financial and non-financial assets and liabilities. Fair values have been determined for measurement and disclosure purposes based on the following methods. Where applicable, further information about the assumptions made in determining fair values is disclosed in the notes specific to that asset or liability.</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 Trade and other receivables</w:t>
      </w:r>
    </w:p>
    <w:p>
      <w:pPr>
        <w:spacing w:after="0" w:line="161"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The fair value of trade and other receivables is estimated as the present value of future cash flows, discounted at the market rate of interest at the reporting date.</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Non-derivative financial liabilities</w:t>
      </w:r>
    </w:p>
    <w:p>
      <w:pPr>
        <w:spacing w:after="0" w:line="161"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Fair value, which is determined for disclosure purposes, is calculated based on the present value of future principal and interest cash flows, discounted at the market rate of interest at the reporting date.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Revenue from rendering of services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2012</w:t>
            </w:r>
          </w:p>
        </w:tc>
      </w:tr>
      <w:tr>
        <w:trPr>
          <w:trHeight w:val="24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Box office revenue</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7,168,705</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8,526,341</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9,508,154</w:t>
            </w:r>
          </w:p>
        </w:tc>
      </w:tr>
      <w:tr>
        <w:trPr>
          <w:trHeight w:val="258"/>
        </w:trPr>
        <w:tc>
          <w:tcPr>
            <w:tcW w:w="5540" w:type="dxa"/>
            <w:vAlign w:val="bottom"/>
          </w:tcPr>
          <w:p>
            <w:pPr>
              <w:spacing w:after="0"/>
              <w:rPr>
                <w:sz w:val="20"/>
                <w:szCs w:val="20"/>
                <w:color w:val="auto"/>
              </w:rPr>
            </w:pPr>
            <w:r>
              <w:rPr>
                <w:rFonts w:ascii="Arial" w:cs="Arial" w:eastAsia="Arial" w:hAnsi="Arial"/>
                <w:sz w:val="16"/>
                <w:szCs w:val="16"/>
                <w:color w:val="auto"/>
              </w:rPr>
              <w:t>Screen advertising</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301,772</w:t>
            </w:r>
          </w:p>
        </w:tc>
        <w:tc>
          <w:tcPr>
            <w:tcW w:w="240" w:type="dxa"/>
            <w:vAlign w:val="bottom"/>
          </w:tcPr>
          <w:p>
            <w:pPr>
              <w:spacing w:after="0"/>
              <w:rPr>
                <w:sz w:val="22"/>
                <w:szCs w:val="22"/>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331,472</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286,501</w:t>
            </w:r>
          </w:p>
        </w:tc>
      </w:tr>
      <w:tr>
        <w:trPr>
          <w:trHeight w:val="25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Booking fees</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189,279</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218,025</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268,180</w:t>
            </w:r>
          </w:p>
        </w:tc>
      </w:tr>
      <w:tr>
        <w:trPr>
          <w:trHeight w:val="25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cinema services</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638,011</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689,249</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626,605</w:t>
            </w:r>
          </w:p>
        </w:tc>
      </w:tr>
      <w:tr>
        <w:trPr>
          <w:trHeight w:val="231"/>
        </w:trPr>
        <w:tc>
          <w:tcPr>
            <w:tcW w:w="5540" w:type="dxa"/>
            <w:vAlign w:val="bottom"/>
            <w:tcBorders>
              <w:bottom w:val="single" w:sz="8" w:color="auto"/>
            </w:tcBorders>
            <w:shd w:val="clear" w:color="auto" w:fill="CCEEFF"/>
          </w:tcPr>
          <w:p>
            <w:pPr>
              <w:ind w:left="53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8,297,767</w:t>
            </w:r>
          </w:p>
        </w:tc>
        <w:tc>
          <w:tcPr>
            <w:tcW w:w="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9,765,087</w:t>
            </w:r>
          </w:p>
        </w:tc>
        <w:tc>
          <w:tcPr>
            <w:tcW w:w="3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10,689,440</w:t>
            </w:r>
          </w:p>
        </w:tc>
      </w:tr>
      <w:tr>
        <w:trPr>
          <w:trHeight w:val="469"/>
        </w:trPr>
        <w:tc>
          <w:tcPr>
            <w:tcW w:w="5540" w:type="dxa"/>
            <w:vAlign w:val="bottom"/>
          </w:tcPr>
          <w:p>
            <w:pPr>
              <w:spacing w:after="0"/>
              <w:rPr>
                <w:sz w:val="20"/>
                <w:szCs w:val="20"/>
                <w:color w:val="auto"/>
              </w:rPr>
            </w:pPr>
            <w:r>
              <w:rPr>
                <w:rFonts w:ascii="Arial" w:cs="Arial" w:eastAsia="Arial" w:hAnsi="Arial"/>
                <w:sz w:val="16"/>
                <w:szCs w:val="16"/>
                <w:b w:val="1"/>
                <w:bCs w:val="1"/>
                <w:color w:val="auto"/>
              </w:rPr>
              <w:t>6. Personnel expenses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2012</w:t>
            </w:r>
          </w:p>
        </w:tc>
      </w:tr>
      <w:tr>
        <w:trPr>
          <w:trHeight w:val="24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Wages and salaries</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1,559,179</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1,603,620</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1,767,789</w:t>
            </w:r>
          </w:p>
        </w:tc>
      </w:tr>
      <w:tr>
        <w:trPr>
          <w:trHeight w:val="258"/>
        </w:trPr>
        <w:tc>
          <w:tcPr>
            <w:tcW w:w="5540" w:type="dxa"/>
            <w:vAlign w:val="bottom"/>
          </w:tcPr>
          <w:p>
            <w:pPr>
              <w:spacing w:after="0"/>
              <w:rPr>
                <w:sz w:val="20"/>
                <w:szCs w:val="20"/>
                <w:color w:val="auto"/>
              </w:rPr>
            </w:pPr>
            <w:r>
              <w:rPr>
                <w:rFonts w:ascii="Arial" w:cs="Arial" w:eastAsia="Arial" w:hAnsi="Arial"/>
                <w:sz w:val="16"/>
                <w:szCs w:val="16"/>
                <w:color w:val="auto"/>
              </w:rPr>
              <w:t>Change in liability for annual leave</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58,599</w:t>
            </w:r>
          </w:p>
        </w:tc>
        <w:tc>
          <w:tcPr>
            <w:tcW w:w="240" w:type="dxa"/>
            <w:vAlign w:val="bottom"/>
          </w:tcPr>
          <w:p>
            <w:pPr>
              <w:spacing w:after="0"/>
              <w:rPr>
                <w:sz w:val="22"/>
                <w:szCs w:val="22"/>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56,011</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65,274</w:t>
            </w:r>
          </w:p>
        </w:tc>
      </w:tr>
      <w:tr>
        <w:trPr>
          <w:trHeight w:val="258"/>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Change in liability for long-service leave</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31,884</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22,239</w:t>
            </w: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12,452</w:t>
            </w:r>
          </w:p>
        </w:tc>
      </w:tr>
      <w:tr>
        <w:trPr>
          <w:trHeight w:val="231"/>
        </w:trPr>
        <w:tc>
          <w:tcPr>
            <w:tcW w:w="5540" w:type="dxa"/>
            <w:vAlign w:val="bottom"/>
            <w:tcBorders>
              <w:bottom w:val="single" w:sz="8" w:color="auto"/>
            </w:tcBorders>
          </w:tcPr>
          <w:p>
            <w:pPr>
              <w:ind w:left="53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1,649,662</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1,681,870</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1,845,515</w:t>
            </w:r>
          </w:p>
        </w:tc>
      </w:tr>
      <w:tr>
        <w:trPr>
          <w:trHeight w:val="469"/>
        </w:trPr>
        <w:tc>
          <w:tcPr>
            <w:tcW w:w="5540" w:type="dxa"/>
            <w:vAlign w:val="bottom"/>
          </w:tcPr>
          <w:p>
            <w:pPr>
              <w:spacing w:after="0"/>
              <w:rPr>
                <w:sz w:val="20"/>
                <w:szCs w:val="20"/>
                <w:color w:val="auto"/>
              </w:rPr>
            </w:pPr>
            <w:r>
              <w:rPr>
                <w:rFonts w:ascii="Arial" w:cs="Arial" w:eastAsia="Arial" w:hAnsi="Arial"/>
                <w:sz w:val="16"/>
                <w:szCs w:val="16"/>
                <w:b w:val="1"/>
                <w:bCs w:val="1"/>
                <w:color w:val="auto"/>
              </w:rPr>
              <w:t>7. Finance income</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8"/>
                <w:szCs w:val="18"/>
                <w:color w:val="auto"/>
              </w:rPr>
            </w:pPr>
          </w:p>
        </w:tc>
      </w:tr>
      <w:tr>
        <w:trPr>
          <w:trHeight w:val="246"/>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Interest income on cash at bank:</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8,726</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11,922</w:t>
            </w: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21,256</w:t>
            </w:r>
          </w:p>
        </w:tc>
        <w:tc>
          <w:tcPr>
            <w:tcW w:w="20" w:type="dxa"/>
            <w:vAlign w:val="bottom"/>
          </w:tcPr>
          <w:p>
            <w:pPr>
              <w:spacing w:after="0"/>
              <w:rPr>
                <w:sz w:val="21"/>
                <w:szCs w:val="21"/>
                <w:color w:val="auto"/>
              </w:rPr>
            </w:pPr>
          </w:p>
        </w:tc>
      </w:tr>
      <w:tr>
        <w:trPr>
          <w:trHeight w:val="231"/>
        </w:trPr>
        <w:tc>
          <w:tcPr>
            <w:tcW w:w="5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8,726</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11,922</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21,256</w:t>
            </w:r>
          </w:p>
        </w:tc>
        <w:tc>
          <w:tcPr>
            <w:tcW w:w="20" w:type="dxa"/>
            <w:vAlign w:val="bottom"/>
          </w:tcPr>
          <w:p>
            <w:pPr>
              <w:spacing w:after="0"/>
              <w:rPr>
                <w:sz w:val="20"/>
                <w:szCs w:val="20"/>
                <w:color w:val="auto"/>
              </w:rPr>
            </w:pPr>
          </w:p>
        </w:tc>
      </w:tr>
      <w:tr>
        <w:trPr>
          <w:trHeight w:val="727"/>
        </w:trPr>
        <w:tc>
          <w:tcPr>
            <w:tcW w:w="5540" w:type="dxa"/>
            <w:vAlign w:val="bottom"/>
          </w:tcPr>
          <w:p>
            <w:pPr>
              <w:jc w:val="right"/>
              <w:ind w:right="742"/>
              <w:spacing w:after="0"/>
              <w:rPr>
                <w:sz w:val="20"/>
                <w:szCs w:val="20"/>
                <w:color w:val="auto"/>
              </w:rPr>
            </w:pPr>
            <w:r>
              <w:rPr>
                <w:rFonts w:ascii="Arial" w:cs="Arial" w:eastAsia="Arial" w:hAnsi="Arial"/>
                <w:sz w:val="16"/>
                <w:szCs w:val="16"/>
                <w:color w:val="auto"/>
              </w:rPr>
              <w:t>122</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5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55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687" w:right="1339" w:bottom="144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101600</wp:posOffset>
            </wp:positionV>
            <wp:extent cx="5872480" cy="47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19"/>
          </w:cols>
          <w:pgMar w:left="1440" w:top="1196"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4"/>
        </w:trPr>
        <w:tc>
          <w:tcPr>
            <w:tcW w:w="4200" w:type="dxa"/>
            <w:vAlign w:val="bottom"/>
          </w:tcPr>
          <w:p>
            <w:pPr>
              <w:spacing w:after="0"/>
              <w:rPr>
                <w:sz w:val="20"/>
                <w:szCs w:val="20"/>
                <w:color w:val="auto"/>
              </w:rPr>
            </w:pPr>
            <w:r>
              <w:rPr>
                <w:rFonts w:ascii="Arial" w:cs="Arial" w:eastAsia="Arial" w:hAnsi="Arial"/>
                <w:sz w:val="16"/>
                <w:szCs w:val="16"/>
                <w:b w:val="1"/>
                <w:bCs w:val="1"/>
                <w:color w:val="auto"/>
              </w:rPr>
              <w:t>8. Cash and cash equivalents</w:t>
            </w:r>
          </w:p>
        </w:tc>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72"/>
        </w:trPr>
        <w:tc>
          <w:tcPr>
            <w:tcW w:w="4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24"/>
                <w:szCs w:val="24"/>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640" w:type="dxa"/>
            <w:vAlign w:val="bottom"/>
            <w:tcBorders>
              <w:bottom w:val="single" w:sz="8" w:color="auto"/>
            </w:tcBorders>
          </w:tcPr>
          <w:p>
            <w:pPr>
              <w:jc w:val="center"/>
              <w:ind w:right="982"/>
              <w:spacing w:after="0"/>
              <w:rPr>
                <w:sz w:val="20"/>
                <w:szCs w:val="20"/>
                <w:color w:val="auto"/>
              </w:rPr>
            </w:pPr>
            <w:r>
              <w:rPr>
                <w:rFonts w:ascii="Arial" w:cs="Arial" w:eastAsia="Arial" w:hAnsi="Arial"/>
                <w:sz w:val="16"/>
                <w:szCs w:val="16"/>
                <w:b w:val="1"/>
                <w:bCs w:val="1"/>
                <w:i w:val="1"/>
                <w:iCs w:val="1"/>
                <w:color w:val="auto"/>
                <w:w w:val="84"/>
              </w:rPr>
              <w:t>Note</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6"/>
              </w:rPr>
              <w:t>(unaudited)</w:t>
            </w:r>
          </w:p>
        </w:tc>
      </w:tr>
      <w:tr>
        <w:trPr>
          <w:trHeight w:val="246"/>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Cash at bank and on hand</w:t>
            </w:r>
          </w:p>
        </w:tc>
        <w:tc>
          <w:tcPr>
            <w:tcW w:w="2640" w:type="dxa"/>
            <w:vAlign w:val="bottom"/>
            <w:tcBorders>
              <w:bottom w:val="single" w:sz="8" w:color="auto"/>
            </w:tcBorders>
            <w:shd w:val="clear" w:color="auto" w:fill="CCEEFF"/>
          </w:tcPr>
          <w:p>
            <w:pPr>
              <w:jc w:val="right"/>
              <w:ind w:right="1682"/>
              <w:spacing w:after="0"/>
              <w:rPr>
                <w:sz w:val="20"/>
                <w:szCs w:val="20"/>
                <w:color w:val="auto"/>
              </w:rPr>
            </w:pPr>
            <w:r>
              <w:rPr>
                <w:rFonts w:ascii="Arial" w:cs="Arial" w:eastAsia="Arial" w:hAnsi="Arial"/>
                <w:sz w:val="16"/>
                <w:szCs w:val="16"/>
                <w:color w:val="auto"/>
              </w:rPr>
              <w:t>15</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880,026</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694,392</w:t>
            </w:r>
          </w:p>
        </w:tc>
      </w:tr>
      <w:tr>
        <w:trPr>
          <w:trHeight w:val="231"/>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in the statement of cash flows</w:t>
            </w:r>
          </w:p>
        </w:tc>
        <w:tc>
          <w:tcPr>
            <w:tcW w:w="2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880,026</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694,392</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Joint Venture’s exposure to interest rate risk is disclosed in Note 15(e), </w:t>
      </w:r>
      <w:r>
        <w:rPr>
          <w:rFonts w:ascii="Arial" w:cs="Arial" w:eastAsia="Arial" w:hAnsi="Arial"/>
          <w:sz w:val="16"/>
          <w:szCs w:val="16"/>
          <w:i w:val="1"/>
          <w:iCs w:val="1"/>
          <w:color w:val="auto"/>
        </w:rPr>
        <w:t>Financial instruments, Market risk</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Trade and other receivables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6"/>
                <w:szCs w:val="16"/>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386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i w:val="1"/>
                <w:iCs w:val="1"/>
                <w:color w:val="auto"/>
                <w:w w:val="84"/>
              </w:rPr>
              <w:t>Note</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6"/>
              </w:rPr>
              <w:t>(unaudited)</w:t>
            </w:r>
          </w:p>
        </w:tc>
      </w:tr>
      <w:tr>
        <w:trPr>
          <w:trHeight w:val="246"/>
        </w:trPr>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3860" w:type="dxa"/>
            <w:vAlign w:val="bottom"/>
            <w:tcBorders>
              <w:bottom w:val="single" w:sz="8" w:color="auto"/>
            </w:tcBorders>
            <w:shd w:val="clear" w:color="auto" w:fill="CCEEFF"/>
          </w:tcPr>
          <w:p>
            <w:pPr>
              <w:jc w:val="right"/>
              <w:ind w:right="1682"/>
              <w:spacing w:after="0"/>
              <w:rPr>
                <w:sz w:val="20"/>
                <w:szCs w:val="20"/>
                <w:color w:val="auto"/>
              </w:rPr>
            </w:pPr>
            <w:r>
              <w:rPr>
                <w:rFonts w:ascii="Arial" w:cs="Arial" w:eastAsia="Arial" w:hAnsi="Arial"/>
                <w:sz w:val="16"/>
                <w:szCs w:val="16"/>
                <w:color w:val="auto"/>
              </w:rPr>
              <w:t>15</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145,056</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172,293</w:t>
            </w:r>
          </w:p>
        </w:tc>
      </w:tr>
      <w:tr>
        <w:trPr>
          <w:trHeight w:val="231"/>
        </w:trPr>
        <w:tc>
          <w:tcPr>
            <w:tcW w:w="29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145,056</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172,293</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Venture’s trade receivables relate mainly to the Joint Venture’s screen advertiser and credit card companies.</w:t>
      </w:r>
    </w:p>
    <w:p>
      <w:pPr>
        <w:spacing w:after="0" w:line="168"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 xml:space="preserve">The Joint Venture’s exposure to credit risk and impairment losses related to trade receivables is disclosed in Note 15(c),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Credit risk</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Inventories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42"/>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6"/>
                <w:szCs w:val="16"/>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(unaudited)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6"/>
              </w:rPr>
              <w:t>(unaudited)</w:t>
            </w:r>
          </w:p>
        </w:tc>
      </w:tr>
      <w:tr>
        <w:trPr>
          <w:trHeight w:val="246"/>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Concession stores at cost</w:t>
            </w:r>
          </w:p>
        </w:tc>
        <w:tc>
          <w:tcPr>
            <w:tcW w:w="7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79,809</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126,947</w:t>
            </w:r>
          </w:p>
        </w:tc>
      </w:tr>
      <w:tr>
        <w:trPr>
          <w:trHeight w:val="231"/>
        </w:trPr>
        <w:tc>
          <w:tcPr>
            <w:tcW w:w="3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79,809</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126,947</w:t>
            </w:r>
          </w:p>
        </w:tc>
      </w:tr>
      <w:tr>
        <w:trPr>
          <w:trHeight w:val="375"/>
        </w:trPr>
        <w:tc>
          <w:tcPr>
            <w:tcW w:w="3220" w:type="dxa"/>
            <w:vAlign w:val="bottom"/>
          </w:tcPr>
          <w:p>
            <w:pPr>
              <w:spacing w:after="0"/>
              <w:rPr>
                <w:sz w:val="20"/>
                <w:szCs w:val="20"/>
                <w:color w:val="auto"/>
              </w:rPr>
            </w:pPr>
            <w:r>
              <w:rPr>
                <w:rFonts w:ascii="Arial" w:cs="Arial" w:eastAsia="Arial" w:hAnsi="Arial"/>
                <w:sz w:val="16"/>
                <w:szCs w:val="16"/>
                <w:b w:val="1"/>
                <w:bCs w:val="1"/>
                <w:color w:val="auto"/>
              </w:rPr>
              <w:t>11. Property, Plant, and Equipment</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right"/>
              <w:ind w:right="222"/>
              <w:spacing w:after="0"/>
              <w:rPr>
                <w:sz w:val="20"/>
                <w:szCs w:val="20"/>
                <w:color w:val="auto"/>
              </w:rPr>
            </w:pPr>
            <w:r>
              <w:rPr>
                <w:rFonts w:ascii="Arial" w:cs="Arial" w:eastAsia="Arial" w:hAnsi="Arial"/>
                <w:sz w:val="16"/>
                <w:szCs w:val="16"/>
                <w:b w:val="1"/>
                <w:bCs w:val="1"/>
                <w:color w:val="auto"/>
              </w:rPr>
              <w:t>Plant and</w:t>
            </w:r>
          </w:p>
        </w:tc>
        <w:tc>
          <w:tcPr>
            <w:tcW w:w="240" w:type="dxa"/>
            <w:vAlign w:val="bottom"/>
          </w:tcPr>
          <w:p>
            <w:pPr>
              <w:spacing w:after="0"/>
              <w:rPr>
                <w:sz w:val="24"/>
                <w:szCs w:val="24"/>
                <w:color w:val="auto"/>
              </w:rPr>
            </w:pPr>
          </w:p>
        </w:tc>
        <w:tc>
          <w:tcPr>
            <w:tcW w:w="1200" w:type="dxa"/>
            <w:vAlign w:val="bottom"/>
          </w:tcPr>
          <w:p>
            <w:pPr>
              <w:jc w:val="right"/>
              <w:ind w:right="242"/>
              <w:spacing w:after="0"/>
              <w:rPr>
                <w:sz w:val="20"/>
                <w:szCs w:val="20"/>
                <w:color w:val="auto"/>
              </w:rPr>
            </w:pPr>
            <w:r>
              <w:rPr>
                <w:rFonts w:ascii="Arial" w:cs="Arial" w:eastAsia="Arial" w:hAnsi="Arial"/>
                <w:sz w:val="16"/>
                <w:szCs w:val="16"/>
                <w:b w:val="1"/>
                <w:bCs w:val="1"/>
                <w:color w:val="auto"/>
              </w:rPr>
              <w:t>Leasehold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8"/>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Equipment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1"/>
              </w:rPr>
              <w:t>Improvements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Capital WIP</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Total</w:t>
            </w:r>
          </w:p>
        </w:tc>
      </w:tr>
      <w:tr>
        <w:trPr>
          <w:trHeight w:val="234"/>
        </w:trPr>
        <w:tc>
          <w:tcPr>
            <w:tcW w:w="3220" w:type="dxa"/>
            <w:vAlign w:val="bottom"/>
          </w:tcPr>
          <w:p>
            <w:pPr>
              <w:spacing w:after="0"/>
              <w:rPr>
                <w:sz w:val="20"/>
                <w:szCs w:val="20"/>
                <w:color w:val="auto"/>
              </w:rPr>
            </w:pPr>
            <w:r>
              <w:rPr>
                <w:rFonts w:ascii="Arial" w:cs="Arial" w:eastAsia="Arial" w:hAnsi="Arial"/>
                <w:sz w:val="16"/>
                <w:szCs w:val="16"/>
                <w:b w:val="1"/>
                <w:bCs w:val="1"/>
                <w:color w:val="auto"/>
              </w:rPr>
              <w:t>Cost</w:t>
            </w: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7"/>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2013 (unaudited)</w:t>
            </w: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10,552,386</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2,792,684</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926,689</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14,271,759</w:t>
            </w:r>
          </w:p>
        </w:tc>
      </w:tr>
      <w:tr>
        <w:trPr>
          <w:trHeight w:val="246"/>
        </w:trPr>
        <w:tc>
          <w:tcPr>
            <w:tcW w:w="3220" w:type="dxa"/>
            <w:vAlign w:val="bottom"/>
          </w:tcPr>
          <w:p>
            <w:pPr>
              <w:spacing w:after="0"/>
              <w:rPr>
                <w:sz w:val="20"/>
                <w:szCs w:val="20"/>
                <w:color w:val="auto"/>
              </w:rPr>
            </w:pPr>
            <w:r>
              <w:rPr>
                <w:rFonts w:ascii="Arial" w:cs="Arial" w:eastAsia="Arial" w:hAnsi="Arial"/>
                <w:sz w:val="16"/>
                <w:szCs w:val="16"/>
                <w:color w:val="auto"/>
              </w:rPr>
              <w:t>Additions (unaudited)</w:t>
            </w:r>
          </w:p>
        </w:tc>
        <w:tc>
          <w:tcPr>
            <w:tcW w:w="72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1,106,833</w:t>
            </w:r>
          </w:p>
        </w:tc>
        <w:tc>
          <w:tcPr>
            <w:tcW w:w="24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118,843</w:t>
            </w:r>
          </w:p>
        </w:tc>
        <w:tc>
          <w:tcPr>
            <w:tcW w:w="3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1,225,676</w:t>
            </w:r>
          </w:p>
        </w:tc>
      </w:tr>
      <w:tr>
        <w:trPr>
          <w:trHeight w:val="247"/>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Transfers (unaudited)</w:t>
            </w:r>
          </w:p>
        </w:tc>
        <w:tc>
          <w:tcPr>
            <w:tcW w:w="7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(923,325)</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(923,325)</w:t>
            </w:r>
          </w:p>
        </w:tc>
      </w:tr>
      <w:tr>
        <w:trPr>
          <w:trHeight w:val="227"/>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December 31, 2013 (unaudited)</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11,659,219</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2,911,527</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3,364</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14,574,110</w:t>
            </w:r>
          </w:p>
        </w:tc>
      </w:tr>
      <w:tr>
        <w:trPr>
          <w:trHeight w:val="227"/>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7"/>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2014 (unaudited)</w:t>
            </w: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11,659,219</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2,911,527</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3,364</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14,574,110</w:t>
            </w:r>
          </w:p>
        </w:tc>
      </w:tr>
      <w:tr>
        <w:trPr>
          <w:trHeight w:val="246"/>
        </w:trPr>
        <w:tc>
          <w:tcPr>
            <w:tcW w:w="3220" w:type="dxa"/>
            <w:vAlign w:val="bottom"/>
          </w:tcPr>
          <w:p>
            <w:pPr>
              <w:spacing w:after="0"/>
              <w:rPr>
                <w:sz w:val="20"/>
                <w:szCs w:val="20"/>
                <w:color w:val="auto"/>
              </w:rPr>
            </w:pPr>
            <w:r>
              <w:rPr>
                <w:rFonts w:ascii="Arial" w:cs="Arial" w:eastAsia="Arial" w:hAnsi="Arial"/>
                <w:sz w:val="16"/>
                <w:szCs w:val="16"/>
                <w:color w:val="auto"/>
              </w:rPr>
              <w:t>Additions (unaudited)</w:t>
            </w:r>
          </w:p>
        </w:tc>
        <w:tc>
          <w:tcPr>
            <w:tcW w:w="72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35,490</w:t>
            </w:r>
          </w:p>
        </w:tc>
        <w:tc>
          <w:tcPr>
            <w:tcW w:w="240" w:type="dxa"/>
            <w:vAlign w:val="bottom"/>
          </w:tcPr>
          <w:p>
            <w:pPr>
              <w:spacing w:after="0"/>
              <w:rPr>
                <w:sz w:val="21"/>
                <w:szCs w:val="21"/>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3,700</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39,190</w:t>
            </w:r>
          </w:p>
        </w:tc>
      </w:tr>
      <w:tr>
        <w:trPr>
          <w:trHeight w:val="247"/>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Transfers (unaudited)</w:t>
            </w:r>
          </w:p>
        </w:tc>
        <w:tc>
          <w:tcPr>
            <w:tcW w:w="7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w:t>
            </w:r>
          </w:p>
        </w:tc>
      </w:tr>
      <w:tr>
        <w:trPr>
          <w:trHeight w:val="219"/>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December 31, 2014 (unaudited)</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11,694,709</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2,911,527</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3,700</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14,609,936</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65"/>
        </w:trPr>
        <w:tc>
          <w:tcPr>
            <w:tcW w:w="3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Plant and</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Leasehold</w:t>
            </w:r>
          </w:p>
        </w:tc>
        <w:tc>
          <w:tcPr>
            <w:tcW w:w="1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08"/>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In AUS$</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rPr>
              <w:t>Equipment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91"/>
              </w:rPr>
              <w:t>Improvements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 WIP</w:t>
            </w: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b w:val="1"/>
                <w:bCs w:val="1"/>
                <w:color w:val="auto"/>
              </w:rPr>
              <w:t>Total</w:t>
            </w:r>
          </w:p>
        </w:tc>
      </w:tr>
      <w:tr>
        <w:trPr>
          <w:trHeight w:val="234"/>
        </w:trPr>
        <w:tc>
          <w:tcPr>
            <w:tcW w:w="3220" w:type="dxa"/>
            <w:vAlign w:val="bottom"/>
          </w:tcPr>
          <w:p>
            <w:pPr>
              <w:spacing w:after="0"/>
              <w:rPr>
                <w:sz w:val="20"/>
                <w:szCs w:val="20"/>
                <w:color w:val="auto"/>
              </w:rPr>
            </w:pPr>
            <w:r>
              <w:rPr>
                <w:rFonts w:ascii="Arial" w:cs="Arial" w:eastAsia="Arial" w:hAnsi="Arial"/>
                <w:sz w:val="16"/>
                <w:szCs w:val="16"/>
                <w:b w:val="1"/>
                <w:bCs w:val="1"/>
                <w:color w:val="auto"/>
              </w:rPr>
              <w:t>Accumulated depreciation</w:t>
            </w: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2013 (unaudited)</w:t>
            </w: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(9,181,591)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(1,166,297)</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(10,347,888)</w:t>
            </w:r>
          </w:p>
        </w:tc>
      </w:tr>
      <w:tr>
        <w:trPr>
          <w:trHeight w:val="246"/>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 and amortisation (unaudited)</w:t>
            </w: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(436,407)</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(107,864)</w:t>
            </w:r>
          </w:p>
        </w:tc>
        <w:tc>
          <w:tcPr>
            <w:tcW w:w="1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(544,271)</w:t>
            </w:r>
          </w:p>
        </w:tc>
      </w:tr>
      <w:tr>
        <w:trPr>
          <w:trHeight w:val="227"/>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December 31, 2013 (unaudited)</w:t>
            </w: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(9,617,998)</w:t>
            </w:r>
          </w:p>
        </w:tc>
        <w:tc>
          <w:tcPr>
            <w:tcW w:w="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(1,274,161)</w:t>
            </w:r>
          </w:p>
        </w:tc>
        <w:tc>
          <w:tcPr>
            <w:tcW w:w="116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(10,892,159)</w:t>
            </w:r>
          </w:p>
        </w:tc>
      </w:tr>
      <w:tr>
        <w:trPr>
          <w:trHeight w:val="227"/>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7"/>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2014 (unaudited)</w:t>
            </w: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(9,617,998)</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(1,274,161)</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(10,892,159)</w:t>
            </w:r>
          </w:p>
        </w:tc>
      </w:tr>
      <w:tr>
        <w:trPr>
          <w:trHeight w:val="246"/>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 and amortisation (unaudited)</w:t>
            </w: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(397,853)</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(112,774)</w:t>
            </w:r>
          </w:p>
        </w:tc>
        <w:tc>
          <w:tcPr>
            <w:tcW w:w="1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(510,627)</w:t>
            </w:r>
          </w:p>
        </w:tc>
      </w:tr>
      <w:tr>
        <w:trPr>
          <w:trHeight w:val="219"/>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December 31, 2014 (unaudited)</w:t>
            </w: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(10,015,851)</w:t>
            </w:r>
          </w:p>
        </w:tc>
        <w:tc>
          <w:tcPr>
            <w:tcW w:w="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(1,386,935)</w:t>
            </w:r>
          </w:p>
        </w:tc>
        <w:tc>
          <w:tcPr>
            <w:tcW w:w="116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(11,402,786)</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9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2"/>
              <w:spacing w:after="0"/>
              <w:rPr>
                <w:sz w:val="20"/>
                <w:szCs w:val="20"/>
                <w:color w:val="auto"/>
              </w:rPr>
            </w:pPr>
            <w:r>
              <w:rPr>
                <w:rFonts w:ascii="Arial" w:cs="Arial" w:eastAsia="Arial" w:hAnsi="Arial"/>
                <w:sz w:val="16"/>
                <w:szCs w:val="16"/>
                <w:b w:val="1"/>
                <w:bCs w:val="1"/>
                <w:color w:val="auto"/>
              </w:rPr>
              <w:t>Plant and</w:t>
            </w:r>
          </w:p>
        </w:tc>
        <w:tc>
          <w:tcPr>
            <w:tcW w:w="1440" w:type="dxa"/>
            <w:vAlign w:val="bottom"/>
            <w:shd w:val="clear" w:color="auto" w:fill="CCEEFF"/>
          </w:tcPr>
          <w:p>
            <w:pPr>
              <w:jc w:val="right"/>
              <w:ind w:right="362"/>
              <w:spacing w:after="0"/>
              <w:rPr>
                <w:sz w:val="20"/>
                <w:szCs w:val="20"/>
                <w:color w:val="auto"/>
              </w:rPr>
            </w:pPr>
            <w:r>
              <w:rPr>
                <w:rFonts w:ascii="Arial" w:cs="Arial" w:eastAsia="Arial" w:hAnsi="Arial"/>
                <w:sz w:val="16"/>
                <w:szCs w:val="16"/>
                <w:b w:val="1"/>
                <w:bCs w:val="1"/>
                <w:color w:val="auto"/>
              </w:rPr>
              <w:t>Leasehold</w:t>
            </w:r>
          </w:p>
        </w:tc>
        <w:tc>
          <w:tcPr>
            <w:tcW w:w="1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08"/>
        </w:trPr>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In AUS$</w:t>
            </w: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b w:val="1"/>
                <w:bCs w:val="1"/>
                <w:color w:val="auto"/>
              </w:rPr>
              <w:t>Equipment</w:t>
            </w:r>
          </w:p>
        </w:tc>
        <w:tc>
          <w:tcPr>
            <w:tcW w:w="144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Improvements</w:t>
            </w:r>
          </w:p>
        </w:tc>
        <w:tc>
          <w:tcPr>
            <w:tcW w:w="150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Capital WIP</w:t>
            </w:r>
          </w:p>
        </w:tc>
        <w:tc>
          <w:tcPr>
            <w:tcW w:w="108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b w:val="1"/>
                <w:bCs w:val="1"/>
                <w:color w:val="auto"/>
              </w:rPr>
              <w:t>Total</w:t>
            </w:r>
          </w:p>
        </w:tc>
      </w:tr>
      <w:tr>
        <w:trPr>
          <w:trHeight w:val="204"/>
        </w:trPr>
        <w:tc>
          <w:tcPr>
            <w:tcW w:w="2980" w:type="dxa"/>
            <w:vAlign w:val="bottom"/>
          </w:tcPr>
          <w:p>
            <w:pPr>
              <w:spacing w:after="0"/>
              <w:rPr>
                <w:sz w:val="20"/>
                <w:szCs w:val="20"/>
                <w:color w:val="auto"/>
              </w:rPr>
            </w:pPr>
            <w:r>
              <w:rPr>
                <w:rFonts w:ascii="Arial" w:cs="Arial" w:eastAsia="Arial" w:hAnsi="Arial"/>
                <w:sz w:val="16"/>
                <w:szCs w:val="16"/>
                <w:b w:val="1"/>
                <w:bCs w:val="1"/>
                <w:color w:val="auto"/>
              </w:rPr>
              <w:t>Carrying amounts</w:t>
            </w: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1"/>
        </w:trPr>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7"/>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At January 1, 2013 (unaudited)</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1,370,795</w:t>
            </w:r>
          </w:p>
        </w:tc>
        <w:tc>
          <w:tcPr>
            <w:tcW w:w="14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1,626,387</w:t>
            </w:r>
          </w:p>
        </w:tc>
        <w:tc>
          <w:tcPr>
            <w:tcW w:w="15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926,689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3,923,871</w:t>
            </w:r>
          </w:p>
        </w:tc>
      </w:tr>
      <w:tr>
        <w:trPr>
          <w:trHeight w:val="200"/>
        </w:trPr>
        <w:tc>
          <w:tcPr>
            <w:tcW w:w="2980" w:type="dxa"/>
            <w:vAlign w:val="bottom"/>
          </w:tcPr>
          <w:p>
            <w:pPr>
              <w:spacing w:after="0"/>
              <w:rPr>
                <w:sz w:val="20"/>
                <w:szCs w:val="20"/>
                <w:color w:val="auto"/>
              </w:rPr>
            </w:pPr>
            <w:r>
              <w:rPr>
                <w:rFonts w:ascii="Arial" w:cs="Arial" w:eastAsia="Arial" w:hAnsi="Arial"/>
                <w:sz w:val="16"/>
                <w:szCs w:val="16"/>
                <w:color w:val="auto"/>
              </w:rPr>
              <w:t>At December 31, 2013 (unaudited)</w:t>
            </w:r>
          </w:p>
        </w:tc>
        <w:tc>
          <w:tcPr>
            <w:tcW w:w="960" w:type="dxa"/>
            <w:vAlign w:val="bottom"/>
          </w:tcPr>
          <w:p>
            <w:pPr>
              <w:spacing w:after="0"/>
              <w:rPr>
                <w:sz w:val="17"/>
                <w:szCs w:val="17"/>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2,041,221</w:t>
            </w:r>
          </w:p>
        </w:tc>
        <w:tc>
          <w:tcPr>
            <w:tcW w:w="1440" w:type="dxa"/>
            <w:vAlign w:val="bottom"/>
          </w:tcPr>
          <w:p>
            <w:pPr>
              <w:jc w:val="right"/>
              <w:ind w:right="122"/>
              <w:spacing w:after="0"/>
              <w:rPr>
                <w:sz w:val="20"/>
                <w:szCs w:val="20"/>
                <w:color w:val="auto"/>
              </w:rPr>
            </w:pPr>
            <w:r>
              <w:rPr>
                <w:rFonts w:ascii="Arial" w:cs="Arial" w:eastAsia="Arial" w:hAnsi="Arial"/>
                <w:sz w:val="16"/>
                <w:szCs w:val="16"/>
                <w:color w:val="auto"/>
              </w:rPr>
              <w:t>1,637,366</w:t>
            </w:r>
          </w:p>
        </w:tc>
        <w:tc>
          <w:tcPr>
            <w:tcW w:w="1500" w:type="dxa"/>
            <w:vAlign w:val="bottom"/>
          </w:tcPr>
          <w:p>
            <w:pPr>
              <w:jc w:val="right"/>
              <w:ind w:right="242"/>
              <w:spacing w:after="0"/>
              <w:rPr>
                <w:sz w:val="20"/>
                <w:szCs w:val="20"/>
                <w:color w:val="auto"/>
              </w:rPr>
            </w:pPr>
            <w:r>
              <w:rPr>
                <w:rFonts w:ascii="Arial" w:cs="Arial" w:eastAsia="Arial" w:hAnsi="Arial"/>
                <w:sz w:val="16"/>
                <w:szCs w:val="16"/>
                <w:color w:val="auto"/>
              </w:rPr>
              <w:t>3,364</w:t>
            </w:r>
          </w:p>
        </w:tc>
        <w:tc>
          <w:tcPr>
            <w:tcW w:w="1080" w:type="dxa"/>
            <w:vAlign w:val="bottom"/>
          </w:tcPr>
          <w:p>
            <w:pPr>
              <w:jc w:val="right"/>
              <w:spacing w:after="0"/>
              <w:rPr>
                <w:sz w:val="20"/>
                <w:szCs w:val="20"/>
                <w:color w:val="auto"/>
              </w:rPr>
            </w:pPr>
            <w:r>
              <w:rPr>
                <w:rFonts w:ascii="Arial" w:cs="Arial" w:eastAsia="Arial" w:hAnsi="Arial"/>
                <w:sz w:val="16"/>
                <w:szCs w:val="16"/>
                <w:color w:val="auto"/>
              </w:rPr>
              <w:t>3,681,951</w:t>
            </w:r>
          </w:p>
        </w:tc>
      </w:tr>
      <w:tr>
        <w:trPr>
          <w:trHeight w:val="39"/>
        </w:trPr>
        <w:tc>
          <w:tcPr>
            <w:tcW w:w="2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5"/>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At January 1, 2014 (unaudited)</w:t>
            </w:r>
          </w:p>
        </w:tc>
        <w:tc>
          <w:tcPr>
            <w:tcW w:w="9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2,041,221</w:t>
            </w:r>
          </w:p>
        </w:tc>
        <w:tc>
          <w:tcPr>
            <w:tcW w:w="14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1,637,366</w:t>
            </w:r>
          </w:p>
        </w:tc>
        <w:tc>
          <w:tcPr>
            <w:tcW w:w="15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3,364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3,681,951</w:t>
            </w:r>
          </w:p>
        </w:tc>
      </w:tr>
      <w:tr>
        <w:trPr>
          <w:trHeight w:val="200"/>
        </w:trPr>
        <w:tc>
          <w:tcPr>
            <w:tcW w:w="2980" w:type="dxa"/>
            <w:vAlign w:val="bottom"/>
          </w:tcPr>
          <w:p>
            <w:pPr>
              <w:spacing w:after="0"/>
              <w:rPr>
                <w:sz w:val="20"/>
                <w:szCs w:val="20"/>
                <w:color w:val="auto"/>
              </w:rPr>
            </w:pPr>
            <w:r>
              <w:rPr>
                <w:rFonts w:ascii="Arial" w:cs="Arial" w:eastAsia="Arial" w:hAnsi="Arial"/>
                <w:sz w:val="16"/>
                <w:szCs w:val="16"/>
                <w:color w:val="auto"/>
              </w:rPr>
              <w:t>At December 31, 2014 (unaudited)</w:t>
            </w:r>
          </w:p>
        </w:tc>
        <w:tc>
          <w:tcPr>
            <w:tcW w:w="960" w:type="dxa"/>
            <w:vAlign w:val="bottom"/>
          </w:tcPr>
          <w:p>
            <w:pPr>
              <w:spacing w:after="0"/>
              <w:rPr>
                <w:sz w:val="17"/>
                <w:szCs w:val="17"/>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1,678,858</w:t>
            </w:r>
          </w:p>
        </w:tc>
        <w:tc>
          <w:tcPr>
            <w:tcW w:w="1440" w:type="dxa"/>
            <w:vAlign w:val="bottom"/>
          </w:tcPr>
          <w:p>
            <w:pPr>
              <w:jc w:val="right"/>
              <w:ind w:right="122"/>
              <w:spacing w:after="0"/>
              <w:rPr>
                <w:sz w:val="20"/>
                <w:szCs w:val="20"/>
                <w:color w:val="auto"/>
              </w:rPr>
            </w:pPr>
            <w:r>
              <w:rPr>
                <w:rFonts w:ascii="Arial" w:cs="Arial" w:eastAsia="Arial" w:hAnsi="Arial"/>
                <w:sz w:val="16"/>
                <w:szCs w:val="16"/>
                <w:color w:val="auto"/>
              </w:rPr>
              <w:t>1,524,592</w:t>
            </w:r>
          </w:p>
        </w:tc>
        <w:tc>
          <w:tcPr>
            <w:tcW w:w="1500" w:type="dxa"/>
            <w:vAlign w:val="bottom"/>
          </w:tcPr>
          <w:p>
            <w:pPr>
              <w:jc w:val="right"/>
              <w:ind w:right="242"/>
              <w:spacing w:after="0"/>
              <w:rPr>
                <w:sz w:val="20"/>
                <w:szCs w:val="20"/>
                <w:color w:val="auto"/>
              </w:rPr>
            </w:pPr>
            <w:r>
              <w:rPr>
                <w:rFonts w:ascii="Arial" w:cs="Arial" w:eastAsia="Arial" w:hAnsi="Arial"/>
                <w:sz w:val="16"/>
                <w:szCs w:val="16"/>
                <w:color w:val="auto"/>
              </w:rPr>
              <w:t>3,700</w:t>
            </w:r>
          </w:p>
        </w:tc>
        <w:tc>
          <w:tcPr>
            <w:tcW w:w="1080" w:type="dxa"/>
            <w:vAlign w:val="bottom"/>
          </w:tcPr>
          <w:p>
            <w:pPr>
              <w:jc w:val="right"/>
              <w:spacing w:after="0"/>
              <w:rPr>
                <w:sz w:val="20"/>
                <w:szCs w:val="20"/>
                <w:color w:val="auto"/>
              </w:rPr>
            </w:pPr>
            <w:r>
              <w:rPr>
                <w:rFonts w:ascii="Arial" w:cs="Arial" w:eastAsia="Arial" w:hAnsi="Arial"/>
                <w:sz w:val="16"/>
                <w:szCs w:val="16"/>
                <w:color w:val="auto"/>
              </w:rPr>
              <w:t>3,207,150</w:t>
            </w:r>
          </w:p>
        </w:tc>
      </w:tr>
      <w:tr>
        <w:trPr>
          <w:trHeight w:val="39"/>
        </w:trPr>
        <w:tc>
          <w:tcPr>
            <w:tcW w:w="2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8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12. Trade and other payables</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6"/>
                <w:szCs w:val="16"/>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48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b w:val="1"/>
                <w:bCs w:val="1"/>
                <w:color w:val="auto"/>
                <w:w w:val="84"/>
              </w:rPr>
              <w:t>Note</w:t>
            </w:r>
          </w:p>
        </w:tc>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6"/>
              </w:rPr>
              <w:t>(unaudited)</w:t>
            </w:r>
          </w:p>
        </w:tc>
      </w:tr>
      <w:tr>
        <w:trPr>
          <w:trHeight w:val="247"/>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Trade payables</w:t>
            </w:r>
          </w:p>
        </w:tc>
        <w:tc>
          <w:tcPr>
            <w:tcW w:w="2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1,425</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221,732</w:t>
            </w:r>
          </w:p>
        </w:tc>
      </w:tr>
      <w:tr>
        <w:trPr>
          <w:trHeight w:val="258"/>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Non-trade payables and accruals</w:t>
            </w:r>
          </w:p>
        </w:tc>
        <w:tc>
          <w:tcPr>
            <w:tcW w:w="2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631,993</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415,100</w:t>
            </w:r>
          </w:p>
        </w:tc>
      </w:tr>
      <w:tr>
        <w:trPr>
          <w:trHeight w:val="231"/>
        </w:trPr>
        <w:tc>
          <w:tcPr>
            <w:tcW w:w="344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15</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633,418</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636,832</w:t>
            </w:r>
          </w:p>
        </w:tc>
      </w:tr>
    </w:tbl>
    <w:p>
      <w:pPr>
        <w:spacing w:after="0" w:line="175" w:lineRule="exact"/>
        <w:rPr>
          <w:sz w:val="20"/>
          <w:szCs w:val="20"/>
          <w:color w:val="auto"/>
        </w:rPr>
      </w:pPr>
    </w:p>
    <w:p>
      <w:pPr>
        <w:jc w:val="both"/>
        <w:ind w:right="20" w:firstLine="564"/>
        <w:spacing w:after="0" w:line="251" w:lineRule="auto"/>
        <w:rPr>
          <w:sz w:val="20"/>
          <w:szCs w:val="20"/>
          <w:color w:val="auto"/>
        </w:rPr>
      </w:pPr>
      <w:r>
        <w:rPr>
          <w:rFonts w:ascii="Arial" w:cs="Arial" w:eastAsia="Arial" w:hAnsi="Arial"/>
          <w:sz w:val="16"/>
          <w:szCs w:val="16"/>
          <w:color w:val="auto"/>
        </w:rPr>
        <w:t xml:space="preserve">The Joint Venture’s exposure to liquidity risk related to trade and other payables is disclosed in Note 15(d),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Liquidity risk</w:t>
      </w:r>
      <w:r>
        <w:rPr>
          <w:rFonts w:ascii="Arial" w:cs="Arial" w:eastAsia="Arial" w:hAnsi="Arial"/>
          <w:sz w:val="16"/>
          <w:szCs w:val="16"/>
          <w:color w:val="auto"/>
        </w:rPr>
        <w:t>. Trade payables represents payments to trade creditors. The Joint Venture makes these payments through the managing party’s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shared service centre and is charged a management fee for these services. Disclosure regarding the management fee is made in Note 19, </w:t>
      </w:r>
      <w:r>
        <w:rPr>
          <w:rFonts w:ascii="Arial" w:cs="Arial" w:eastAsia="Arial" w:hAnsi="Arial"/>
          <w:sz w:val="16"/>
          <w:szCs w:val="16"/>
          <w:i w:val="1"/>
          <w:iCs w:val="1"/>
          <w:color w:val="auto"/>
        </w:rPr>
        <w:t>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parties</w:t>
      </w:r>
      <w:r>
        <w:rPr>
          <w:rFonts w:ascii="Arial" w:cs="Arial" w:eastAsia="Arial" w:hAnsi="Arial"/>
          <w:sz w:val="16"/>
          <w:szCs w:val="16"/>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Employee benefits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gridSpan w:val="3"/>
          </w:tcPr>
          <w:p>
            <w:pPr>
              <w:spacing w:after="0"/>
              <w:rPr>
                <w:sz w:val="20"/>
                <w:szCs w:val="20"/>
                <w:color w:val="auto"/>
              </w:rPr>
            </w:pPr>
            <w:r>
              <w:rPr>
                <w:rFonts w:ascii="Arial" w:cs="Arial" w:eastAsia="Arial" w:hAnsi="Arial"/>
                <w:sz w:val="16"/>
                <w:szCs w:val="16"/>
                <w:color w:val="auto"/>
              </w:rPr>
              <w:t>Current</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16"/>
        </w:trPr>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60" w:type="dxa"/>
            <w:vAlign w:val="bottom"/>
          </w:tcPr>
          <w:p>
            <w:pPr>
              <w:jc w:val="center"/>
              <w:ind w:right="42"/>
              <w:spacing w:after="0"/>
              <w:rPr>
                <w:sz w:val="20"/>
                <w:szCs w:val="20"/>
                <w:color w:val="auto"/>
              </w:rPr>
            </w:pPr>
            <w:r>
              <w:rPr>
                <w:rFonts w:ascii="Arial" w:cs="Arial" w:eastAsia="Arial" w:hAnsi="Arial"/>
                <w:sz w:val="16"/>
                <w:szCs w:val="16"/>
                <w:b w:val="1"/>
                <w:bCs w:val="1"/>
                <w:color w:val="auto"/>
                <w:w w:val="84"/>
              </w:rPr>
              <w:t>2014</w:t>
            </w:r>
          </w:p>
        </w:tc>
        <w:tc>
          <w:tcPr>
            <w:tcW w:w="26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Arial" w:cs="Arial" w:eastAsia="Arial" w:hAnsi="Arial"/>
                <w:sz w:val="16"/>
                <w:szCs w:val="16"/>
                <w:b w:val="1"/>
                <w:bCs w:val="1"/>
                <w:color w:val="auto"/>
                <w:w w:val="84"/>
              </w:rPr>
              <w:t>2013</w:t>
            </w:r>
          </w:p>
        </w:tc>
        <w:tc>
          <w:tcPr>
            <w:tcW w:w="20" w:type="dxa"/>
            <w:vAlign w:val="bottom"/>
          </w:tcPr>
          <w:p>
            <w:pPr>
              <w:spacing w:after="0"/>
              <w:rPr>
                <w:sz w:val="24"/>
                <w:szCs w:val="24"/>
                <w:color w:val="auto"/>
              </w:rPr>
            </w:pPr>
          </w:p>
        </w:tc>
      </w:tr>
      <w:tr>
        <w:trPr>
          <w:trHeight w:val="208"/>
        </w:trPr>
        <w:tc>
          <w:tcPr>
            <w:tcW w:w="6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(unaudited)</w:t>
            </w:r>
          </w:p>
        </w:tc>
        <w:tc>
          <w:tcPr>
            <w:tcW w:w="20" w:type="dxa"/>
            <w:vAlign w:val="bottom"/>
          </w:tcPr>
          <w:p>
            <w:pPr>
              <w:spacing w:after="0"/>
              <w:rPr>
                <w:sz w:val="18"/>
                <w:szCs w:val="18"/>
                <w:color w:val="auto"/>
              </w:rPr>
            </w:pPr>
          </w:p>
        </w:tc>
      </w:tr>
      <w:tr>
        <w:trPr>
          <w:trHeight w:val="247"/>
        </w:trPr>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Liability for annual leave</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103,004</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96,527</w:t>
            </w:r>
          </w:p>
        </w:tc>
        <w:tc>
          <w:tcPr>
            <w:tcW w:w="20" w:type="dxa"/>
            <w:vAlign w:val="bottom"/>
          </w:tcPr>
          <w:p>
            <w:pPr>
              <w:spacing w:after="0"/>
              <w:rPr>
                <w:sz w:val="21"/>
                <w:szCs w:val="21"/>
                <w:color w:val="auto"/>
              </w:rPr>
            </w:pPr>
          </w:p>
        </w:tc>
      </w:tr>
      <w:tr>
        <w:trPr>
          <w:trHeight w:val="258"/>
        </w:trPr>
        <w:tc>
          <w:tcPr>
            <w:tcW w:w="6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Liability for long-service leave</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81,098</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75,969</w:t>
            </w:r>
          </w:p>
        </w:tc>
        <w:tc>
          <w:tcPr>
            <w:tcW w:w="20" w:type="dxa"/>
            <w:vAlign w:val="bottom"/>
          </w:tcPr>
          <w:p>
            <w:pPr>
              <w:spacing w:after="0"/>
              <w:rPr>
                <w:sz w:val="22"/>
                <w:szCs w:val="22"/>
                <w:color w:val="auto"/>
              </w:rPr>
            </w:pPr>
          </w:p>
        </w:tc>
      </w:tr>
      <w:tr>
        <w:trPr>
          <w:trHeight w:val="231"/>
        </w:trPr>
        <w:tc>
          <w:tcPr>
            <w:tcW w:w="6840" w:type="dxa"/>
            <w:vAlign w:val="bottom"/>
            <w:tcBorders>
              <w:bottom w:val="single" w:sz="8" w:color="auto"/>
            </w:tcBorders>
            <w:gridSpan w:val="3"/>
            <w:shd w:val="clear" w:color="auto" w:fill="CCEEFF"/>
          </w:tcPr>
          <w:p>
            <w:pPr>
              <w:ind w:left="6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184,102</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172,496</w:t>
            </w:r>
          </w:p>
        </w:tc>
        <w:tc>
          <w:tcPr>
            <w:tcW w:w="20" w:type="dxa"/>
            <w:vAlign w:val="bottom"/>
          </w:tcPr>
          <w:p>
            <w:pPr>
              <w:spacing w:after="0"/>
              <w:rPr>
                <w:sz w:val="20"/>
                <w:szCs w:val="20"/>
                <w:color w:val="auto"/>
              </w:rPr>
            </w:pPr>
          </w:p>
        </w:tc>
      </w:tr>
      <w:tr>
        <w:trPr>
          <w:trHeight w:val="70"/>
        </w:trPr>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8"/>
        </w:trPr>
        <w:tc>
          <w:tcPr>
            <w:tcW w:w="6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Non-current</w:t>
            </w: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312"/>
        </w:trPr>
        <w:tc>
          <w:tcPr>
            <w:tcW w:w="4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jc w:val="center"/>
              <w:ind w:right="42"/>
              <w:spacing w:after="0"/>
              <w:rPr>
                <w:sz w:val="20"/>
                <w:szCs w:val="20"/>
                <w:color w:val="auto"/>
              </w:rPr>
            </w:pPr>
            <w:r>
              <w:rPr>
                <w:rFonts w:ascii="Arial" w:cs="Arial" w:eastAsia="Arial" w:hAnsi="Arial"/>
                <w:sz w:val="16"/>
                <w:szCs w:val="16"/>
                <w:b w:val="1"/>
                <w:bCs w:val="1"/>
                <w:color w:val="auto"/>
                <w:w w:val="84"/>
              </w:rPr>
              <w:t>2014</w:t>
            </w:r>
          </w:p>
        </w:tc>
        <w:tc>
          <w:tcPr>
            <w:tcW w:w="2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jc w:val="center"/>
              <w:ind w:right="2"/>
              <w:spacing w:after="0"/>
              <w:rPr>
                <w:sz w:val="20"/>
                <w:szCs w:val="20"/>
                <w:color w:val="auto"/>
              </w:rPr>
            </w:pPr>
            <w:r>
              <w:rPr>
                <w:rFonts w:ascii="Arial" w:cs="Arial" w:eastAsia="Arial" w:hAnsi="Arial"/>
                <w:sz w:val="16"/>
                <w:szCs w:val="16"/>
                <w:b w:val="1"/>
                <w:bCs w:val="1"/>
                <w:color w:val="auto"/>
                <w:w w:val="84"/>
              </w:rPr>
              <w:t>2013</w:t>
            </w:r>
          </w:p>
        </w:tc>
        <w:tc>
          <w:tcPr>
            <w:tcW w:w="20" w:type="dxa"/>
            <w:vAlign w:val="bottom"/>
          </w:tcPr>
          <w:p>
            <w:pPr>
              <w:spacing w:after="0"/>
              <w:rPr>
                <w:sz w:val="24"/>
                <w:szCs w:val="24"/>
                <w:color w:val="auto"/>
              </w:rPr>
            </w:pPr>
          </w:p>
        </w:tc>
      </w:tr>
      <w:tr>
        <w:trPr>
          <w:trHeight w:val="208"/>
        </w:trPr>
        <w:tc>
          <w:tcPr>
            <w:tcW w:w="6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(unaudited)</w:t>
            </w:r>
          </w:p>
        </w:tc>
        <w:tc>
          <w:tcPr>
            <w:tcW w:w="20" w:type="dxa"/>
            <w:vAlign w:val="bottom"/>
          </w:tcPr>
          <w:p>
            <w:pPr>
              <w:spacing w:after="0"/>
              <w:rPr>
                <w:sz w:val="18"/>
                <w:szCs w:val="18"/>
                <w:color w:val="auto"/>
              </w:rPr>
            </w:pPr>
          </w:p>
        </w:tc>
      </w:tr>
      <w:tr>
        <w:trPr>
          <w:trHeight w:val="727"/>
        </w:trPr>
        <w:tc>
          <w:tcPr>
            <w:tcW w:w="6840" w:type="dxa"/>
            <w:vAlign w:val="bottom"/>
            <w:gridSpan w:val="3"/>
          </w:tcPr>
          <w:p>
            <w:pPr>
              <w:ind w:left="4480"/>
              <w:spacing w:after="0"/>
              <w:rPr>
                <w:sz w:val="20"/>
                <w:szCs w:val="20"/>
                <w:color w:val="auto"/>
              </w:rPr>
            </w:pPr>
            <w:r>
              <w:rPr>
                <w:rFonts w:ascii="Arial" w:cs="Arial" w:eastAsia="Arial" w:hAnsi="Arial"/>
                <w:sz w:val="16"/>
                <w:szCs w:val="16"/>
                <w:color w:val="auto"/>
              </w:rPr>
              <w:t>125</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4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4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0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80" w:right="1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58"/>
        </w:trPr>
        <w:tc>
          <w:tcPr>
            <w:tcW w:w="6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Liability for long-service leave</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46,676</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33,255</w:t>
            </w:r>
          </w:p>
        </w:tc>
      </w:tr>
      <w:tr>
        <w:trPr>
          <w:trHeight w:val="231"/>
        </w:trPr>
        <w:tc>
          <w:tcPr>
            <w:tcW w:w="6840" w:type="dxa"/>
            <w:vAlign w:val="bottom"/>
            <w:tcBorders>
              <w:bottom w:val="single" w:sz="8" w:color="auto"/>
            </w:tcBorders>
          </w:tcPr>
          <w:p>
            <w:pPr>
              <w:ind w:left="6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46,676</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33,255</w:t>
            </w:r>
          </w:p>
        </w:tc>
      </w:tr>
      <w:tr>
        <w:trPr>
          <w:trHeight w:val="375"/>
        </w:trPr>
        <w:tc>
          <w:tcPr>
            <w:tcW w:w="6840" w:type="dxa"/>
            <w:vAlign w:val="bottom"/>
          </w:tcPr>
          <w:p>
            <w:pPr>
              <w:spacing w:after="0"/>
              <w:rPr>
                <w:sz w:val="20"/>
                <w:szCs w:val="20"/>
                <w:color w:val="auto"/>
              </w:rPr>
            </w:pPr>
            <w:r>
              <w:rPr>
                <w:rFonts w:ascii="Arial" w:cs="Arial" w:eastAsia="Arial" w:hAnsi="Arial"/>
                <w:sz w:val="16"/>
                <w:szCs w:val="16"/>
                <w:b w:val="1"/>
                <w:bCs w:val="1"/>
                <w:color w:val="auto"/>
              </w:rPr>
              <w:t>14. Deferred revenue</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72"/>
        </w:trPr>
        <w:tc>
          <w:tcPr>
            <w:tcW w:w="6840" w:type="dxa"/>
            <w:vAlign w:val="bottom"/>
          </w:tcPr>
          <w:p>
            <w:pPr>
              <w:spacing w:after="0"/>
              <w:rPr>
                <w:sz w:val="24"/>
                <w:szCs w:val="24"/>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24"/>
                <w:szCs w:val="24"/>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6"/>
              </w:rPr>
              <w:t>(unaudited)</w:t>
            </w:r>
          </w:p>
        </w:tc>
      </w:tr>
      <w:tr>
        <w:trPr>
          <w:trHeight w:val="246"/>
        </w:trPr>
        <w:tc>
          <w:tcPr>
            <w:tcW w:w="6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141,067</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32,297</w:t>
            </w:r>
          </w:p>
        </w:tc>
      </w:tr>
      <w:tr>
        <w:trPr>
          <w:trHeight w:val="231"/>
        </w:trPr>
        <w:tc>
          <w:tcPr>
            <w:tcW w:w="6840" w:type="dxa"/>
            <w:vAlign w:val="bottom"/>
            <w:tcBorders>
              <w:bottom w:val="single" w:sz="8" w:color="auto"/>
            </w:tcBorders>
          </w:tcPr>
          <w:p>
            <w:pPr>
              <w:ind w:left="6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141,067</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32,297</w:t>
            </w:r>
          </w:p>
        </w:tc>
      </w:tr>
    </w:tbl>
    <w:p>
      <w:pPr>
        <w:spacing w:after="0" w:line="175"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Deferred revenue mainly consists of advance funds received from vendors for the exclusive rights to supply certain concession items. Revenue is recognised over the term of the related contract on a straight-line basis and is classified as service revenue.</w:t>
      </w:r>
    </w:p>
    <w:p>
      <w:pPr>
        <w:spacing w:after="0" w:line="95" w:lineRule="exact"/>
        <w:rPr>
          <w:sz w:val="20"/>
          <w:szCs w:val="20"/>
          <w:color w:val="auto"/>
        </w:rPr>
      </w:pPr>
    </w:p>
    <w:p>
      <w:pPr>
        <w:ind w:left="240" w:hanging="238"/>
        <w:spacing w:after="0"/>
        <w:tabs>
          <w:tab w:leader="none" w:pos="2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w:t>
      </w:r>
    </w:p>
    <w:p>
      <w:pPr>
        <w:spacing w:after="0" w:line="156" w:lineRule="exact"/>
        <w:rPr>
          <w:rFonts w:ascii="Arial" w:cs="Arial" w:eastAsia="Arial" w:hAnsi="Arial"/>
          <w:sz w:val="16"/>
          <w:szCs w:val="16"/>
          <w:b w:val="1"/>
          <w:bCs w:val="1"/>
          <w:color w:val="auto"/>
        </w:rPr>
      </w:pPr>
    </w:p>
    <w:p>
      <w:pPr>
        <w:ind w:left="780" w:hanging="215"/>
        <w:spacing w:after="0"/>
        <w:tabs>
          <w:tab w:leader="none" w:pos="780"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Overview</w:t>
      </w:r>
    </w:p>
    <w:p>
      <w:pPr>
        <w:spacing w:after="0" w:line="172"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This note presents information about the Joint Venture’s exposure to financial risks, its objectives, policies, and processes for measuring and managing risk, and the management of capital.</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Venture’s activities expose it to the following financial risks;</w:t>
      </w:r>
    </w:p>
    <w:p>
      <w:pPr>
        <w:spacing w:after="0" w:line="157" w:lineRule="exact"/>
        <w:rPr>
          <w:sz w:val="20"/>
          <w:szCs w:val="20"/>
          <w:color w:val="auto"/>
        </w:rPr>
      </w:pPr>
    </w:p>
    <w:p>
      <w:pPr>
        <w:ind w:left="840" w:hanging="557"/>
        <w:spacing w:after="0"/>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credit risk;</w:t>
      </w:r>
    </w:p>
    <w:p>
      <w:pPr>
        <w:spacing w:after="0" w:line="15" w:lineRule="exact"/>
        <w:rPr>
          <w:rFonts w:ascii="Arial" w:cs="Arial" w:eastAsia="Arial" w:hAnsi="Arial"/>
          <w:sz w:val="16"/>
          <w:szCs w:val="16"/>
          <w:color w:val="auto"/>
        </w:rPr>
      </w:pPr>
    </w:p>
    <w:p>
      <w:pPr>
        <w:ind w:left="640" w:hanging="357"/>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liquidity risk; and</w:t>
      </w:r>
    </w:p>
    <w:p>
      <w:pPr>
        <w:spacing w:after="0" w:line="3" w:lineRule="exact"/>
        <w:rPr>
          <w:rFonts w:ascii="Arial" w:cs="Arial" w:eastAsia="Arial" w:hAnsi="Arial"/>
          <w:sz w:val="16"/>
          <w:szCs w:val="16"/>
          <w:color w:val="auto"/>
        </w:rPr>
      </w:pPr>
    </w:p>
    <w:p>
      <w:pPr>
        <w:ind w:left="800" w:hanging="517"/>
        <w:spacing w:after="0"/>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market risk.</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(b) Risk management framework</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Joint Venturers’ have overall responsibility for the establishment and oversight of the risk management framework and are also responsible for developing and monitoring risk management policies.</w:t>
      </w:r>
    </w:p>
    <w:p>
      <w:pPr>
        <w:spacing w:after="0" w:line="122"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Risk management policies are established to identify and analyse the risks faced by the Joint Venture to set appropriate risk limits and controls, and to monitor risks and adherence to limits. Risk management policies and systems are reviewed regularly to reflect changes in market conditions and the Joint Venture’s activities. The Joint Venture, through its training and management standards and procedures, aims to develop a disciplined and constructive control environment in which all employees understand their roles and obligations.</w:t>
      </w:r>
    </w:p>
    <w:p>
      <w:pPr>
        <w:spacing w:after="0" w:line="99"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Joint Venturers’ oversee how management monitors compliance with the Joint Venture’s risk management policies and procedures and reviews the adequacy of the risk management framework in relation to the risks faced by the Joint Venture.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changes in the Joint Venture’s approach to capital management during the year (unaudited).</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 Credit risk</w:t>
      </w:r>
    </w:p>
    <w:p>
      <w:pPr>
        <w:spacing w:after="0" w:line="17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Credit risk is the risk of financial loss to the Joint Venture if a customer or counterparty to a financial instrument fails to meet its contractual obligations, and arises principally from the Joint Venture’s receivables from customers.</w:t>
      </w:r>
    </w:p>
    <w:p>
      <w:pPr>
        <w:spacing w:after="0" w:line="12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Joint Venture’s exposure to credit risk is influenced mainly by the individual characteristics of each customer. The demographics of the Joint Venture’s customer base, including the default risk of the industry and country, in which customers operate, has less of an influence on credit risk.</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0" w:right="1359" w:bottom="1440" w:gutter="0" w:footer="0" w:header="0"/>
        </w:sectPr>
      </w:pPr>
    </w:p>
    <w:bookmarkStart w:id="126" w:name="page127"/>
    <w:bookmarkEnd w:id="126"/>
    <w:p>
      <w:pPr>
        <w:ind w:left="560"/>
        <w:spacing w:after="0"/>
        <w:rPr>
          <w:sz w:val="20"/>
          <w:szCs w:val="20"/>
          <w:color w:val="auto"/>
        </w:rPr>
      </w:pPr>
      <w:r>
        <w:rPr>
          <w:rFonts w:ascii="Arial" w:cs="Arial" w:eastAsia="Arial" w:hAnsi="Arial"/>
          <w:sz w:val="16"/>
          <w:szCs w:val="16"/>
          <w:color w:val="auto"/>
        </w:rPr>
        <w:t>Customers that are graded as “high risk” are placed on a restricted customer list, and monitored by the Joint Venturers.</w:t>
      </w:r>
    </w:p>
    <w:p>
      <w:pPr>
        <w:spacing w:after="0" w:line="168"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The Joint Venture operates under the managing Joint Venturer’s credit policy under which each new customer is analysed individually for creditworthiness before the Joint Venture’s standard payment and delivery terms and conditions are offered. The Joint Venture’s review includes external ratings, when available, and in some cases bank references. Purchase limits are established for each customer. These limits are reviewed periodically. Customers that fail to meet the Joint Venture’s benchmark creditworthiness may transact with the Joint Venture only on a prepayment basis.</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Exposure to credit risk</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carrying amount of the Joint Venture’s financial assets represents the maximum credit exposure. The Joint Venture’s maximum exposure to credit risk at the reporting date was: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40" w:type="dxa"/>
            <w:vAlign w:val="bottom"/>
            <w:gridSpan w:val="3"/>
          </w:tcPr>
          <w:p>
            <w:pPr>
              <w:jc w:val="right"/>
              <w:ind w:right="522"/>
              <w:spacing w:after="0"/>
              <w:rPr>
                <w:sz w:val="20"/>
                <w:szCs w:val="20"/>
                <w:color w:val="auto"/>
              </w:rPr>
            </w:pPr>
            <w:r>
              <w:rPr>
                <w:rFonts w:ascii="Arial" w:cs="Arial" w:eastAsia="Arial" w:hAnsi="Arial"/>
                <w:sz w:val="16"/>
                <w:szCs w:val="16"/>
                <w:b w:val="1"/>
                <w:bCs w:val="1"/>
                <w:color w:val="auto"/>
              </w:rPr>
              <w:t>Carrying Amount</w:t>
            </w:r>
          </w:p>
        </w:tc>
      </w:tr>
      <w:tr>
        <w:trPr>
          <w:trHeight w:val="302"/>
        </w:trPr>
        <w:tc>
          <w:tcPr>
            <w:tcW w:w="3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24"/>
                <w:szCs w:val="24"/>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32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680" w:type="dxa"/>
            <w:vAlign w:val="bottom"/>
            <w:tcBorders>
              <w:bottom w:val="single" w:sz="8" w:color="auto"/>
            </w:tcBorders>
          </w:tcPr>
          <w:p>
            <w:pPr>
              <w:jc w:val="center"/>
              <w:ind w:left="742"/>
              <w:spacing w:after="0"/>
              <w:rPr>
                <w:sz w:val="20"/>
                <w:szCs w:val="20"/>
                <w:color w:val="auto"/>
              </w:rPr>
            </w:pPr>
            <w:r>
              <w:rPr>
                <w:rFonts w:ascii="Arial" w:cs="Arial" w:eastAsia="Arial" w:hAnsi="Arial"/>
                <w:sz w:val="16"/>
                <w:szCs w:val="16"/>
                <w:b w:val="1"/>
                <w:bCs w:val="1"/>
                <w:color w:val="auto"/>
                <w:w w:val="84"/>
              </w:rPr>
              <w:t>Note</w:t>
            </w:r>
          </w:p>
        </w:tc>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6"/>
              </w:rPr>
              <w:t>(unaudited)</w:t>
            </w:r>
          </w:p>
        </w:tc>
      </w:tr>
      <w:tr>
        <w:trPr>
          <w:trHeight w:val="24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2680" w:type="dxa"/>
            <w:vAlign w:val="bottom"/>
            <w:shd w:val="clear" w:color="auto" w:fill="CCEEFF"/>
          </w:tcPr>
          <w:p>
            <w:pPr>
              <w:jc w:val="center"/>
              <w:ind w:left="762"/>
              <w:spacing w:after="0"/>
              <w:rPr>
                <w:sz w:val="20"/>
                <w:szCs w:val="20"/>
                <w:color w:val="auto"/>
              </w:rPr>
            </w:pPr>
            <w:r>
              <w:rPr>
                <w:rFonts w:ascii="Arial" w:cs="Arial" w:eastAsia="Arial" w:hAnsi="Arial"/>
                <w:sz w:val="16"/>
                <w:szCs w:val="16"/>
                <w:color w:val="auto"/>
                <w:w w:val="89"/>
              </w:rPr>
              <w:t>9</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145,056</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172,293</w:t>
            </w:r>
          </w:p>
        </w:tc>
      </w:tr>
      <w:tr>
        <w:trPr>
          <w:trHeight w:val="257"/>
        </w:trPr>
        <w:tc>
          <w:tcPr>
            <w:tcW w:w="32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80" w:type="dxa"/>
            <w:vAlign w:val="bottom"/>
          </w:tcPr>
          <w:p>
            <w:pPr>
              <w:jc w:val="center"/>
              <w:ind w:left="762"/>
              <w:spacing w:after="0"/>
              <w:rPr>
                <w:sz w:val="20"/>
                <w:szCs w:val="20"/>
                <w:color w:val="auto"/>
              </w:rPr>
            </w:pPr>
            <w:r>
              <w:rPr>
                <w:rFonts w:ascii="Arial" w:cs="Arial" w:eastAsia="Arial" w:hAnsi="Arial"/>
                <w:sz w:val="16"/>
                <w:szCs w:val="16"/>
                <w:color w:val="auto"/>
                <w:w w:val="89"/>
              </w:rPr>
              <w:t>8</w:t>
            </w:r>
          </w:p>
        </w:tc>
        <w:tc>
          <w:tcPr>
            <w:tcW w:w="920" w:type="dxa"/>
            <w:vAlign w:val="bottom"/>
          </w:tcPr>
          <w:p>
            <w:pPr>
              <w:spacing w:after="0"/>
              <w:rPr>
                <w:sz w:val="22"/>
                <w:szCs w:val="22"/>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880,026</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694,392</w:t>
            </w:r>
          </w:p>
        </w:tc>
      </w:tr>
    </w:tbl>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Venture’s maximum exposure to credit risk for trade receivables at the reporting date by type of customer was: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40" w:type="dxa"/>
            <w:vAlign w:val="bottom"/>
          </w:tcPr>
          <w:p>
            <w:pPr>
              <w:spacing w:after="0"/>
              <w:rPr>
                <w:sz w:val="17"/>
                <w:szCs w:val="17"/>
                <w:color w:val="auto"/>
              </w:rPr>
            </w:pPr>
          </w:p>
        </w:tc>
        <w:tc>
          <w:tcPr>
            <w:tcW w:w="2340" w:type="dxa"/>
            <w:vAlign w:val="bottom"/>
            <w:gridSpan w:val="3"/>
          </w:tcPr>
          <w:p>
            <w:pPr>
              <w:jc w:val="right"/>
              <w:ind w:right="522"/>
              <w:spacing w:after="0"/>
              <w:rPr>
                <w:sz w:val="20"/>
                <w:szCs w:val="20"/>
                <w:color w:val="auto"/>
              </w:rPr>
            </w:pPr>
            <w:r>
              <w:rPr>
                <w:rFonts w:ascii="Arial" w:cs="Arial" w:eastAsia="Arial" w:hAnsi="Arial"/>
                <w:sz w:val="16"/>
                <w:szCs w:val="16"/>
                <w:b w:val="1"/>
                <w:bCs w:val="1"/>
                <w:color w:val="auto"/>
              </w:rPr>
              <w:t>Carrying Amount</w:t>
            </w:r>
          </w:p>
        </w:tc>
      </w:tr>
      <w:tr>
        <w:trPr>
          <w:trHeight w:val="302"/>
        </w:trPr>
        <w:tc>
          <w:tcPr>
            <w:tcW w:w="6840" w:type="dxa"/>
            <w:vAlign w:val="bottom"/>
          </w:tcPr>
          <w:p>
            <w:pPr>
              <w:spacing w:after="0"/>
              <w:rPr>
                <w:sz w:val="24"/>
                <w:szCs w:val="24"/>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24"/>
                <w:szCs w:val="24"/>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6"/>
              </w:rPr>
              <w:t>(unaudited)</w:t>
            </w:r>
          </w:p>
        </w:tc>
      </w:tr>
      <w:tr>
        <w:trPr>
          <w:trHeight w:val="247"/>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Screen advertisers</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64,598</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109,310</w:t>
            </w:r>
          </w:p>
        </w:tc>
      </w:tr>
      <w:tr>
        <w:trPr>
          <w:trHeight w:val="258"/>
        </w:trPr>
        <w:tc>
          <w:tcPr>
            <w:tcW w:w="6840" w:type="dxa"/>
            <w:vAlign w:val="bottom"/>
          </w:tcPr>
          <w:p>
            <w:pPr>
              <w:spacing w:after="0"/>
              <w:rPr>
                <w:sz w:val="20"/>
                <w:szCs w:val="20"/>
                <w:color w:val="auto"/>
              </w:rPr>
            </w:pPr>
            <w:r>
              <w:rPr>
                <w:rFonts w:ascii="Arial" w:cs="Arial" w:eastAsia="Arial" w:hAnsi="Arial"/>
                <w:sz w:val="16"/>
                <w:szCs w:val="16"/>
                <w:color w:val="auto"/>
              </w:rPr>
              <w:t>Credit card companies</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74,547</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56,537</w:t>
            </w:r>
          </w:p>
        </w:tc>
      </w:tr>
      <w:tr>
        <w:trPr>
          <w:trHeight w:val="258"/>
        </w:trPr>
        <w:tc>
          <w:tcPr>
            <w:tcW w:w="6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Games, machine and merchandising companies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5,911</w:t>
            </w: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6,446</w:t>
            </w:r>
          </w:p>
        </w:tc>
      </w:tr>
      <w:tr>
        <w:trPr>
          <w:trHeight w:val="231"/>
        </w:trPr>
        <w:tc>
          <w:tcPr>
            <w:tcW w:w="6840" w:type="dxa"/>
            <w:vAlign w:val="bottom"/>
            <w:tcBorders>
              <w:bottom w:val="single" w:sz="8" w:color="auto"/>
            </w:tcBorders>
          </w:tcPr>
          <w:p>
            <w:pPr>
              <w:ind w:left="6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145,056</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172,293</w:t>
            </w:r>
          </w:p>
        </w:tc>
      </w:tr>
    </w:tbl>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Impairment losses</w:t>
      </w:r>
    </w:p>
    <w:p>
      <w:pPr>
        <w:spacing w:after="0" w:line="161" w:lineRule="exact"/>
        <w:rPr>
          <w:sz w:val="20"/>
          <w:szCs w:val="20"/>
          <w:color w:val="auto"/>
        </w:rPr>
      </w:pPr>
    </w:p>
    <w:p>
      <w:pPr>
        <w:jc w:val="both"/>
        <w:ind w:firstLine="555"/>
        <w:spacing w:after="0" w:line="265" w:lineRule="auto"/>
        <w:rPr>
          <w:sz w:val="20"/>
          <w:szCs w:val="20"/>
          <w:color w:val="auto"/>
        </w:rPr>
      </w:pPr>
      <w:r>
        <w:rPr>
          <w:rFonts w:ascii="Arial" w:cs="Arial" w:eastAsia="Arial" w:hAnsi="Arial"/>
          <w:sz w:val="16"/>
          <w:szCs w:val="16"/>
          <w:color w:val="auto"/>
        </w:rPr>
        <w:t>None of the Company’s trade receivables are past due (unaudited) (2013: $nil, unaudited). There were no allowances for impairment at 31 December 2014 or 2013.</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 Liquidity risk</w:t>
      </w:r>
    </w:p>
    <w:p>
      <w:pPr>
        <w:spacing w:after="0" w:line="161"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Liquidity risk is the risk that the Joint Venture will encounter difficulties in meeting its financial obligations as they fall due. The Joint Venture’s approach to managing liquidity is to ensure, as far as possible, that it will have sufficient liquidity to meet its liabilities when due, under both normal and stressed conditions, without incurring unacceptable losses or risking damage to the Joint Venture’s reputation.</w:t>
      </w:r>
    </w:p>
    <w:p>
      <w:pPr>
        <w:spacing w:after="0" w:line="113" w:lineRule="exact"/>
        <w:rPr>
          <w:sz w:val="20"/>
          <w:szCs w:val="20"/>
          <w:color w:val="auto"/>
        </w:rPr>
      </w:pPr>
    </w:p>
    <w:p>
      <w:pPr>
        <w:jc w:val="both"/>
        <w:ind w:firstLine="517"/>
        <w:spacing w:after="0" w:line="265" w:lineRule="auto"/>
        <w:rPr>
          <w:sz w:val="20"/>
          <w:szCs w:val="20"/>
          <w:color w:val="auto"/>
        </w:rPr>
      </w:pPr>
      <w:r>
        <w:rPr>
          <w:rFonts w:ascii="Arial" w:cs="Arial" w:eastAsia="Arial" w:hAnsi="Arial"/>
          <w:sz w:val="16"/>
          <w:szCs w:val="16"/>
          <w:color w:val="auto"/>
        </w:rPr>
        <w:t>The only financial liabilities are trade and other payables all of which are contractually due within 12 months. The carrying value of such liabilities at 31 December 2014 is $633,418 (unaudited) and 2013: $636,832 (unaudited).</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(e) Market risk</w:t>
      </w:r>
    </w:p>
    <w:p>
      <w:pPr>
        <w:spacing w:after="0" w:line="161" w:lineRule="exact"/>
        <w:rPr>
          <w:sz w:val="20"/>
          <w:szCs w:val="20"/>
          <w:color w:val="auto"/>
        </w:rPr>
      </w:pPr>
    </w:p>
    <w:p>
      <w:pPr>
        <w:jc w:val="both"/>
        <w:ind w:firstLine="1107"/>
        <w:spacing w:after="0" w:line="265" w:lineRule="auto"/>
        <w:rPr>
          <w:sz w:val="20"/>
          <w:szCs w:val="20"/>
          <w:color w:val="auto"/>
        </w:rPr>
      </w:pPr>
      <w:r>
        <w:rPr>
          <w:rFonts w:ascii="Arial" w:cs="Arial" w:eastAsia="Arial" w:hAnsi="Arial"/>
          <w:sz w:val="16"/>
          <w:szCs w:val="16"/>
          <w:color w:val="auto"/>
        </w:rPr>
        <w:t>Market risk is the risk that changes in market prices, such as interest rates, will affect the Joint Venture’s income. The objective of market risk management is to manage and control market risk exposures within acceptable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127" w:name="page128"/>
    <w:bookmarkEnd w:id="127"/>
    <w:p>
      <w:pPr>
        <w:jc w:val="both"/>
        <w:ind w:right="20"/>
        <w:spacing w:after="0" w:line="265" w:lineRule="auto"/>
        <w:rPr>
          <w:sz w:val="20"/>
          <w:szCs w:val="20"/>
          <w:color w:val="auto"/>
        </w:rPr>
      </w:pPr>
      <w:r>
        <w:rPr>
          <w:rFonts w:ascii="Arial" w:cs="Arial" w:eastAsia="Arial" w:hAnsi="Arial"/>
          <w:sz w:val="16"/>
          <w:szCs w:val="16"/>
          <w:color w:val="auto"/>
        </w:rPr>
        <w:t>parameters, while optimising the return. The Joint Venture is not subject to market risks relating to foreign exchange rates or equity prices. Furthermore, the Joint Venture does not use derivative, financial instruments to hedge fluctuations in interest rates.</w:t>
      </w:r>
    </w:p>
    <w:p>
      <w:pPr>
        <w:spacing w:after="0" w:line="4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Interest rate risk</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the reporting date the interest rate profile of the Joint Venture’s interest-bearing financial instruments was: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0" w:type="dxa"/>
            <w:vAlign w:val="bottom"/>
          </w:tcPr>
          <w:p>
            <w:pPr>
              <w:spacing w:after="0"/>
              <w:rPr>
                <w:sz w:val="20"/>
                <w:szCs w:val="20"/>
                <w:color w:val="auto"/>
              </w:rPr>
            </w:pPr>
            <w:r>
              <w:rPr>
                <w:rFonts w:ascii="Arial" w:cs="Arial" w:eastAsia="Arial" w:hAnsi="Arial"/>
                <w:sz w:val="16"/>
                <w:szCs w:val="16"/>
                <w:b w:val="1"/>
                <w:bCs w:val="1"/>
                <w:color w:val="auto"/>
              </w:rPr>
              <w:t>Variable rate instruments</w:t>
            </w:r>
          </w:p>
        </w:tc>
        <w:tc>
          <w:tcPr>
            <w:tcW w:w="2640" w:type="dxa"/>
            <w:vAlign w:val="bottom"/>
          </w:tcPr>
          <w:p>
            <w:pPr>
              <w:spacing w:after="0"/>
              <w:rPr>
                <w:sz w:val="17"/>
                <w:szCs w:val="17"/>
                <w:color w:val="auto"/>
              </w:rPr>
            </w:pPr>
          </w:p>
        </w:tc>
        <w:tc>
          <w:tcPr>
            <w:tcW w:w="2340" w:type="dxa"/>
            <w:vAlign w:val="bottom"/>
            <w:gridSpan w:val="3"/>
          </w:tcPr>
          <w:p>
            <w:pPr>
              <w:jc w:val="right"/>
              <w:ind w:right="542"/>
              <w:spacing w:after="0"/>
              <w:rPr>
                <w:sz w:val="20"/>
                <w:szCs w:val="20"/>
                <w:color w:val="auto"/>
              </w:rPr>
            </w:pPr>
            <w:r>
              <w:rPr>
                <w:rFonts w:ascii="Arial" w:cs="Arial" w:eastAsia="Arial" w:hAnsi="Arial"/>
                <w:sz w:val="16"/>
                <w:szCs w:val="16"/>
                <w:b w:val="1"/>
                <w:bCs w:val="1"/>
                <w:color w:val="auto"/>
              </w:rPr>
              <w:t>Carrying amount</w:t>
            </w:r>
          </w:p>
        </w:tc>
      </w:tr>
      <w:tr>
        <w:trPr>
          <w:trHeight w:val="302"/>
        </w:trPr>
        <w:tc>
          <w:tcPr>
            <w:tcW w:w="4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24"/>
                <w:szCs w:val="24"/>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r>
      <w:tr>
        <w:trPr>
          <w:trHeight w:val="208"/>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(unaudited)</w:t>
            </w:r>
          </w:p>
        </w:tc>
      </w:tr>
      <w:tr>
        <w:trPr>
          <w:trHeight w:val="246"/>
        </w:trPr>
        <w:tc>
          <w:tcPr>
            <w:tcW w:w="4200" w:type="dxa"/>
            <w:vAlign w:val="bottom"/>
          </w:tcPr>
          <w:p>
            <w:pPr>
              <w:spacing w:after="0"/>
              <w:rPr>
                <w:sz w:val="20"/>
                <w:szCs w:val="20"/>
                <w:color w:val="auto"/>
              </w:rPr>
            </w:pPr>
            <w:r>
              <w:rPr>
                <w:rFonts w:ascii="Arial" w:cs="Arial" w:eastAsia="Arial" w:hAnsi="Arial"/>
                <w:sz w:val="16"/>
                <w:szCs w:val="16"/>
                <w:color w:val="auto"/>
              </w:rPr>
              <w:t>Cash at bank</w:t>
            </w:r>
          </w:p>
        </w:tc>
        <w:tc>
          <w:tcPr>
            <w:tcW w:w="2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880,026</w:t>
            </w:r>
          </w:p>
        </w:tc>
        <w:tc>
          <w:tcPr>
            <w:tcW w:w="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694,392</w:t>
            </w:r>
          </w:p>
        </w:tc>
      </w:tr>
    </w:tbl>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 held no fixed rate instruments during financial years 2014 or 2013 (unaudited).</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 Fair values</w:t>
      </w:r>
    </w:p>
    <w:p>
      <w:pPr>
        <w:spacing w:after="0" w:line="15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Fair values versus carrying amounts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fair values of financial assets and liabilities, together with the carrying amounts shown in the statement of financial position, are 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2014</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2013</w:t>
            </w:r>
          </w:p>
        </w:tc>
        <w:tc>
          <w:tcPr>
            <w:tcW w:w="1020" w:type="dxa"/>
            <w:vAlign w:val="bottom"/>
          </w:tcPr>
          <w:p>
            <w:pPr>
              <w:spacing w:after="0"/>
              <w:rPr>
                <w:sz w:val="16"/>
                <w:szCs w:val="16"/>
                <w:color w:val="auto"/>
              </w:rPr>
            </w:pPr>
          </w:p>
        </w:tc>
      </w:tr>
      <w:tr>
        <w:trPr>
          <w:trHeight w:val="204"/>
        </w:trPr>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(unaudited)</w:t>
            </w:r>
          </w:p>
        </w:tc>
        <w:tc>
          <w:tcPr>
            <w:tcW w:w="1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(unaudited)</w:t>
            </w:r>
          </w:p>
        </w:tc>
      </w:tr>
      <w:tr>
        <w:trPr>
          <w:trHeight w:val="501"/>
        </w:trPr>
        <w:tc>
          <w:tcPr>
            <w:tcW w:w="2920" w:type="dxa"/>
            <w:vAlign w:val="bottom"/>
            <w:tcBorders>
              <w:bottom w:val="single" w:sz="8" w:color="auto"/>
            </w:tcBorders>
          </w:tcPr>
          <w:p>
            <w:pPr>
              <w:ind w:left="1540"/>
              <w:spacing w:after="0"/>
              <w:rPr>
                <w:sz w:val="20"/>
                <w:szCs w:val="20"/>
                <w:color w:val="auto"/>
              </w:rPr>
            </w:pPr>
            <w:r>
              <w:rPr>
                <w:rFonts w:ascii="Arial" w:cs="Arial" w:eastAsia="Arial" w:hAnsi="Arial"/>
                <w:sz w:val="16"/>
                <w:szCs w:val="16"/>
                <w:i w:val="1"/>
                <w:iCs w:val="1"/>
                <w:color w:val="auto"/>
              </w:rPr>
              <w:t>In AUS$</w:t>
            </w: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90"/>
              </w:rPr>
              <w:t>Carrying amount</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Carrying amount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Fair value</w:t>
            </w:r>
          </w:p>
        </w:tc>
      </w:tr>
      <w:tr>
        <w:trPr>
          <w:trHeight w:val="270"/>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145,056</w:t>
            </w:r>
          </w:p>
        </w:tc>
        <w:tc>
          <w:tcPr>
            <w:tcW w:w="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145,056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172,293</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172,293</w:t>
            </w:r>
          </w:p>
        </w:tc>
      </w:tr>
      <w:tr>
        <w:trPr>
          <w:trHeight w:val="281"/>
        </w:trPr>
        <w:tc>
          <w:tcPr>
            <w:tcW w:w="2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spacing w:after="0"/>
              <w:rPr>
                <w:sz w:val="24"/>
                <w:szCs w:val="24"/>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880,026</w:t>
            </w:r>
          </w:p>
        </w:tc>
        <w:tc>
          <w:tcPr>
            <w:tcW w:w="28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880,026</w:t>
            </w:r>
          </w:p>
        </w:tc>
        <w:tc>
          <w:tcPr>
            <w:tcW w:w="160" w:type="dxa"/>
            <w:vAlign w:val="bottom"/>
          </w:tcPr>
          <w:p>
            <w:pPr>
              <w:spacing w:after="0"/>
              <w:rPr>
                <w:sz w:val="24"/>
                <w:szCs w:val="24"/>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694,392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694,392</w:t>
            </w:r>
          </w:p>
        </w:tc>
      </w:tr>
      <w:tr>
        <w:trPr>
          <w:trHeight w:val="28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w:t>
            </w:r>
          </w:p>
        </w:tc>
        <w:tc>
          <w:tcPr>
            <w:tcW w:w="9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633,418</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633,418</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636,830</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636,830</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basis for determining fair values is disclosed in Note 4, </w:t>
      </w:r>
      <w:r>
        <w:rPr>
          <w:rFonts w:ascii="Arial" w:cs="Arial" w:eastAsia="Arial" w:hAnsi="Arial"/>
          <w:sz w:val="16"/>
          <w:szCs w:val="16"/>
          <w:i w:val="1"/>
          <w:iCs w:val="1"/>
          <w:color w:val="auto"/>
        </w:rPr>
        <w:t>Determination of fair values</w:t>
      </w:r>
      <w:r>
        <w:rPr>
          <w:rFonts w:ascii="Arial" w:cs="Arial" w:eastAsia="Arial" w:hAnsi="Arial"/>
          <w:sz w:val="16"/>
          <w:szCs w:val="16"/>
          <w:color w:val="auto"/>
        </w:rPr>
        <w: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 Capital</w:t>
      </w:r>
    </w:p>
    <w:p>
      <w:pPr>
        <w:spacing w:after="0" w:line="172" w:lineRule="exact"/>
        <w:rPr>
          <w:sz w:val="20"/>
          <w:szCs w:val="20"/>
          <w:color w:val="auto"/>
        </w:rPr>
      </w:pPr>
    </w:p>
    <w:p>
      <w:pPr>
        <w:jc w:val="both"/>
        <w:ind w:right="20" w:firstLine="564"/>
        <w:spacing w:after="0" w:line="341" w:lineRule="auto"/>
        <w:rPr>
          <w:sz w:val="20"/>
          <w:szCs w:val="20"/>
          <w:color w:val="auto"/>
        </w:rPr>
      </w:pPr>
      <w:r>
        <w:rPr>
          <w:rFonts w:ascii="Arial" w:cs="Arial" w:eastAsia="Arial" w:hAnsi="Arial"/>
          <w:sz w:val="13"/>
          <w:szCs w:val="13"/>
          <w:color w:val="auto"/>
        </w:rPr>
        <w:t>Capital consists of contributed equity and retained earnings. The contributed equity amount represents the initial investment in the partnership. The Managing Committee’s policy is to maintain a strong capital base so as to maintain creditor confidence and to sustain future development of the business. There were no externally imposed capital requirements during the financial years 2014 or 2013 (unaudited).</w:t>
      </w:r>
    </w:p>
    <w:p>
      <w:pPr>
        <w:spacing w:after="0" w:line="75" w:lineRule="exact"/>
        <w:rPr>
          <w:sz w:val="20"/>
          <w:szCs w:val="20"/>
          <w:color w:val="auto"/>
        </w:rPr>
      </w:pPr>
    </w:p>
    <w:p>
      <w:pPr>
        <w:ind w:left="560" w:right="7600" w:hanging="558"/>
        <w:spacing w:after="0" w:line="606" w:lineRule="auto"/>
        <w:tabs>
          <w:tab w:leader="none" w:pos="231"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leases Leases as lessee</w:t>
      </w:r>
    </w:p>
    <w:p>
      <w:pPr>
        <w:ind w:left="560"/>
        <w:spacing w:after="0"/>
        <w:rPr>
          <w:rFonts w:ascii="Arial" w:cs="Arial" w:eastAsia="Arial" w:hAnsi="Arial"/>
          <w:sz w:val="12"/>
          <w:szCs w:val="12"/>
          <w:b w:val="1"/>
          <w:bCs w:val="1"/>
          <w:color w:val="auto"/>
        </w:rPr>
      </w:pPr>
      <w:r>
        <w:rPr>
          <w:rFonts w:ascii="Arial" w:cs="Arial" w:eastAsia="Arial" w:hAnsi="Arial"/>
          <w:sz w:val="16"/>
          <w:szCs w:val="16"/>
          <w:color w:val="auto"/>
        </w:rPr>
        <w:t>Non-cancellable operating lease rentals are payable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20" w:type="dxa"/>
            <w:vAlign w:val="bottom"/>
          </w:tcPr>
          <w:p>
            <w:pPr>
              <w:spacing w:after="0"/>
              <w:rPr>
                <w:sz w:val="16"/>
                <w:szCs w:val="16"/>
                <w:color w:val="auto"/>
              </w:rPr>
            </w:pPr>
          </w:p>
        </w:tc>
        <w:tc>
          <w:tcPr>
            <w:tcW w:w="5200" w:type="dxa"/>
            <w:vAlign w:val="bottom"/>
          </w:tcPr>
          <w:p>
            <w:pPr>
              <w:jc w:val="right"/>
              <w:ind w:right="482"/>
              <w:spacing w:after="0"/>
              <w:rPr>
                <w:sz w:val="20"/>
                <w:szCs w:val="20"/>
                <w:color w:val="auto"/>
              </w:rPr>
            </w:pPr>
            <w:r>
              <w:rPr>
                <w:rFonts w:ascii="Arial" w:cs="Arial" w:eastAsia="Arial" w:hAnsi="Arial"/>
                <w:sz w:val="16"/>
                <w:szCs w:val="16"/>
                <w:b w:val="1"/>
                <w:bCs w:val="1"/>
                <w:color w:val="auto"/>
              </w:rPr>
              <w:t>2014</w:t>
            </w:r>
          </w:p>
        </w:tc>
        <w:tc>
          <w:tcPr>
            <w:tcW w:w="116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16"/>
                <w:szCs w:val="16"/>
                <w:color w:val="auto"/>
              </w:rPr>
            </w:pPr>
          </w:p>
        </w:tc>
      </w:tr>
      <w:tr>
        <w:trPr>
          <w:trHeight w:val="208"/>
        </w:trPr>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5200" w:type="dxa"/>
            <w:vAlign w:val="bottom"/>
            <w:tcBorders>
              <w:bottom w:val="single" w:sz="8" w:color="auto"/>
            </w:tcBorders>
          </w:tcPr>
          <w:p>
            <w:pPr>
              <w:jc w:val="center"/>
              <w:ind w:left="3702"/>
              <w:spacing w:after="0"/>
              <w:rPr>
                <w:sz w:val="20"/>
                <w:szCs w:val="20"/>
                <w:color w:val="auto"/>
              </w:rPr>
            </w:pPr>
            <w:r>
              <w:rPr>
                <w:rFonts w:ascii="Arial" w:cs="Arial" w:eastAsia="Arial" w:hAnsi="Arial"/>
                <w:sz w:val="16"/>
                <w:szCs w:val="16"/>
                <w:b w:val="1"/>
                <w:bCs w:val="1"/>
                <w:color w:val="auto"/>
                <w:w w:val="89"/>
              </w:rPr>
              <w:t>(unaudited)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(unaudited)</w:t>
            </w:r>
          </w:p>
        </w:tc>
        <w:tc>
          <w:tcPr>
            <w:tcW w:w="20" w:type="dxa"/>
            <w:vAlign w:val="bottom"/>
          </w:tcPr>
          <w:p>
            <w:pPr>
              <w:spacing w:after="0"/>
              <w:rPr>
                <w:sz w:val="18"/>
                <w:szCs w:val="18"/>
                <w:color w:val="auto"/>
              </w:rPr>
            </w:pPr>
          </w:p>
        </w:tc>
      </w:tr>
      <w:tr>
        <w:trPr>
          <w:trHeight w:val="247"/>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Less than one year</w:t>
            </w:r>
          </w:p>
        </w:tc>
        <w:tc>
          <w:tcPr>
            <w:tcW w:w="5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1,277,755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1,277,755</w:t>
            </w:r>
          </w:p>
        </w:tc>
        <w:tc>
          <w:tcPr>
            <w:tcW w:w="20" w:type="dxa"/>
            <w:vAlign w:val="bottom"/>
          </w:tcPr>
          <w:p>
            <w:pPr>
              <w:spacing w:after="0"/>
              <w:rPr>
                <w:sz w:val="21"/>
                <w:szCs w:val="21"/>
                <w:color w:val="auto"/>
              </w:rPr>
            </w:pPr>
          </w:p>
        </w:tc>
      </w:tr>
      <w:tr>
        <w:trPr>
          <w:trHeight w:val="715"/>
        </w:trPr>
        <w:tc>
          <w:tcPr>
            <w:tcW w:w="2820" w:type="dxa"/>
            <w:vAlign w:val="bottom"/>
          </w:tcPr>
          <w:p>
            <w:pPr>
              <w:spacing w:after="0"/>
              <w:rPr>
                <w:sz w:val="24"/>
                <w:szCs w:val="24"/>
                <w:color w:val="auto"/>
              </w:rPr>
            </w:pPr>
          </w:p>
        </w:tc>
        <w:tc>
          <w:tcPr>
            <w:tcW w:w="5200" w:type="dxa"/>
            <w:vAlign w:val="bottom"/>
          </w:tcPr>
          <w:p>
            <w:pPr>
              <w:jc w:val="right"/>
              <w:ind w:right="3222"/>
              <w:spacing w:after="0"/>
              <w:rPr>
                <w:sz w:val="20"/>
                <w:szCs w:val="20"/>
                <w:color w:val="auto"/>
              </w:rPr>
            </w:pPr>
            <w:r>
              <w:rPr>
                <w:rFonts w:ascii="Arial" w:cs="Arial" w:eastAsia="Arial" w:hAnsi="Arial"/>
                <w:sz w:val="16"/>
                <w:szCs w:val="16"/>
                <w:color w:val="auto"/>
              </w:rPr>
              <w:t>128</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2820" w:type="dxa"/>
            <w:vAlign w:val="bottom"/>
            <w:tcBorders>
              <w:bottom w:val="single" w:sz="8" w:color="9A9A9A"/>
            </w:tcBorders>
          </w:tcPr>
          <w:p>
            <w:pPr>
              <w:spacing w:after="0"/>
              <w:rPr>
                <w:sz w:val="11"/>
                <w:szCs w:val="11"/>
                <w:color w:val="auto"/>
              </w:rPr>
            </w:pPr>
          </w:p>
        </w:tc>
        <w:tc>
          <w:tcPr>
            <w:tcW w:w="52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2820" w:type="dxa"/>
            <w:vAlign w:val="bottom"/>
            <w:tcBorders>
              <w:bottom w:val="single" w:sz="8" w:color="EEEEEE"/>
            </w:tcBorders>
          </w:tcPr>
          <w:p>
            <w:pPr>
              <w:spacing w:after="0" w:line="20" w:lineRule="exact"/>
              <w:rPr>
                <w:sz w:val="1"/>
                <w:szCs w:val="1"/>
                <w:color w:val="auto"/>
              </w:rPr>
            </w:pPr>
          </w:p>
        </w:tc>
        <w:tc>
          <w:tcPr>
            <w:tcW w:w="52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7" w:right="1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0"/>
        </w:trPr>
        <w:tc>
          <w:tcPr>
            <w:tcW w:w="4220" w:type="dxa"/>
            <w:vAlign w:val="bottom"/>
          </w:tcPr>
          <w:p>
            <w:pPr>
              <w:spacing w:after="0"/>
              <w:rPr>
                <w:sz w:val="20"/>
                <w:szCs w:val="20"/>
                <w:color w:val="auto"/>
              </w:rPr>
            </w:pPr>
            <w:r>
              <w:rPr>
                <w:rFonts w:ascii="Arial" w:cs="Arial" w:eastAsia="Arial" w:hAnsi="Arial"/>
                <w:sz w:val="16"/>
                <w:szCs w:val="16"/>
                <w:color w:val="auto"/>
              </w:rPr>
              <w:t>Between one and five years</w:t>
            </w:r>
          </w:p>
        </w:tc>
        <w:tc>
          <w:tcPr>
            <w:tcW w:w="27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3,780,755</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5,083,014</w:t>
            </w:r>
          </w:p>
        </w:tc>
      </w:tr>
      <w:tr>
        <w:trPr>
          <w:trHeight w:val="258"/>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More than five years</w:t>
            </w:r>
          </w:p>
        </w:tc>
        <w:tc>
          <w:tcPr>
            <w:tcW w:w="27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7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5,058,510</w:t>
            </w:r>
          </w:p>
        </w:tc>
        <w:tc>
          <w:tcPr>
            <w:tcW w:w="4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6,360,769</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 leases the cinema property under a long term operating lease.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Contingencies and capital commitments</w:t>
      </w:r>
    </w:p>
    <w:p>
      <w:pPr>
        <w:spacing w:after="0" w:line="161"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The nature of the Joint Venture’s operations results in claims for personal injuries (including public liability and workers compensation) being received from time to time. As at period end there were no material current or ongoing outstanding claims (unaudited).</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 has no capital commitments at 31 December 2014 (unaudited); (2013: $nil)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00" w:type="dxa"/>
            <w:vAlign w:val="bottom"/>
          </w:tcPr>
          <w:p>
            <w:pPr>
              <w:spacing w:after="0"/>
              <w:rPr>
                <w:sz w:val="20"/>
                <w:szCs w:val="20"/>
                <w:color w:val="auto"/>
              </w:rPr>
            </w:pPr>
            <w:r>
              <w:rPr>
                <w:rFonts w:ascii="Arial" w:cs="Arial" w:eastAsia="Arial" w:hAnsi="Arial"/>
                <w:sz w:val="16"/>
                <w:szCs w:val="16"/>
                <w:b w:val="1"/>
                <w:bCs w:val="1"/>
                <w:color w:val="auto"/>
                <w:w w:val="99"/>
              </w:rPr>
              <w:t>18. Reconciliation of cash flows from operating activities</w:t>
            </w: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48"/>
        </w:trPr>
        <w:tc>
          <w:tcPr>
            <w:tcW w:w="4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4"/>
                <w:szCs w:val="24"/>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8"/>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Note</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6"/>
              </w:rPr>
              <w:t>(unaudited)</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6"/>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2012</w:t>
            </w:r>
          </w:p>
        </w:tc>
      </w:tr>
      <w:tr>
        <w:trPr>
          <w:trHeight w:val="246"/>
        </w:trPr>
        <w:tc>
          <w:tcPr>
            <w:tcW w:w="43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1,966,075</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3,018,381</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3,390,207</w:t>
            </w:r>
          </w:p>
        </w:tc>
      </w:tr>
      <w:tr>
        <w:trPr>
          <w:trHeight w:val="258"/>
        </w:trPr>
        <w:tc>
          <w:tcPr>
            <w:tcW w:w="4300" w:type="dxa"/>
            <w:vAlign w:val="bottom"/>
          </w:tcPr>
          <w:p>
            <w:pPr>
              <w:spacing w:after="0"/>
              <w:rPr>
                <w:sz w:val="20"/>
                <w:szCs w:val="20"/>
                <w:color w:val="auto"/>
              </w:rPr>
            </w:pPr>
            <w:r>
              <w:rPr>
                <w:rFonts w:ascii="Arial" w:cs="Arial" w:eastAsia="Arial" w:hAnsi="Arial"/>
                <w:sz w:val="16"/>
                <w:szCs w:val="16"/>
                <w:color w:val="auto"/>
              </w:rPr>
              <w:t>Adjustments for:</w:t>
            </w: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amortisation</w:t>
            </w:r>
          </w:p>
        </w:tc>
        <w:tc>
          <w:tcPr>
            <w:tcW w:w="1240" w:type="dxa"/>
            <w:vAlign w:val="bottom"/>
            <w:shd w:val="clear" w:color="auto" w:fill="CCEEFF"/>
          </w:tcPr>
          <w:p>
            <w:pPr>
              <w:jc w:val="center"/>
              <w:ind w:left="62"/>
              <w:spacing w:after="0"/>
              <w:rPr>
                <w:sz w:val="20"/>
                <w:szCs w:val="20"/>
                <w:color w:val="auto"/>
              </w:rPr>
            </w:pPr>
            <w:r>
              <w:rPr>
                <w:rFonts w:ascii="Arial" w:cs="Arial" w:eastAsia="Arial" w:hAnsi="Arial"/>
                <w:sz w:val="16"/>
                <w:szCs w:val="16"/>
                <w:color w:val="auto"/>
                <w:w w:val="78"/>
              </w:rPr>
              <w:t>11</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510,627</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544,271</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597,349</w:t>
            </w:r>
          </w:p>
        </w:tc>
      </w:tr>
      <w:tr>
        <w:trPr>
          <w:trHeight w:val="258"/>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received</w:t>
            </w: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w w:val="89"/>
              </w:rPr>
              <w:t>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(8,726)</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(21,256)</w:t>
            </w:r>
          </w:p>
        </w:tc>
      </w:tr>
      <w:tr>
        <w:trPr>
          <w:trHeight w:val="238"/>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profit before changes in working capital</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2,467,976</w:t>
            </w:r>
          </w:p>
        </w:tc>
        <w:tc>
          <w:tcPr>
            <w:tcW w:w="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3,550,730</w:t>
            </w:r>
          </w:p>
        </w:tc>
        <w:tc>
          <w:tcPr>
            <w:tcW w:w="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3,966,300</w:t>
            </w:r>
          </w:p>
        </w:tc>
      </w:tr>
      <w:tr>
        <w:trPr>
          <w:trHeight w:val="238"/>
        </w:trPr>
        <w:tc>
          <w:tcPr>
            <w:tcW w:w="4300" w:type="dxa"/>
            <w:vAlign w:val="bottom"/>
          </w:tcPr>
          <w:p>
            <w:pPr>
              <w:spacing w:after="0"/>
              <w:rPr>
                <w:sz w:val="20"/>
                <w:szCs w:val="20"/>
                <w:color w:val="auto"/>
              </w:rPr>
            </w:pPr>
            <w:r>
              <w:rPr>
                <w:rFonts w:ascii="Arial" w:cs="Arial" w:eastAsia="Arial" w:hAnsi="Arial"/>
                <w:sz w:val="16"/>
                <w:szCs w:val="16"/>
                <w:color w:val="auto"/>
              </w:rPr>
              <w:t>Change in trade receivables</w:t>
            </w:r>
          </w:p>
        </w:tc>
        <w:tc>
          <w:tcPr>
            <w:tcW w:w="1240" w:type="dxa"/>
            <w:vAlign w:val="bottom"/>
          </w:tcPr>
          <w:p>
            <w:pPr>
              <w:jc w:val="center"/>
              <w:ind w:left="82"/>
              <w:spacing w:after="0"/>
              <w:rPr>
                <w:sz w:val="20"/>
                <w:szCs w:val="20"/>
                <w:color w:val="auto"/>
              </w:rPr>
            </w:pPr>
            <w:r>
              <w:rPr>
                <w:rFonts w:ascii="Arial" w:cs="Arial" w:eastAsia="Arial" w:hAnsi="Arial"/>
                <w:sz w:val="16"/>
                <w:szCs w:val="16"/>
                <w:color w:val="auto"/>
                <w:w w:val="89"/>
              </w:rPr>
              <w:t>9</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27,237</w:t>
            </w:r>
          </w:p>
        </w:tc>
        <w:tc>
          <w:tcPr>
            <w:tcW w:w="22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24,305</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(53,110)</w:t>
            </w:r>
          </w:p>
        </w:tc>
      </w:tr>
      <w:tr>
        <w:trPr>
          <w:trHeight w:val="25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Change in inventories</w:t>
            </w:r>
          </w:p>
        </w:tc>
        <w:tc>
          <w:tcPr>
            <w:tcW w:w="1240" w:type="dxa"/>
            <w:vAlign w:val="bottom"/>
            <w:shd w:val="clear" w:color="auto" w:fill="CCEEFF"/>
          </w:tcPr>
          <w:p>
            <w:pPr>
              <w:jc w:val="center"/>
              <w:ind w:left="82"/>
              <w:spacing w:after="0"/>
              <w:rPr>
                <w:sz w:val="20"/>
                <w:szCs w:val="20"/>
                <w:color w:val="auto"/>
              </w:rPr>
            </w:pPr>
            <w:r>
              <w:rPr>
                <w:rFonts w:ascii="Arial" w:cs="Arial" w:eastAsia="Arial" w:hAnsi="Arial"/>
                <w:sz w:val="16"/>
                <w:szCs w:val="16"/>
                <w:color w:val="auto"/>
                <w:w w:val="89"/>
              </w:rPr>
              <w:t>10</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47,138</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46,464</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(19,512)</w:t>
            </w:r>
          </w:p>
        </w:tc>
      </w:tr>
      <w:tr>
        <w:trPr>
          <w:trHeight w:val="258"/>
        </w:trPr>
        <w:tc>
          <w:tcPr>
            <w:tcW w:w="4300" w:type="dxa"/>
            <w:vAlign w:val="bottom"/>
          </w:tcPr>
          <w:p>
            <w:pPr>
              <w:spacing w:after="0"/>
              <w:rPr>
                <w:sz w:val="20"/>
                <w:szCs w:val="20"/>
                <w:color w:val="auto"/>
              </w:rPr>
            </w:pPr>
            <w:r>
              <w:rPr>
                <w:rFonts w:ascii="Arial" w:cs="Arial" w:eastAsia="Arial" w:hAnsi="Arial"/>
                <w:sz w:val="16"/>
                <w:szCs w:val="16"/>
                <w:color w:val="auto"/>
              </w:rPr>
              <w:t>Change in trade and other payables</w:t>
            </w:r>
          </w:p>
        </w:tc>
        <w:tc>
          <w:tcPr>
            <w:tcW w:w="1240" w:type="dxa"/>
            <w:vAlign w:val="bottom"/>
          </w:tcPr>
          <w:p>
            <w:pPr>
              <w:jc w:val="center"/>
              <w:ind w:left="82"/>
              <w:spacing w:after="0"/>
              <w:rPr>
                <w:sz w:val="20"/>
                <w:szCs w:val="20"/>
                <w:color w:val="auto"/>
              </w:rPr>
            </w:pPr>
            <w:r>
              <w:rPr>
                <w:rFonts w:ascii="Arial" w:cs="Arial" w:eastAsia="Arial" w:hAnsi="Arial"/>
                <w:sz w:val="16"/>
                <w:szCs w:val="16"/>
                <w:color w:val="auto"/>
                <w:w w:val="89"/>
              </w:rPr>
              <w:t>12</w:t>
            </w:r>
          </w:p>
        </w:tc>
        <w:tc>
          <w:tcPr>
            <w:tcW w:w="1080" w:type="dxa"/>
            <w:vAlign w:val="bottom"/>
          </w:tcPr>
          <w:p>
            <w:pPr>
              <w:jc w:val="right"/>
              <w:spacing w:after="0"/>
              <w:rPr>
                <w:sz w:val="20"/>
                <w:szCs w:val="20"/>
                <w:color w:val="auto"/>
              </w:rPr>
            </w:pPr>
            <w:r>
              <w:rPr>
                <w:rFonts w:ascii="Arial" w:cs="Arial" w:eastAsia="Arial" w:hAnsi="Arial"/>
                <w:sz w:val="16"/>
                <w:szCs w:val="16"/>
                <w:color w:val="auto"/>
              </w:rPr>
              <w:t>(3,414)</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(241,194)</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220,135</w:t>
            </w:r>
          </w:p>
        </w:tc>
      </w:tr>
      <w:tr>
        <w:trPr>
          <w:trHeight w:val="25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Change in employee benefits</w:t>
            </w:r>
          </w:p>
        </w:tc>
        <w:tc>
          <w:tcPr>
            <w:tcW w:w="1240" w:type="dxa"/>
            <w:vAlign w:val="bottom"/>
            <w:shd w:val="clear" w:color="auto" w:fill="CCEEFF"/>
          </w:tcPr>
          <w:p>
            <w:pPr>
              <w:jc w:val="center"/>
              <w:ind w:left="82"/>
              <w:spacing w:after="0"/>
              <w:rPr>
                <w:sz w:val="20"/>
                <w:szCs w:val="20"/>
                <w:color w:val="auto"/>
              </w:rPr>
            </w:pPr>
            <w:r>
              <w:rPr>
                <w:rFonts w:ascii="Arial" w:cs="Arial" w:eastAsia="Arial" w:hAnsi="Arial"/>
                <w:sz w:val="16"/>
                <w:szCs w:val="16"/>
                <w:color w:val="auto"/>
                <w:w w:val="89"/>
              </w:rPr>
              <w:t>13</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25,027</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1,685</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17,466</w:t>
            </w:r>
          </w:p>
        </w:tc>
      </w:tr>
      <w:tr>
        <w:trPr>
          <w:trHeight w:val="258"/>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 in deferred revenue</w:t>
            </w: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w w:val="89"/>
              </w:rPr>
              <w:t>14</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108,770</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4,614</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(11,385)</w:t>
            </w:r>
          </w:p>
        </w:tc>
      </w:tr>
      <w:tr>
        <w:trPr>
          <w:trHeight w:val="231"/>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cash from operating activities</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2,672,734</w:t>
            </w:r>
          </w:p>
        </w:tc>
        <w:tc>
          <w:tcPr>
            <w:tcW w:w="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3,386,604</w:t>
            </w:r>
          </w:p>
        </w:tc>
        <w:tc>
          <w:tcPr>
            <w:tcW w:w="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4,119,894</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Related parties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Entities with joint control or significant influence over the Joint Venture.</w:t>
      </w:r>
    </w:p>
    <w:p>
      <w:pPr>
        <w:spacing w:after="0" w:line="172"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The managing Joint Venturer is paid an annual management fee, which is presented separately in the statement of comprehensive income. The management fee paid is as per the Joint Venture agreement and is to cover the costs of managing and operating the cinema complex and providing all relevant accounting and support services. The management fee is based on a contracted base amount, increased by the Consumer Price Index for the City of Brisbane as published by the Australian Bureau of Statistics on an annual basis. Such management fee agreement is binding over the life of the agreement which shall continue in existence until the Joint Venture is terminated under agreement by the Joint Venturers.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31 December 2014 the management fee payable was $34,458 (unaudited) (2013: $26,040) (unaudited).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Subsequent events</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538" w:right="1359" w:bottom="1440" w:gutter="0" w:footer="0" w:header="0"/>
        </w:sectPr>
      </w:pPr>
    </w:p>
    <w:bookmarkStart w:id="129" w:name="page130"/>
    <w:bookmarkEnd w:id="129"/>
    <w:p>
      <w:pPr>
        <w:ind w:left="480"/>
        <w:spacing w:after="0"/>
        <w:rPr>
          <w:sz w:val="20"/>
          <w:szCs w:val="20"/>
          <w:color w:val="auto"/>
        </w:rPr>
      </w:pPr>
      <w:r>
        <w:rPr>
          <w:rFonts w:ascii="Arial" w:cs="Arial" w:eastAsia="Arial" w:hAnsi="Arial"/>
          <w:sz w:val="13"/>
          <w:szCs w:val="13"/>
          <w:color w:val="auto"/>
        </w:rPr>
        <w:t>Subsequent to 31 December 2014, there were no events which would have a material effect on these financial statements (unaudited).</w:t>
      </w:r>
    </w:p>
    <w:p>
      <w:pPr>
        <w:sectPr>
          <w:pgSz w:w="11900" w:h="16838" w:orient="portrait"/>
          <w:cols w:equalWidth="0" w:num="1">
            <w:col w:w="9019"/>
          </w:cols>
          <w:pgMar w:left="1440" w:top="468"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101600</wp:posOffset>
            </wp:positionV>
            <wp:extent cx="5872480" cy="47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t>Independent Auditors’ Report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Committee and Joint Venturers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Mt. Gravatt Cinemas Joint Venture: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on the Financial Statements</w:t>
      </w:r>
    </w:p>
    <w:p>
      <w:pPr>
        <w:spacing w:after="0" w:line="78" w:lineRule="exact"/>
        <w:rPr>
          <w:sz w:val="20"/>
          <w:szCs w:val="20"/>
          <w:color w:val="auto"/>
        </w:rPr>
      </w:pPr>
    </w:p>
    <w:p>
      <w:pPr>
        <w:jc w:val="both"/>
        <w:spacing w:after="0" w:line="364" w:lineRule="auto"/>
        <w:rPr>
          <w:sz w:val="20"/>
          <w:szCs w:val="20"/>
          <w:color w:val="auto"/>
        </w:rPr>
      </w:pPr>
      <w:r>
        <w:rPr>
          <w:rFonts w:ascii="Arial" w:cs="Arial" w:eastAsia="Arial" w:hAnsi="Arial"/>
          <w:sz w:val="13"/>
          <w:szCs w:val="13"/>
          <w:color w:val="auto"/>
        </w:rPr>
        <w:t>We have audited the accompanying financial statements of Mt. Gravatt Cinemas Joint Venture, which comprise the statement of comprehensive income, changes in equity, and cash flows for the year ended December 31, 2012, and the related notes to the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Responsibility for the Financial Statements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accordance with International Financial Reporting Standards as issued by the International Accounting Standards Board; this includes the design, implementation, and maintenance of internal control relevant to the preparation and fair presentation of financial statements that are free from material misstatement, whether due to fraud or error.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Responsibility</w:t>
      </w:r>
    </w:p>
    <w:p>
      <w:pPr>
        <w:spacing w:after="0" w:line="9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4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43" w:lineRule="exact"/>
        <w:rPr>
          <w:sz w:val="20"/>
          <w:szCs w:val="20"/>
          <w:color w:val="auto"/>
        </w:rPr>
      </w:pPr>
    </w:p>
    <w:p>
      <w:pPr>
        <w:ind w:right="1600"/>
        <w:spacing w:after="0" w:line="352" w:lineRule="auto"/>
        <w:rPr>
          <w:sz w:val="20"/>
          <w:szCs w:val="20"/>
          <w:color w:val="auto"/>
        </w:rPr>
      </w:pPr>
      <w:r>
        <w:rPr>
          <w:rFonts w:ascii="Arial" w:cs="Arial" w:eastAsia="Arial" w:hAnsi="Arial"/>
          <w:sz w:val="16"/>
          <w:szCs w:val="16"/>
          <w:color w:val="auto"/>
        </w:rPr>
        <w:t xml:space="preserve">We believe that the audit evidence we have obtained is sufficient and appropriate to provide a basis for our audit opinion. </w:t>
      </w:r>
      <w:r>
        <w:rPr>
          <w:rFonts w:ascii="Arial" w:cs="Arial" w:eastAsia="Arial" w:hAnsi="Arial"/>
          <w:sz w:val="16"/>
          <w:szCs w:val="16"/>
          <w:b w:val="1"/>
          <w:bCs w:val="1"/>
          <w:color w:val="auto"/>
        </w:rPr>
        <w:t>Opinion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results of Mt. Gravatt Cinemas Joint Venture and its operations and its cash flows for the year ended December 31, 2012, in conformity with International Financial Reporting Standards as issued by the International Accounting Standards Board.</w:t>
      </w:r>
    </w:p>
    <w:p>
      <w:pPr>
        <w:spacing w:after="0" w:line="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/s/</w:t>
        <w:tab/>
        <w:t>KPMG</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Sydney, Australia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March 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4"/>
        </w:trPr>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8400" w:type="dxa"/>
            <w:vAlign w:val="bottom"/>
          </w:tcPr>
          <w:p>
            <w:pPr>
              <w:spacing w:after="0"/>
              <w:rPr>
                <w:sz w:val="16"/>
                <w:szCs w:val="16"/>
                <w:color w:val="auto"/>
              </w:rPr>
            </w:pPr>
          </w:p>
        </w:tc>
      </w:tr>
      <w:tr>
        <w:trPr>
          <w:trHeight w:val="367"/>
        </w:trPr>
        <w:tc>
          <w:tcPr>
            <w:tcW w:w="5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Certificate of Amendment and Restatement of Articles of Incorporation of Reading International, Inc., a</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Nevada corporation, as filed with the Nevada Secretary of State on May 22, 2003 (filed as Exhibit 3.8 to</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the Company’s report on Form 10-Q for the period ended June 30, 2009, and incorporated herein by</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3.2.1</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Bylaws of Reading International, Inc., a Nevada corporation (filed as Exhibit 3.6 to</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the Company’s Annual Report on Form 10-K for the year ended December 31, 2004, and incorporated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3.2.2</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Amended Article V of the Amended and Restated Bylaws of Reading International, Inc. (filed as exhibit</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3.2 to the Company’s report on Form 8-K dated December 27, 2007,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Articles of Merger of Craig Merger Sub, Inc. with and into Craig Corporation (filed as Exhibit 3.4 to the</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Company’s Annual Report on Form 10-K for the year ended December 31, 2001).</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Articles of Merger of Reading Merger Sub, Inc. with and into Reading Entertainment, Inc. (filed as Exhibit</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3.5 to the Company’s Annual Report on Form 10-K for the year ended December 31, 2001).</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1999 Stock Option Plan of Reading International, Inc., as amended on December 31, 2001 (filed as Exhibit</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4.1 to the Company’s Registration Statement on Form S-8 filed on January 21, 2004, and incorporated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of Preferred Securities Certificate evidencing the preferred securities of Reading International Trust I</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(filed as Exhibit 4.1 to the Company’s report on Form 8-K filed on February 9, 2007, and incorporated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of Common Securities Certificate evidencing common securities of Reading International Trust I</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(filed as Exhibit 4.2 to the Company’s report on Form 8-K filed on February 9, 2007, and incorporated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of Reading International, Inc. and Reading New Zealand, Limited, Junior Subordinated Note due</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2027 (filed as Exhibit 4.3 to the Company’s report on Form 8-K filed on February 9, 2007, and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of Indenture (filed as Exhibit 4.4 to the Company’s report on Form S-3 on October 20, 2009, and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2010 Stock Incentive Plan (filed as Exhibit 4.1 to the Company’s report on Form S-8 on May 26, 2010, and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of Stock Option Agreement (filed as Exhibit 4.2 to the Company’s report on Form S-8 on May 26,</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2010,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of Stock Bonus Agreement (filed as Exhibit 4.3 to the Company’s report on Form S-8 on May 26,</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2010,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of Restricted Stock Agreement (filed as Exhibit 4.4 to the Company’s report on Form S-8 on May 26,</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2010,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4.10*</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of Stock Appreciation Right Agreement (filed as Exhibit 4.5 to the Company’s report on Form S-8 on</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May 26, 2010,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4.11*</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Amendment to the 2010 Stock Incentive Plan (filed as Appendix A of the Company’s proxy statement on</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April 29, 2011, and incorporated here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Employment Agreement, dated October 28, 1999, among Craig Corporation, Citadel Holding Corporation,</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Reading Entertainment, Inc., and Andrzej Matyczynski (filed as Exhibit 10.37 to the Company’s Annual</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Report on Form 10-K for the year ended December 31, 1999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Lease Agreement, dated as of July 28, 2000, as amended and restated as of January</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29, 2002, between Sutton Hill Capital, L.L.C. and Citadel Cinemas, Inc. (filed as Exhibit 10.40 to the</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Company’s Annual Report on Form 10-K for the year ended December 31, 2002 and incorporated herein</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by reference).</w:t>
            </w:r>
          </w:p>
        </w:tc>
      </w:tr>
      <w:tr>
        <w:trPr>
          <w:trHeight w:val="787"/>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0" w:type="dxa"/>
            <w:vAlign w:val="bottom"/>
          </w:tcPr>
          <w:p>
            <w:pPr>
              <w:ind w:left="3680"/>
              <w:spacing w:after="0"/>
              <w:rPr>
                <w:sz w:val="20"/>
                <w:szCs w:val="20"/>
                <w:color w:val="auto"/>
              </w:rPr>
            </w:pPr>
            <w:r>
              <w:rPr>
                <w:rFonts w:ascii="Arial" w:cs="Arial" w:eastAsia="Arial" w:hAnsi="Arial"/>
                <w:sz w:val="16"/>
                <w:szCs w:val="16"/>
                <w:color w:val="auto"/>
              </w:rPr>
              <w:t>132</w:t>
            </w:r>
          </w:p>
        </w:tc>
      </w:tr>
      <w:tr>
        <w:trPr>
          <w:trHeight w:val="130"/>
        </w:trPr>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400" w:type="dxa"/>
            <w:vAlign w:val="bottom"/>
            <w:tcBorders>
              <w:bottom w:val="single" w:sz="8" w:color="9A9A9A"/>
            </w:tcBorders>
          </w:tcPr>
          <w:p>
            <w:pPr>
              <w:spacing w:after="0"/>
              <w:rPr>
                <w:sz w:val="11"/>
                <w:szCs w:val="11"/>
                <w:color w:val="auto"/>
              </w:rPr>
            </w:pPr>
          </w:p>
        </w:tc>
      </w:tr>
      <w:tr>
        <w:trPr>
          <w:trHeight w:val="20"/>
        </w:trPr>
        <w:tc>
          <w:tcPr>
            <w:tcW w:w="5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49" w:right="1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88"/>
        </w:trPr>
        <w:tc>
          <w:tcPr>
            <w:tcW w:w="800" w:type="dxa"/>
            <w:vAlign w:val="bottom"/>
          </w:tcPr>
          <w:p>
            <w:pPr>
              <w:ind w:left="100"/>
              <w:spacing w:after="0"/>
              <w:rPr>
                <w:sz w:val="20"/>
                <w:szCs w:val="20"/>
                <w:color w:val="auto"/>
              </w:rPr>
            </w:pPr>
            <w:r>
              <w:rPr>
                <w:rFonts w:ascii="Arial" w:cs="Arial" w:eastAsia="Arial" w:hAnsi="Arial"/>
                <w:sz w:val="16"/>
                <w:szCs w:val="16"/>
                <w:color w:val="auto"/>
              </w:rPr>
              <w:t>10.3</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Citadel Standby Credit Facility, dated as of July 28, 2000, as amended and restated</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as of January 29, 2002, between Sutton Hill Capital, L.L.C. and Reading International, Inc. (filed as Exhibit</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10.40 to the Company’s Annual Report on Form 10-K for the year ended December 31, 2002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10.4</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Security Agreement dated as of July 28, 2000 as amended and restated as of</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January 29, 2002 between Sutton Hill Capital, L.L.C. and Reading International, Inc. (filed as Exhibit</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10.42 to the Company’s Annual Report on Form 10-K for the year ended December 31, 2002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10.5</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Pledge Agreement dated as of July 28, 2000 as amended and restated as of January</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29, 2002 between Sutton Hill Capital, L.L.C. and Reading International, Inc. (filed as Exhibit 10.43 to the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Company’s Annual Report on Form 10-K for the year ended December 31, 2002 and incorporated herein</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10.6</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Intercreditor Agreement dated as of July 28, 2000 as amended and restated as of</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January 29, 2002 between Sutton Hill Capital, L.L.C. and Reading International, Inc. and Nationwide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Theatres Corp. (filed as Exhibit 10.44 to the Company’s Annual Report on Form 10-K for the year ended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December 31, 2002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10.7</w:t>
            </w:r>
          </w:p>
        </w:tc>
        <w:tc>
          <w:tcPr>
            <w:tcW w:w="8400" w:type="dxa"/>
            <w:vAlign w:val="bottom"/>
          </w:tcPr>
          <w:p>
            <w:pPr>
              <w:ind w:left="260"/>
              <w:spacing w:after="0"/>
              <w:rPr>
                <w:sz w:val="20"/>
                <w:szCs w:val="20"/>
                <w:color w:val="auto"/>
              </w:rPr>
            </w:pPr>
            <w:r>
              <w:rPr>
                <w:rFonts w:ascii="Arial" w:cs="Arial" w:eastAsia="Arial" w:hAnsi="Arial"/>
                <w:sz w:val="16"/>
                <w:szCs w:val="16"/>
                <w:color w:val="auto"/>
              </w:rPr>
              <w:t>Guaranty dated July 28, 2000 by Michael R. Forman and James J. Cotter in favor of Citadel Cinemas, Inc.</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and Citadel Realty, Inc. (filed as Exhibit 10.45 to the Company’s Annual Report on Form 10-K for the year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ended December 31, 2002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10.8</w:t>
            </w:r>
          </w:p>
        </w:tc>
        <w:tc>
          <w:tcPr>
            <w:tcW w:w="8400" w:type="dxa"/>
            <w:vAlign w:val="bottom"/>
          </w:tcPr>
          <w:p>
            <w:pPr>
              <w:ind w:left="260"/>
              <w:spacing w:after="0"/>
              <w:rPr>
                <w:sz w:val="20"/>
                <w:szCs w:val="20"/>
                <w:color w:val="auto"/>
              </w:rPr>
            </w:pPr>
            <w:r>
              <w:rPr>
                <w:rFonts w:ascii="Arial" w:cs="Arial" w:eastAsia="Arial" w:hAnsi="Arial"/>
                <w:sz w:val="16"/>
                <w:szCs w:val="16"/>
                <w:color w:val="auto"/>
              </w:rPr>
              <w:t>Theater Management Agreement, effective as January 1, 2002, between Liberty Theaters, Inc. and OBI</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LLC (filed as Exhibit 10.47 to the Company’s Annual Report on Form 10-K for the year ended December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31, 2002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10.9</w:t>
            </w:r>
          </w:p>
        </w:tc>
        <w:tc>
          <w:tcPr>
            <w:tcW w:w="8400" w:type="dxa"/>
            <w:vAlign w:val="bottom"/>
          </w:tcPr>
          <w:p>
            <w:pPr>
              <w:ind w:left="260"/>
              <w:spacing w:after="0"/>
              <w:rPr>
                <w:sz w:val="20"/>
                <w:szCs w:val="20"/>
                <w:color w:val="auto"/>
              </w:rPr>
            </w:pPr>
            <w:r>
              <w:rPr>
                <w:rFonts w:ascii="Arial" w:cs="Arial" w:eastAsia="Arial" w:hAnsi="Arial"/>
                <w:sz w:val="16"/>
                <w:szCs w:val="16"/>
                <w:color w:val="auto"/>
              </w:rPr>
              <w:t>Omnibus Amendment Agreement, dated as of October 22, 2003, between Citadel Cinemas, Inc., Sutton</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Hill Capital, L.L.C., Nationwide Theatres Corp., Sutton Hill Associates, and Reading International, Inc.</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(filed as Exhibit 10.49 to the Company’s report on Form 10-Q for the period ended September 30, 2003,</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10.10</w:t>
            </w:r>
          </w:p>
        </w:tc>
        <w:tc>
          <w:tcPr>
            <w:tcW w:w="8400" w:type="dxa"/>
            <w:vAlign w:val="bottom"/>
          </w:tcPr>
          <w:p>
            <w:pPr>
              <w:ind w:left="260"/>
              <w:spacing w:after="0"/>
              <w:rPr>
                <w:sz w:val="20"/>
                <w:szCs w:val="20"/>
                <w:color w:val="auto"/>
              </w:rPr>
            </w:pPr>
            <w:r>
              <w:rPr>
                <w:rFonts w:ascii="Arial" w:cs="Arial" w:eastAsia="Arial" w:hAnsi="Arial"/>
                <w:sz w:val="16"/>
                <w:szCs w:val="16"/>
                <w:color w:val="auto"/>
              </w:rPr>
              <w:t>Assignment and Assumption of Lease between Sutton Hill Capital L.L.C. and Sutton Hill Properties, LLC</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dated as of September 19, 2005 (filed as exhibit 10.56 to the Company’s report on Form 8-K filed on</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September 21, 2005,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10.11</w:t>
            </w:r>
          </w:p>
        </w:tc>
        <w:tc>
          <w:tcPr>
            <w:tcW w:w="8400" w:type="dxa"/>
            <w:vAlign w:val="bottom"/>
          </w:tcPr>
          <w:p>
            <w:pPr>
              <w:ind w:left="260"/>
              <w:spacing w:after="0"/>
              <w:rPr>
                <w:sz w:val="20"/>
                <w:szCs w:val="20"/>
                <w:color w:val="auto"/>
              </w:rPr>
            </w:pPr>
            <w:r>
              <w:rPr>
                <w:rFonts w:ascii="Arial" w:cs="Arial" w:eastAsia="Arial" w:hAnsi="Arial"/>
                <w:sz w:val="16"/>
                <w:szCs w:val="16"/>
                <w:color w:val="auto"/>
              </w:rPr>
              <w:t>License and Option Agreement between Sutton Hill Properties, LLC and Sutton Hill Capital L.L.C. dated</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as of September 19, 2005 (filed as exhibit 10.57 to the Company’s report on Form 8-K filed on September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21, 2005,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10.12</w:t>
            </w:r>
          </w:p>
        </w:tc>
        <w:tc>
          <w:tcPr>
            <w:tcW w:w="8400" w:type="dxa"/>
            <w:vAlign w:val="bottom"/>
          </w:tcPr>
          <w:p>
            <w:pPr>
              <w:ind w:left="260"/>
              <w:spacing w:after="0"/>
              <w:rPr>
                <w:sz w:val="20"/>
                <w:szCs w:val="20"/>
                <w:color w:val="auto"/>
              </w:rPr>
            </w:pPr>
            <w:r>
              <w:rPr>
                <w:rFonts w:ascii="Arial" w:cs="Arial" w:eastAsia="Arial" w:hAnsi="Arial"/>
                <w:sz w:val="16"/>
                <w:szCs w:val="16"/>
                <w:color w:val="auto"/>
              </w:rPr>
              <w:t>Second Amendment to Amended and Restated Master Operating Lease dated as of September 1, 2005</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(filed as exhibit 10.58 to the Company’s report on Form 8-K filed on September 21, 2005, and incorporated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80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Purchase Agreement, dated February 5, 2007, among Reading International, Inc., Reading International</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Trust I, and Kodiak Warehouse JPM LLC (filed as Exhibit 10.1 to the Company’s report on Form 8-K filed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on February 9, 2007,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10.14</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Declaration of Trust, dated February 5, 2007, among Reading International Inc., as</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sponsor, the Administrators named therein, and Wells Fargo Bank, N.A., as property trustee, and Wells</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Fargo Delaware Trust Company as Delaware trustee (filed as Exhibit 10.2 to the Company’s report on</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8-K dated February 5, 2007,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10.15</w:t>
            </w:r>
          </w:p>
        </w:tc>
        <w:tc>
          <w:tcPr>
            <w:tcW w:w="8400" w:type="dxa"/>
            <w:vAlign w:val="bottom"/>
          </w:tcPr>
          <w:p>
            <w:pPr>
              <w:ind w:left="260"/>
              <w:spacing w:after="0"/>
              <w:rPr>
                <w:sz w:val="20"/>
                <w:szCs w:val="20"/>
                <w:color w:val="auto"/>
              </w:rPr>
            </w:pPr>
            <w:r>
              <w:rPr>
                <w:rFonts w:ascii="Arial" w:cs="Arial" w:eastAsia="Arial" w:hAnsi="Arial"/>
                <w:sz w:val="16"/>
                <w:szCs w:val="16"/>
                <w:color w:val="auto"/>
              </w:rPr>
              <w:t>Indenture among Reading International, Inc., Reading New Zealand Limited, and Wells Fargo Bank, N.A.,</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as indenture trustee (filed as Exhibit 10.4 to the Company’s report on Form 8-K dated February 5, 2007,</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10.16*</w:t>
            </w:r>
          </w:p>
        </w:tc>
        <w:tc>
          <w:tcPr>
            <w:tcW w:w="8400" w:type="dxa"/>
            <w:vAlign w:val="bottom"/>
          </w:tcPr>
          <w:p>
            <w:pPr>
              <w:ind w:left="260"/>
              <w:spacing w:after="0"/>
              <w:rPr>
                <w:sz w:val="20"/>
                <w:szCs w:val="20"/>
                <w:color w:val="auto"/>
              </w:rPr>
            </w:pPr>
            <w:r>
              <w:rPr>
                <w:rFonts w:ascii="Arial" w:cs="Arial" w:eastAsia="Arial" w:hAnsi="Arial"/>
                <w:sz w:val="16"/>
                <w:szCs w:val="16"/>
                <w:color w:val="auto"/>
              </w:rPr>
              <w:t>Employment Agreement, dated December 28, 2006, between Reading International, Inc. and John Hunter</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(filed as Exhibit 10.66 to the Company’s report on Form 10-K for the year ended December 31, 2006,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10.17</w:t>
            </w:r>
          </w:p>
        </w:tc>
        <w:tc>
          <w:tcPr>
            <w:tcW w:w="8400" w:type="dxa"/>
            <w:vAlign w:val="bottom"/>
          </w:tcPr>
          <w:p>
            <w:pPr>
              <w:ind w:left="260"/>
              <w:spacing w:after="0"/>
              <w:rPr>
                <w:sz w:val="20"/>
                <w:szCs w:val="20"/>
                <w:color w:val="auto"/>
              </w:rPr>
            </w:pPr>
            <w:r>
              <w:rPr>
                <w:rFonts w:ascii="Arial" w:cs="Arial" w:eastAsia="Arial" w:hAnsi="Arial"/>
                <w:sz w:val="16"/>
                <w:szCs w:val="16"/>
                <w:color w:val="auto"/>
              </w:rPr>
              <w:t>Reading Guaranty Agreement dated February 21, 2008 among Consolidated Amusement Theatres, Inc., a</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Nevada corporation, General Electric Capital Corporation, and GE Capital Markets, Inc. (filed as Exhibit</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10.73 to the Company’s report on Form 10-K for the year ended December 31, 2007, and incorporated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10.18</w:t>
            </w:r>
          </w:p>
        </w:tc>
        <w:tc>
          <w:tcPr>
            <w:tcW w:w="8400" w:type="dxa"/>
            <w:vAlign w:val="bottom"/>
          </w:tcPr>
          <w:p>
            <w:pPr>
              <w:ind w:left="260"/>
              <w:spacing w:after="0"/>
              <w:rPr>
                <w:sz w:val="20"/>
                <w:szCs w:val="20"/>
                <w:color w:val="auto"/>
              </w:rPr>
            </w:pPr>
            <w:r>
              <w:rPr>
                <w:rFonts w:ascii="Arial" w:cs="Arial" w:eastAsia="Arial" w:hAnsi="Arial"/>
                <w:sz w:val="16"/>
                <w:szCs w:val="16"/>
                <w:color w:val="auto"/>
              </w:rPr>
              <w:t>Pledge and Security Agreement dated February 22, 2008 by Reading Consolidated Holdings, Inc. in favor</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of Nationwide Theatres Corp (filed as Exhibit 10.74 to the Company’s report on Form 10-K for the year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ended December 31, 2007, and incorporated herein by reference).</w:t>
            </w:r>
          </w:p>
        </w:tc>
      </w:tr>
      <w:tr>
        <w:trPr>
          <w:trHeight w:val="799"/>
        </w:trPr>
        <w:tc>
          <w:tcPr>
            <w:tcW w:w="800" w:type="dxa"/>
            <w:vAlign w:val="bottom"/>
          </w:tcPr>
          <w:p>
            <w:pPr>
              <w:spacing w:after="0"/>
              <w:rPr>
                <w:sz w:val="24"/>
                <w:szCs w:val="24"/>
                <w:color w:val="auto"/>
              </w:rPr>
            </w:pPr>
          </w:p>
        </w:tc>
        <w:tc>
          <w:tcPr>
            <w:tcW w:w="8400" w:type="dxa"/>
            <w:vAlign w:val="bottom"/>
          </w:tcPr>
          <w:p>
            <w:pPr>
              <w:ind w:left="3680"/>
              <w:spacing w:after="0"/>
              <w:rPr>
                <w:sz w:val="20"/>
                <w:szCs w:val="20"/>
                <w:color w:val="auto"/>
              </w:rPr>
            </w:pPr>
            <w:r>
              <w:rPr>
                <w:rFonts w:ascii="Arial" w:cs="Arial" w:eastAsia="Arial" w:hAnsi="Arial"/>
                <w:sz w:val="16"/>
                <w:szCs w:val="16"/>
                <w:color w:val="auto"/>
              </w:rPr>
              <w:t>133</w:t>
            </w:r>
          </w:p>
        </w:tc>
      </w:tr>
      <w:tr>
        <w:trPr>
          <w:trHeight w:val="130"/>
        </w:trPr>
        <w:tc>
          <w:tcPr>
            <w:tcW w:w="800" w:type="dxa"/>
            <w:vAlign w:val="bottom"/>
            <w:tcBorders>
              <w:bottom w:val="single" w:sz="8" w:color="9A9A9A"/>
            </w:tcBorders>
          </w:tcPr>
          <w:p>
            <w:pPr>
              <w:spacing w:after="0"/>
              <w:rPr>
                <w:sz w:val="11"/>
                <w:szCs w:val="11"/>
                <w:color w:val="auto"/>
              </w:rPr>
            </w:pPr>
          </w:p>
        </w:tc>
        <w:tc>
          <w:tcPr>
            <w:tcW w:w="8400" w:type="dxa"/>
            <w:vAlign w:val="bottom"/>
            <w:tcBorders>
              <w:bottom w:val="single" w:sz="8" w:color="9A9A9A"/>
            </w:tcBorders>
          </w:tcPr>
          <w:p>
            <w:pPr>
              <w:spacing w:after="0"/>
              <w:rPr>
                <w:sz w:val="11"/>
                <w:szCs w:val="11"/>
                <w:color w:val="auto"/>
              </w:rPr>
            </w:pPr>
          </w:p>
        </w:tc>
      </w:tr>
      <w:tr>
        <w:trPr>
          <w:trHeight w:val="20"/>
        </w:trPr>
        <w:tc>
          <w:tcPr>
            <w:tcW w:w="800" w:type="dxa"/>
            <w:vAlign w:val="bottom"/>
            <w:tcBorders>
              <w:bottom w:val="single" w:sz="8" w:color="EEEEEE"/>
            </w:tcBorders>
          </w:tcPr>
          <w:p>
            <w:pPr>
              <w:spacing w:after="0" w:line="20" w:lineRule="exact"/>
              <w:rPr>
                <w:sz w:val="1"/>
                <w:szCs w:val="1"/>
                <w:color w:val="auto"/>
              </w:rPr>
            </w:pPr>
          </w:p>
        </w:tc>
        <w:tc>
          <w:tcPr>
            <w:tcW w:w="8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550" w:right="1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8"/>
        </w:trPr>
        <w:tc>
          <w:tcPr>
            <w:tcW w:w="800" w:type="dxa"/>
            <w:vAlign w:val="bottom"/>
          </w:tcPr>
          <w:p>
            <w:pPr>
              <w:ind w:left="100"/>
              <w:spacing w:after="0"/>
              <w:rPr>
                <w:sz w:val="20"/>
                <w:szCs w:val="20"/>
                <w:color w:val="auto"/>
              </w:rPr>
            </w:pPr>
            <w:r>
              <w:rPr>
                <w:rFonts w:ascii="Arial" w:cs="Arial" w:eastAsia="Arial" w:hAnsi="Arial"/>
                <w:sz w:val="16"/>
                <w:szCs w:val="16"/>
                <w:color w:val="auto"/>
              </w:rPr>
              <w:t>10.19</w:t>
            </w:r>
          </w:p>
        </w:tc>
        <w:tc>
          <w:tcPr>
            <w:tcW w:w="8400" w:type="dxa"/>
            <w:vAlign w:val="bottom"/>
          </w:tcPr>
          <w:p>
            <w:pPr>
              <w:ind w:left="260"/>
              <w:spacing w:after="0"/>
              <w:rPr>
                <w:sz w:val="20"/>
                <w:szCs w:val="20"/>
                <w:color w:val="auto"/>
              </w:rPr>
            </w:pPr>
            <w:r>
              <w:rPr>
                <w:rFonts w:ascii="Arial" w:cs="Arial" w:eastAsia="Arial" w:hAnsi="Arial"/>
                <w:sz w:val="16"/>
                <w:szCs w:val="16"/>
                <w:color w:val="auto"/>
              </w:rPr>
              <w:t>Promissory Note dated February 22, 2008 by Reading Consolidated Holdings, Inc. in favor of Nationwide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Theatres Corp. (filed as Exhibit 10.75 to the Company’s report on Form 10-K for the year ended December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31, 2007,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10.20*</w:t>
            </w:r>
          </w:p>
        </w:tc>
        <w:tc>
          <w:tcPr>
            <w:tcW w:w="8400" w:type="dxa"/>
            <w:vAlign w:val="bottom"/>
          </w:tcPr>
          <w:p>
            <w:pPr>
              <w:ind w:left="260"/>
              <w:spacing w:after="0"/>
              <w:rPr>
                <w:sz w:val="20"/>
                <w:szCs w:val="20"/>
                <w:color w:val="auto"/>
              </w:rPr>
            </w:pPr>
            <w:r>
              <w:rPr>
                <w:rFonts w:ascii="Arial" w:cs="Arial" w:eastAsia="Arial" w:hAnsi="Arial"/>
                <w:sz w:val="16"/>
                <w:szCs w:val="16"/>
                <w:color w:val="auto"/>
              </w:rPr>
              <w:t>Form of Indemnification Agreement, as routinely granted to the Company’s officers and directors (filed as</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Exhibit 10.77 to the Company’s report on Form 10-Q for the period ended September 30, 2008,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10.21</w:t>
            </w:r>
          </w:p>
        </w:tc>
        <w:tc>
          <w:tcPr>
            <w:tcW w:w="8400" w:type="dxa"/>
            <w:vAlign w:val="bottom"/>
          </w:tcPr>
          <w:p>
            <w:pPr>
              <w:ind w:left="260"/>
              <w:spacing w:after="0"/>
              <w:rPr>
                <w:sz w:val="20"/>
                <w:szCs w:val="20"/>
                <w:color w:val="auto"/>
              </w:rPr>
            </w:pPr>
            <w:r>
              <w:rPr>
                <w:rFonts w:ascii="Arial" w:cs="Arial" w:eastAsia="Arial" w:hAnsi="Arial"/>
                <w:sz w:val="16"/>
                <w:szCs w:val="16"/>
                <w:color w:val="auto"/>
              </w:rPr>
              <w:t>Third Amendment to Amended and Restated Master Operating Lease Agreement, dated June 29, 2010,</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between Sutton Hill Capital, L.L.C. and Citadel Cinemas, Inc. (filed as Exhibit 10.21 to the Company’s</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report on Form 10-K for the year ended December 31, 2010,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10.22</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Purchase Money Installment Sale Note, dated September 19, 2005, as amended and</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restated as of June 29, 2010, by Sutton Hill Properties, LLC in favor of Sutton Hill Capital, L.L.C. (filed as</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Exhibit 10.22 to the Company’s report on Form 10-K for the year ended December 31, 2010,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10.23</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Credit Agreement dated February 21, 2008, as amended and restated as of</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November 30, 2010, among Consolidated Entertainment, Inc., General Electric Capital Corporation, and</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GE Capital Markets, Inc. (filed as Exhibit 10.23 to the Company’s report on Form 10-K for the year ended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December 31, 2010,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10.24</w:t>
            </w:r>
          </w:p>
        </w:tc>
        <w:tc>
          <w:tcPr>
            <w:tcW w:w="8400" w:type="dxa"/>
            <w:vAlign w:val="bottom"/>
          </w:tcPr>
          <w:p>
            <w:pPr>
              <w:ind w:left="260"/>
              <w:spacing w:after="0"/>
              <w:rPr>
                <w:sz w:val="20"/>
                <w:szCs w:val="20"/>
                <w:color w:val="auto"/>
              </w:rPr>
            </w:pPr>
            <w:r>
              <w:rPr>
                <w:rFonts w:ascii="Arial" w:cs="Arial" w:eastAsia="Arial" w:hAnsi="Arial"/>
                <w:sz w:val="16"/>
                <w:szCs w:val="16"/>
                <w:color w:val="auto"/>
              </w:rPr>
              <w:t>Bill Acceptance and Discount &amp; Bank Guarantee Facility Agreement dated June 24, 2011, among Reading</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Entertainment Australia Pty Ltd and National Australia Bank Limited (filed as Exhibit 10.24 to the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Company’s report on Form 10-K for the year ended December 31, 2011, and incorporated herein by</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10.25</w:t>
            </w:r>
          </w:p>
        </w:tc>
        <w:tc>
          <w:tcPr>
            <w:tcW w:w="8400" w:type="dxa"/>
            <w:vAlign w:val="bottom"/>
          </w:tcPr>
          <w:p>
            <w:pPr>
              <w:ind w:left="260"/>
              <w:spacing w:after="0"/>
              <w:rPr>
                <w:sz w:val="20"/>
                <w:szCs w:val="20"/>
                <w:color w:val="auto"/>
              </w:rPr>
            </w:pPr>
            <w:r>
              <w:rPr>
                <w:rFonts w:ascii="Arial" w:cs="Arial" w:eastAsia="Arial" w:hAnsi="Arial"/>
                <w:sz w:val="16"/>
                <w:szCs w:val="16"/>
                <w:color w:val="auto"/>
              </w:rPr>
              <w:t>Property Finance Wholesale Term Loan Facility dated June 20, 2007, among Reading Courtenay Central</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Limited and Westpac New Zealand Limited (filed as Exhibit 10.25 to the Company’s report on Form 10-K</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 the year ended December 31, 2011,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10.26</w:t>
            </w:r>
          </w:p>
        </w:tc>
        <w:tc>
          <w:tcPr>
            <w:tcW w:w="8400" w:type="dxa"/>
            <w:vAlign w:val="bottom"/>
          </w:tcPr>
          <w:p>
            <w:pPr>
              <w:ind w:left="260"/>
              <w:spacing w:after="0"/>
              <w:rPr>
                <w:sz w:val="20"/>
                <w:szCs w:val="20"/>
                <w:color w:val="auto"/>
              </w:rPr>
            </w:pPr>
            <w:r>
              <w:rPr>
                <w:rFonts w:ascii="Arial" w:cs="Arial" w:eastAsia="Arial" w:hAnsi="Arial"/>
                <w:sz w:val="16"/>
                <w:szCs w:val="16"/>
                <w:color w:val="auto"/>
              </w:rPr>
              <w:t>Letter dated May 6, 2009, amending Property Finance Wholesale Term Loan Facility dated June 20, 2007,</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among Reading Courtenay Central Limited and Westpac New Zealand Limited (filed as Exhibit 10.26 to</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the Company’s report on Form 10-K for the year ended December 31, 2011, and incorporated herein by</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10.27</w:t>
            </w:r>
          </w:p>
        </w:tc>
        <w:tc>
          <w:tcPr>
            <w:tcW w:w="8400" w:type="dxa"/>
            <w:vAlign w:val="bottom"/>
          </w:tcPr>
          <w:p>
            <w:pPr>
              <w:ind w:left="260"/>
              <w:spacing w:after="0"/>
              <w:rPr>
                <w:sz w:val="20"/>
                <w:szCs w:val="20"/>
                <w:color w:val="auto"/>
              </w:rPr>
            </w:pPr>
            <w:r>
              <w:rPr>
                <w:rFonts w:ascii="Arial" w:cs="Arial" w:eastAsia="Arial" w:hAnsi="Arial"/>
                <w:sz w:val="16"/>
                <w:szCs w:val="16"/>
                <w:color w:val="auto"/>
              </w:rPr>
              <w:t>Letter dated February 8, 2012, amending Property Finance Wholesale Term Loan Facility dated June 20,</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2007, among Reading Courtenay Central Limited and Westpac New Zealand Limited (filed as Exhibit</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10.27 to the Company’s report on Form 10-K for the year ended December 31, 2011, and incorporated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10.28</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Note dated June 28, 2012 among Sutton Hill Properties, LLC in favor of Sovereign</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Bank, N.A., amending Promissory Note dated June 27, 2007, by Sutton Hill Properties, LLC in favor of</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Eurohypo AG, New York Branch (filed as Exhibit 10.1 to the Company’s report on Form 10-Q for the</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period ended June 30, 2012,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10.29</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Mortgage, Assignment of Leases and Rents, Security Agreement, and Fixture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Filing (“Agreement”) dated June 28, 2012 among Sutton Hill Properties, LLC in favor of Sovereign Bank,</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N.A., amending Agreement dated June 27, 2007, by Sutton Hill Properties, LLC in favor of Eurohypo AG,</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New York Branch (filed as Exhibit 10.2 to the Company’s report on Form 10-Q for the period ended June</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30, 2012,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10.30</w:t>
            </w:r>
          </w:p>
        </w:tc>
        <w:tc>
          <w:tcPr>
            <w:tcW w:w="8400" w:type="dxa"/>
            <w:vAlign w:val="bottom"/>
          </w:tcPr>
          <w:p>
            <w:pPr>
              <w:ind w:left="260"/>
              <w:spacing w:after="0"/>
              <w:rPr>
                <w:sz w:val="20"/>
                <w:szCs w:val="20"/>
                <w:color w:val="auto"/>
              </w:rPr>
            </w:pPr>
            <w:r>
              <w:rPr>
                <w:rFonts w:ascii="Arial" w:cs="Arial" w:eastAsia="Arial" w:hAnsi="Arial"/>
                <w:sz w:val="16"/>
                <w:szCs w:val="16"/>
                <w:color w:val="auto"/>
              </w:rPr>
              <w:t>Credit Agreement entered into as of October 31, 2012, among Consolidated Entertainment, LLC and Bank</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of America (filed as Exhibit 99.1 to the Company’s report on Form 8-K dated October 31, 2012,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10.31</w:t>
            </w:r>
          </w:p>
        </w:tc>
        <w:tc>
          <w:tcPr>
            <w:tcW w:w="8400" w:type="dxa"/>
            <w:vAlign w:val="bottom"/>
          </w:tcPr>
          <w:p>
            <w:pPr>
              <w:ind w:left="260"/>
              <w:spacing w:after="0"/>
              <w:rPr>
                <w:sz w:val="20"/>
                <w:szCs w:val="20"/>
                <w:color w:val="auto"/>
              </w:rPr>
            </w:pPr>
            <w:r>
              <w:rPr>
                <w:rFonts w:ascii="Arial" w:cs="Arial" w:eastAsia="Arial" w:hAnsi="Arial"/>
                <w:sz w:val="16"/>
                <w:szCs w:val="16"/>
                <w:color w:val="auto"/>
              </w:rPr>
              <w:t>Master Lease Agreement dated October 26, 2012, between Consolidated Cinema Services LLC and Banc</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of America Leasing &amp; Capital, LLC (filed as Exhibit 10.31 to the Company’s report on Form 10-K for the</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year ended December 31, 2013,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10.32</w:t>
            </w:r>
          </w:p>
        </w:tc>
        <w:tc>
          <w:tcPr>
            <w:tcW w:w="8400" w:type="dxa"/>
            <w:vAlign w:val="bottom"/>
          </w:tcPr>
          <w:p>
            <w:pPr>
              <w:ind w:left="260"/>
              <w:spacing w:after="0"/>
              <w:rPr>
                <w:sz w:val="20"/>
                <w:szCs w:val="20"/>
                <w:color w:val="auto"/>
              </w:rPr>
            </w:pPr>
            <w:r>
              <w:rPr>
                <w:rFonts w:ascii="Arial" w:cs="Arial" w:eastAsia="Arial" w:hAnsi="Arial"/>
                <w:sz w:val="16"/>
                <w:szCs w:val="16"/>
                <w:color w:val="auto"/>
              </w:rPr>
              <w:t>Amendment dated October 31, 2012 to the Master Lease Agreement dated October 26, 2012, between</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Consolidated Cinema Services LLC and Banc of America Leasing &amp; Capital, LLC (filed as Exhibit 10.32</w:t>
            </w:r>
          </w:p>
        </w:tc>
      </w:tr>
      <w:tr>
        <w:trPr>
          <w:trHeight w:val="188"/>
        </w:trPr>
        <w:tc>
          <w:tcPr>
            <w:tcW w:w="800" w:type="dxa"/>
            <w:vAlign w:val="bottom"/>
          </w:tcPr>
          <w:p>
            <w:pPr>
              <w:spacing w:after="0"/>
              <w:rPr>
                <w:sz w:val="16"/>
                <w:szCs w:val="16"/>
                <w:color w:val="auto"/>
              </w:rPr>
            </w:pPr>
          </w:p>
        </w:tc>
        <w:tc>
          <w:tcPr>
            <w:tcW w:w="8400" w:type="dxa"/>
            <w:vAlign w:val="bottom"/>
          </w:tcPr>
          <w:p>
            <w:pPr>
              <w:ind w:left="300"/>
              <w:spacing w:after="0"/>
              <w:rPr>
                <w:sz w:val="20"/>
                <w:szCs w:val="20"/>
                <w:color w:val="auto"/>
              </w:rPr>
            </w:pPr>
            <w:r>
              <w:rPr>
                <w:rFonts w:ascii="Arial" w:cs="Arial" w:eastAsia="Arial" w:hAnsi="Arial"/>
                <w:sz w:val="16"/>
                <w:szCs w:val="16"/>
                <w:color w:val="auto"/>
              </w:rPr>
              <w:t>to the Company’s report on Form 10-K for the year ended December 31, 2013, and incorporated herein by</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10.33</w:t>
            </w:r>
          </w:p>
        </w:tc>
        <w:tc>
          <w:tcPr>
            <w:tcW w:w="8400" w:type="dxa"/>
            <w:vAlign w:val="bottom"/>
          </w:tcPr>
          <w:p>
            <w:pPr>
              <w:ind w:left="260"/>
              <w:spacing w:after="0"/>
              <w:rPr>
                <w:sz w:val="20"/>
                <w:szCs w:val="20"/>
                <w:color w:val="auto"/>
              </w:rPr>
            </w:pPr>
            <w:r>
              <w:rPr>
                <w:rFonts w:ascii="Arial" w:cs="Arial" w:eastAsia="Arial" w:hAnsi="Arial"/>
                <w:sz w:val="16"/>
                <w:szCs w:val="16"/>
                <w:color w:val="auto"/>
              </w:rPr>
              <w:t>John Hunter Separation Agreement (filed as Exhibit 10.1 to the Company’s report on Form 10-Q for the</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period ended June 30, 2013).</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10.34</w:t>
            </w:r>
          </w:p>
        </w:tc>
        <w:tc>
          <w:tcPr>
            <w:tcW w:w="8400" w:type="dxa"/>
            <w:vAlign w:val="bottom"/>
          </w:tcPr>
          <w:p>
            <w:pPr>
              <w:ind w:left="260"/>
              <w:spacing w:after="0"/>
              <w:rPr>
                <w:sz w:val="20"/>
                <w:szCs w:val="20"/>
                <w:color w:val="auto"/>
              </w:rPr>
            </w:pPr>
            <w:r>
              <w:rPr>
                <w:rFonts w:ascii="Arial" w:cs="Arial" w:eastAsia="Arial" w:hAnsi="Arial"/>
                <w:sz w:val="16"/>
                <w:szCs w:val="16"/>
                <w:color w:val="auto"/>
              </w:rPr>
              <w:t>James J Cotter, Jr. Employment Agreement (filed as Exhibit 10.2 to the Company’s report on Form 10-Q</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 the period ended June 30, 2013).</w:t>
            </w:r>
          </w:p>
        </w:tc>
      </w:tr>
      <w:tr>
        <w:trPr>
          <w:trHeight w:val="341"/>
        </w:trPr>
        <w:tc>
          <w:tcPr>
            <w:tcW w:w="800" w:type="dxa"/>
            <w:vAlign w:val="bottom"/>
          </w:tcPr>
          <w:p>
            <w:pPr>
              <w:ind w:left="100"/>
              <w:spacing w:after="0"/>
              <w:rPr>
                <w:sz w:val="20"/>
                <w:szCs w:val="20"/>
                <w:color w:val="auto"/>
              </w:rPr>
            </w:pPr>
            <w:r>
              <w:rPr>
                <w:rFonts w:ascii="Arial" w:cs="Arial" w:eastAsia="Arial" w:hAnsi="Arial"/>
                <w:sz w:val="16"/>
                <w:szCs w:val="16"/>
                <w:color w:val="auto"/>
              </w:rPr>
              <w:t>21</w:t>
            </w:r>
          </w:p>
        </w:tc>
        <w:tc>
          <w:tcPr>
            <w:tcW w:w="8400" w:type="dxa"/>
            <w:vAlign w:val="bottom"/>
          </w:tcPr>
          <w:p>
            <w:pPr>
              <w:ind w:left="260"/>
              <w:spacing w:after="0"/>
              <w:rPr>
                <w:sz w:val="20"/>
                <w:szCs w:val="20"/>
                <w:color w:val="auto"/>
              </w:rPr>
            </w:pPr>
            <w:r>
              <w:rPr>
                <w:rFonts w:ascii="Arial" w:cs="Arial" w:eastAsia="Arial" w:hAnsi="Arial"/>
                <w:sz w:val="16"/>
                <w:szCs w:val="16"/>
                <w:color w:val="auto"/>
              </w:rPr>
              <w:t>List of Subsidiaries (filed herewith).</w:t>
            </w:r>
          </w:p>
        </w:tc>
      </w:tr>
      <w:tr>
        <w:trPr>
          <w:trHeight w:val="341"/>
        </w:trPr>
        <w:tc>
          <w:tcPr>
            <w:tcW w:w="800" w:type="dxa"/>
            <w:vAlign w:val="bottom"/>
          </w:tcPr>
          <w:p>
            <w:pPr>
              <w:ind w:left="100"/>
              <w:spacing w:after="0"/>
              <w:rPr>
                <w:sz w:val="20"/>
                <w:szCs w:val="20"/>
                <w:color w:val="auto"/>
              </w:rPr>
            </w:pPr>
            <w:r>
              <w:rPr>
                <w:rFonts w:ascii="Arial" w:cs="Arial" w:eastAsia="Arial" w:hAnsi="Arial"/>
                <w:sz w:val="16"/>
                <w:szCs w:val="16"/>
                <w:color w:val="auto"/>
              </w:rPr>
              <w:t>23.1</w:t>
            </w:r>
          </w:p>
        </w:tc>
        <w:tc>
          <w:tcPr>
            <w:tcW w:w="8400" w:type="dxa"/>
            <w:vAlign w:val="bottom"/>
          </w:tcPr>
          <w:p>
            <w:pPr>
              <w:ind w:left="260"/>
              <w:spacing w:after="0"/>
              <w:rPr>
                <w:sz w:val="20"/>
                <w:szCs w:val="20"/>
                <w:color w:val="auto"/>
              </w:rPr>
            </w:pPr>
            <w:r>
              <w:rPr>
                <w:rFonts w:ascii="Arial" w:cs="Arial" w:eastAsia="Arial" w:hAnsi="Arial"/>
                <w:sz w:val="16"/>
                <w:szCs w:val="16"/>
                <w:color w:val="auto"/>
              </w:rPr>
              <w:t>Consent of Independent Registered Public Accounting Firm, Grant Thornton LLP (filed herewith).</w:t>
            </w:r>
          </w:p>
        </w:tc>
      </w:tr>
      <w:tr>
        <w:trPr>
          <w:trHeight w:val="799"/>
        </w:trPr>
        <w:tc>
          <w:tcPr>
            <w:tcW w:w="800" w:type="dxa"/>
            <w:vAlign w:val="bottom"/>
          </w:tcPr>
          <w:p>
            <w:pPr>
              <w:spacing w:after="0"/>
              <w:rPr>
                <w:sz w:val="24"/>
                <w:szCs w:val="24"/>
                <w:color w:val="auto"/>
              </w:rPr>
            </w:pPr>
          </w:p>
        </w:tc>
        <w:tc>
          <w:tcPr>
            <w:tcW w:w="8400" w:type="dxa"/>
            <w:vAlign w:val="bottom"/>
          </w:tcPr>
          <w:p>
            <w:pPr>
              <w:ind w:left="3680"/>
              <w:spacing w:after="0"/>
              <w:rPr>
                <w:sz w:val="20"/>
                <w:szCs w:val="20"/>
                <w:color w:val="auto"/>
              </w:rPr>
            </w:pPr>
            <w:r>
              <w:rPr>
                <w:rFonts w:ascii="Arial" w:cs="Arial" w:eastAsia="Arial" w:hAnsi="Arial"/>
                <w:sz w:val="16"/>
                <w:szCs w:val="16"/>
                <w:color w:val="auto"/>
              </w:rPr>
              <w:t>134</w:t>
            </w:r>
          </w:p>
        </w:tc>
      </w:tr>
      <w:tr>
        <w:trPr>
          <w:trHeight w:val="130"/>
        </w:trPr>
        <w:tc>
          <w:tcPr>
            <w:tcW w:w="800" w:type="dxa"/>
            <w:vAlign w:val="bottom"/>
            <w:tcBorders>
              <w:bottom w:val="single" w:sz="8" w:color="9A9A9A"/>
            </w:tcBorders>
          </w:tcPr>
          <w:p>
            <w:pPr>
              <w:spacing w:after="0"/>
              <w:rPr>
                <w:sz w:val="11"/>
                <w:szCs w:val="11"/>
                <w:color w:val="auto"/>
              </w:rPr>
            </w:pPr>
          </w:p>
        </w:tc>
        <w:tc>
          <w:tcPr>
            <w:tcW w:w="8400" w:type="dxa"/>
            <w:vAlign w:val="bottom"/>
            <w:tcBorders>
              <w:bottom w:val="single" w:sz="8" w:color="9A9A9A"/>
            </w:tcBorders>
          </w:tcPr>
          <w:p>
            <w:pPr>
              <w:spacing w:after="0"/>
              <w:rPr>
                <w:sz w:val="11"/>
                <w:szCs w:val="11"/>
                <w:color w:val="auto"/>
              </w:rPr>
            </w:pPr>
          </w:p>
        </w:tc>
      </w:tr>
      <w:tr>
        <w:trPr>
          <w:trHeight w:val="20"/>
        </w:trPr>
        <w:tc>
          <w:tcPr>
            <w:tcW w:w="800" w:type="dxa"/>
            <w:vAlign w:val="bottom"/>
            <w:tcBorders>
              <w:bottom w:val="single" w:sz="8" w:color="EEEEEE"/>
            </w:tcBorders>
          </w:tcPr>
          <w:p>
            <w:pPr>
              <w:spacing w:after="0" w:line="20" w:lineRule="exact"/>
              <w:rPr>
                <w:sz w:val="1"/>
                <w:szCs w:val="1"/>
                <w:color w:val="auto"/>
              </w:rPr>
            </w:pPr>
          </w:p>
        </w:tc>
        <w:tc>
          <w:tcPr>
            <w:tcW w:w="8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550" w:right="1339" w:bottom="1440" w:gutter="0" w:footer="0" w:header="0"/>
        </w:sectPr>
      </w:pPr>
    </w:p>
    <w:bookmarkStart w:id="134" w:name="page135"/>
    <w:bookmarkEnd w:id="134"/>
    <w:tbl>
      <w:tblPr>
        <w:tblLayout w:type="fixed"/>
        <w:tblInd w:w="100" w:type="dxa"/>
        <w:tblCellMar>
          <w:top w:w="0" w:type="dxa"/>
          <w:left w:w="0" w:type="dxa"/>
          <w:bottom w:w="0" w:type="dxa"/>
          <w:right w:w="0" w:type="dxa"/>
        </w:tblCellMar>
      </w:tblPr>
      <w:tr>
        <w:trPr>
          <w:trHeight w:val="200"/>
        </w:trPr>
        <w:tc>
          <w:tcPr>
            <w:tcW w:w="780" w:type="dxa"/>
            <w:vAlign w:val="bottom"/>
          </w:tcPr>
          <w:p>
            <w:pPr>
              <w:spacing w:after="0"/>
              <w:rPr>
                <w:sz w:val="20"/>
                <w:szCs w:val="20"/>
                <w:color w:val="auto"/>
              </w:rPr>
            </w:pPr>
            <w:r>
              <w:rPr>
                <w:rFonts w:ascii="Arial" w:cs="Arial" w:eastAsia="Arial" w:hAnsi="Arial"/>
                <w:sz w:val="16"/>
                <w:szCs w:val="16"/>
                <w:color w:val="auto"/>
              </w:rPr>
              <w:t>23.2</w:t>
            </w:r>
          </w:p>
        </w:tc>
        <w:tc>
          <w:tcPr>
            <w:tcW w:w="6940" w:type="dxa"/>
            <w:vAlign w:val="bottom"/>
          </w:tcPr>
          <w:p>
            <w:pPr>
              <w:ind w:left="180"/>
              <w:spacing w:after="0"/>
              <w:rPr>
                <w:sz w:val="20"/>
                <w:szCs w:val="20"/>
                <w:color w:val="auto"/>
              </w:rPr>
            </w:pPr>
            <w:r>
              <w:rPr>
                <w:rFonts w:ascii="Arial" w:cs="Arial" w:eastAsia="Arial" w:hAnsi="Arial"/>
                <w:sz w:val="16"/>
                <w:szCs w:val="16"/>
                <w:color w:val="auto"/>
              </w:rPr>
              <w:t>Consent of Independent Auditors, KPMG (filed herewith).</w:t>
            </w:r>
          </w:p>
        </w:tc>
      </w:tr>
      <w:tr>
        <w:trPr>
          <w:trHeight w:val="329"/>
        </w:trPr>
        <w:tc>
          <w:tcPr>
            <w:tcW w:w="780" w:type="dxa"/>
            <w:vAlign w:val="bottom"/>
          </w:tcPr>
          <w:p>
            <w:pPr>
              <w:spacing w:after="0"/>
              <w:rPr>
                <w:sz w:val="20"/>
                <w:szCs w:val="20"/>
                <w:color w:val="auto"/>
              </w:rPr>
            </w:pPr>
            <w:r>
              <w:rPr>
                <w:rFonts w:ascii="Arial" w:cs="Arial" w:eastAsia="Arial" w:hAnsi="Arial"/>
                <w:sz w:val="16"/>
                <w:szCs w:val="16"/>
                <w:color w:val="auto"/>
              </w:rPr>
              <w:t>31.1</w:t>
            </w:r>
          </w:p>
        </w:tc>
        <w:tc>
          <w:tcPr>
            <w:tcW w:w="6940" w:type="dxa"/>
            <w:vAlign w:val="bottom"/>
          </w:tcPr>
          <w:p>
            <w:pPr>
              <w:ind w:left="180"/>
              <w:spacing w:after="0"/>
              <w:rPr>
                <w:sz w:val="20"/>
                <w:szCs w:val="20"/>
                <w:color w:val="auto"/>
              </w:rPr>
            </w:pPr>
            <w:r>
              <w:rPr>
                <w:rFonts w:ascii="Arial" w:cs="Arial" w:eastAsia="Arial" w:hAnsi="Arial"/>
                <w:sz w:val="16"/>
                <w:szCs w:val="16"/>
                <w:color w:val="auto"/>
                <w:w w:val="90"/>
              </w:rPr>
              <w:t>Certification of Principal Executive Officer dated March 7, 2014 pursuant to Section 302 of the Sarbanes-</w:t>
            </w:r>
          </w:p>
        </w:tc>
      </w:tr>
      <w:tr>
        <w:trPr>
          <w:trHeight w:val="200"/>
        </w:trPr>
        <w:tc>
          <w:tcPr>
            <w:tcW w:w="78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6"/>
                <w:szCs w:val="16"/>
                <w:color w:val="auto"/>
              </w:rPr>
              <w:t>Oxley Act of 2002 (filed herewith).</w:t>
            </w:r>
          </w:p>
        </w:tc>
      </w:tr>
      <w:tr>
        <w:trPr>
          <w:trHeight w:val="329"/>
        </w:trPr>
        <w:tc>
          <w:tcPr>
            <w:tcW w:w="780" w:type="dxa"/>
            <w:vAlign w:val="bottom"/>
          </w:tcPr>
          <w:p>
            <w:pPr>
              <w:spacing w:after="0"/>
              <w:rPr>
                <w:sz w:val="20"/>
                <w:szCs w:val="20"/>
                <w:color w:val="auto"/>
              </w:rPr>
            </w:pPr>
            <w:r>
              <w:rPr>
                <w:rFonts w:ascii="Arial" w:cs="Arial" w:eastAsia="Arial" w:hAnsi="Arial"/>
                <w:sz w:val="16"/>
                <w:szCs w:val="16"/>
                <w:color w:val="auto"/>
              </w:rPr>
              <w:t>31.2</w:t>
            </w:r>
          </w:p>
        </w:tc>
        <w:tc>
          <w:tcPr>
            <w:tcW w:w="6940" w:type="dxa"/>
            <w:vAlign w:val="bottom"/>
          </w:tcPr>
          <w:p>
            <w:pPr>
              <w:ind w:left="180"/>
              <w:spacing w:after="0"/>
              <w:rPr>
                <w:sz w:val="20"/>
                <w:szCs w:val="20"/>
                <w:color w:val="auto"/>
              </w:rPr>
            </w:pPr>
            <w:r>
              <w:rPr>
                <w:rFonts w:ascii="Arial" w:cs="Arial" w:eastAsia="Arial" w:hAnsi="Arial"/>
                <w:sz w:val="16"/>
                <w:szCs w:val="16"/>
                <w:color w:val="auto"/>
                <w:w w:val="91"/>
              </w:rPr>
              <w:t>Certification of Principal Financial Officer dated March 7, 2014 pursuant to Section 302 of the Sarbanes-</w:t>
            </w:r>
          </w:p>
        </w:tc>
      </w:tr>
      <w:tr>
        <w:trPr>
          <w:trHeight w:val="200"/>
        </w:trPr>
        <w:tc>
          <w:tcPr>
            <w:tcW w:w="78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6"/>
                <w:szCs w:val="16"/>
                <w:color w:val="auto"/>
              </w:rPr>
              <w:t>Oxley Act of 2002 (filed herewith).</w:t>
            </w:r>
          </w:p>
        </w:tc>
      </w:tr>
      <w:tr>
        <w:trPr>
          <w:trHeight w:val="329"/>
        </w:trPr>
        <w:tc>
          <w:tcPr>
            <w:tcW w:w="780" w:type="dxa"/>
            <w:vAlign w:val="bottom"/>
          </w:tcPr>
          <w:p>
            <w:pPr>
              <w:spacing w:after="0"/>
              <w:rPr>
                <w:sz w:val="20"/>
                <w:szCs w:val="20"/>
                <w:color w:val="auto"/>
              </w:rPr>
            </w:pPr>
            <w:r>
              <w:rPr>
                <w:rFonts w:ascii="Arial" w:cs="Arial" w:eastAsia="Arial" w:hAnsi="Arial"/>
                <w:sz w:val="16"/>
                <w:szCs w:val="16"/>
                <w:color w:val="auto"/>
              </w:rPr>
              <w:t>32.1</w:t>
            </w:r>
          </w:p>
        </w:tc>
        <w:tc>
          <w:tcPr>
            <w:tcW w:w="6940" w:type="dxa"/>
            <w:vAlign w:val="bottom"/>
          </w:tcPr>
          <w:p>
            <w:pPr>
              <w:ind w:left="180"/>
              <w:spacing w:after="0"/>
              <w:rPr>
                <w:sz w:val="20"/>
                <w:szCs w:val="20"/>
                <w:color w:val="auto"/>
              </w:rPr>
            </w:pPr>
            <w:r>
              <w:rPr>
                <w:rFonts w:ascii="Arial" w:cs="Arial" w:eastAsia="Arial" w:hAnsi="Arial"/>
                <w:sz w:val="16"/>
                <w:szCs w:val="16"/>
                <w:color w:val="auto"/>
                <w:w w:val="92"/>
              </w:rPr>
              <w:t>Certification of Principal Executive Officer dated March 7, 2014 pursuant to 18 U.S.C. Section 1350, as</w:t>
            </w:r>
          </w:p>
        </w:tc>
      </w:tr>
      <w:tr>
        <w:trPr>
          <w:trHeight w:val="200"/>
        </w:trPr>
        <w:tc>
          <w:tcPr>
            <w:tcW w:w="78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6"/>
                <w:szCs w:val="16"/>
                <w:color w:val="auto"/>
              </w:rPr>
              <w:t>adopted pursuant to Section 906 of the Sarbanes-Oxley Act of 2002 (filed herewith).</w:t>
            </w:r>
          </w:p>
        </w:tc>
      </w:tr>
      <w:tr>
        <w:trPr>
          <w:trHeight w:val="329"/>
        </w:trPr>
        <w:tc>
          <w:tcPr>
            <w:tcW w:w="780" w:type="dxa"/>
            <w:vAlign w:val="bottom"/>
          </w:tcPr>
          <w:p>
            <w:pPr>
              <w:spacing w:after="0"/>
              <w:rPr>
                <w:sz w:val="20"/>
                <w:szCs w:val="20"/>
                <w:color w:val="auto"/>
              </w:rPr>
            </w:pPr>
            <w:r>
              <w:rPr>
                <w:rFonts w:ascii="Arial" w:cs="Arial" w:eastAsia="Arial" w:hAnsi="Arial"/>
                <w:sz w:val="16"/>
                <w:szCs w:val="16"/>
                <w:color w:val="auto"/>
              </w:rPr>
              <w:t>32.2</w:t>
            </w:r>
          </w:p>
        </w:tc>
        <w:tc>
          <w:tcPr>
            <w:tcW w:w="6940" w:type="dxa"/>
            <w:vAlign w:val="bottom"/>
          </w:tcPr>
          <w:p>
            <w:pPr>
              <w:ind w:left="180"/>
              <w:spacing w:after="0"/>
              <w:rPr>
                <w:sz w:val="20"/>
                <w:szCs w:val="20"/>
                <w:color w:val="auto"/>
              </w:rPr>
            </w:pPr>
            <w:r>
              <w:rPr>
                <w:rFonts w:ascii="Arial" w:cs="Arial" w:eastAsia="Arial" w:hAnsi="Arial"/>
                <w:sz w:val="16"/>
                <w:szCs w:val="16"/>
                <w:color w:val="auto"/>
                <w:w w:val="92"/>
              </w:rPr>
              <w:t>Certification of Principal Financial Officer dated March 7, 2014  pursuant to 18 U.S.C. Section 1350, as</w:t>
            </w:r>
          </w:p>
        </w:tc>
      </w:tr>
      <w:tr>
        <w:trPr>
          <w:trHeight w:val="200"/>
        </w:trPr>
        <w:tc>
          <w:tcPr>
            <w:tcW w:w="78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6"/>
                <w:szCs w:val="16"/>
                <w:color w:val="auto"/>
              </w:rPr>
              <w:t>adopted pursuant to Section 906 of the Sarbanes-Oxley Act of 2002 (filed herewith).</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6940" w:type="dxa"/>
            <w:vAlign w:val="bottom"/>
          </w:tcPr>
          <w:p>
            <w:pPr>
              <w:ind w:left="180"/>
              <w:spacing w:after="0"/>
              <w:rPr>
                <w:sz w:val="20"/>
                <w:szCs w:val="20"/>
                <w:color w:val="auto"/>
              </w:rPr>
            </w:pPr>
            <w:r>
              <w:rPr>
                <w:rFonts w:ascii="Arial" w:cs="Arial" w:eastAsia="Arial" w:hAnsi="Arial"/>
                <w:sz w:val="16"/>
                <w:szCs w:val="16"/>
                <w:color w:val="auto"/>
              </w:rPr>
              <w:t>XBRL Instance Document</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Schema</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Calculation</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Definition</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Labels</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Presentation</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*These exhibits constitute the executive compensation plans and arrangements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212090</wp:posOffset>
            </wp:positionV>
            <wp:extent cx="2476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550" w:right="1440"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6"/>
          <w:szCs w:val="16"/>
          <w:b w:val="1"/>
          <w:bCs w:val="1"/>
          <w:u w:val="single" w:color="auto"/>
          <w:color w:val="auto"/>
        </w:rPr>
        <w:t>SIGNATURES</w:t>
      </w:r>
    </w:p>
    <w:p>
      <w:pPr>
        <w:spacing w:after="0" w:line="8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auto"/>
        </w:rPr>
        <w:t>Pursuant to the requirements of the Securities Exchange Act of 1934, the registrant has duly caused this report to be signed on its behalf by the undersigned thereunto duly authorized.</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READING INTERNATIONAL, INC.</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(Registrant)</w:t>
      </w:r>
    </w:p>
    <w:p>
      <w:pPr>
        <w:spacing w:after="0" w:line="239" w:lineRule="exact"/>
        <w:rPr>
          <w:sz w:val="20"/>
          <w:szCs w:val="20"/>
          <w:color w:val="auto"/>
        </w:rPr>
      </w:pPr>
    </w:p>
    <w:p>
      <w:pPr>
        <w:spacing w:after="0"/>
        <w:tabs>
          <w:tab w:leader="none" w:pos="620" w:val="left"/>
          <w:tab w:leader="none" w:pos="4280" w:val="left"/>
          <w:tab w:leader="none" w:pos="53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16,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10160</wp:posOffset>
            </wp:positionV>
            <wp:extent cx="2431415"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31415" cy="14605"/>
                    </a:xfrm>
                    <a:prstGeom prst="rect">
                      <a:avLst/>
                    </a:prstGeom>
                    <a:noFill/>
                  </pic:spPr>
                </pic:pic>
              </a:graphicData>
            </a:graphic>
          </wp:anchor>
        </w:drawing>
      </w:r>
    </w:p>
    <w:p>
      <w:pPr>
        <w:spacing w:after="0" w:line="7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Andrzej Matyczynski</w:t>
      </w:r>
    </w:p>
    <w:p>
      <w:pPr>
        <w:spacing w:after="0" w:line="86" w:lineRule="exact"/>
        <w:rPr>
          <w:sz w:val="20"/>
          <w:szCs w:val="20"/>
          <w:color w:val="auto"/>
        </w:rPr>
      </w:pPr>
    </w:p>
    <w:p>
      <w:pPr>
        <w:ind w:left="5360"/>
        <w:spacing w:after="0"/>
        <w:rPr>
          <w:sz w:val="20"/>
          <w:szCs w:val="20"/>
          <w:color w:val="auto"/>
        </w:rPr>
      </w:pPr>
      <w:r>
        <w:rPr>
          <w:rFonts w:ascii="Arial" w:cs="Arial" w:eastAsia="Arial" w:hAnsi="Arial"/>
          <w:sz w:val="16"/>
          <w:szCs w:val="16"/>
          <w:i w:val="1"/>
          <w:iCs w:val="1"/>
          <w:color w:val="auto"/>
        </w:rPr>
        <w:t>Chief Financial Officer and Treasurer</w:t>
      </w:r>
    </w:p>
    <w:p>
      <w:pPr>
        <w:spacing w:after="0" w:line="86" w:lineRule="exact"/>
        <w:rPr>
          <w:sz w:val="20"/>
          <w:szCs w:val="20"/>
          <w:color w:val="auto"/>
        </w:rPr>
      </w:pPr>
    </w:p>
    <w:p>
      <w:pPr>
        <w:ind w:left="53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8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auto"/>
        </w:rPr>
        <w:t>Pursuant to the requirements of the Securities and Exchange Act of 1934, this report has been signed below by the following persons on behalf of Registrant and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20"/>
                <w:szCs w:val="20"/>
                <w:color w:val="auto"/>
              </w:rPr>
            </w:pPr>
            <w:r>
              <w:rPr>
                <w:rFonts w:ascii="Arial" w:cs="Arial" w:eastAsia="Arial" w:hAnsi="Arial"/>
                <w:sz w:val="16"/>
                <w:szCs w:val="16"/>
                <w:b w:val="1"/>
                <w:bCs w:val="1"/>
                <w:color w:val="auto"/>
                <w:w w:val="86"/>
              </w:rPr>
              <w:t>Signature</w:t>
            </w: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Title(s)</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b w:val="1"/>
                <w:bCs w:val="1"/>
                <w:color w:val="auto"/>
                <w:w w:val="86"/>
              </w:rPr>
              <w:t>Date</w:t>
            </w:r>
          </w:p>
        </w:tc>
      </w:tr>
      <w:tr>
        <w:trPr>
          <w:trHeight w:val="20"/>
        </w:trPr>
        <w:tc>
          <w:tcPr>
            <w:tcW w:w="6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4"/>
        </w:trPr>
        <w:tc>
          <w:tcPr>
            <w:tcW w:w="2040" w:type="dxa"/>
            <w:vAlign w:val="bottom"/>
            <w:gridSpan w:val="2"/>
          </w:tcPr>
          <w:p>
            <w:pPr>
              <w:spacing w:after="0"/>
              <w:rPr>
                <w:sz w:val="20"/>
                <w:szCs w:val="20"/>
                <w:color w:val="auto"/>
              </w:rPr>
            </w:pPr>
            <w:r>
              <w:rPr>
                <w:rFonts w:ascii="Arial" w:cs="Arial" w:eastAsia="Arial" w:hAnsi="Arial"/>
                <w:sz w:val="16"/>
                <w:szCs w:val="16"/>
                <w:color w:val="auto"/>
              </w:rPr>
              <w:t>/s/ James J. Cotter</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President, Chief Executive Officer and Director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James J. Cotter</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2"/>
        </w:trPr>
        <w:tc>
          <w:tcPr>
            <w:tcW w:w="2040" w:type="dxa"/>
            <w:vAlign w:val="bottom"/>
            <w:gridSpan w:val="2"/>
          </w:tcPr>
          <w:p>
            <w:pPr>
              <w:spacing w:after="0"/>
              <w:rPr>
                <w:sz w:val="20"/>
                <w:szCs w:val="20"/>
                <w:color w:val="auto"/>
              </w:rPr>
            </w:pPr>
            <w:r>
              <w:rPr>
                <w:rFonts w:ascii="Arial" w:cs="Arial" w:eastAsia="Arial" w:hAnsi="Arial"/>
                <w:sz w:val="16"/>
                <w:szCs w:val="16"/>
                <w:color w:val="auto"/>
              </w:rPr>
              <w:t>/s/ Andrzej Matyczynski</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Principal Financial and Accounting Officer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Andrzej Matyczynski</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2"/>
        </w:trPr>
        <w:tc>
          <w:tcPr>
            <w:tcW w:w="2040" w:type="dxa"/>
            <w:vAlign w:val="bottom"/>
            <w:gridSpan w:val="2"/>
          </w:tcPr>
          <w:p>
            <w:pPr>
              <w:spacing w:after="0"/>
              <w:rPr>
                <w:sz w:val="20"/>
                <w:szCs w:val="20"/>
                <w:color w:val="auto"/>
              </w:rPr>
            </w:pPr>
            <w:r>
              <w:rPr>
                <w:rFonts w:ascii="Arial" w:cs="Arial" w:eastAsia="Arial" w:hAnsi="Arial"/>
                <w:sz w:val="16"/>
                <w:szCs w:val="16"/>
                <w:color w:val="auto"/>
              </w:rPr>
              <w:t>/s/ Ellen M. Cotter</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Chairman of the Board and Director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Ellen M. Cotter</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2"/>
        </w:trPr>
        <w:tc>
          <w:tcPr>
            <w:tcW w:w="2040" w:type="dxa"/>
            <w:vAlign w:val="bottom"/>
            <w:gridSpan w:val="2"/>
          </w:tcPr>
          <w:p>
            <w:pPr>
              <w:spacing w:after="0"/>
              <w:rPr>
                <w:sz w:val="20"/>
                <w:szCs w:val="20"/>
                <w:color w:val="auto"/>
              </w:rPr>
            </w:pPr>
            <w:r>
              <w:rPr>
                <w:rFonts w:ascii="Arial" w:cs="Arial" w:eastAsia="Arial" w:hAnsi="Arial"/>
                <w:sz w:val="16"/>
                <w:szCs w:val="16"/>
                <w:color w:val="auto"/>
              </w:rPr>
              <w:t>/s/ Margaret Cotter</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Vice Chairman of the Board and Director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Margaret Cotter</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2"/>
        </w:trPr>
        <w:tc>
          <w:tcPr>
            <w:tcW w:w="2040" w:type="dxa"/>
            <w:vAlign w:val="bottom"/>
            <w:gridSpan w:val="2"/>
          </w:tcPr>
          <w:p>
            <w:pPr>
              <w:spacing w:after="0"/>
              <w:rPr>
                <w:sz w:val="20"/>
                <w:szCs w:val="20"/>
                <w:color w:val="auto"/>
              </w:rPr>
            </w:pPr>
            <w:r>
              <w:rPr>
                <w:rFonts w:ascii="Arial" w:cs="Arial" w:eastAsia="Arial" w:hAnsi="Arial"/>
                <w:sz w:val="16"/>
                <w:szCs w:val="16"/>
                <w:color w:val="auto"/>
              </w:rPr>
              <w:t>/s/ Guy W. Adams</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Guy W. Adams</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2"/>
        </w:trPr>
        <w:tc>
          <w:tcPr>
            <w:tcW w:w="2040" w:type="dxa"/>
            <w:vAlign w:val="bottom"/>
            <w:gridSpan w:val="2"/>
          </w:tcPr>
          <w:p>
            <w:pPr>
              <w:spacing w:after="0"/>
              <w:rPr>
                <w:sz w:val="20"/>
                <w:szCs w:val="20"/>
                <w:color w:val="auto"/>
              </w:rPr>
            </w:pPr>
            <w:r>
              <w:rPr>
                <w:rFonts w:ascii="Arial" w:cs="Arial" w:eastAsia="Arial" w:hAnsi="Arial"/>
                <w:sz w:val="16"/>
                <w:szCs w:val="16"/>
                <w:color w:val="auto"/>
              </w:rPr>
              <w:t>/s/ William D. Gould</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William D. Gould</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2"/>
        </w:trPr>
        <w:tc>
          <w:tcPr>
            <w:tcW w:w="2040" w:type="dxa"/>
            <w:vAlign w:val="bottom"/>
            <w:gridSpan w:val="2"/>
          </w:tcPr>
          <w:p>
            <w:pPr>
              <w:spacing w:after="0"/>
              <w:rPr>
                <w:sz w:val="20"/>
                <w:szCs w:val="20"/>
                <w:color w:val="auto"/>
              </w:rPr>
            </w:pPr>
            <w:r>
              <w:rPr>
                <w:rFonts w:ascii="Arial" w:cs="Arial" w:eastAsia="Arial" w:hAnsi="Arial"/>
                <w:sz w:val="16"/>
                <w:szCs w:val="16"/>
                <w:color w:val="auto"/>
              </w:rPr>
              <w:t>/s/ Edward L. Kane</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Edward L Kane</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2"/>
        </w:trPr>
        <w:tc>
          <w:tcPr>
            <w:tcW w:w="2040" w:type="dxa"/>
            <w:vAlign w:val="bottom"/>
            <w:gridSpan w:val="2"/>
          </w:tcPr>
          <w:p>
            <w:pPr>
              <w:spacing w:after="0"/>
              <w:rPr>
                <w:sz w:val="20"/>
                <w:szCs w:val="20"/>
                <w:color w:val="auto"/>
              </w:rPr>
            </w:pPr>
            <w:r>
              <w:rPr>
                <w:rFonts w:ascii="Arial" w:cs="Arial" w:eastAsia="Arial" w:hAnsi="Arial"/>
                <w:sz w:val="16"/>
                <w:szCs w:val="16"/>
                <w:color w:val="auto"/>
              </w:rPr>
              <w:t>/s/ Douglas J. McEachern</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Douglas J. McEachern</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2"/>
        </w:trPr>
        <w:tc>
          <w:tcPr>
            <w:tcW w:w="2040" w:type="dxa"/>
            <w:vAlign w:val="bottom"/>
            <w:gridSpan w:val="2"/>
          </w:tcPr>
          <w:p>
            <w:pPr>
              <w:spacing w:after="0"/>
              <w:rPr>
                <w:sz w:val="20"/>
                <w:szCs w:val="20"/>
                <w:color w:val="auto"/>
              </w:rPr>
            </w:pPr>
            <w:r>
              <w:rPr>
                <w:rFonts w:ascii="Arial" w:cs="Arial" w:eastAsia="Arial" w:hAnsi="Arial"/>
                <w:sz w:val="16"/>
                <w:szCs w:val="16"/>
                <w:color w:val="auto"/>
              </w:rPr>
              <w:t>/s/ Tim Storey</w:t>
            </w:r>
          </w:p>
        </w:tc>
        <w:tc>
          <w:tcPr>
            <w:tcW w:w="468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2480" w:type="dxa"/>
            <w:vAlign w:val="bottom"/>
            <w:gridSpan w:val="3"/>
          </w:tcPr>
          <w:p>
            <w:pPr>
              <w:jc w:val="center"/>
              <w:ind w:left="942"/>
              <w:spacing w:after="0"/>
              <w:rPr>
                <w:sz w:val="20"/>
                <w:szCs w:val="20"/>
                <w:color w:val="auto"/>
              </w:rPr>
            </w:pPr>
            <w:r>
              <w:rPr>
                <w:rFonts w:ascii="Arial" w:cs="Arial" w:eastAsia="Arial" w:hAnsi="Arial"/>
                <w:sz w:val="16"/>
                <w:szCs w:val="16"/>
                <w:color w:val="auto"/>
                <w:w w:val="88"/>
              </w:rPr>
              <w:t>March 16, 2015</w:t>
            </w:r>
          </w:p>
        </w:tc>
      </w:tr>
      <w:tr>
        <w:trPr>
          <w:trHeight w:val="226"/>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Tim Storey</w:t>
            </w:r>
          </w:p>
        </w:tc>
        <w:tc>
          <w:tcPr>
            <w:tcW w:w="42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893"/>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gridSpan w:val="2"/>
          </w:tcPr>
          <w:p>
            <w:pPr>
              <w:jc w:val="right"/>
              <w:ind w:right="160"/>
              <w:spacing w:after="0"/>
              <w:rPr>
                <w:sz w:val="20"/>
                <w:szCs w:val="20"/>
                <w:color w:val="auto"/>
              </w:rPr>
            </w:pPr>
            <w:r>
              <w:rPr>
                <w:rFonts w:ascii="Arial" w:cs="Arial" w:eastAsia="Arial" w:hAnsi="Arial"/>
                <w:sz w:val="16"/>
                <w:szCs w:val="16"/>
                <w:color w:val="auto"/>
              </w:rPr>
              <w:t>136</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0"/>
        </w:trPr>
        <w:tc>
          <w:tcPr>
            <w:tcW w:w="66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4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r>
      <w:tr>
        <w:trPr>
          <w:trHeight w:val="20"/>
        </w:trPr>
        <w:tc>
          <w:tcPr>
            <w:tcW w:w="6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3" w:right="133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101600</wp:posOffset>
            </wp:positionV>
            <wp:extent cx="5872480" cy="47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8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 James J. Cotter, certify that:</w:t>
      </w:r>
    </w:p>
    <w:p>
      <w:pPr>
        <w:spacing w:after="0" w:line="168" w:lineRule="exact"/>
        <w:rPr>
          <w:sz w:val="20"/>
          <w:szCs w:val="20"/>
          <w:color w:val="auto"/>
        </w:rPr>
      </w:pPr>
    </w:p>
    <w:p>
      <w:pPr>
        <w:ind w:left="320" w:hanging="318"/>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156" w:lineRule="exact"/>
        <w:rPr>
          <w:rFonts w:ascii="Arial" w:cs="Arial" w:eastAsia="Arial" w:hAnsi="Arial"/>
          <w:sz w:val="16"/>
          <w:szCs w:val="16"/>
          <w:color w:val="auto"/>
        </w:rPr>
      </w:pPr>
    </w:p>
    <w:p>
      <w:pPr>
        <w:jc w:val="both"/>
        <w:ind w:left="140" w:hanging="138"/>
        <w:spacing w:after="0" w:line="280" w:lineRule="auto"/>
        <w:tabs>
          <w:tab w:leader="none" w:pos="1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140" w:hanging="138"/>
        <w:spacing w:after="0" w:line="299" w:lineRule="auto"/>
        <w:tabs>
          <w:tab w:leader="none" w:pos="1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5"/>
          <w:szCs w:val="15"/>
          <w:color w:val="auto"/>
        </w:rPr>
      </w:pPr>
    </w:p>
    <w:p>
      <w:pPr>
        <w:jc w:val="both"/>
        <w:ind w:left="140" w:hanging="138"/>
        <w:spacing w:after="0" w:line="310" w:lineRule="auto"/>
        <w:tabs>
          <w:tab w:leader="none" w:pos="1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3"/>
          <w:szCs w:val="13"/>
          <w:color w:val="auto"/>
        </w:rPr>
      </w:pPr>
    </w:p>
    <w:p>
      <w:pPr>
        <w:ind w:left="140"/>
        <w:spacing w:after="0"/>
        <w:rPr>
          <w:rFonts w:ascii="Arial" w:cs="Arial" w:eastAsia="Arial" w:hAnsi="Arial"/>
          <w:sz w:val="13"/>
          <w:szCs w:val="13"/>
          <w:color w:val="auto"/>
        </w:rPr>
      </w:pPr>
      <w:r>
        <w:rPr>
          <w:rFonts w:ascii="Arial" w:cs="Arial" w:eastAsia="Arial" w:hAnsi="Arial"/>
          <w:sz w:val="16"/>
          <w:szCs w:val="16"/>
          <w:color w:val="auto"/>
        </w:rPr>
        <w:t>15d-15(f)) for the registrant and have:</w:t>
      </w:r>
    </w:p>
    <w:p>
      <w:pPr>
        <w:spacing w:after="0" w:line="145" w:lineRule="exact"/>
        <w:rPr>
          <w:sz w:val="20"/>
          <w:szCs w:val="20"/>
          <w:color w:val="auto"/>
        </w:rPr>
      </w:pPr>
    </w:p>
    <w:p>
      <w:pPr>
        <w:jc w:val="both"/>
        <w:ind w:left="420" w:hanging="128"/>
        <w:spacing w:after="0" w:line="255"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sz w:val="20"/>
          <w:szCs w:val="20"/>
          <w:color w:val="auto"/>
        </w:rPr>
      </w:pPr>
    </w:p>
    <w:p>
      <w:pPr>
        <w:jc w:val="both"/>
        <w:ind w:left="420" w:hanging="140"/>
        <w:spacing w:after="0" w:line="255"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420" w:hanging="128"/>
        <w:spacing w:after="0" w:line="381" w:lineRule="auto"/>
        <w:rPr>
          <w:sz w:val="20"/>
          <w:szCs w:val="20"/>
          <w:color w:val="auto"/>
        </w:rPr>
      </w:pPr>
      <w:r>
        <w:rPr>
          <w:rFonts w:ascii="Arial" w:cs="Arial" w:eastAsia="Arial" w:hAnsi="Arial"/>
          <w:sz w:val="13"/>
          <w:szCs w:val="13"/>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420" w:hanging="140"/>
        <w:spacing w:after="0" w:line="255"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140" w:hanging="138"/>
        <w:spacing w:after="0" w:line="381" w:lineRule="auto"/>
        <w:tabs>
          <w:tab w:leader="none" w:pos="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left="420" w:hanging="128"/>
        <w:spacing w:after="0" w:line="299" w:lineRule="auto"/>
        <w:rPr>
          <w:sz w:val="20"/>
          <w:szCs w:val="20"/>
          <w:color w:val="auto"/>
        </w:rPr>
      </w:pPr>
      <w:r>
        <w:rPr>
          <w:rFonts w:ascii="Arial" w:cs="Arial" w:eastAsia="Arial" w:hAnsi="Arial"/>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sz w:val="20"/>
          <w:szCs w:val="20"/>
          <w:color w:val="auto"/>
        </w:rPr>
      </w:pPr>
    </w:p>
    <w:p>
      <w:pPr>
        <w:ind w:left="420" w:hanging="140"/>
        <w:spacing w:after="0" w:line="265"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James J. Cotter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James J. Cotter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31.2</w:t>
      </w:r>
    </w:p>
    <w:p>
      <w:pPr>
        <w:spacing w:after="0" w:line="8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Andrzej Matyczynski, certify that:</w:t>
      </w:r>
    </w:p>
    <w:p>
      <w:pPr>
        <w:spacing w:after="0" w:line="157" w:lineRule="exact"/>
        <w:rPr>
          <w:sz w:val="20"/>
          <w:szCs w:val="20"/>
          <w:color w:val="auto"/>
        </w:rPr>
      </w:pPr>
    </w:p>
    <w:p>
      <w:pPr>
        <w:ind w:left="320" w:hanging="318"/>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156" w:lineRule="exact"/>
        <w:rPr>
          <w:rFonts w:ascii="Arial" w:cs="Arial" w:eastAsia="Arial" w:hAnsi="Arial"/>
          <w:sz w:val="16"/>
          <w:szCs w:val="16"/>
          <w:color w:val="auto"/>
        </w:rPr>
      </w:pPr>
    </w:p>
    <w:p>
      <w:pPr>
        <w:jc w:val="both"/>
        <w:ind w:left="140" w:hanging="138"/>
        <w:spacing w:after="0" w:line="280" w:lineRule="auto"/>
        <w:tabs>
          <w:tab w:leader="none" w:pos="1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140" w:hanging="138"/>
        <w:spacing w:after="0" w:line="299" w:lineRule="auto"/>
        <w:tabs>
          <w:tab w:leader="none" w:pos="1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5"/>
          <w:szCs w:val="15"/>
          <w:color w:val="auto"/>
        </w:rPr>
      </w:pPr>
    </w:p>
    <w:p>
      <w:pPr>
        <w:jc w:val="both"/>
        <w:ind w:left="140" w:hanging="138"/>
        <w:spacing w:after="0" w:line="310" w:lineRule="auto"/>
        <w:tabs>
          <w:tab w:leader="none" w:pos="1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3"/>
          <w:szCs w:val="13"/>
          <w:color w:val="auto"/>
        </w:rPr>
      </w:pPr>
    </w:p>
    <w:p>
      <w:pPr>
        <w:ind w:left="140"/>
        <w:spacing w:after="0"/>
        <w:rPr>
          <w:rFonts w:ascii="Arial" w:cs="Arial" w:eastAsia="Arial" w:hAnsi="Arial"/>
          <w:sz w:val="13"/>
          <w:szCs w:val="13"/>
          <w:color w:val="auto"/>
        </w:rPr>
      </w:pPr>
      <w:r>
        <w:rPr>
          <w:rFonts w:ascii="Arial" w:cs="Arial" w:eastAsia="Arial" w:hAnsi="Arial"/>
          <w:sz w:val="16"/>
          <w:szCs w:val="16"/>
          <w:color w:val="auto"/>
        </w:rPr>
        <w:t>15d-15(f)) for the registrant and have:</w:t>
      </w:r>
    </w:p>
    <w:p>
      <w:pPr>
        <w:spacing w:after="0" w:line="145" w:lineRule="exact"/>
        <w:rPr>
          <w:sz w:val="20"/>
          <w:szCs w:val="20"/>
          <w:color w:val="auto"/>
        </w:rPr>
      </w:pPr>
    </w:p>
    <w:p>
      <w:pPr>
        <w:jc w:val="both"/>
        <w:ind w:left="420" w:hanging="128"/>
        <w:spacing w:after="0" w:line="255"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sz w:val="20"/>
          <w:szCs w:val="20"/>
          <w:color w:val="auto"/>
        </w:rPr>
      </w:pPr>
    </w:p>
    <w:p>
      <w:pPr>
        <w:jc w:val="both"/>
        <w:ind w:left="420" w:hanging="140"/>
        <w:spacing w:after="0" w:line="255"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420" w:hanging="128"/>
        <w:spacing w:after="0" w:line="381" w:lineRule="auto"/>
        <w:rPr>
          <w:sz w:val="20"/>
          <w:szCs w:val="20"/>
          <w:color w:val="auto"/>
        </w:rPr>
      </w:pPr>
      <w:r>
        <w:rPr>
          <w:rFonts w:ascii="Arial" w:cs="Arial" w:eastAsia="Arial" w:hAnsi="Arial"/>
          <w:sz w:val="13"/>
          <w:szCs w:val="13"/>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420" w:hanging="140"/>
        <w:spacing w:after="0" w:line="255"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140" w:hanging="138"/>
        <w:spacing w:after="0" w:line="381" w:lineRule="auto"/>
        <w:tabs>
          <w:tab w:leader="none" w:pos="1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left="420" w:hanging="128"/>
        <w:spacing w:after="0" w:line="299" w:lineRule="auto"/>
        <w:rPr>
          <w:sz w:val="20"/>
          <w:szCs w:val="20"/>
          <w:color w:val="auto"/>
        </w:rPr>
      </w:pPr>
      <w:r>
        <w:rPr>
          <w:rFonts w:ascii="Arial" w:cs="Arial" w:eastAsia="Arial" w:hAnsi="Arial"/>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sz w:val="20"/>
          <w:szCs w:val="20"/>
          <w:color w:val="auto"/>
        </w:rPr>
      </w:pPr>
    </w:p>
    <w:p>
      <w:pPr>
        <w:ind w:left="420" w:hanging="140"/>
        <w:spacing w:after="0" w:line="265"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Andrzej Matyczynski</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Andrzej Matyczynski</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32.1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7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2014 (the “Report”), I, James J. Cotter, Chief Executive Officer of the Company, certify, pursuant to 18 U.S.C. §1350, as adopted pursuant to §906 of the Sarbanes-Oxley Act of 2002, that:</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The Report fully complies with the requirements of Section 13(a) of the Securities Exchange Act of 1934; and</w:t>
      </w:r>
    </w:p>
    <w:p>
      <w:pPr>
        <w:spacing w:after="0" w:line="157" w:lineRule="exact"/>
        <w:rPr>
          <w:sz w:val="20"/>
          <w:szCs w:val="20"/>
          <w:color w:val="auto"/>
        </w:rPr>
      </w:pPr>
    </w:p>
    <w:p>
      <w:pPr>
        <w:ind w:left="400" w:hanging="116"/>
        <w:spacing w:after="0" w:line="265"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James J. Cotter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James J. Cotter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32.2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7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2014 (the “Report”), I, Andrzej Matyczynski, Chief Financial Officer of the Company, certify, pursuant to 18 U.S.C. §1350, as adopted pursuant to §906 of the Sarbanes-Oxley Act of 2002, that:</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The Report fully complies with the requirements of Section 13(a) of the Securities Exchange Act of 1934; and</w:t>
      </w:r>
    </w:p>
    <w:p>
      <w:pPr>
        <w:spacing w:after="0" w:line="157" w:lineRule="exact"/>
        <w:rPr>
          <w:sz w:val="20"/>
          <w:szCs w:val="20"/>
          <w:color w:val="auto"/>
        </w:rPr>
      </w:pPr>
    </w:p>
    <w:p>
      <w:pPr>
        <w:ind w:left="400" w:hanging="116"/>
        <w:spacing w:after="0" w:line="265"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Andrzej Matyczynski</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Andrzej Matyczynski</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b w:val="1"/>
          <w:bCs w:val="1"/>
          <w:color w:val="auto"/>
        </w:rPr>
        <w:t>EXHIBIT 21</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READING INTERNATIONAL, INC. – LIST OF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Subsidiary (Jurisdiction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A.C.N. 143 633 096 Pty Ltd (Australia)</w:t>
      </w:r>
    </w:p>
    <w:p>
      <w:pPr>
        <w:spacing w:after="0" w:line="199" w:lineRule="auto"/>
        <w:rPr>
          <w:sz w:val="20"/>
          <w:szCs w:val="20"/>
          <w:color w:val="auto"/>
        </w:rPr>
      </w:pPr>
      <w:r>
        <w:rPr>
          <w:rFonts w:ascii="Arial" w:cs="Arial" w:eastAsia="Arial" w:hAnsi="Arial"/>
          <w:sz w:val="16"/>
          <w:szCs w:val="16"/>
          <w:color w:val="auto"/>
        </w:rPr>
        <w:t>AHGP, Inc. (Delaware)</w:t>
      </w:r>
    </w:p>
    <w:p>
      <w:pPr>
        <w:spacing w:after="0" w:line="199" w:lineRule="auto"/>
        <w:rPr>
          <w:sz w:val="20"/>
          <w:szCs w:val="20"/>
          <w:color w:val="auto"/>
        </w:rPr>
      </w:pPr>
      <w:r>
        <w:rPr>
          <w:rFonts w:ascii="Arial" w:cs="Arial" w:eastAsia="Arial" w:hAnsi="Arial"/>
          <w:sz w:val="16"/>
          <w:szCs w:val="16"/>
          <w:color w:val="auto"/>
        </w:rPr>
        <w:t>AHLP, Inc. (Delaware)</w:t>
      </w:r>
    </w:p>
    <w:p>
      <w:pPr>
        <w:spacing w:after="0" w:line="199" w:lineRule="auto"/>
        <w:rPr>
          <w:sz w:val="20"/>
          <w:szCs w:val="20"/>
          <w:color w:val="auto"/>
        </w:rPr>
      </w:pPr>
      <w:r>
        <w:rPr>
          <w:rFonts w:ascii="Arial" w:cs="Arial" w:eastAsia="Arial" w:hAnsi="Arial"/>
          <w:sz w:val="16"/>
          <w:szCs w:val="16"/>
          <w:color w:val="auto"/>
        </w:rPr>
        <w:t>Angelika Film Centers, LLC (Delaware)</w:t>
      </w:r>
    </w:p>
    <w:p>
      <w:pPr>
        <w:spacing w:after="0" w:line="199" w:lineRule="auto"/>
        <w:rPr>
          <w:sz w:val="20"/>
          <w:szCs w:val="20"/>
          <w:color w:val="auto"/>
        </w:rPr>
      </w:pPr>
      <w:r>
        <w:rPr>
          <w:rFonts w:ascii="Arial" w:cs="Arial" w:eastAsia="Arial" w:hAnsi="Arial"/>
          <w:sz w:val="16"/>
          <w:szCs w:val="16"/>
          <w:color w:val="auto"/>
        </w:rPr>
        <w:t>Angelika Film Center Mosaic, LLC (Nevada)</w:t>
      </w:r>
    </w:p>
    <w:p>
      <w:pPr>
        <w:spacing w:after="0" w:line="199" w:lineRule="auto"/>
        <w:rPr>
          <w:sz w:val="20"/>
          <w:szCs w:val="20"/>
          <w:color w:val="auto"/>
        </w:rPr>
      </w:pPr>
      <w:r>
        <w:rPr>
          <w:rFonts w:ascii="Arial" w:cs="Arial" w:eastAsia="Arial" w:hAnsi="Arial"/>
          <w:sz w:val="16"/>
          <w:szCs w:val="16"/>
          <w:color w:val="auto"/>
        </w:rPr>
        <w:t>Angelika Film Center Union Market, LLC (Nevada)</w:t>
      </w:r>
    </w:p>
    <w:p>
      <w:pPr>
        <w:spacing w:after="0" w:line="200" w:lineRule="auto"/>
        <w:rPr>
          <w:sz w:val="20"/>
          <w:szCs w:val="20"/>
          <w:color w:val="auto"/>
        </w:rPr>
      </w:pPr>
      <w:r>
        <w:rPr>
          <w:rFonts w:ascii="Arial" w:cs="Arial" w:eastAsia="Arial" w:hAnsi="Arial"/>
          <w:sz w:val="16"/>
          <w:szCs w:val="16"/>
          <w:color w:val="auto"/>
        </w:rPr>
        <w:t>Angelika Film Centers (Dallas), Inc. (Texas)</w:t>
      </w:r>
    </w:p>
    <w:p>
      <w:pPr>
        <w:spacing w:after="0" w:line="199" w:lineRule="auto"/>
        <w:rPr>
          <w:sz w:val="20"/>
          <w:szCs w:val="20"/>
          <w:color w:val="auto"/>
        </w:rPr>
      </w:pPr>
      <w:r>
        <w:rPr>
          <w:rFonts w:ascii="Arial" w:cs="Arial" w:eastAsia="Arial" w:hAnsi="Arial"/>
          <w:sz w:val="16"/>
          <w:szCs w:val="16"/>
          <w:color w:val="auto"/>
        </w:rPr>
        <w:t>Angelika Film Centers (Plano) LP (Nevada)</w:t>
      </w:r>
    </w:p>
    <w:p>
      <w:pPr>
        <w:spacing w:after="0" w:line="199" w:lineRule="auto"/>
        <w:rPr>
          <w:sz w:val="20"/>
          <w:szCs w:val="20"/>
          <w:color w:val="auto"/>
        </w:rPr>
      </w:pPr>
      <w:r>
        <w:rPr>
          <w:rFonts w:ascii="Arial" w:cs="Arial" w:eastAsia="Arial" w:hAnsi="Arial"/>
          <w:sz w:val="16"/>
          <w:szCs w:val="16"/>
          <w:color w:val="auto"/>
        </w:rPr>
        <w:t>Angelika Plano Beverage LLC (Texas)</w:t>
      </w:r>
    </w:p>
    <w:p>
      <w:pPr>
        <w:spacing w:after="0" w:line="199" w:lineRule="auto"/>
        <w:rPr>
          <w:sz w:val="20"/>
          <w:szCs w:val="20"/>
          <w:color w:val="auto"/>
        </w:rPr>
      </w:pPr>
      <w:r>
        <w:rPr>
          <w:rFonts w:ascii="Arial" w:cs="Arial" w:eastAsia="Arial" w:hAnsi="Arial"/>
          <w:sz w:val="16"/>
          <w:szCs w:val="16"/>
          <w:color w:val="auto"/>
        </w:rPr>
        <w:t>Angelika Plano Holdings, LLC (Nevada)</w:t>
      </w:r>
    </w:p>
    <w:p>
      <w:pPr>
        <w:spacing w:after="0" w:line="199" w:lineRule="auto"/>
        <w:rPr>
          <w:sz w:val="20"/>
          <w:szCs w:val="20"/>
          <w:color w:val="auto"/>
        </w:rPr>
      </w:pPr>
      <w:r>
        <w:rPr>
          <w:rFonts w:ascii="Arial" w:cs="Arial" w:eastAsia="Arial" w:hAnsi="Arial"/>
          <w:sz w:val="16"/>
          <w:szCs w:val="16"/>
          <w:color w:val="auto"/>
        </w:rPr>
        <w:t>Australia Country Cinemas Pty Ltd (Australia)</w:t>
      </w:r>
    </w:p>
    <w:p>
      <w:pPr>
        <w:spacing w:after="0" w:line="199" w:lineRule="auto"/>
        <w:rPr>
          <w:sz w:val="20"/>
          <w:szCs w:val="20"/>
          <w:color w:val="auto"/>
        </w:rPr>
      </w:pPr>
      <w:r>
        <w:rPr>
          <w:rFonts w:ascii="Arial" w:cs="Arial" w:eastAsia="Arial" w:hAnsi="Arial"/>
          <w:sz w:val="16"/>
          <w:szCs w:val="16"/>
          <w:color w:val="auto"/>
        </w:rPr>
        <w:t>Australian Equipment Supply Pty Ltd (Australia)</w:t>
      </w:r>
    </w:p>
    <w:p>
      <w:pPr>
        <w:spacing w:after="0" w:line="200" w:lineRule="auto"/>
        <w:rPr>
          <w:sz w:val="20"/>
          <w:szCs w:val="20"/>
          <w:color w:val="auto"/>
        </w:rPr>
      </w:pPr>
      <w:r>
        <w:rPr>
          <w:rFonts w:ascii="Arial" w:cs="Arial" w:eastAsia="Arial" w:hAnsi="Arial"/>
          <w:sz w:val="16"/>
          <w:szCs w:val="16"/>
          <w:color w:val="auto"/>
        </w:rPr>
        <w:t>Bayou Cinemas LP (Delaware)</w:t>
      </w:r>
    </w:p>
    <w:p>
      <w:pPr>
        <w:spacing w:after="0" w:line="199" w:lineRule="auto"/>
        <w:rPr>
          <w:sz w:val="20"/>
          <w:szCs w:val="20"/>
          <w:color w:val="auto"/>
        </w:rPr>
      </w:pPr>
      <w:r>
        <w:rPr>
          <w:rFonts w:ascii="Arial" w:cs="Arial" w:eastAsia="Arial" w:hAnsi="Arial"/>
          <w:sz w:val="16"/>
          <w:szCs w:val="16"/>
          <w:color w:val="auto"/>
        </w:rPr>
        <w:t>Bogart Holdings Ltd (New Zealand)</w:t>
      </w:r>
    </w:p>
    <w:p>
      <w:pPr>
        <w:spacing w:after="0" w:line="199" w:lineRule="auto"/>
        <w:rPr>
          <w:sz w:val="20"/>
          <w:szCs w:val="20"/>
          <w:color w:val="auto"/>
        </w:rPr>
      </w:pPr>
      <w:r>
        <w:rPr>
          <w:rFonts w:ascii="Arial" w:cs="Arial" w:eastAsia="Arial" w:hAnsi="Arial"/>
          <w:sz w:val="16"/>
          <w:szCs w:val="16"/>
          <w:color w:val="auto"/>
        </w:rPr>
        <w:t>Burwood Developments Pty Ltd (Australia)</w:t>
      </w:r>
    </w:p>
    <w:p>
      <w:pPr>
        <w:spacing w:after="0" w:line="199" w:lineRule="auto"/>
        <w:rPr>
          <w:sz w:val="20"/>
          <w:szCs w:val="20"/>
          <w:color w:val="auto"/>
        </w:rPr>
      </w:pPr>
      <w:r>
        <w:rPr>
          <w:rFonts w:ascii="Arial" w:cs="Arial" w:eastAsia="Arial" w:hAnsi="Arial"/>
          <w:sz w:val="16"/>
          <w:szCs w:val="16"/>
          <w:color w:val="auto"/>
        </w:rPr>
        <w:t>Carmel Theatres, LLC (Nevada)</w:t>
      </w:r>
    </w:p>
    <w:p>
      <w:pPr>
        <w:spacing w:after="0" w:line="199" w:lineRule="auto"/>
        <w:rPr>
          <w:sz w:val="20"/>
          <w:szCs w:val="20"/>
          <w:color w:val="auto"/>
        </w:rPr>
      </w:pPr>
      <w:r>
        <w:rPr>
          <w:rFonts w:ascii="Arial" w:cs="Arial" w:eastAsia="Arial" w:hAnsi="Arial"/>
          <w:sz w:val="16"/>
          <w:szCs w:val="16"/>
          <w:color w:val="auto"/>
        </w:rPr>
        <w:t>Citadel Agriculture, Inc. (California)</w:t>
      </w:r>
    </w:p>
    <w:p>
      <w:pPr>
        <w:spacing w:after="0" w:line="200" w:lineRule="auto"/>
        <w:rPr>
          <w:sz w:val="20"/>
          <w:szCs w:val="20"/>
          <w:color w:val="auto"/>
        </w:rPr>
      </w:pPr>
      <w:r>
        <w:rPr>
          <w:rFonts w:ascii="Arial" w:cs="Arial" w:eastAsia="Arial" w:hAnsi="Arial"/>
          <w:sz w:val="16"/>
          <w:szCs w:val="16"/>
          <w:color w:val="auto"/>
        </w:rPr>
        <w:t>Citadel Cinemas, Inc. (Nevada)</w:t>
      </w:r>
    </w:p>
    <w:p>
      <w:pPr>
        <w:spacing w:after="0" w:line="199" w:lineRule="auto"/>
        <w:rPr>
          <w:sz w:val="20"/>
          <w:szCs w:val="20"/>
          <w:color w:val="auto"/>
        </w:rPr>
      </w:pPr>
      <w:r>
        <w:rPr>
          <w:rFonts w:ascii="Arial" w:cs="Arial" w:eastAsia="Arial" w:hAnsi="Arial"/>
          <w:sz w:val="16"/>
          <w:szCs w:val="16"/>
          <w:color w:val="auto"/>
        </w:rPr>
        <w:t>Citadel Realty, Inc. (Nevada)</w:t>
      </w:r>
    </w:p>
    <w:p>
      <w:pPr>
        <w:spacing w:after="0" w:line="199" w:lineRule="auto"/>
        <w:rPr>
          <w:sz w:val="20"/>
          <w:szCs w:val="20"/>
          <w:color w:val="auto"/>
        </w:rPr>
      </w:pPr>
      <w:r>
        <w:rPr>
          <w:rFonts w:ascii="Arial" w:cs="Arial" w:eastAsia="Arial" w:hAnsi="Arial"/>
          <w:sz w:val="16"/>
          <w:szCs w:val="16"/>
          <w:color w:val="auto"/>
        </w:rPr>
        <w:t>City Cinemas, LLC (Nevada)</w:t>
      </w:r>
    </w:p>
    <w:p>
      <w:pPr>
        <w:spacing w:after="0" w:line="199" w:lineRule="auto"/>
        <w:rPr>
          <w:sz w:val="20"/>
          <w:szCs w:val="20"/>
          <w:color w:val="auto"/>
        </w:rPr>
      </w:pPr>
      <w:r>
        <w:rPr>
          <w:rFonts w:ascii="Arial" w:cs="Arial" w:eastAsia="Arial" w:hAnsi="Arial"/>
          <w:sz w:val="16"/>
          <w:szCs w:val="16"/>
          <w:color w:val="auto"/>
        </w:rPr>
        <w:t>Consolidated Amusement Holdings, LLC (Nevada)</w:t>
      </w:r>
    </w:p>
    <w:p>
      <w:pPr>
        <w:spacing w:after="0" w:line="199" w:lineRule="auto"/>
        <w:rPr>
          <w:sz w:val="20"/>
          <w:szCs w:val="20"/>
          <w:color w:val="auto"/>
        </w:rPr>
      </w:pPr>
      <w:r>
        <w:rPr>
          <w:rFonts w:ascii="Arial" w:cs="Arial" w:eastAsia="Arial" w:hAnsi="Arial"/>
          <w:sz w:val="16"/>
          <w:szCs w:val="16"/>
          <w:color w:val="auto"/>
        </w:rPr>
        <w:t>Consolidated Cinema Services, LLC (Nevada)</w:t>
      </w:r>
    </w:p>
    <w:p>
      <w:pPr>
        <w:spacing w:after="0" w:line="199" w:lineRule="auto"/>
        <w:rPr>
          <w:sz w:val="20"/>
          <w:szCs w:val="20"/>
          <w:color w:val="auto"/>
        </w:rPr>
      </w:pPr>
      <w:r>
        <w:rPr>
          <w:rFonts w:ascii="Arial" w:cs="Arial" w:eastAsia="Arial" w:hAnsi="Arial"/>
          <w:sz w:val="16"/>
          <w:szCs w:val="16"/>
          <w:color w:val="auto"/>
        </w:rPr>
        <w:t>Consolidated Cinemas Kapolei, LLC (New Zealand)</w:t>
      </w:r>
    </w:p>
    <w:p>
      <w:pPr>
        <w:spacing w:after="0" w:line="200" w:lineRule="auto"/>
        <w:rPr>
          <w:sz w:val="20"/>
          <w:szCs w:val="20"/>
          <w:color w:val="auto"/>
        </w:rPr>
      </w:pPr>
      <w:r>
        <w:rPr>
          <w:rFonts w:ascii="Arial" w:cs="Arial" w:eastAsia="Arial" w:hAnsi="Arial"/>
          <w:sz w:val="16"/>
          <w:szCs w:val="16"/>
          <w:color w:val="auto"/>
        </w:rPr>
        <w:t>Consolidated Entertainment, LLC (Nevada)</w:t>
      </w:r>
    </w:p>
    <w:p>
      <w:pPr>
        <w:spacing w:after="0" w:line="199" w:lineRule="auto"/>
        <w:rPr>
          <w:sz w:val="20"/>
          <w:szCs w:val="20"/>
          <w:color w:val="auto"/>
        </w:rPr>
      </w:pPr>
      <w:r>
        <w:rPr>
          <w:rFonts w:ascii="Arial" w:cs="Arial" w:eastAsia="Arial" w:hAnsi="Arial"/>
          <w:sz w:val="16"/>
          <w:szCs w:val="16"/>
          <w:color w:val="auto"/>
        </w:rPr>
        <w:t>Courtenay Car Park Ltd (New Zealand)</w:t>
      </w:r>
    </w:p>
    <w:p>
      <w:pPr>
        <w:spacing w:after="0" w:line="199" w:lineRule="auto"/>
        <w:rPr>
          <w:sz w:val="20"/>
          <w:szCs w:val="20"/>
          <w:color w:val="auto"/>
        </w:rPr>
      </w:pPr>
      <w:r>
        <w:rPr>
          <w:rFonts w:ascii="Arial" w:cs="Arial" w:eastAsia="Arial" w:hAnsi="Arial"/>
          <w:sz w:val="16"/>
          <w:szCs w:val="16"/>
          <w:color w:val="auto"/>
        </w:rPr>
        <w:t>Craig Corporation (Nevada)</w:t>
      </w:r>
    </w:p>
    <w:p>
      <w:pPr>
        <w:spacing w:after="0" w:line="199" w:lineRule="auto"/>
        <w:rPr>
          <w:sz w:val="20"/>
          <w:szCs w:val="20"/>
          <w:color w:val="auto"/>
        </w:rPr>
      </w:pPr>
      <w:r>
        <w:rPr>
          <w:rFonts w:ascii="Arial" w:cs="Arial" w:eastAsia="Arial" w:hAnsi="Arial"/>
          <w:sz w:val="16"/>
          <w:szCs w:val="16"/>
          <w:color w:val="auto"/>
        </w:rPr>
        <w:t>Darnelle Enterprises Limited (New Zealand)</w:t>
      </w:r>
    </w:p>
    <w:p>
      <w:pPr>
        <w:spacing w:after="0" w:line="199" w:lineRule="auto"/>
        <w:rPr>
          <w:sz w:val="20"/>
          <w:szCs w:val="20"/>
          <w:color w:val="auto"/>
        </w:rPr>
      </w:pPr>
      <w:r>
        <w:rPr>
          <w:rFonts w:ascii="Arial" w:cs="Arial" w:eastAsia="Arial" w:hAnsi="Arial"/>
          <w:sz w:val="16"/>
          <w:szCs w:val="16"/>
          <w:color w:val="auto"/>
        </w:rPr>
        <w:t>Dimension Specialty, Inc. (Delaware)</w:t>
      </w:r>
    </w:p>
    <w:p>
      <w:pPr>
        <w:spacing w:after="0" w:line="199" w:lineRule="auto"/>
        <w:rPr>
          <w:sz w:val="20"/>
          <w:szCs w:val="20"/>
          <w:color w:val="auto"/>
        </w:rPr>
      </w:pPr>
      <w:r>
        <w:rPr>
          <w:rFonts w:ascii="Arial" w:cs="Arial" w:eastAsia="Arial" w:hAnsi="Arial"/>
          <w:sz w:val="16"/>
          <w:szCs w:val="16"/>
          <w:color w:val="auto"/>
        </w:rPr>
        <w:t>Epping Cinemas Pty Ltd (Australia)</w:t>
      </w:r>
    </w:p>
    <w:p>
      <w:pPr>
        <w:spacing w:after="0" w:line="200" w:lineRule="auto"/>
        <w:rPr>
          <w:sz w:val="20"/>
          <w:szCs w:val="20"/>
          <w:color w:val="auto"/>
        </w:rPr>
      </w:pPr>
      <w:r>
        <w:rPr>
          <w:rFonts w:ascii="Arial" w:cs="Arial" w:eastAsia="Arial" w:hAnsi="Arial"/>
          <w:sz w:val="16"/>
          <w:szCs w:val="16"/>
          <w:color w:val="auto"/>
        </w:rPr>
        <w:t>Garden Walk Cinema, LLC (Nevada)</w:t>
      </w:r>
    </w:p>
    <w:p>
      <w:pPr>
        <w:spacing w:after="0" w:line="199" w:lineRule="auto"/>
        <w:rPr>
          <w:sz w:val="20"/>
          <w:szCs w:val="20"/>
          <w:color w:val="auto"/>
        </w:rPr>
      </w:pPr>
      <w:r>
        <w:rPr>
          <w:rFonts w:ascii="Arial" w:cs="Arial" w:eastAsia="Arial" w:hAnsi="Arial"/>
          <w:sz w:val="16"/>
          <w:szCs w:val="16"/>
          <w:color w:val="auto"/>
        </w:rPr>
        <w:t>Gaslamp Theatres, LLC (Nevada)</w:t>
      </w:r>
    </w:p>
    <w:p>
      <w:pPr>
        <w:spacing w:after="0" w:line="199" w:lineRule="auto"/>
        <w:rPr>
          <w:sz w:val="20"/>
          <w:szCs w:val="20"/>
          <w:color w:val="auto"/>
        </w:rPr>
      </w:pPr>
      <w:r>
        <w:rPr>
          <w:rFonts w:ascii="Arial" w:cs="Arial" w:eastAsia="Arial" w:hAnsi="Arial"/>
          <w:sz w:val="16"/>
          <w:szCs w:val="16"/>
          <w:color w:val="auto"/>
        </w:rPr>
        <w:t>Hope Street Hospitality, LLC (Delaware)</w:t>
      </w:r>
    </w:p>
    <w:p>
      <w:pPr>
        <w:spacing w:after="0" w:line="199" w:lineRule="auto"/>
        <w:rPr>
          <w:sz w:val="20"/>
          <w:szCs w:val="20"/>
          <w:color w:val="auto"/>
        </w:rPr>
      </w:pPr>
      <w:r>
        <w:rPr>
          <w:rFonts w:ascii="Arial" w:cs="Arial" w:eastAsia="Arial" w:hAnsi="Arial"/>
          <w:sz w:val="16"/>
          <w:szCs w:val="16"/>
          <w:color w:val="auto"/>
        </w:rPr>
        <w:t>Hotel Newmarket Pty Ltd (Australia)</w:t>
      </w:r>
    </w:p>
    <w:p>
      <w:pPr>
        <w:spacing w:after="0" w:line="199" w:lineRule="auto"/>
        <w:rPr>
          <w:sz w:val="20"/>
          <w:szCs w:val="20"/>
          <w:color w:val="auto"/>
        </w:rPr>
      </w:pPr>
      <w:r>
        <w:rPr>
          <w:rFonts w:ascii="Arial" w:cs="Arial" w:eastAsia="Arial" w:hAnsi="Arial"/>
          <w:sz w:val="16"/>
          <w:szCs w:val="16"/>
          <w:color w:val="auto"/>
        </w:rPr>
        <w:t>Kaahumanu Cinemas, LLC (Nevada)</w:t>
      </w:r>
    </w:p>
    <w:p>
      <w:pPr>
        <w:spacing w:after="0" w:line="200" w:lineRule="auto"/>
        <w:rPr>
          <w:sz w:val="20"/>
          <w:szCs w:val="20"/>
          <w:color w:val="auto"/>
        </w:rPr>
      </w:pPr>
      <w:r>
        <w:rPr>
          <w:rFonts w:ascii="Arial" w:cs="Arial" w:eastAsia="Arial" w:hAnsi="Arial"/>
          <w:sz w:val="16"/>
          <w:szCs w:val="16"/>
          <w:color w:val="auto"/>
        </w:rPr>
        <w:t>Kahala Cinema Company LLC (Nevada)</w:t>
      </w:r>
    </w:p>
    <w:p>
      <w:pPr>
        <w:spacing w:after="0" w:line="199" w:lineRule="auto"/>
        <w:rPr>
          <w:sz w:val="20"/>
          <w:szCs w:val="20"/>
          <w:color w:val="auto"/>
        </w:rPr>
      </w:pPr>
      <w:r>
        <w:rPr>
          <w:rFonts w:ascii="Arial" w:cs="Arial" w:eastAsia="Arial" w:hAnsi="Arial"/>
          <w:sz w:val="16"/>
          <w:szCs w:val="16"/>
          <w:color w:val="auto"/>
        </w:rPr>
        <w:t>KMA Cinemas, LLC (Nevada)</w:t>
      </w:r>
    </w:p>
    <w:p>
      <w:pPr>
        <w:spacing w:after="0" w:line="199" w:lineRule="auto"/>
        <w:rPr>
          <w:sz w:val="20"/>
          <w:szCs w:val="20"/>
          <w:color w:val="auto"/>
        </w:rPr>
      </w:pPr>
      <w:r>
        <w:rPr>
          <w:rFonts w:ascii="Arial" w:cs="Arial" w:eastAsia="Arial" w:hAnsi="Arial"/>
          <w:sz w:val="16"/>
          <w:szCs w:val="16"/>
          <w:color w:val="auto"/>
        </w:rPr>
        <w:t>Liberty Live, LLC (Nevada)</w:t>
      </w:r>
    </w:p>
    <w:p>
      <w:pPr>
        <w:spacing w:after="0" w:line="199" w:lineRule="auto"/>
        <w:rPr>
          <w:sz w:val="20"/>
          <w:szCs w:val="20"/>
          <w:color w:val="auto"/>
        </w:rPr>
      </w:pPr>
      <w:r>
        <w:rPr>
          <w:rFonts w:ascii="Arial" w:cs="Arial" w:eastAsia="Arial" w:hAnsi="Arial"/>
          <w:sz w:val="16"/>
          <w:szCs w:val="16"/>
          <w:color w:val="auto"/>
        </w:rPr>
        <w:t>Liberty Theaters, LLC (Nevada)</w:t>
      </w:r>
    </w:p>
    <w:p>
      <w:pPr>
        <w:spacing w:after="0" w:line="199" w:lineRule="auto"/>
        <w:rPr>
          <w:sz w:val="20"/>
          <w:szCs w:val="20"/>
          <w:color w:val="auto"/>
        </w:rPr>
      </w:pPr>
      <w:r>
        <w:rPr>
          <w:rFonts w:ascii="Arial" w:cs="Arial" w:eastAsia="Arial" w:hAnsi="Arial"/>
          <w:sz w:val="16"/>
          <w:szCs w:val="16"/>
          <w:color w:val="auto"/>
        </w:rPr>
        <w:t>Liberty Theatres Properties LLC (Nevada)</w:t>
      </w:r>
    </w:p>
    <w:p>
      <w:pPr>
        <w:spacing w:after="0" w:line="199" w:lineRule="auto"/>
        <w:rPr>
          <w:sz w:val="20"/>
          <w:szCs w:val="20"/>
          <w:color w:val="auto"/>
        </w:rPr>
      </w:pPr>
      <w:r>
        <w:rPr>
          <w:rFonts w:ascii="Arial" w:cs="Arial" w:eastAsia="Arial" w:hAnsi="Arial"/>
          <w:sz w:val="16"/>
          <w:szCs w:val="16"/>
          <w:color w:val="auto"/>
        </w:rPr>
        <w:t>Liberty Theatricals, LLC (Nevada)</w:t>
      </w:r>
    </w:p>
    <w:p>
      <w:pPr>
        <w:spacing w:after="0" w:line="200" w:lineRule="auto"/>
        <w:rPr>
          <w:sz w:val="20"/>
          <w:szCs w:val="20"/>
          <w:color w:val="auto"/>
        </w:rPr>
      </w:pPr>
      <w:r>
        <w:rPr>
          <w:rFonts w:ascii="Arial" w:cs="Arial" w:eastAsia="Arial" w:hAnsi="Arial"/>
          <w:sz w:val="16"/>
          <w:szCs w:val="16"/>
          <w:color w:val="auto"/>
        </w:rPr>
        <w:t>Minetta Live, LLC (Nevada)</w:t>
      </w:r>
    </w:p>
    <w:p>
      <w:pPr>
        <w:spacing w:after="0" w:line="199" w:lineRule="auto"/>
        <w:rPr>
          <w:sz w:val="20"/>
          <w:szCs w:val="20"/>
          <w:color w:val="auto"/>
        </w:rPr>
      </w:pPr>
      <w:r>
        <w:rPr>
          <w:rFonts w:ascii="Arial" w:cs="Arial" w:eastAsia="Arial" w:hAnsi="Arial"/>
          <w:sz w:val="16"/>
          <w:szCs w:val="16"/>
          <w:color w:val="auto"/>
        </w:rPr>
        <w:t>Movieland Cinemas (NZ) Ltd (New Zealand)</w:t>
      </w:r>
    </w:p>
    <w:p>
      <w:pPr>
        <w:spacing w:after="0" w:line="199" w:lineRule="auto"/>
        <w:rPr>
          <w:sz w:val="20"/>
          <w:szCs w:val="20"/>
          <w:color w:val="auto"/>
        </w:rPr>
      </w:pPr>
      <w:r>
        <w:rPr>
          <w:rFonts w:ascii="Arial" w:cs="Arial" w:eastAsia="Arial" w:hAnsi="Arial"/>
          <w:sz w:val="16"/>
          <w:szCs w:val="16"/>
          <w:color w:val="auto"/>
        </w:rPr>
        <w:t>NZ Equipment Supply Limited (New Zealand)</w:t>
      </w:r>
    </w:p>
    <w:p>
      <w:pPr>
        <w:spacing w:after="0" w:line="199" w:lineRule="auto"/>
        <w:rPr>
          <w:sz w:val="20"/>
          <w:szCs w:val="20"/>
          <w:color w:val="auto"/>
        </w:rPr>
      </w:pPr>
      <w:r>
        <w:rPr>
          <w:rFonts w:ascii="Arial" w:cs="Arial" w:eastAsia="Arial" w:hAnsi="Arial"/>
          <w:sz w:val="16"/>
          <w:szCs w:val="16"/>
          <w:color w:val="auto"/>
        </w:rPr>
        <w:t>Newmarket Properties #3 Pty Ltd (Australia)</w:t>
      </w:r>
    </w:p>
    <w:p>
      <w:pPr>
        <w:spacing w:after="0" w:line="199" w:lineRule="auto"/>
        <w:rPr>
          <w:sz w:val="20"/>
          <w:szCs w:val="20"/>
          <w:color w:val="auto"/>
        </w:rPr>
      </w:pPr>
      <w:r>
        <w:rPr>
          <w:rFonts w:ascii="Arial" w:cs="Arial" w:eastAsia="Arial" w:hAnsi="Arial"/>
          <w:sz w:val="16"/>
          <w:szCs w:val="16"/>
          <w:color w:val="auto"/>
        </w:rPr>
        <w:t>Newmarket Properties No. 2 Pty Ltd (Australia)</w:t>
      </w:r>
    </w:p>
    <w:p>
      <w:pPr>
        <w:spacing w:after="0" w:line="199" w:lineRule="auto"/>
        <w:rPr>
          <w:sz w:val="20"/>
          <w:szCs w:val="20"/>
          <w:color w:val="auto"/>
        </w:rPr>
      </w:pPr>
      <w:r>
        <w:rPr>
          <w:rFonts w:ascii="Arial" w:cs="Arial" w:eastAsia="Arial" w:hAnsi="Arial"/>
          <w:sz w:val="16"/>
          <w:szCs w:val="16"/>
          <w:color w:val="auto"/>
        </w:rPr>
        <w:t>Newmarket Properties Pty Ltd (Australia)</w:t>
      </w:r>
    </w:p>
    <w:p>
      <w:pPr>
        <w:spacing w:after="0" w:line="200" w:lineRule="auto"/>
        <w:rPr>
          <w:sz w:val="20"/>
          <w:szCs w:val="20"/>
          <w:color w:val="auto"/>
        </w:rPr>
      </w:pPr>
      <w:r>
        <w:rPr>
          <w:rFonts w:ascii="Arial" w:cs="Arial" w:eastAsia="Arial" w:hAnsi="Arial"/>
          <w:sz w:val="16"/>
          <w:szCs w:val="16"/>
          <w:color w:val="auto"/>
        </w:rPr>
        <w:t>Orpheum Live, LLC (Nevada)</w:t>
      </w:r>
    </w:p>
    <w:p>
      <w:pPr>
        <w:spacing w:after="0" w:line="199" w:lineRule="auto"/>
        <w:rPr>
          <w:sz w:val="20"/>
          <w:szCs w:val="20"/>
          <w:color w:val="auto"/>
        </w:rPr>
      </w:pPr>
      <w:r>
        <w:rPr>
          <w:rFonts w:ascii="Arial" w:cs="Arial" w:eastAsia="Arial" w:hAnsi="Arial"/>
          <w:sz w:val="16"/>
          <w:szCs w:val="16"/>
          <w:color w:val="auto"/>
        </w:rPr>
        <w:t>Queenstown Land Holdings Ltd (New Zealand)</w:t>
      </w:r>
    </w:p>
    <w:p>
      <w:pPr>
        <w:spacing w:after="0"/>
        <w:rPr>
          <w:sz w:val="20"/>
          <w:szCs w:val="20"/>
          <w:color w:val="auto"/>
        </w:rPr>
      </w:pPr>
      <w:r>
        <w:rPr>
          <w:rFonts w:ascii="Arial" w:cs="Arial" w:eastAsia="Arial" w:hAnsi="Arial"/>
          <w:sz w:val="16"/>
          <w:szCs w:val="16"/>
          <w:color w:val="auto"/>
        </w:rPr>
        <w:t>RCPA LLC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93345</wp:posOffset>
            </wp:positionV>
            <wp:extent cx="5872480" cy="476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RDI Employee Investment Fund LLC (California)</w:t>
      </w:r>
    </w:p>
    <w:p>
      <w:pPr>
        <w:spacing w:after="0" w:line="199" w:lineRule="auto"/>
        <w:rPr>
          <w:sz w:val="20"/>
          <w:szCs w:val="20"/>
          <w:color w:val="auto"/>
        </w:rPr>
      </w:pPr>
      <w:r>
        <w:rPr>
          <w:rFonts w:ascii="Arial" w:cs="Arial" w:eastAsia="Arial" w:hAnsi="Arial"/>
          <w:sz w:val="16"/>
          <w:szCs w:val="16"/>
          <w:color w:val="auto"/>
        </w:rPr>
        <w:t>Reading Arthouse Limited (New Zealand)</w:t>
      </w:r>
    </w:p>
    <w:p>
      <w:pPr>
        <w:spacing w:after="0" w:line="199" w:lineRule="auto"/>
        <w:rPr>
          <w:sz w:val="20"/>
          <w:szCs w:val="20"/>
          <w:color w:val="auto"/>
        </w:rPr>
      </w:pPr>
      <w:r>
        <w:rPr>
          <w:rFonts w:ascii="Arial" w:cs="Arial" w:eastAsia="Arial" w:hAnsi="Arial"/>
          <w:sz w:val="16"/>
          <w:szCs w:val="16"/>
          <w:color w:val="auto"/>
        </w:rPr>
        <w:t>Reading Auburn Pty Ltd (Australia)</w:t>
      </w:r>
    </w:p>
    <w:p>
      <w:pPr>
        <w:spacing w:after="0" w:line="212" w:lineRule="auto"/>
        <w:rPr>
          <w:sz w:val="20"/>
          <w:szCs w:val="20"/>
          <w:color w:val="auto"/>
        </w:rPr>
      </w:pPr>
      <w:r>
        <w:rPr>
          <w:rFonts w:ascii="Arial" w:cs="Arial" w:eastAsia="Arial" w:hAnsi="Arial"/>
          <w:sz w:val="15"/>
          <w:szCs w:val="15"/>
          <w:color w:val="auto"/>
        </w:rPr>
        <w:t>Reading Australia Leasing (E&amp;R) Pty Ltd (Australia)</w:t>
      </w:r>
    </w:p>
    <w:p>
      <w:pPr>
        <w:spacing w:after="0" w:line="199" w:lineRule="auto"/>
        <w:rPr>
          <w:sz w:val="20"/>
          <w:szCs w:val="20"/>
          <w:color w:val="auto"/>
        </w:rPr>
      </w:pPr>
      <w:r>
        <w:rPr>
          <w:rFonts w:ascii="Arial" w:cs="Arial" w:eastAsia="Arial" w:hAnsi="Arial"/>
          <w:sz w:val="16"/>
          <w:szCs w:val="16"/>
          <w:color w:val="auto"/>
        </w:rPr>
        <w:t>Reading Belmont Pty Ltd (Australia)</w:t>
      </w:r>
    </w:p>
    <w:p>
      <w:pPr>
        <w:spacing w:after="0" w:line="200" w:lineRule="auto"/>
        <w:rPr>
          <w:sz w:val="20"/>
          <w:szCs w:val="20"/>
          <w:color w:val="auto"/>
        </w:rPr>
      </w:pPr>
      <w:r>
        <w:rPr>
          <w:rFonts w:ascii="Arial" w:cs="Arial" w:eastAsia="Arial" w:hAnsi="Arial"/>
          <w:sz w:val="16"/>
          <w:szCs w:val="16"/>
          <w:color w:val="auto"/>
        </w:rPr>
        <w:t>Reading Capital Corporation (Delaware)</w:t>
      </w:r>
    </w:p>
    <w:p>
      <w:pPr>
        <w:spacing w:after="0"/>
        <w:rPr>
          <w:sz w:val="20"/>
          <w:szCs w:val="20"/>
          <w:color w:val="auto"/>
        </w:rPr>
      </w:pPr>
      <w:r>
        <w:rPr>
          <w:rFonts w:ascii="Arial" w:cs="Arial" w:eastAsia="Arial" w:hAnsi="Arial"/>
          <w:sz w:val="13"/>
          <w:szCs w:val="13"/>
          <w:color w:val="auto"/>
        </w:rPr>
        <w:t>Reading Center Development Corporation (Pennsylvania)</w:t>
      </w:r>
    </w:p>
    <w:p>
      <w:pPr>
        <w:spacing w:after="0" w:line="203" w:lineRule="auto"/>
        <w:rPr>
          <w:sz w:val="20"/>
          <w:szCs w:val="20"/>
          <w:color w:val="auto"/>
        </w:rPr>
      </w:pPr>
      <w:r>
        <w:rPr>
          <w:rFonts w:ascii="Arial" w:cs="Arial" w:eastAsia="Arial" w:hAnsi="Arial"/>
          <w:sz w:val="16"/>
          <w:szCs w:val="16"/>
          <w:color w:val="auto"/>
        </w:rPr>
        <w:t>Reading Charlestown Pty Ltd (Australia)</w:t>
      </w:r>
    </w:p>
    <w:p>
      <w:pPr>
        <w:spacing w:after="0"/>
        <w:rPr>
          <w:sz w:val="20"/>
          <w:szCs w:val="20"/>
          <w:color w:val="auto"/>
        </w:rPr>
      </w:pPr>
      <w:r>
        <w:rPr>
          <w:rFonts w:ascii="Arial" w:cs="Arial" w:eastAsia="Arial" w:hAnsi="Arial"/>
          <w:sz w:val="13"/>
          <w:szCs w:val="13"/>
          <w:color w:val="auto"/>
        </w:rPr>
        <w:t>Reading Cinemas Courtenay Central Ltd (New Zealand)</w:t>
      </w:r>
    </w:p>
    <w:p>
      <w:pPr>
        <w:spacing w:after="0" w:line="203" w:lineRule="auto"/>
        <w:rPr>
          <w:sz w:val="20"/>
          <w:szCs w:val="20"/>
          <w:color w:val="auto"/>
        </w:rPr>
      </w:pPr>
      <w:r>
        <w:rPr>
          <w:rFonts w:ascii="Arial" w:cs="Arial" w:eastAsia="Arial" w:hAnsi="Arial"/>
          <w:sz w:val="16"/>
          <w:szCs w:val="16"/>
          <w:color w:val="auto"/>
        </w:rPr>
        <w:t>Reading Cinemas Management Pty Ltd (Australia)</w:t>
      </w:r>
    </w:p>
    <w:p>
      <w:pPr>
        <w:spacing w:after="0" w:line="199" w:lineRule="auto"/>
        <w:rPr>
          <w:sz w:val="20"/>
          <w:szCs w:val="20"/>
          <w:color w:val="auto"/>
        </w:rPr>
      </w:pPr>
      <w:r>
        <w:rPr>
          <w:rFonts w:ascii="Arial" w:cs="Arial" w:eastAsia="Arial" w:hAnsi="Arial"/>
          <w:sz w:val="16"/>
          <w:szCs w:val="16"/>
          <w:color w:val="auto"/>
        </w:rPr>
        <w:t>Reading Cinemas NJ, Inc. (Delaware)</w:t>
      </w:r>
    </w:p>
    <w:p>
      <w:pPr>
        <w:spacing w:after="0" w:line="213" w:lineRule="auto"/>
        <w:rPr>
          <w:sz w:val="20"/>
          <w:szCs w:val="20"/>
          <w:color w:val="auto"/>
        </w:rPr>
      </w:pPr>
      <w:r>
        <w:rPr>
          <w:rFonts w:ascii="Arial" w:cs="Arial" w:eastAsia="Arial" w:hAnsi="Arial"/>
          <w:sz w:val="15"/>
          <w:szCs w:val="15"/>
          <w:color w:val="auto"/>
        </w:rPr>
        <w:t>Reading Cinemas of Puerto Rico, Inc. (Puerto Rico)</w:t>
      </w:r>
    </w:p>
    <w:p>
      <w:pPr>
        <w:spacing w:after="0" w:line="199" w:lineRule="auto"/>
        <w:rPr>
          <w:sz w:val="20"/>
          <w:szCs w:val="20"/>
          <w:color w:val="auto"/>
        </w:rPr>
      </w:pPr>
      <w:r>
        <w:rPr>
          <w:rFonts w:ascii="Arial" w:cs="Arial" w:eastAsia="Arial" w:hAnsi="Arial"/>
          <w:sz w:val="16"/>
          <w:szCs w:val="16"/>
          <w:color w:val="auto"/>
        </w:rPr>
        <w:t>Reading Cinemas Pty Ltd (Australia)</w:t>
      </w:r>
    </w:p>
    <w:p>
      <w:pPr>
        <w:spacing w:after="0" w:line="199" w:lineRule="auto"/>
        <w:rPr>
          <w:sz w:val="20"/>
          <w:szCs w:val="20"/>
          <w:color w:val="auto"/>
        </w:rPr>
      </w:pPr>
      <w:r>
        <w:rPr>
          <w:rFonts w:ascii="Arial" w:cs="Arial" w:eastAsia="Arial" w:hAnsi="Arial"/>
          <w:sz w:val="16"/>
          <w:szCs w:val="16"/>
          <w:color w:val="auto"/>
        </w:rPr>
        <w:t>Reading Cinemas Puerto Rico LLC (Nevada)</w:t>
      </w:r>
    </w:p>
    <w:p>
      <w:pPr>
        <w:spacing w:after="0" w:line="199" w:lineRule="auto"/>
        <w:rPr>
          <w:sz w:val="20"/>
          <w:szCs w:val="20"/>
          <w:color w:val="auto"/>
        </w:rPr>
      </w:pPr>
      <w:r>
        <w:rPr>
          <w:rFonts w:ascii="Arial" w:cs="Arial" w:eastAsia="Arial" w:hAnsi="Arial"/>
          <w:sz w:val="16"/>
          <w:szCs w:val="16"/>
          <w:color w:val="auto"/>
        </w:rPr>
        <w:t>Reading Cinemas USA LLC (Nevada)</w:t>
      </w:r>
    </w:p>
    <w:p>
      <w:pPr>
        <w:spacing w:after="0" w:line="199" w:lineRule="auto"/>
        <w:rPr>
          <w:sz w:val="20"/>
          <w:szCs w:val="20"/>
          <w:color w:val="auto"/>
        </w:rPr>
      </w:pPr>
      <w:r>
        <w:rPr>
          <w:rFonts w:ascii="Arial" w:cs="Arial" w:eastAsia="Arial" w:hAnsi="Arial"/>
          <w:sz w:val="16"/>
          <w:szCs w:val="16"/>
          <w:color w:val="auto"/>
        </w:rPr>
        <w:t>Reading Colac Pty Ltd (Australia)</w:t>
      </w:r>
    </w:p>
    <w:p>
      <w:pPr>
        <w:spacing w:after="0" w:line="213" w:lineRule="auto"/>
        <w:rPr>
          <w:sz w:val="20"/>
          <w:szCs w:val="20"/>
          <w:color w:val="auto"/>
        </w:rPr>
      </w:pPr>
      <w:r>
        <w:rPr>
          <w:rFonts w:ascii="Arial" w:cs="Arial" w:eastAsia="Arial" w:hAnsi="Arial"/>
          <w:sz w:val="15"/>
          <w:szCs w:val="15"/>
          <w:color w:val="auto"/>
        </w:rPr>
        <w:t>Reading Consolidated Holdings (Hawaii), Inc. (Hawaii)</w:t>
      </w:r>
    </w:p>
    <w:p>
      <w:pPr>
        <w:spacing w:after="0" w:line="199" w:lineRule="auto"/>
        <w:rPr>
          <w:sz w:val="20"/>
          <w:szCs w:val="20"/>
          <w:color w:val="auto"/>
        </w:rPr>
      </w:pPr>
      <w:r>
        <w:rPr>
          <w:rFonts w:ascii="Arial" w:cs="Arial" w:eastAsia="Arial" w:hAnsi="Arial"/>
          <w:sz w:val="16"/>
          <w:szCs w:val="16"/>
          <w:color w:val="auto"/>
        </w:rPr>
        <w:t>Reading Consolidated Holdings, Inc. (Nevada)</w:t>
      </w:r>
    </w:p>
    <w:p>
      <w:pPr>
        <w:spacing w:after="0" w:line="199" w:lineRule="auto"/>
        <w:rPr>
          <w:sz w:val="20"/>
          <w:szCs w:val="20"/>
          <w:color w:val="auto"/>
        </w:rPr>
      </w:pPr>
      <w:r>
        <w:rPr>
          <w:rFonts w:ascii="Arial" w:cs="Arial" w:eastAsia="Arial" w:hAnsi="Arial"/>
          <w:sz w:val="16"/>
          <w:szCs w:val="16"/>
          <w:color w:val="auto"/>
        </w:rPr>
        <w:t>Reading Courtenay Central Limited (New Zealand)</w:t>
      </w:r>
    </w:p>
    <w:p>
      <w:pPr>
        <w:spacing w:after="0" w:line="199" w:lineRule="auto"/>
        <w:rPr>
          <w:sz w:val="20"/>
          <w:szCs w:val="20"/>
          <w:color w:val="auto"/>
        </w:rPr>
      </w:pPr>
      <w:r>
        <w:rPr>
          <w:rFonts w:ascii="Arial" w:cs="Arial" w:eastAsia="Arial" w:hAnsi="Arial"/>
          <w:sz w:val="16"/>
          <w:szCs w:val="16"/>
          <w:color w:val="auto"/>
        </w:rPr>
        <w:t>Reading Dandenong Pty Ltd (Australia)</w:t>
      </w:r>
    </w:p>
    <w:p>
      <w:pPr>
        <w:spacing w:after="0" w:line="199" w:lineRule="auto"/>
        <w:rPr>
          <w:sz w:val="20"/>
          <w:szCs w:val="20"/>
          <w:color w:val="auto"/>
        </w:rPr>
      </w:pPr>
      <w:r>
        <w:rPr>
          <w:rFonts w:ascii="Arial" w:cs="Arial" w:eastAsia="Arial" w:hAnsi="Arial"/>
          <w:sz w:val="16"/>
          <w:szCs w:val="16"/>
          <w:color w:val="auto"/>
        </w:rPr>
        <w:t>Reading Dunedin Limited (New Zealand)</w:t>
      </w:r>
    </w:p>
    <w:p>
      <w:pPr>
        <w:spacing w:after="0" w:line="200" w:lineRule="auto"/>
        <w:rPr>
          <w:sz w:val="20"/>
          <w:szCs w:val="20"/>
          <w:color w:val="auto"/>
        </w:rPr>
      </w:pPr>
      <w:r>
        <w:rPr>
          <w:rFonts w:ascii="Arial" w:cs="Arial" w:eastAsia="Arial" w:hAnsi="Arial"/>
          <w:sz w:val="16"/>
          <w:szCs w:val="16"/>
          <w:color w:val="auto"/>
        </w:rPr>
        <w:t>Reading Elizabeth Pty Ltd (Australia)</w:t>
      </w:r>
    </w:p>
    <w:p>
      <w:pPr>
        <w:spacing w:after="0" w:line="199" w:lineRule="auto"/>
        <w:rPr>
          <w:sz w:val="20"/>
          <w:szCs w:val="20"/>
          <w:color w:val="auto"/>
        </w:rPr>
      </w:pPr>
      <w:r>
        <w:rPr>
          <w:rFonts w:ascii="Arial" w:cs="Arial" w:eastAsia="Arial" w:hAnsi="Arial"/>
          <w:sz w:val="16"/>
          <w:szCs w:val="16"/>
          <w:color w:val="auto"/>
        </w:rPr>
        <w:t>Reading Entertainment Australia Pty Ltd (Australia)</w:t>
      </w:r>
    </w:p>
    <w:p>
      <w:pPr>
        <w:spacing w:after="0" w:line="199" w:lineRule="auto"/>
        <w:rPr>
          <w:sz w:val="20"/>
          <w:szCs w:val="20"/>
          <w:color w:val="auto"/>
        </w:rPr>
      </w:pPr>
      <w:r>
        <w:rPr>
          <w:rFonts w:ascii="Arial" w:cs="Arial" w:eastAsia="Arial" w:hAnsi="Arial"/>
          <w:sz w:val="16"/>
          <w:szCs w:val="16"/>
          <w:color w:val="auto"/>
        </w:rPr>
        <w:t>Reading Exhibition Pty Ltd (Australia)</w:t>
      </w:r>
    </w:p>
    <w:p>
      <w:pPr>
        <w:spacing w:after="0" w:line="199" w:lineRule="auto"/>
        <w:rPr>
          <w:sz w:val="20"/>
          <w:szCs w:val="20"/>
          <w:color w:val="auto"/>
        </w:rPr>
      </w:pPr>
      <w:r>
        <w:rPr>
          <w:rFonts w:ascii="Arial" w:cs="Arial" w:eastAsia="Arial" w:hAnsi="Arial"/>
          <w:sz w:val="16"/>
          <w:szCs w:val="16"/>
          <w:color w:val="auto"/>
        </w:rPr>
        <w:t>Reading Foundation, LTD (Nevada)</w:t>
      </w:r>
    </w:p>
    <w:p>
      <w:pPr>
        <w:spacing w:after="0" w:line="199" w:lineRule="auto"/>
        <w:rPr>
          <w:sz w:val="20"/>
          <w:szCs w:val="20"/>
          <w:color w:val="auto"/>
        </w:rPr>
      </w:pPr>
      <w:r>
        <w:rPr>
          <w:rFonts w:ascii="Arial" w:cs="Arial" w:eastAsia="Arial" w:hAnsi="Arial"/>
          <w:sz w:val="16"/>
          <w:szCs w:val="16"/>
          <w:color w:val="auto"/>
        </w:rPr>
        <w:t>Reading Holdings, Inc. (Nevada)</w:t>
      </w:r>
    </w:p>
    <w:p>
      <w:pPr>
        <w:spacing w:after="0" w:line="199" w:lineRule="auto"/>
        <w:rPr>
          <w:sz w:val="20"/>
          <w:szCs w:val="20"/>
          <w:color w:val="auto"/>
        </w:rPr>
      </w:pPr>
      <w:r>
        <w:rPr>
          <w:rFonts w:ascii="Arial" w:cs="Arial" w:eastAsia="Arial" w:hAnsi="Arial"/>
          <w:sz w:val="16"/>
          <w:szCs w:val="16"/>
          <w:color w:val="auto"/>
        </w:rPr>
        <w:t>Reading International Cinemas LLC (Delaware)</w:t>
      </w:r>
    </w:p>
    <w:p>
      <w:pPr>
        <w:spacing w:after="0" w:line="213" w:lineRule="auto"/>
        <w:rPr>
          <w:sz w:val="20"/>
          <w:szCs w:val="20"/>
          <w:color w:val="auto"/>
        </w:rPr>
      </w:pPr>
      <w:r>
        <w:rPr>
          <w:rFonts w:ascii="Arial" w:cs="Arial" w:eastAsia="Arial" w:hAnsi="Arial"/>
          <w:sz w:val="15"/>
          <w:szCs w:val="15"/>
          <w:color w:val="auto"/>
        </w:rPr>
        <w:t>Reading International Services Company (California)</w:t>
      </w:r>
    </w:p>
    <w:p>
      <w:pPr>
        <w:spacing w:after="0" w:line="199" w:lineRule="auto"/>
        <w:rPr>
          <w:sz w:val="20"/>
          <w:szCs w:val="20"/>
          <w:color w:val="auto"/>
        </w:rPr>
      </w:pPr>
      <w:r>
        <w:rPr>
          <w:rFonts w:ascii="Arial" w:cs="Arial" w:eastAsia="Arial" w:hAnsi="Arial"/>
          <w:sz w:val="16"/>
          <w:szCs w:val="16"/>
          <w:color w:val="auto"/>
        </w:rPr>
        <w:t>Reading Licenses Pty Ltd (Australia)</w:t>
      </w:r>
    </w:p>
    <w:p>
      <w:pPr>
        <w:spacing w:after="0" w:line="199" w:lineRule="auto"/>
        <w:rPr>
          <w:sz w:val="20"/>
          <w:szCs w:val="20"/>
          <w:color w:val="auto"/>
        </w:rPr>
      </w:pPr>
      <w:r>
        <w:rPr>
          <w:rFonts w:ascii="Arial" w:cs="Arial" w:eastAsia="Arial" w:hAnsi="Arial"/>
          <w:sz w:val="16"/>
          <w:szCs w:val="16"/>
          <w:color w:val="auto"/>
        </w:rPr>
        <w:t>Reading Maitland Pty Ltd (Australia)</w:t>
      </w:r>
    </w:p>
    <w:p>
      <w:pPr>
        <w:spacing w:after="0" w:line="200" w:lineRule="auto"/>
        <w:rPr>
          <w:sz w:val="20"/>
          <w:szCs w:val="20"/>
          <w:color w:val="auto"/>
        </w:rPr>
      </w:pPr>
      <w:r>
        <w:rPr>
          <w:rFonts w:ascii="Arial" w:cs="Arial" w:eastAsia="Arial" w:hAnsi="Arial"/>
          <w:sz w:val="16"/>
          <w:szCs w:val="16"/>
          <w:color w:val="auto"/>
        </w:rPr>
        <w:t>Reading Malulani, LLC (Nevada)</w:t>
      </w:r>
    </w:p>
    <w:p>
      <w:pPr>
        <w:spacing w:after="0" w:line="199" w:lineRule="auto"/>
        <w:rPr>
          <w:sz w:val="20"/>
          <w:szCs w:val="20"/>
          <w:color w:val="auto"/>
        </w:rPr>
      </w:pPr>
      <w:r>
        <w:rPr>
          <w:rFonts w:ascii="Arial" w:cs="Arial" w:eastAsia="Arial" w:hAnsi="Arial"/>
          <w:sz w:val="16"/>
          <w:szCs w:val="16"/>
          <w:color w:val="auto"/>
        </w:rPr>
        <w:t>Reading Management NZ Limited (New Zealand)</w:t>
      </w:r>
    </w:p>
    <w:p>
      <w:pPr>
        <w:spacing w:after="0" w:line="199" w:lineRule="auto"/>
        <w:rPr>
          <w:sz w:val="20"/>
          <w:szCs w:val="20"/>
          <w:color w:val="auto"/>
        </w:rPr>
      </w:pPr>
      <w:r>
        <w:rPr>
          <w:rFonts w:ascii="Arial" w:cs="Arial" w:eastAsia="Arial" w:hAnsi="Arial"/>
          <w:sz w:val="16"/>
          <w:szCs w:val="16"/>
          <w:color w:val="auto"/>
        </w:rPr>
        <w:t>Reading Melton Pty Ltd (Australia)</w:t>
      </w:r>
    </w:p>
    <w:p>
      <w:pPr>
        <w:spacing w:after="0" w:line="199" w:lineRule="auto"/>
        <w:rPr>
          <w:sz w:val="20"/>
          <w:szCs w:val="20"/>
          <w:color w:val="auto"/>
        </w:rPr>
      </w:pPr>
      <w:r>
        <w:rPr>
          <w:rFonts w:ascii="Arial" w:cs="Arial" w:eastAsia="Arial" w:hAnsi="Arial"/>
          <w:sz w:val="16"/>
          <w:szCs w:val="16"/>
          <w:color w:val="auto"/>
        </w:rPr>
        <w:t>Reading Moonee Ponds Pty Ltd (Australia)</w:t>
      </w:r>
    </w:p>
    <w:p>
      <w:pPr>
        <w:spacing w:after="0" w:line="199" w:lineRule="auto"/>
        <w:rPr>
          <w:sz w:val="20"/>
          <w:szCs w:val="20"/>
          <w:color w:val="auto"/>
        </w:rPr>
      </w:pPr>
      <w:r>
        <w:rPr>
          <w:rFonts w:ascii="Arial" w:cs="Arial" w:eastAsia="Arial" w:hAnsi="Arial"/>
          <w:sz w:val="16"/>
          <w:szCs w:val="16"/>
          <w:color w:val="auto"/>
        </w:rPr>
        <w:t>Reading Murrieta Theater, LLC (Nevada)</w:t>
      </w:r>
    </w:p>
    <w:p>
      <w:pPr>
        <w:spacing w:after="0" w:line="199" w:lineRule="auto"/>
        <w:rPr>
          <w:sz w:val="20"/>
          <w:szCs w:val="20"/>
          <w:color w:val="auto"/>
        </w:rPr>
      </w:pPr>
      <w:r>
        <w:rPr>
          <w:rFonts w:ascii="Arial" w:cs="Arial" w:eastAsia="Arial" w:hAnsi="Arial"/>
          <w:sz w:val="16"/>
          <w:szCs w:val="16"/>
          <w:color w:val="auto"/>
        </w:rPr>
        <w:t>Reading New Lynn Limited (New Zealand)</w:t>
      </w:r>
    </w:p>
    <w:p>
      <w:pPr>
        <w:spacing w:after="0" w:line="200" w:lineRule="auto"/>
        <w:rPr>
          <w:sz w:val="20"/>
          <w:szCs w:val="20"/>
          <w:color w:val="auto"/>
        </w:rPr>
      </w:pPr>
      <w:r>
        <w:rPr>
          <w:rFonts w:ascii="Arial" w:cs="Arial" w:eastAsia="Arial" w:hAnsi="Arial"/>
          <w:sz w:val="16"/>
          <w:szCs w:val="16"/>
          <w:color w:val="auto"/>
        </w:rPr>
        <w:t>Reading New Zealand Ltd (New Zealand)</w:t>
      </w:r>
    </w:p>
    <w:p>
      <w:pPr>
        <w:spacing w:after="0" w:line="199" w:lineRule="auto"/>
        <w:rPr>
          <w:sz w:val="20"/>
          <w:szCs w:val="20"/>
          <w:color w:val="auto"/>
        </w:rPr>
      </w:pPr>
      <w:r>
        <w:rPr>
          <w:rFonts w:ascii="Arial" w:cs="Arial" w:eastAsia="Arial" w:hAnsi="Arial"/>
          <w:sz w:val="16"/>
          <w:szCs w:val="16"/>
          <w:color w:val="auto"/>
        </w:rPr>
        <w:t>Reading Pacific LLC (Nevada)</w:t>
      </w:r>
    </w:p>
    <w:p>
      <w:pPr>
        <w:spacing w:after="0" w:line="199" w:lineRule="auto"/>
        <w:rPr>
          <w:sz w:val="20"/>
          <w:szCs w:val="20"/>
          <w:color w:val="auto"/>
        </w:rPr>
      </w:pPr>
      <w:r>
        <w:rPr>
          <w:rFonts w:ascii="Arial" w:cs="Arial" w:eastAsia="Arial" w:hAnsi="Arial"/>
          <w:sz w:val="16"/>
          <w:szCs w:val="16"/>
          <w:color w:val="auto"/>
        </w:rPr>
        <w:t>Reading Properties Indooroopilly Pty Ltd (Australia)</w:t>
      </w:r>
    </w:p>
    <w:p>
      <w:pPr>
        <w:spacing w:after="0" w:line="199" w:lineRule="auto"/>
        <w:rPr>
          <w:sz w:val="20"/>
          <w:szCs w:val="20"/>
          <w:color w:val="auto"/>
        </w:rPr>
      </w:pPr>
      <w:r>
        <w:rPr>
          <w:rFonts w:ascii="Arial" w:cs="Arial" w:eastAsia="Arial" w:hAnsi="Arial"/>
          <w:sz w:val="16"/>
          <w:szCs w:val="16"/>
          <w:color w:val="auto"/>
        </w:rPr>
        <w:t>Reading Properties Lake Taupo Ltd (New Zealand)</w:t>
      </w:r>
    </w:p>
    <w:p>
      <w:pPr>
        <w:spacing w:after="0" w:line="199" w:lineRule="auto"/>
        <w:rPr>
          <w:sz w:val="20"/>
          <w:szCs w:val="20"/>
          <w:color w:val="auto"/>
        </w:rPr>
      </w:pPr>
      <w:r>
        <w:rPr>
          <w:rFonts w:ascii="Arial" w:cs="Arial" w:eastAsia="Arial" w:hAnsi="Arial"/>
          <w:sz w:val="16"/>
          <w:szCs w:val="16"/>
          <w:color w:val="auto"/>
        </w:rPr>
        <w:t>Reading Properties Manukau Ltd (New Zealand)</w:t>
      </w:r>
    </w:p>
    <w:p>
      <w:pPr>
        <w:spacing w:after="0" w:line="213" w:lineRule="auto"/>
        <w:rPr>
          <w:sz w:val="20"/>
          <w:szCs w:val="20"/>
          <w:color w:val="auto"/>
        </w:rPr>
      </w:pPr>
      <w:r>
        <w:rPr>
          <w:rFonts w:ascii="Arial" w:cs="Arial" w:eastAsia="Arial" w:hAnsi="Arial"/>
          <w:sz w:val="15"/>
          <w:szCs w:val="15"/>
          <w:color w:val="auto"/>
        </w:rPr>
        <w:t>Reading Properties New Zealand Ltd (New Zealand)</w:t>
      </w:r>
    </w:p>
    <w:p>
      <w:pPr>
        <w:spacing w:after="0" w:line="199" w:lineRule="auto"/>
        <w:rPr>
          <w:sz w:val="20"/>
          <w:szCs w:val="20"/>
          <w:color w:val="auto"/>
        </w:rPr>
      </w:pPr>
      <w:r>
        <w:rPr>
          <w:rFonts w:ascii="Arial" w:cs="Arial" w:eastAsia="Arial" w:hAnsi="Arial"/>
          <w:sz w:val="16"/>
          <w:szCs w:val="16"/>
          <w:color w:val="auto"/>
        </w:rPr>
        <w:t>Reading Properties Pty Ltd (Australia)</w:t>
      </w:r>
    </w:p>
    <w:p>
      <w:pPr>
        <w:spacing w:after="0" w:line="199" w:lineRule="auto"/>
        <w:rPr>
          <w:sz w:val="20"/>
          <w:szCs w:val="20"/>
          <w:color w:val="auto"/>
        </w:rPr>
      </w:pPr>
      <w:r>
        <w:rPr>
          <w:rFonts w:ascii="Arial" w:cs="Arial" w:eastAsia="Arial" w:hAnsi="Arial"/>
          <w:sz w:val="16"/>
          <w:szCs w:val="16"/>
          <w:color w:val="auto"/>
        </w:rPr>
        <w:t>Reading Properties Taringa Pty Ltd (Australia)</w:t>
      </w:r>
    </w:p>
    <w:p>
      <w:pPr>
        <w:spacing w:after="0" w:line="199" w:lineRule="auto"/>
        <w:rPr>
          <w:sz w:val="20"/>
          <w:szCs w:val="20"/>
          <w:color w:val="auto"/>
        </w:rPr>
      </w:pPr>
      <w:r>
        <w:rPr>
          <w:rFonts w:ascii="Arial" w:cs="Arial" w:eastAsia="Arial" w:hAnsi="Arial"/>
          <w:sz w:val="16"/>
          <w:szCs w:val="16"/>
          <w:color w:val="auto"/>
        </w:rPr>
        <w:t>Reading Property Holdings Pty Ltd (Australia)</w:t>
      </w:r>
    </w:p>
    <w:p>
      <w:pPr>
        <w:spacing w:after="0" w:line="199" w:lineRule="auto"/>
        <w:rPr>
          <w:sz w:val="20"/>
          <w:szCs w:val="20"/>
          <w:color w:val="auto"/>
        </w:rPr>
      </w:pPr>
      <w:r>
        <w:rPr>
          <w:rFonts w:ascii="Arial" w:cs="Arial" w:eastAsia="Arial" w:hAnsi="Arial"/>
          <w:sz w:val="16"/>
          <w:szCs w:val="16"/>
          <w:color w:val="auto"/>
        </w:rPr>
        <w:t>Reading Queenstown Ltd (New Zealand)</w:t>
      </w:r>
    </w:p>
    <w:p>
      <w:pPr>
        <w:spacing w:after="0" w:line="200" w:lineRule="auto"/>
        <w:rPr>
          <w:sz w:val="20"/>
          <w:szCs w:val="20"/>
          <w:color w:val="auto"/>
        </w:rPr>
      </w:pPr>
      <w:r>
        <w:rPr>
          <w:rFonts w:ascii="Arial" w:cs="Arial" w:eastAsia="Arial" w:hAnsi="Arial"/>
          <w:sz w:val="16"/>
          <w:szCs w:val="16"/>
          <w:color w:val="auto"/>
        </w:rPr>
        <w:t>Reading Restaurants NZ Limited (New Zealand)</w:t>
      </w:r>
    </w:p>
    <w:p>
      <w:pPr>
        <w:spacing w:after="0" w:line="199" w:lineRule="auto"/>
        <w:rPr>
          <w:sz w:val="20"/>
          <w:szCs w:val="20"/>
          <w:color w:val="auto"/>
        </w:rPr>
      </w:pPr>
      <w:r>
        <w:rPr>
          <w:rFonts w:ascii="Arial" w:cs="Arial" w:eastAsia="Arial" w:hAnsi="Arial"/>
          <w:sz w:val="16"/>
          <w:szCs w:val="16"/>
          <w:color w:val="auto"/>
        </w:rPr>
        <w:t>Reading Rouse Hill Pty Ltd (Australia)</w:t>
      </w:r>
    </w:p>
    <w:p>
      <w:pPr>
        <w:spacing w:after="0" w:line="199" w:lineRule="auto"/>
        <w:rPr>
          <w:sz w:val="20"/>
          <w:szCs w:val="20"/>
          <w:color w:val="auto"/>
        </w:rPr>
      </w:pPr>
      <w:r>
        <w:rPr>
          <w:rFonts w:ascii="Arial" w:cs="Arial" w:eastAsia="Arial" w:hAnsi="Arial"/>
          <w:sz w:val="16"/>
          <w:szCs w:val="16"/>
          <w:color w:val="auto"/>
        </w:rPr>
        <w:t>Reading Royal George, LLC (Delaware)</w:t>
      </w:r>
    </w:p>
    <w:p>
      <w:pPr>
        <w:spacing w:after="0" w:line="199" w:lineRule="auto"/>
        <w:rPr>
          <w:sz w:val="20"/>
          <w:szCs w:val="20"/>
          <w:color w:val="auto"/>
        </w:rPr>
      </w:pPr>
      <w:r>
        <w:rPr>
          <w:rFonts w:ascii="Arial" w:cs="Arial" w:eastAsia="Arial" w:hAnsi="Arial"/>
          <w:sz w:val="16"/>
          <w:szCs w:val="16"/>
          <w:color w:val="auto"/>
        </w:rPr>
        <w:t>Reading Sunbury Pty Ltd (Australia)</w:t>
      </w:r>
    </w:p>
    <w:p>
      <w:pPr>
        <w:spacing w:after="0" w:line="199" w:lineRule="auto"/>
        <w:rPr>
          <w:sz w:val="20"/>
          <w:szCs w:val="20"/>
          <w:color w:val="auto"/>
        </w:rPr>
      </w:pPr>
      <w:r>
        <w:rPr>
          <w:rFonts w:ascii="Arial" w:cs="Arial" w:eastAsia="Arial" w:hAnsi="Arial"/>
          <w:sz w:val="16"/>
          <w:szCs w:val="16"/>
          <w:color w:val="auto"/>
        </w:rPr>
        <w:t>Reading Theaters, Inc. (Delaware)</w:t>
      </w:r>
    </w:p>
    <w:p>
      <w:pPr>
        <w:spacing w:after="0" w:line="200" w:lineRule="auto"/>
        <w:rPr>
          <w:sz w:val="20"/>
          <w:szCs w:val="20"/>
          <w:color w:val="auto"/>
        </w:rPr>
      </w:pPr>
      <w:r>
        <w:rPr>
          <w:rFonts w:ascii="Arial" w:cs="Arial" w:eastAsia="Arial" w:hAnsi="Arial"/>
          <w:sz w:val="16"/>
          <w:szCs w:val="16"/>
          <w:color w:val="auto"/>
        </w:rPr>
        <w:t>Reading Wellington Properties Ltd (New Zealand)</w:t>
      </w:r>
    </w:p>
    <w:p>
      <w:pPr>
        <w:spacing w:after="0" w:line="199" w:lineRule="auto"/>
        <w:rPr>
          <w:sz w:val="20"/>
          <w:szCs w:val="20"/>
          <w:color w:val="auto"/>
        </w:rPr>
      </w:pPr>
      <w:r>
        <w:rPr>
          <w:rFonts w:ascii="Arial" w:cs="Arial" w:eastAsia="Arial" w:hAnsi="Arial"/>
          <w:sz w:val="16"/>
          <w:szCs w:val="16"/>
          <w:color w:val="auto"/>
        </w:rPr>
        <w:t>Rhodes Peninsula Cinema Pty Ltd (Australia)</w:t>
      </w:r>
    </w:p>
    <w:p>
      <w:pPr>
        <w:spacing w:after="0" w:line="199" w:lineRule="auto"/>
        <w:rPr>
          <w:sz w:val="20"/>
          <w:szCs w:val="20"/>
          <w:color w:val="auto"/>
        </w:rPr>
      </w:pPr>
      <w:r>
        <w:rPr>
          <w:rFonts w:ascii="Arial" w:cs="Arial" w:eastAsia="Arial" w:hAnsi="Arial"/>
          <w:sz w:val="16"/>
          <w:szCs w:val="16"/>
          <w:color w:val="auto"/>
        </w:rPr>
        <w:t>Rialto Brands Ltd (New Zealand)</w:t>
      </w:r>
    </w:p>
    <w:p>
      <w:pPr>
        <w:spacing w:after="0" w:line="199" w:lineRule="auto"/>
        <w:rPr>
          <w:sz w:val="20"/>
          <w:szCs w:val="20"/>
          <w:color w:val="auto"/>
        </w:rPr>
      </w:pPr>
      <w:r>
        <w:rPr>
          <w:rFonts w:ascii="Arial" w:cs="Arial" w:eastAsia="Arial" w:hAnsi="Arial"/>
          <w:sz w:val="16"/>
          <w:szCs w:val="16"/>
          <w:color w:val="auto"/>
        </w:rPr>
        <w:t>Rialto Cinemas Ltd (New Zealand)</w:t>
      </w:r>
    </w:p>
    <w:p>
      <w:pPr>
        <w:spacing w:after="0"/>
        <w:rPr>
          <w:sz w:val="20"/>
          <w:szCs w:val="20"/>
          <w:color w:val="auto"/>
        </w:rPr>
      </w:pPr>
      <w:r>
        <w:rPr>
          <w:rFonts w:ascii="Arial" w:cs="Arial" w:eastAsia="Arial" w:hAnsi="Arial"/>
          <w:sz w:val="16"/>
          <w:szCs w:val="16"/>
          <w:color w:val="auto"/>
        </w:rPr>
        <w:t>Rialto Distribution Ltd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93345</wp:posOffset>
            </wp:positionV>
            <wp:extent cx="5872480" cy="47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98" w:right="1440"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t>Rialto Entertainment Ltd (New Zealand)</w:t>
      </w:r>
    </w:p>
    <w:p>
      <w:pPr>
        <w:spacing w:after="0" w:line="199" w:lineRule="auto"/>
        <w:rPr>
          <w:sz w:val="20"/>
          <w:szCs w:val="20"/>
          <w:color w:val="auto"/>
        </w:rPr>
      </w:pPr>
      <w:r>
        <w:rPr>
          <w:rFonts w:ascii="Arial" w:cs="Arial" w:eastAsia="Arial" w:hAnsi="Arial"/>
          <w:sz w:val="16"/>
          <w:szCs w:val="16"/>
          <w:color w:val="auto"/>
        </w:rPr>
        <w:t>Ronwood Investments Ltd (New Zealand)</w:t>
      </w:r>
    </w:p>
    <w:p>
      <w:pPr>
        <w:spacing w:after="0" w:line="199" w:lineRule="auto"/>
        <w:rPr>
          <w:sz w:val="20"/>
          <w:szCs w:val="20"/>
          <w:color w:val="auto"/>
        </w:rPr>
      </w:pPr>
      <w:r>
        <w:rPr>
          <w:rFonts w:ascii="Arial" w:cs="Arial" w:eastAsia="Arial" w:hAnsi="Arial"/>
          <w:sz w:val="16"/>
          <w:szCs w:val="16"/>
          <w:color w:val="auto"/>
        </w:rPr>
        <w:t>RREC LLC (Pennsylvania)</w:t>
      </w:r>
    </w:p>
    <w:p>
      <w:pPr>
        <w:spacing w:after="0" w:line="199" w:lineRule="auto"/>
        <w:rPr>
          <w:sz w:val="20"/>
          <w:szCs w:val="20"/>
          <w:color w:val="auto"/>
        </w:rPr>
      </w:pPr>
      <w:r>
        <w:rPr>
          <w:rFonts w:ascii="Arial" w:cs="Arial" w:eastAsia="Arial" w:hAnsi="Arial"/>
          <w:sz w:val="16"/>
          <w:szCs w:val="16"/>
          <w:color w:val="auto"/>
        </w:rPr>
        <w:t>Rydal Equipment Co. (Pennsylvania)</w:t>
      </w:r>
    </w:p>
    <w:p>
      <w:pPr>
        <w:spacing w:after="0" w:line="199" w:lineRule="auto"/>
        <w:rPr>
          <w:sz w:val="20"/>
          <w:szCs w:val="20"/>
          <w:color w:val="auto"/>
        </w:rPr>
      </w:pPr>
      <w:r>
        <w:rPr>
          <w:rFonts w:ascii="Arial" w:cs="Arial" w:eastAsia="Arial" w:hAnsi="Arial"/>
          <w:sz w:val="16"/>
          <w:szCs w:val="16"/>
          <w:color w:val="auto"/>
        </w:rPr>
        <w:t>S Note Liquidation Company, LLC (Nevada)</w:t>
      </w:r>
    </w:p>
    <w:p>
      <w:pPr>
        <w:spacing w:after="0" w:line="199" w:lineRule="auto"/>
        <w:rPr>
          <w:sz w:val="20"/>
          <w:szCs w:val="20"/>
          <w:color w:val="auto"/>
        </w:rPr>
      </w:pPr>
      <w:r>
        <w:rPr>
          <w:rFonts w:ascii="Arial" w:cs="Arial" w:eastAsia="Arial" w:hAnsi="Arial"/>
          <w:sz w:val="16"/>
          <w:szCs w:val="16"/>
          <w:color w:val="auto"/>
        </w:rPr>
        <w:t>Sails Apartments Management Ltd (New Zealand)</w:t>
      </w:r>
    </w:p>
    <w:p>
      <w:pPr>
        <w:spacing w:after="0" w:line="200" w:lineRule="auto"/>
        <w:rPr>
          <w:sz w:val="20"/>
          <w:szCs w:val="20"/>
          <w:color w:val="auto"/>
        </w:rPr>
      </w:pPr>
      <w:r>
        <w:rPr>
          <w:rFonts w:ascii="Arial" w:cs="Arial" w:eastAsia="Arial" w:hAnsi="Arial"/>
          <w:sz w:val="16"/>
          <w:szCs w:val="16"/>
          <w:color w:val="auto"/>
        </w:rPr>
        <w:t>Shadow View Land and Farming, LLC (Nevada)</w:t>
      </w:r>
    </w:p>
    <w:p>
      <w:pPr>
        <w:spacing w:after="0" w:line="199" w:lineRule="auto"/>
        <w:rPr>
          <w:sz w:val="20"/>
          <w:szCs w:val="20"/>
          <w:color w:val="auto"/>
        </w:rPr>
      </w:pPr>
      <w:r>
        <w:rPr>
          <w:rFonts w:ascii="Arial" w:cs="Arial" w:eastAsia="Arial" w:hAnsi="Arial"/>
          <w:sz w:val="16"/>
          <w:szCs w:val="16"/>
          <w:color w:val="auto"/>
        </w:rPr>
        <w:t>Sutton Hill Properties, LLC (Nevada)</w:t>
      </w:r>
    </w:p>
    <w:p>
      <w:pPr>
        <w:spacing w:after="0" w:line="199" w:lineRule="auto"/>
        <w:rPr>
          <w:sz w:val="20"/>
          <w:szCs w:val="20"/>
          <w:color w:val="auto"/>
        </w:rPr>
      </w:pPr>
      <w:r>
        <w:rPr>
          <w:rFonts w:ascii="Arial" w:cs="Arial" w:eastAsia="Arial" w:hAnsi="Arial"/>
          <w:sz w:val="16"/>
          <w:szCs w:val="16"/>
          <w:color w:val="auto"/>
        </w:rPr>
        <w:t>The Port Reading Railroad Company (New Jersey)</w:t>
      </w:r>
    </w:p>
    <w:p>
      <w:pPr>
        <w:spacing w:after="0" w:line="199" w:lineRule="auto"/>
        <w:rPr>
          <w:sz w:val="20"/>
          <w:szCs w:val="20"/>
          <w:color w:val="auto"/>
        </w:rPr>
      </w:pPr>
      <w:r>
        <w:rPr>
          <w:rFonts w:ascii="Arial" w:cs="Arial" w:eastAsia="Arial" w:hAnsi="Arial"/>
          <w:sz w:val="16"/>
          <w:szCs w:val="16"/>
          <w:color w:val="auto"/>
        </w:rPr>
        <w:t>Tobrooke Holdings Ltd (New Zealand)</w:t>
      </w:r>
    </w:p>
    <w:p>
      <w:pPr>
        <w:spacing w:after="0" w:line="199" w:lineRule="auto"/>
        <w:rPr>
          <w:sz w:val="20"/>
          <w:szCs w:val="20"/>
          <w:color w:val="auto"/>
        </w:rPr>
      </w:pPr>
      <w:r>
        <w:rPr>
          <w:rFonts w:ascii="Arial" w:cs="Arial" w:eastAsia="Arial" w:hAnsi="Arial"/>
          <w:sz w:val="16"/>
          <w:szCs w:val="16"/>
          <w:color w:val="auto"/>
        </w:rPr>
        <w:t>Trans-Pacific Finance Fund I, LLC (Delaware)</w:t>
      </w:r>
    </w:p>
    <w:p>
      <w:pPr>
        <w:spacing w:after="0" w:line="199" w:lineRule="auto"/>
        <w:rPr>
          <w:sz w:val="20"/>
          <w:szCs w:val="20"/>
          <w:color w:val="auto"/>
        </w:rPr>
      </w:pPr>
      <w:r>
        <w:rPr>
          <w:rFonts w:ascii="Arial" w:cs="Arial" w:eastAsia="Arial" w:hAnsi="Arial"/>
          <w:sz w:val="16"/>
          <w:szCs w:val="16"/>
          <w:color w:val="auto"/>
        </w:rPr>
        <w:t>Trenton-Princeton Traction Company (New Jersey)</w:t>
      </w:r>
    </w:p>
    <w:p>
      <w:pPr>
        <w:spacing w:after="0" w:line="200" w:lineRule="auto"/>
        <w:rPr>
          <w:sz w:val="20"/>
          <w:szCs w:val="20"/>
          <w:color w:val="auto"/>
        </w:rPr>
      </w:pPr>
      <w:r>
        <w:rPr>
          <w:rFonts w:ascii="Arial" w:cs="Arial" w:eastAsia="Arial" w:hAnsi="Arial"/>
          <w:sz w:val="16"/>
          <w:szCs w:val="16"/>
          <w:color w:val="auto"/>
        </w:rPr>
        <w:t>Twin Cities Cinemas, Inc. (Delaware)</w:t>
      </w:r>
    </w:p>
    <w:p>
      <w:pPr>
        <w:spacing w:after="0" w:line="199" w:lineRule="auto"/>
        <w:rPr>
          <w:sz w:val="20"/>
          <w:szCs w:val="20"/>
          <w:color w:val="auto"/>
        </w:rPr>
      </w:pPr>
      <w:r>
        <w:rPr>
          <w:rFonts w:ascii="Arial" w:cs="Arial" w:eastAsia="Arial" w:hAnsi="Arial"/>
          <w:sz w:val="16"/>
          <w:szCs w:val="16"/>
          <w:color w:val="auto"/>
        </w:rPr>
        <w:t>US Agricultural Investors, LLC (Delaware)</w:t>
      </w:r>
    </w:p>
    <w:p>
      <w:pPr>
        <w:spacing w:after="0" w:line="199" w:lineRule="auto"/>
        <w:rPr>
          <w:sz w:val="20"/>
          <w:szCs w:val="20"/>
          <w:color w:val="auto"/>
        </w:rPr>
      </w:pPr>
      <w:r>
        <w:rPr>
          <w:rFonts w:ascii="Arial" w:cs="Arial" w:eastAsia="Arial" w:hAnsi="Arial"/>
          <w:sz w:val="16"/>
          <w:szCs w:val="16"/>
          <w:color w:val="auto"/>
        </w:rPr>
        <w:t>US Development, LLC (Nevada)</w:t>
      </w:r>
    </w:p>
    <w:p>
      <w:pPr>
        <w:spacing w:after="0" w:line="199" w:lineRule="auto"/>
        <w:rPr>
          <w:sz w:val="20"/>
          <w:szCs w:val="20"/>
          <w:color w:val="auto"/>
        </w:rPr>
      </w:pPr>
      <w:r>
        <w:rPr>
          <w:rFonts w:ascii="Arial" w:cs="Arial" w:eastAsia="Arial" w:hAnsi="Arial"/>
          <w:sz w:val="16"/>
          <w:szCs w:val="16"/>
          <w:color w:val="auto"/>
        </w:rPr>
        <w:t>US International Property Finance Pty Ltd (Australia)</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Washington and Franklin Railway Company (Pennsylvania)</w:t>
      </w:r>
    </w:p>
    <w:p>
      <w:pPr>
        <w:spacing w:after="0" w:line="203" w:lineRule="auto"/>
        <w:rPr>
          <w:sz w:val="20"/>
          <w:szCs w:val="20"/>
          <w:color w:val="auto"/>
        </w:rPr>
      </w:pPr>
      <w:r>
        <w:rPr>
          <w:rFonts w:ascii="Arial" w:cs="Arial" w:eastAsia="Arial" w:hAnsi="Arial"/>
          <w:sz w:val="16"/>
          <w:szCs w:val="16"/>
          <w:color w:val="auto"/>
        </w:rPr>
        <w:t>Westlakes Cinema Pty Ltd (Australia)</w:t>
      </w:r>
    </w:p>
    <w:p>
      <w:pPr>
        <w:spacing w:after="0"/>
        <w:rPr>
          <w:sz w:val="20"/>
          <w:szCs w:val="20"/>
          <w:color w:val="auto"/>
        </w:rPr>
      </w:pPr>
      <w:r>
        <w:rPr>
          <w:rFonts w:ascii="Arial" w:cs="Arial" w:eastAsia="Arial" w:hAnsi="Arial"/>
          <w:sz w:val="13"/>
          <w:szCs w:val="13"/>
          <w:color w:val="auto"/>
        </w:rPr>
        <w:t>Wilmington and Northern Railroad Company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114935</wp:posOffset>
            </wp:positionV>
            <wp:extent cx="5872480" cy="476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98"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67" w:lineRule="exact"/>
        <w:rPr>
          <w:sz w:val="20"/>
          <w:szCs w:val="20"/>
          <w:color w:val="auto"/>
        </w:rPr>
      </w:pPr>
    </w:p>
    <w:p>
      <w:pPr>
        <w:ind w:right="80" w:firstLine="310"/>
        <w:spacing w:after="0" w:line="237" w:lineRule="auto"/>
        <w:rPr>
          <w:sz w:val="20"/>
          <w:szCs w:val="20"/>
          <w:color w:val="auto"/>
        </w:rPr>
      </w:pPr>
      <w:r>
        <w:rPr>
          <w:rFonts w:ascii="Arial" w:cs="Arial" w:eastAsia="Arial" w:hAnsi="Arial"/>
          <w:sz w:val="16"/>
          <w:szCs w:val="16"/>
          <w:color w:val="auto"/>
        </w:rPr>
        <w:t>We have issued our reports dated March 16, 2015, with respect to the consolidated financial statements, schedule and internal control over financial reporting included in the Annual Report of Reading International, Inc. on Form 10-K for the year ended December 31, 2014. We hereby consent to the incorporation by reference of said reports in the Registration Statements of Reading International, Inc on Form S-8 (File No. 333-36277) and on Form S-3 (File No. 333-162581).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460375</wp:posOffset>
            </wp:positionV>
            <wp:extent cx="5872480" cy="476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23.2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Auditor</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The Management Committee and Joint Venturers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Mt. Gravatt Cinemas Joint Venture:</w:t>
      </w:r>
    </w:p>
    <w:p>
      <w:pPr>
        <w:spacing w:after="0" w:line="200" w:lineRule="exact"/>
        <w:rPr>
          <w:sz w:val="20"/>
          <w:szCs w:val="20"/>
          <w:color w:val="auto"/>
        </w:rPr>
      </w:pPr>
    </w:p>
    <w:p>
      <w:pPr>
        <w:spacing w:after="0" w:line="309"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We consent to the incorporation by reference in the registration statement No. 333-167101 on Form S-8 of Reading International, Inc., of our report dated March 4, 2013 with respect to the statement of financial position of Mt. Gravatt Cinemas Joint Venture as of December 31, 2012 and the related statements of comprehensive income, changes in equity, and cash flows for the year ended December 31, 2012, which report appears in the December 31, 2014, annual report on Form 10-K of Reading International,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KPMG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Sydney, Australia</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March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334645</wp:posOffset>
            </wp:positionV>
            <wp:extent cx="5872480" cy="476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0" w:right="135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31.1</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 James J. Cotter, certify that:</w:t>
      </w:r>
    </w:p>
    <w:p>
      <w:pPr>
        <w:spacing w:after="0" w:line="133" w:lineRule="exact"/>
        <w:rPr>
          <w:sz w:val="20"/>
          <w:szCs w:val="20"/>
          <w:color w:val="auto"/>
        </w:rPr>
      </w:pPr>
    </w:p>
    <w:p>
      <w:pPr>
        <w:ind w:left="320" w:hanging="318"/>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121" w:lineRule="exact"/>
        <w:rPr>
          <w:rFonts w:ascii="Arial" w:cs="Arial" w:eastAsia="Arial" w:hAnsi="Arial"/>
          <w:sz w:val="16"/>
          <w:szCs w:val="16"/>
          <w:color w:val="auto"/>
        </w:rPr>
      </w:pPr>
    </w:p>
    <w:p>
      <w:pPr>
        <w:jc w:val="both"/>
        <w:ind w:left="140" w:hanging="138"/>
        <w:spacing w:after="0" w:line="234" w:lineRule="auto"/>
        <w:tabs>
          <w:tab w:leader="none" w:pos="1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5"/>
          <w:szCs w:val="15"/>
          <w:color w:val="auto"/>
        </w:rPr>
      </w:pPr>
    </w:p>
    <w:p>
      <w:pPr>
        <w:ind w:left="140" w:hanging="138"/>
        <w:spacing w:after="0" w:line="250" w:lineRule="auto"/>
        <w:tabs>
          <w:tab w:leader="none" w:pos="1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5"/>
          <w:szCs w:val="15"/>
          <w:color w:val="auto"/>
        </w:rPr>
      </w:pPr>
    </w:p>
    <w:p>
      <w:pPr>
        <w:jc w:val="both"/>
        <w:ind w:left="140" w:hanging="138"/>
        <w:spacing w:after="0" w:line="256" w:lineRule="auto"/>
        <w:tabs>
          <w:tab w:leader="none" w:pos="1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40"/>
        <w:spacing w:after="0"/>
        <w:rPr>
          <w:rFonts w:ascii="Arial" w:cs="Arial" w:eastAsia="Arial" w:hAnsi="Arial"/>
          <w:sz w:val="13"/>
          <w:szCs w:val="13"/>
          <w:color w:val="auto"/>
        </w:rPr>
      </w:pPr>
      <w:r>
        <w:rPr>
          <w:rFonts w:ascii="Arial" w:cs="Arial" w:eastAsia="Arial" w:hAnsi="Arial"/>
          <w:sz w:val="16"/>
          <w:szCs w:val="16"/>
          <w:color w:val="auto"/>
        </w:rPr>
        <w:t>15d-15(f)) for the registrant and have:</w:t>
      </w:r>
    </w:p>
    <w:p>
      <w:pPr>
        <w:spacing w:after="0" w:line="107" w:lineRule="exact"/>
        <w:rPr>
          <w:sz w:val="20"/>
          <w:szCs w:val="20"/>
          <w:color w:val="auto"/>
        </w:rPr>
      </w:pPr>
    </w:p>
    <w:p>
      <w:pPr>
        <w:jc w:val="both"/>
        <w:ind w:left="420" w:hanging="128"/>
        <w:spacing w:after="0" w:line="219"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sz w:val="20"/>
          <w:szCs w:val="20"/>
          <w:color w:val="auto"/>
        </w:rPr>
      </w:pPr>
    </w:p>
    <w:p>
      <w:pPr>
        <w:jc w:val="both"/>
        <w:ind w:left="420" w:hanging="140"/>
        <w:spacing w:after="0" w:line="219"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sz w:val="20"/>
          <w:szCs w:val="20"/>
          <w:color w:val="auto"/>
        </w:rPr>
      </w:pPr>
    </w:p>
    <w:p>
      <w:pPr>
        <w:jc w:val="both"/>
        <w:ind w:left="420" w:hanging="128"/>
        <w:spacing w:after="0" w:line="325" w:lineRule="auto"/>
        <w:rPr>
          <w:sz w:val="20"/>
          <w:szCs w:val="20"/>
          <w:color w:val="auto"/>
        </w:rPr>
      </w:pPr>
      <w:r>
        <w:rPr>
          <w:rFonts w:ascii="Arial" w:cs="Arial" w:eastAsia="Arial" w:hAnsi="Arial"/>
          <w:sz w:val="13"/>
          <w:szCs w:val="13"/>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sz w:val="20"/>
          <w:szCs w:val="20"/>
          <w:color w:val="auto"/>
        </w:rPr>
      </w:pPr>
    </w:p>
    <w:p>
      <w:pPr>
        <w:jc w:val="both"/>
        <w:ind w:left="420" w:hanging="140"/>
        <w:spacing w:after="0" w:line="219"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sz w:val="20"/>
          <w:szCs w:val="20"/>
          <w:color w:val="auto"/>
        </w:rPr>
      </w:pPr>
    </w:p>
    <w:p>
      <w:pPr>
        <w:ind w:left="140" w:hanging="138"/>
        <w:spacing w:after="0" w:line="325" w:lineRule="auto"/>
        <w:tabs>
          <w:tab w:leader="none" w:pos="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sz w:val="20"/>
          <w:szCs w:val="20"/>
          <w:color w:val="auto"/>
        </w:rPr>
      </w:pPr>
    </w:p>
    <w:p>
      <w:pPr>
        <w:ind w:left="420" w:hanging="128"/>
        <w:spacing w:after="0" w:line="250" w:lineRule="auto"/>
        <w:rPr>
          <w:sz w:val="20"/>
          <w:szCs w:val="20"/>
          <w:color w:val="auto"/>
        </w:rPr>
      </w:pPr>
      <w:r>
        <w:rPr>
          <w:rFonts w:ascii="Arial" w:cs="Arial" w:eastAsia="Arial" w:hAnsi="Arial"/>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sz w:val="20"/>
          <w:szCs w:val="20"/>
          <w:color w:val="auto"/>
        </w:rPr>
      </w:pPr>
    </w:p>
    <w:p>
      <w:pPr>
        <w:ind w:left="420" w:hanging="140"/>
        <w:spacing w:after="0" w:line="229"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James J. Cotter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James J. Cotter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273685</wp:posOffset>
            </wp:positionV>
            <wp:extent cx="5872480" cy="47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12" w:right="13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31.2</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 Andrzej Matyczynski, certify that:</w:t>
      </w:r>
    </w:p>
    <w:p>
      <w:pPr>
        <w:spacing w:after="0" w:line="133" w:lineRule="exact"/>
        <w:rPr>
          <w:sz w:val="20"/>
          <w:szCs w:val="20"/>
          <w:color w:val="auto"/>
        </w:rPr>
      </w:pPr>
    </w:p>
    <w:p>
      <w:pPr>
        <w:ind w:left="320" w:hanging="318"/>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121" w:lineRule="exact"/>
        <w:rPr>
          <w:rFonts w:ascii="Arial" w:cs="Arial" w:eastAsia="Arial" w:hAnsi="Arial"/>
          <w:sz w:val="16"/>
          <w:szCs w:val="16"/>
          <w:color w:val="auto"/>
        </w:rPr>
      </w:pPr>
    </w:p>
    <w:p>
      <w:pPr>
        <w:jc w:val="both"/>
        <w:ind w:left="140" w:hanging="138"/>
        <w:spacing w:after="0" w:line="234" w:lineRule="auto"/>
        <w:tabs>
          <w:tab w:leader="none" w:pos="1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5"/>
          <w:szCs w:val="15"/>
          <w:color w:val="auto"/>
        </w:rPr>
      </w:pPr>
    </w:p>
    <w:p>
      <w:pPr>
        <w:ind w:left="140" w:hanging="138"/>
        <w:spacing w:after="0" w:line="250" w:lineRule="auto"/>
        <w:tabs>
          <w:tab w:leader="none" w:pos="1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5"/>
          <w:szCs w:val="15"/>
          <w:color w:val="auto"/>
        </w:rPr>
      </w:pPr>
    </w:p>
    <w:p>
      <w:pPr>
        <w:jc w:val="both"/>
        <w:ind w:left="140" w:hanging="138"/>
        <w:spacing w:after="0" w:line="256" w:lineRule="auto"/>
        <w:tabs>
          <w:tab w:leader="none" w:pos="1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40"/>
        <w:spacing w:after="0"/>
        <w:rPr>
          <w:rFonts w:ascii="Arial" w:cs="Arial" w:eastAsia="Arial" w:hAnsi="Arial"/>
          <w:sz w:val="13"/>
          <w:szCs w:val="13"/>
          <w:color w:val="auto"/>
        </w:rPr>
      </w:pPr>
      <w:r>
        <w:rPr>
          <w:rFonts w:ascii="Arial" w:cs="Arial" w:eastAsia="Arial" w:hAnsi="Arial"/>
          <w:sz w:val="16"/>
          <w:szCs w:val="16"/>
          <w:color w:val="auto"/>
        </w:rPr>
        <w:t>15d-15(f)) for the registrant and have:</w:t>
      </w:r>
    </w:p>
    <w:p>
      <w:pPr>
        <w:spacing w:after="0" w:line="107" w:lineRule="exact"/>
        <w:rPr>
          <w:sz w:val="20"/>
          <w:szCs w:val="20"/>
          <w:color w:val="auto"/>
        </w:rPr>
      </w:pPr>
    </w:p>
    <w:p>
      <w:pPr>
        <w:jc w:val="both"/>
        <w:ind w:left="420" w:hanging="128"/>
        <w:spacing w:after="0" w:line="219"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sz w:val="20"/>
          <w:szCs w:val="20"/>
          <w:color w:val="auto"/>
        </w:rPr>
      </w:pPr>
    </w:p>
    <w:p>
      <w:pPr>
        <w:jc w:val="both"/>
        <w:ind w:left="420" w:hanging="140"/>
        <w:spacing w:after="0" w:line="219"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sz w:val="20"/>
          <w:szCs w:val="20"/>
          <w:color w:val="auto"/>
        </w:rPr>
      </w:pPr>
    </w:p>
    <w:p>
      <w:pPr>
        <w:jc w:val="both"/>
        <w:ind w:left="420" w:hanging="128"/>
        <w:spacing w:after="0" w:line="325" w:lineRule="auto"/>
        <w:rPr>
          <w:sz w:val="20"/>
          <w:szCs w:val="20"/>
          <w:color w:val="auto"/>
        </w:rPr>
      </w:pPr>
      <w:r>
        <w:rPr>
          <w:rFonts w:ascii="Arial" w:cs="Arial" w:eastAsia="Arial" w:hAnsi="Arial"/>
          <w:sz w:val="13"/>
          <w:szCs w:val="13"/>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sz w:val="20"/>
          <w:szCs w:val="20"/>
          <w:color w:val="auto"/>
        </w:rPr>
      </w:pPr>
    </w:p>
    <w:p>
      <w:pPr>
        <w:jc w:val="both"/>
        <w:ind w:left="420" w:hanging="140"/>
        <w:spacing w:after="0" w:line="219"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sz w:val="20"/>
          <w:szCs w:val="20"/>
          <w:color w:val="auto"/>
        </w:rPr>
      </w:pPr>
    </w:p>
    <w:p>
      <w:pPr>
        <w:ind w:left="140" w:hanging="138"/>
        <w:spacing w:after="0" w:line="325" w:lineRule="auto"/>
        <w:tabs>
          <w:tab w:leader="none" w:pos="1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sz w:val="20"/>
          <w:szCs w:val="20"/>
          <w:color w:val="auto"/>
        </w:rPr>
      </w:pPr>
    </w:p>
    <w:p>
      <w:pPr>
        <w:ind w:left="420" w:hanging="128"/>
        <w:spacing w:after="0" w:line="250" w:lineRule="auto"/>
        <w:rPr>
          <w:sz w:val="20"/>
          <w:szCs w:val="20"/>
          <w:color w:val="auto"/>
        </w:rPr>
      </w:pPr>
      <w:r>
        <w:rPr>
          <w:rFonts w:ascii="Arial" w:cs="Arial" w:eastAsia="Arial" w:hAnsi="Arial"/>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sz w:val="20"/>
          <w:szCs w:val="20"/>
          <w:color w:val="auto"/>
        </w:rPr>
      </w:pPr>
    </w:p>
    <w:p>
      <w:pPr>
        <w:ind w:left="420" w:hanging="140"/>
        <w:spacing w:after="0" w:line="229"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Andrzej Matyczynski</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Andrzej Matyczynski</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273685</wp:posOffset>
            </wp:positionV>
            <wp:extent cx="5872480" cy="476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32.1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5" w:lineRule="exact"/>
        <w:rPr>
          <w:sz w:val="20"/>
          <w:szCs w:val="20"/>
          <w:color w:val="auto"/>
        </w:rPr>
      </w:pPr>
    </w:p>
    <w:p>
      <w:pPr>
        <w:jc w:val="both"/>
        <w:ind w:firstLine="564"/>
        <w:spacing w:after="0" w:line="219"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2014 (the “Report”), I, James J. Cotter, Chief Executive Officer of the Company, certify, pursuant to 18 U.S.C. §1350, as adopted pursuant to §906 of the Sarbanes-Oxley Act of 2002, that:</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The Report fully complies with the requirements of Section 13(a) of the Securities Exchange Act of 1934; and</w:t>
      </w:r>
    </w:p>
    <w:p>
      <w:pPr>
        <w:spacing w:after="0" w:line="121" w:lineRule="exact"/>
        <w:rPr>
          <w:sz w:val="20"/>
          <w:szCs w:val="20"/>
          <w:color w:val="auto"/>
        </w:rPr>
      </w:pPr>
    </w:p>
    <w:p>
      <w:pPr>
        <w:ind w:left="400" w:hanging="116"/>
        <w:spacing w:after="0" w:line="229"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James J. Cotter</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James J. Cotter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281305</wp:posOffset>
            </wp:positionV>
            <wp:extent cx="5872480" cy="476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43" w:lineRule="exact"/>
        <w:rPr>
          <w:sz w:val="20"/>
          <w:szCs w:val="20"/>
          <w:color w:val="auto"/>
        </w:rPr>
      </w:pPr>
    </w:p>
    <w:p>
      <w:pPr>
        <w:jc w:val="both"/>
        <w:ind w:firstLine="564"/>
        <w:spacing w:after="0" w:line="219"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2014 (the “Report”), I, Andrzej Matyczynski, Chief Financial Officer of the Company, certify, pursuant to 18 U.S.C. §1350, as adopted pursuant to §906 of the Sarbanes-Oxley Act of 2002, that:</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The Report fully complies with the requirements of Section 13(a) of the Securities Exchange Act of 1934; and</w:t>
      </w:r>
    </w:p>
    <w:p>
      <w:pPr>
        <w:spacing w:after="0" w:line="121" w:lineRule="exact"/>
        <w:rPr>
          <w:sz w:val="20"/>
          <w:szCs w:val="20"/>
          <w:color w:val="auto"/>
        </w:rPr>
      </w:pPr>
    </w:p>
    <w:p>
      <w:pPr>
        <w:ind w:left="400" w:hanging="116"/>
        <w:spacing w:after="0" w:line="229"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Andrzej Matyczynski</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Andrzej Matyczynski</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111125</wp:posOffset>
            </wp:positionV>
            <wp:extent cx="5872480" cy="476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sectPr>
      <w:pgSz w:w="11900" w:h="16838" w:orient="portrait"/>
      <w:cols w:equalWidth="0" w:num="1">
        <w:col w:w="9180"/>
      </w:cols>
      <w:pgMar w:left="1360" w:top="112"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þ"/>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6"/>
    </w:lvl>
  </w:abstractNum>
  <w:abstractNum w:abstractNumId="7">
    <w:nsid w:val="1E7FF521"/>
    <w:multiLevelType w:val="hybridMultilevel"/>
    <w:lvl w:ilvl="0">
      <w:lvlJc w:val="left"/>
      <w:lvlText w:val="[%1]"/>
      <w:numFmt w:val="decimal"/>
      <w:start w:val="10"/>
    </w:lvl>
  </w:abstractNum>
  <w:abstractNum w:abstractNumId="8">
    <w:nsid w:val="7C3DBD3D"/>
    <w:multiLevelType w:val="hybridMultilevel"/>
    <w:lvl w:ilvl="0">
      <w:lvlJc w:val="left"/>
      <w:lvlText w:val="[%1]"/>
      <w:numFmt w:val="decimal"/>
      <w:start w:val="12"/>
    </w:lvl>
  </w:abstractNum>
  <w:abstractNum w:abstractNumId="9">
    <w:nsid w:val="737B8DDC"/>
    <w:multiLevelType w:val="hybridMultilevel"/>
    <w:lvl w:ilvl="0">
      <w:lvlJc w:val="left"/>
      <w:lvlText w:val="(%1)"/>
      <w:numFmt w:val="lowerLetter"/>
      <w:start w:val="2"/>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o"/>
      <w:numFmt w:val="bullet"/>
      <w:start w:val="1"/>
    </w:lvl>
  </w:abstractNum>
  <w:abstractNum w:abstractNumId="13">
    <w:nsid w:val="3006C83E"/>
    <w:multiLevelType w:val="hybridMultilevel"/>
    <w:lvl w:ilvl="0">
      <w:lvlJc w:val="left"/>
      <w:lvlText w:val="o"/>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lvl w:ilvl="1">
      <w:lvlJc w:val="left"/>
      <w:lvlText w:val="o"/>
      <w:numFmt w:val="bullet"/>
      <w:start w:val="1"/>
    </w:lvl>
  </w:abstractNum>
  <w:abstractNum w:abstractNumId="31">
    <w:nsid w:val="6A2342EC"/>
    <w:multiLevelType w:val="hybridMultilevel"/>
    <w:lvl w:ilvl="0">
      <w:lvlJc w:val="left"/>
      <w:lvlText w:val="o"/>
      <w:numFmt w:val="bullet"/>
      <w:start w:val="1"/>
    </w:lvl>
  </w:abstractNum>
  <w:abstractNum w:abstractNumId="32">
    <w:nsid w:val="2A487CB0"/>
    <w:multiLevelType w:val="hybridMultilevel"/>
    <w:lvl w:ilvl="0">
      <w:lvlJc w:val="left"/>
      <w:lvlText w:val="o"/>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2"/>
    </w:lvl>
  </w:abstractNum>
  <w:abstractNum w:abstractNumId="37">
    <w:nsid w:val="7A6D8D3C"/>
    <w:multiLevelType w:val="hybridMultilevel"/>
    <w:lvl w:ilvl="0">
      <w:lvlJc w:val="left"/>
      <w:lvlText w:val="%1"/>
      <w:numFmt w:val="lowerLetter"/>
      <w:start w:val="1"/>
    </w:lvl>
    <w:lvl w:ilvl="1">
      <w:lvlJc w:val="left"/>
      <w:lvlText w:val="%2."/>
      <w:numFmt w:val="decimal"/>
      <w:start w:val="3"/>
    </w:lvl>
  </w:abstractNum>
  <w:abstractNum w:abstractNumId="38">
    <w:nsid w:val="4B588F54"/>
    <w:multiLevelType w:val="hybridMultilevel"/>
    <w:lvl w:ilvl="0">
      <w:lvlJc w:val="left"/>
      <w:lvlText w:val="(%1)"/>
      <w:numFmt w:val="lowerLetter"/>
      <w:start w:val="2"/>
    </w:lvl>
    <w:lvl w:ilvl="1">
      <w:lvlJc w:val="left"/>
      <w:lvlText w:val="%2"/>
      <w:numFmt w:val="decimal"/>
      <w:start w:val="1"/>
    </w:lvl>
  </w:abstractNum>
  <w:abstractNum w:abstractNumId="39">
    <w:nsid w:val="542289EC"/>
    <w:multiLevelType w:val="hybridMultilevel"/>
    <w:lvl w:ilvl="0">
      <w:lvlJc w:val="left"/>
      <w:lvlText w:val="(%1)"/>
      <w:numFmt w:val="lowerLetter"/>
      <w:start w:val="3"/>
    </w:lvl>
  </w:abstractNum>
  <w:abstractNum w:abstractNumId="40">
    <w:nsid w:val="6DE91B18"/>
    <w:multiLevelType w:val="hybridMultilevel"/>
    <w:lvl w:ilvl="0">
      <w:lvlJc w:val="left"/>
      <w:lvlText w:val="(%1)"/>
      <w:numFmt w:val="lowerLetter"/>
      <w:start w:val="2"/>
    </w:lvl>
    <w:lvl w:ilvl="1">
      <w:lvlJc w:val="left"/>
      <w:lvlText w:val="(%2)"/>
      <w:numFmt w:val="lowerLetter"/>
      <w:start w:val="9"/>
    </w:lvl>
  </w:abstractNum>
  <w:abstractNum w:abstractNumId="41">
    <w:nsid w:val="38437FDB"/>
    <w:multiLevelType w:val="hybridMultilevel"/>
    <w:lvl w:ilvl="0">
      <w:lvlJc w:val="left"/>
      <w:lvlText w:val="(%1)"/>
      <w:numFmt w:val="lowerLetter"/>
      <w:start w:val="5"/>
    </w:lvl>
    <w:lvl w:ilvl="1">
      <w:lvlJc w:val="left"/>
      <w:lvlText w:val="(%2)"/>
      <w:numFmt w:val="lowerLetter"/>
      <w:start w:val="9"/>
    </w:lvl>
  </w:abstractNum>
  <w:abstractNum w:abstractNumId="42">
    <w:nsid w:val="7644A45C"/>
    <w:multiLevelType w:val="hybridMultilevel"/>
    <w:lvl w:ilvl="0">
      <w:lvlJc w:val="left"/>
      <w:lvlText w:val="%1."/>
      <w:numFmt w:val="decimal"/>
      <w:start w:val="15"/>
    </w:lvl>
    <w:lvl w:ilvl="1">
      <w:lvlJc w:val="left"/>
      <w:lvlText w:val="(%2)"/>
      <w:numFmt w:val="lowerLetter"/>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decimal"/>
      <w:start w:val="16"/>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5"/>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5"/>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2020-01-22T22:25:48Z</dcterms:created>
  <dcterms:modified xsi:type="dcterms:W3CDTF">2020-01-22T22:25:48Z</dcterms:modified>
</cp:coreProperties>
</file>